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jc w:val="center"/>
        <w:textAlignment w:val="auto"/>
        <w:rPr>
          <w:rFonts w:ascii="仿宋_GB2312" w:hAnsi="华文中宋"/>
          <w:bCs/>
          <w:sz w:val="36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jc w:val="center"/>
        <w:textAlignment w:val="auto"/>
        <w:rPr>
          <w:rFonts w:hint="eastAsia" w:ascii="宋体" w:hAnsi="宋体" w:eastAsia="宋体" w:cs="宋体"/>
          <w:b/>
          <w:sz w:val="36"/>
          <w:szCs w:val="44"/>
        </w:rPr>
      </w:pPr>
      <w:r>
        <w:rPr>
          <w:rFonts w:hint="eastAsia" w:ascii="Arial" w:hAnsi="Arial" w:eastAsia="宋体" w:cs="Arial"/>
          <w:b/>
          <w:sz w:val="36"/>
          <w:szCs w:val="44"/>
          <w:lang w:eastAsia="zh-CN"/>
        </w:rPr>
        <w:t>云南</w:t>
      </w:r>
      <w:r>
        <w:rPr>
          <w:rFonts w:hint="eastAsia" w:ascii="Arial" w:hAnsi="Arial" w:eastAsia="宋体" w:cs="Arial"/>
          <w:b/>
          <w:sz w:val="36"/>
          <w:szCs w:val="44"/>
        </w:rPr>
        <w:t>省</w:t>
      </w:r>
      <w:r>
        <w:rPr>
          <w:rFonts w:hint="eastAsia" w:ascii="Arial" w:hAnsi="Arial" w:eastAsia="宋体" w:cs="Arial"/>
          <w:b/>
          <w:sz w:val="36"/>
          <w:szCs w:val="44"/>
          <w:lang w:eastAsia="zh-CN"/>
        </w:rPr>
        <w:t>昆明市盘龙区绿色生态烟叶发展补助资金</w:t>
      </w:r>
      <w:r>
        <w:rPr>
          <w:rFonts w:hint="eastAsia" w:ascii="宋体" w:hAnsi="宋体" w:eastAsia="宋体" w:cs="宋体"/>
          <w:b/>
          <w:sz w:val="36"/>
          <w:szCs w:val="44"/>
        </w:rPr>
        <w:t>转移支付</w:t>
      </w:r>
      <w:r>
        <w:rPr>
          <w:rFonts w:hint="eastAsia" w:ascii="Arial" w:hAnsi="Arial" w:eastAsia="宋体" w:cs="Arial"/>
          <w:b/>
          <w:sz w:val="36"/>
          <w:szCs w:val="44"/>
        </w:rPr>
        <w:t>20</w:t>
      </w:r>
      <w:r>
        <w:rPr>
          <w:rFonts w:hint="eastAsia" w:ascii="Arial" w:hAnsi="Arial" w:eastAsia="宋体" w:cs="Arial"/>
          <w:b/>
          <w:sz w:val="36"/>
          <w:szCs w:val="44"/>
          <w:lang w:val="en-US" w:eastAsia="zh-CN"/>
        </w:rPr>
        <w:t>22</w:t>
      </w:r>
      <w:r>
        <w:rPr>
          <w:rFonts w:hint="eastAsia" w:ascii="宋体" w:hAnsi="宋体" w:eastAsia="宋体" w:cs="宋体"/>
          <w:b/>
          <w:sz w:val="36"/>
          <w:szCs w:val="44"/>
        </w:rPr>
        <w:t>年度绩效自评报告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jc w:val="center"/>
        <w:textAlignment w:val="auto"/>
        <w:rPr>
          <w:rFonts w:hint="eastAsia" w:ascii="宋体" w:hAnsi="宋体" w:eastAsia="宋体" w:cs="宋体"/>
          <w:b/>
          <w:sz w:val="36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00" w:firstLineChars="200"/>
        <w:textAlignment w:val="auto"/>
        <w:rPr>
          <w:rFonts w:ascii="黑体" w:hAnsi="黑体" w:eastAsia="黑体" w:cs="黑体"/>
          <w:bCs/>
          <w:szCs w:val="32"/>
        </w:rPr>
      </w:pPr>
      <w:r>
        <w:rPr>
          <w:rFonts w:hint="eastAsia" w:ascii="黑体" w:hAnsi="黑体" w:eastAsia="黑体" w:cs="黑体"/>
          <w:bCs/>
          <w:szCs w:val="32"/>
        </w:rPr>
        <w:t>一、绩效目标分解下达情况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outlineLvl w:val="0"/>
        <w:rPr>
          <w:rFonts w:hint="eastAsia" w:ascii="仿宋_GB231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根据昆明市财政局、昆明市农业农村局《关于下达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2022年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绿色生态烟叶发展补助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资金的通知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》（</w:t>
      </w:r>
      <w:r>
        <w:rPr>
          <w:rFonts w:hint="eastAsia" w:ascii="仿宋_GB2312"/>
          <w:szCs w:val="32"/>
          <w:lang w:eastAsia="zh-CN"/>
        </w:rPr>
        <w:t>昆财农</w:t>
      </w:r>
      <w:r>
        <w:rPr>
          <w:rFonts w:hint="eastAsia" w:ascii="仿宋_GB2312"/>
          <w:szCs w:val="32"/>
          <w:lang w:val="en-US" w:eastAsia="zh-CN"/>
        </w:rPr>
        <w:t>[2022]96号</w:t>
      </w:r>
      <w:r>
        <w:rPr>
          <w:rFonts w:hint="eastAsia" w:ascii="仿宋_GB2312"/>
          <w:szCs w:val="32"/>
          <w:lang w:eastAsia="zh-CN"/>
        </w:rPr>
        <w:t>），安排盘龙区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绿色生态烟叶发展补助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资金</w:t>
      </w:r>
      <w:r>
        <w:rPr>
          <w:rFonts w:hint="eastAsia" w:ascii="仿宋_GB2312"/>
          <w:szCs w:val="32"/>
          <w:lang w:val="en-US" w:eastAsia="zh-CN"/>
        </w:rPr>
        <w:t>41.44万元。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00" w:firstLineChars="200"/>
        <w:textAlignment w:val="auto"/>
        <w:rPr>
          <w:rFonts w:ascii="黑体" w:hAnsi="黑体" w:eastAsia="黑体" w:cs="黑体"/>
          <w:bCs/>
          <w:szCs w:val="32"/>
          <w:highlight w:val="none"/>
        </w:rPr>
      </w:pPr>
      <w:r>
        <w:rPr>
          <w:rFonts w:hint="eastAsia" w:ascii="黑体" w:hAnsi="黑体" w:eastAsia="黑体" w:cs="黑体"/>
          <w:bCs/>
          <w:szCs w:val="32"/>
          <w:highlight w:val="none"/>
        </w:rPr>
        <w:t>二、</w:t>
      </w:r>
      <w:r>
        <w:rPr>
          <w:rFonts w:hint="eastAsia" w:ascii="黑体" w:hAnsi="黑体" w:eastAsia="黑体" w:cs="黑体"/>
          <w:bCs/>
          <w:szCs w:val="32"/>
          <w:highlight w:val="none"/>
          <w:lang w:eastAsia="zh-CN"/>
        </w:rPr>
        <w:t>绩效</w:t>
      </w:r>
      <w:r>
        <w:rPr>
          <w:rFonts w:hint="eastAsia" w:ascii="黑体" w:hAnsi="黑体" w:eastAsia="黑体" w:cs="黑体"/>
          <w:bCs/>
          <w:szCs w:val="32"/>
          <w:highlight w:val="none"/>
        </w:rPr>
        <w:t>情况分析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02" w:firstLineChars="200"/>
        <w:textAlignment w:val="auto"/>
        <w:outlineLvl w:val="0"/>
        <w:rPr>
          <w:rFonts w:hint="eastAsia" w:ascii="仿宋_GB2312" w:hAnsi="仿宋_GB2312" w:eastAsia="仿宋_GB2312" w:cs="仿宋_GB2312"/>
          <w:b w:val="0"/>
          <w:bCs w:val="0"/>
          <w:szCs w:val="32"/>
          <w:highlight w:val="none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Cs w:val="32"/>
          <w:highlight w:val="none"/>
        </w:rPr>
        <w:t>（一）资金投入情况分析。</w:t>
      </w:r>
      <w:r>
        <w:rPr>
          <w:rFonts w:hint="eastAsia" w:ascii="仿宋_GB2312" w:hAnsi="仿宋_GB2312" w:eastAsia="仿宋_GB2312" w:cs="仿宋_GB2312"/>
          <w:b w:val="0"/>
          <w:bCs w:val="0"/>
          <w:szCs w:val="32"/>
          <w:highlight w:val="none"/>
          <w:lang w:eastAsia="zh-CN"/>
        </w:rPr>
        <w:t>（分析资金</w:t>
      </w:r>
      <w:r>
        <w:rPr>
          <w:rFonts w:hint="eastAsia" w:ascii="仿宋_GB2312" w:hAnsi="仿宋_GB2312" w:cs="仿宋_GB2312"/>
          <w:b w:val="0"/>
          <w:bCs w:val="0"/>
          <w:szCs w:val="32"/>
          <w:highlight w:val="none"/>
          <w:lang w:eastAsia="zh-CN"/>
        </w:rPr>
        <w:t>投入及</w:t>
      </w:r>
      <w:r>
        <w:rPr>
          <w:rFonts w:hint="eastAsia" w:ascii="仿宋_GB2312" w:hAnsi="仿宋_GB2312" w:eastAsia="仿宋_GB2312" w:cs="仿宋_GB2312"/>
          <w:b w:val="0"/>
          <w:bCs w:val="0"/>
          <w:szCs w:val="32"/>
          <w:highlight w:val="none"/>
          <w:lang w:eastAsia="zh-CN"/>
        </w:rPr>
        <w:t>执行情况）</w:t>
      </w:r>
    </w:p>
    <w:p>
      <w:pPr>
        <w:ind w:firstLine="640" w:firstLineChars="200"/>
        <w:outlineLvl w:val="0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2022年</w:t>
      </w:r>
      <w:r>
        <w:rPr>
          <w:rFonts w:hint="eastAsia" w:ascii="仿宋" w:hAnsi="仿宋" w:eastAsia="仿宋" w:cs="仿宋"/>
          <w:sz w:val="32"/>
          <w:szCs w:val="32"/>
        </w:rPr>
        <w:t>下达盘龙区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绿色生态烟叶发展补助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资金</w:t>
      </w:r>
      <w:r>
        <w:rPr>
          <w:rFonts w:hint="eastAsia" w:ascii="仿宋_GB2312"/>
          <w:szCs w:val="32"/>
          <w:lang w:val="en-US" w:eastAsia="zh-CN"/>
        </w:rPr>
        <w:t>41.44万元</w:t>
      </w:r>
      <w:r>
        <w:rPr>
          <w:rFonts w:hint="eastAsia" w:ascii="仿宋" w:hAnsi="仿宋" w:eastAsia="仿宋" w:cs="仿宋"/>
          <w:sz w:val="32"/>
          <w:szCs w:val="32"/>
        </w:rPr>
        <w:t>。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上级资金由农业农村局建立项目库，进行指标挂接下达。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02" w:firstLineChars="200"/>
        <w:textAlignment w:val="auto"/>
        <w:outlineLvl w:val="0"/>
        <w:rPr>
          <w:rFonts w:hint="eastAsia" w:ascii="仿宋_GB2312" w:hAnsi="仿宋_GB2312" w:cs="仿宋_GB2312"/>
          <w:b w:val="0"/>
          <w:bCs w:val="0"/>
          <w:szCs w:val="32"/>
          <w:highlight w:val="none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Cs w:val="32"/>
          <w:highlight w:val="none"/>
          <w:lang w:eastAsia="zh-CN"/>
        </w:rPr>
        <w:t>资金管理情况分析。</w:t>
      </w:r>
      <w:r>
        <w:rPr>
          <w:rFonts w:hint="eastAsia" w:ascii="仿宋_GB2312" w:hAnsi="仿宋_GB2312" w:cs="仿宋_GB2312"/>
          <w:b w:val="0"/>
          <w:bCs w:val="0"/>
          <w:szCs w:val="32"/>
          <w:highlight w:val="none"/>
          <w:lang w:eastAsia="zh-CN"/>
        </w:rPr>
        <w:t>（分析资金分配、下达、拨付、使用、执行、预算绩效管理、支出责任履行等情况）</w:t>
      </w:r>
    </w:p>
    <w:p>
      <w:pPr>
        <w:ind w:firstLine="660"/>
        <w:rPr>
          <w:rFonts w:hint="eastAsia"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  <w:lang w:eastAsia="zh-CN"/>
        </w:rPr>
        <w:t>用于</w:t>
      </w:r>
      <w:r>
        <w:rPr>
          <w:rFonts w:hint="eastAsia" w:ascii="宋体" w:hAnsi="宋体"/>
          <w:sz w:val="32"/>
          <w:szCs w:val="32"/>
        </w:rPr>
        <w:t>生物质燃料生产补贴资金、田间鲜烟叶农残快速检测补贴资金、农药包装等废弃物回收补贴资金和STP试点项目补贴资金41.44万元（其中滇源2.14万元、阿子营39.3万元）。具体为：</w:t>
      </w:r>
    </w:p>
    <w:p>
      <w:pPr>
        <w:ind w:firstLine="660"/>
        <w:rPr>
          <w:rFonts w:hint="eastAsia"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1、生物质燃料生产补贴资金28.51万元（主要为阿子营的彩云合作社）。</w:t>
      </w:r>
    </w:p>
    <w:p>
      <w:pPr>
        <w:ind w:firstLine="660"/>
        <w:rPr>
          <w:rFonts w:hint="eastAsia"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2、田间鲜烟叶农残快速检测补贴资金滇源0.36万亩0.56万元，阿子营1.81万亩2.83万元。</w:t>
      </w:r>
    </w:p>
    <w:p>
      <w:pPr>
        <w:ind w:firstLine="660"/>
        <w:rPr>
          <w:rFonts w:hint="eastAsia"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3、农药包装等废弃物回收补贴资金滇源0.36万亩0.7万元，阿子营1.81万亩3.53万元。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jc w:val="both"/>
        <w:textAlignment w:val="auto"/>
        <w:outlineLvl w:val="0"/>
        <w:rPr>
          <w:rFonts w:hint="eastAsia" w:ascii="仿宋_GB2312" w:hAnsi="仿宋_GB2312" w:cs="仿宋_GB2312"/>
          <w:b w:val="0"/>
          <w:bCs w:val="0"/>
          <w:sz w:val="32"/>
          <w:szCs w:val="32"/>
          <w:highlight w:val="none"/>
          <w:lang w:eastAsia="zh-CN"/>
        </w:rPr>
      </w:pPr>
      <w:r>
        <w:rPr>
          <w:rFonts w:hint="eastAsia" w:ascii="宋体" w:hAnsi="宋体"/>
          <w:sz w:val="32"/>
          <w:szCs w:val="32"/>
        </w:rPr>
        <w:t>4、STP试点项目补贴资金滇源0.36万亩0.88万元，阿子营1.81万亩4.43万元。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02" w:firstLineChars="200"/>
        <w:textAlignment w:val="auto"/>
        <w:outlineLvl w:val="0"/>
        <w:rPr>
          <w:rFonts w:hint="eastAsia" w:ascii="仿宋_GB2312" w:hAnsi="仿宋_GB2312" w:eastAsia="仿宋_GB2312" w:cs="仿宋_GB2312"/>
          <w:b w:val="0"/>
          <w:bCs w:val="0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Cs w:val="32"/>
          <w:lang w:eastAsia="zh-CN"/>
        </w:rPr>
        <w:t>（三）</w:t>
      </w:r>
      <w:r>
        <w:rPr>
          <w:rFonts w:hint="eastAsia" w:ascii="楷体_GB2312" w:hAnsi="楷体_GB2312" w:eastAsia="楷体_GB2312" w:cs="楷体_GB2312"/>
          <w:b/>
          <w:bCs/>
          <w:szCs w:val="32"/>
        </w:rPr>
        <w:t>总体绩效目标完成情况分析。</w:t>
      </w:r>
      <w:r>
        <w:rPr>
          <w:rFonts w:hint="eastAsia" w:ascii="仿宋_GB2312" w:hAnsi="仿宋_GB2312" w:eastAsia="仿宋_GB2312" w:cs="仿宋_GB2312"/>
          <w:b w:val="0"/>
          <w:bCs w:val="0"/>
          <w:szCs w:val="32"/>
          <w:lang w:eastAsia="zh-CN"/>
        </w:rPr>
        <w:t>（对照总体目标分析全年实际完成情况）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outlineLvl w:val="0"/>
        <w:rPr>
          <w:rFonts w:hint="eastAsia" w:ascii="仿宋_GB2312" w:hAnsi="仿宋_GB2312" w:eastAsia="仿宋_GB2312" w:cs="仿宋_GB2312"/>
          <w:b w:val="0"/>
          <w:bCs w:val="0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2022年</w:t>
      </w:r>
      <w:r>
        <w:rPr>
          <w:rFonts w:hint="eastAsia" w:ascii="仿宋" w:hAnsi="仿宋" w:eastAsia="仿宋" w:cs="仿宋"/>
          <w:sz w:val="32"/>
          <w:szCs w:val="32"/>
        </w:rPr>
        <w:t>下达盘龙区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绿色生态烟叶发展补助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资金</w:t>
      </w:r>
      <w:r>
        <w:rPr>
          <w:rFonts w:hint="eastAsia" w:ascii="仿宋_GB2312"/>
          <w:szCs w:val="32"/>
          <w:lang w:val="en-US" w:eastAsia="zh-CN"/>
        </w:rPr>
        <w:t>41.44万元</w:t>
      </w:r>
      <w:r>
        <w:rPr>
          <w:rFonts w:hint="eastAsia" w:ascii="仿宋" w:hAnsi="仿宋" w:eastAsia="仿宋" w:cs="仿宋"/>
          <w:sz w:val="32"/>
          <w:szCs w:val="32"/>
        </w:rPr>
        <w:t>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主要</w:t>
      </w:r>
      <w:r>
        <w:rPr>
          <w:rFonts w:hint="eastAsia" w:ascii="仿宋" w:hAnsi="仿宋" w:eastAsia="仿宋" w:cs="仿宋"/>
          <w:sz w:val="32"/>
          <w:szCs w:val="32"/>
        </w:rPr>
        <w:t>完成生物质燃料生产1500吨，田间鲜烟叶农残快速检测2.17万亩，农药包装等废弃物回收2.17万亩，STP试点项目2.17万亩。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left="0" w:leftChars="0" w:firstLine="602" w:firstLineChars="200"/>
        <w:textAlignment w:val="auto"/>
        <w:outlineLvl w:val="0"/>
        <w:rPr>
          <w:rFonts w:hint="eastAsia" w:ascii="仿宋_GB231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Cs w:val="32"/>
        </w:rPr>
        <w:t>绩效指标完成情况分析。</w:t>
      </w:r>
      <w:r>
        <w:rPr>
          <w:rFonts w:hint="eastAsia" w:ascii="仿宋_GB2312"/>
          <w:szCs w:val="32"/>
        </w:rPr>
        <w:t>（</w:t>
      </w:r>
      <w:r>
        <w:rPr>
          <w:rFonts w:hint="eastAsia" w:ascii="仿宋_GB2312"/>
          <w:szCs w:val="32"/>
          <w:lang w:eastAsia="zh-CN"/>
        </w:rPr>
        <w:t>根据各三级绩效指标值，逐项分析全年实际完成情况</w:t>
      </w:r>
      <w:r>
        <w:rPr>
          <w:rFonts w:hint="eastAsia" w:ascii="仿宋_GB2312"/>
          <w:szCs w:val="32"/>
        </w:rPr>
        <w:t>）</w:t>
      </w:r>
    </w:p>
    <w:p>
      <w:pPr>
        <w:ind w:firstLine="660"/>
        <w:rPr>
          <w:rFonts w:hint="eastAsia"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1、生物质燃料生产补贴资金28.51万元（主要为阿子营的彩云合作社）</w:t>
      </w:r>
      <w:r>
        <w:rPr>
          <w:rFonts w:hint="eastAsia" w:ascii="宋体" w:hAnsi="宋体"/>
          <w:sz w:val="32"/>
          <w:szCs w:val="32"/>
          <w:lang w:eastAsia="zh-CN"/>
        </w:rPr>
        <w:t>，完成</w:t>
      </w:r>
      <w:r>
        <w:rPr>
          <w:rFonts w:hint="eastAsia" w:ascii="仿宋" w:hAnsi="仿宋" w:eastAsia="仿宋" w:cs="仿宋"/>
          <w:sz w:val="32"/>
          <w:szCs w:val="32"/>
        </w:rPr>
        <w:t>生物质燃料生产1500吨</w:t>
      </w:r>
      <w:r>
        <w:rPr>
          <w:rFonts w:hint="eastAsia" w:ascii="宋体" w:hAnsi="宋体"/>
          <w:sz w:val="32"/>
          <w:szCs w:val="32"/>
        </w:rPr>
        <w:t>。</w:t>
      </w:r>
    </w:p>
    <w:p>
      <w:pPr>
        <w:ind w:firstLine="660"/>
        <w:rPr>
          <w:rFonts w:hint="eastAsia" w:ascii="宋体" w:hAnsi="宋体" w:eastAsia="仿宋"/>
          <w:sz w:val="32"/>
          <w:szCs w:val="32"/>
          <w:lang w:eastAsia="zh-CN"/>
        </w:rPr>
      </w:pPr>
      <w:r>
        <w:rPr>
          <w:rFonts w:hint="eastAsia" w:ascii="宋体" w:hAnsi="宋体"/>
          <w:sz w:val="32"/>
          <w:szCs w:val="32"/>
        </w:rPr>
        <w:t>2、田间鲜烟叶农残快速检测补贴资金滇源0.36万亩0.56万元，阿子营1.81万亩2.83万元</w:t>
      </w:r>
      <w:r>
        <w:rPr>
          <w:rFonts w:hint="eastAsia" w:ascii="宋体" w:hAnsi="宋体"/>
          <w:sz w:val="32"/>
          <w:szCs w:val="32"/>
          <w:lang w:eastAsia="zh-CN"/>
        </w:rPr>
        <w:t>，完成</w:t>
      </w:r>
      <w:r>
        <w:rPr>
          <w:rFonts w:hint="eastAsia" w:ascii="仿宋" w:hAnsi="仿宋" w:eastAsia="仿宋" w:cs="仿宋"/>
          <w:sz w:val="32"/>
          <w:szCs w:val="32"/>
        </w:rPr>
        <w:t>田间鲜烟叶农残快速检测2.17万亩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ind w:firstLine="660"/>
        <w:rPr>
          <w:rFonts w:hint="eastAsia" w:ascii="宋体" w:hAnsi="宋体" w:eastAsia="仿宋"/>
          <w:sz w:val="32"/>
          <w:szCs w:val="32"/>
          <w:lang w:eastAsia="zh-CN"/>
        </w:rPr>
      </w:pPr>
      <w:r>
        <w:rPr>
          <w:rFonts w:hint="eastAsia" w:ascii="宋体" w:hAnsi="宋体"/>
          <w:sz w:val="32"/>
          <w:szCs w:val="32"/>
        </w:rPr>
        <w:t>3、农药包装等废弃物回收补贴资金滇源0.36万亩0.7万元，阿子营1.81万亩3.53万元</w:t>
      </w:r>
      <w:r>
        <w:rPr>
          <w:rFonts w:hint="eastAsia" w:ascii="宋体" w:hAnsi="宋体"/>
          <w:sz w:val="32"/>
          <w:szCs w:val="32"/>
          <w:lang w:eastAsia="zh-CN"/>
        </w:rPr>
        <w:t>，完成</w:t>
      </w:r>
      <w:r>
        <w:rPr>
          <w:rFonts w:hint="eastAsia" w:ascii="仿宋" w:hAnsi="仿宋" w:eastAsia="仿宋" w:cs="仿宋"/>
          <w:sz w:val="32"/>
          <w:szCs w:val="32"/>
        </w:rPr>
        <w:t>农药包装等废弃物回收2.17万亩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jc w:val="both"/>
        <w:textAlignment w:val="auto"/>
        <w:outlineLvl w:val="0"/>
        <w:rPr>
          <w:rFonts w:hint="eastAsia" w:ascii="仿宋_GB2312"/>
          <w:szCs w:val="32"/>
        </w:rPr>
      </w:pPr>
      <w:r>
        <w:rPr>
          <w:rFonts w:hint="eastAsia" w:ascii="宋体" w:hAnsi="宋体"/>
          <w:sz w:val="32"/>
          <w:szCs w:val="32"/>
        </w:rPr>
        <w:t>4、STP试点项目补贴资金滇源0.36万亩0.88万元，阿子营1.81万亩4.43万元</w:t>
      </w:r>
      <w:r>
        <w:rPr>
          <w:rFonts w:hint="eastAsia" w:ascii="宋体" w:hAnsi="宋体"/>
          <w:sz w:val="32"/>
          <w:szCs w:val="32"/>
          <w:lang w:eastAsia="zh-CN"/>
        </w:rPr>
        <w:t>，完成</w:t>
      </w:r>
      <w:r>
        <w:rPr>
          <w:rFonts w:hint="eastAsia" w:ascii="仿宋" w:hAnsi="仿宋" w:eastAsia="仿宋" w:cs="仿宋"/>
          <w:sz w:val="32"/>
          <w:szCs w:val="32"/>
        </w:rPr>
        <w:t>STP试点项目2.17万亩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00" w:firstLineChars="200"/>
        <w:textAlignment w:val="auto"/>
        <w:rPr>
          <w:rFonts w:ascii="仿宋_GB2312"/>
          <w:szCs w:val="32"/>
        </w:rPr>
      </w:pPr>
      <w:r>
        <w:rPr>
          <w:rFonts w:hint="eastAsia" w:ascii="黑体" w:hAnsi="黑体" w:eastAsia="黑体" w:cs="黑体"/>
          <w:bCs/>
          <w:szCs w:val="32"/>
        </w:rPr>
        <w:t>三、偏离绩效目标的原因和下一步改进措施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00" w:firstLineChars="200"/>
        <w:textAlignment w:val="auto"/>
        <w:rPr>
          <w:rFonts w:hint="eastAsia" w:ascii="仿宋" w:hAnsi="仿宋" w:eastAsia="仿宋" w:cs="仿宋"/>
          <w:b w:val="0"/>
          <w:bCs w:val="0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Cs w:val="32"/>
          <w:lang w:eastAsia="zh-CN"/>
        </w:rPr>
        <w:t>无</w:t>
      </w:r>
      <w:r>
        <w:rPr>
          <w:rFonts w:hint="eastAsia" w:ascii="仿宋" w:hAnsi="仿宋" w:eastAsia="仿宋" w:cs="仿宋"/>
          <w:b w:val="0"/>
          <w:bCs w:val="0"/>
          <w:szCs w:val="32"/>
        </w:rPr>
        <w:t>偏离绩效目标的原因</w:t>
      </w:r>
      <w:r>
        <w:rPr>
          <w:rFonts w:hint="eastAsia" w:ascii="仿宋" w:hAnsi="仿宋" w:eastAsia="仿宋" w:cs="仿宋"/>
          <w:b w:val="0"/>
          <w:bCs w:val="0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00" w:firstLineChars="200"/>
        <w:textAlignment w:val="auto"/>
        <w:rPr>
          <w:rFonts w:hint="eastAsia" w:ascii="黑体" w:hAnsi="黑体" w:eastAsia="黑体" w:cs="黑体"/>
          <w:bCs/>
          <w:szCs w:val="32"/>
        </w:rPr>
      </w:pPr>
      <w:r>
        <w:rPr>
          <w:rFonts w:hint="eastAsia" w:ascii="黑体" w:hAnsi="黑体" w:eastAsia="黑体" w:cs="黑体"/>
          <w:bCs/>
          <w:szCs w:val="32"/>
        </w:rPr>
        <w:t>绩效自评结果拟应用和公开情况</w:t>
      </w:r>
    </w:p>
    <w:p>
      <w:pPr>
        <w:ind w:firstLine="640" w:firstLineChars="200"/>
        <w:outlineLvl w:val="0"/>
        <w:rPr>
          <w:rFonts w:ascii="仿宋_GB2312" w:hAnsi="仿宋_GB2312" w:eastAsia="仿宋_GB2312" w:cs="Times New Roman"/>
          <w:snapToGrid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 w:val="0"/>
          <w:sz w:val="32"/>
          <w:szCs w:val="32"/>
        </w:rPr>
        <w:t>圆满完成上级下达我区的各项指标任务，实现了保总量、保质量、保烟农稳定增收“三确保”，烟农、政府、商业、企业“四满意”的目标。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00" w:firstLineChars="200"/>
        <w:textAlignment w:val="auto"/>
        <w:rPr>
          <w:rFonts w:ascii="黑体" w:hAnsi="黑体" w:eastAsia="黑体" w:cs="黑体"/>
          <w:bCs/>
          <w:szCs w:val="32"/>
        </w:rPr>
      </w:pPr>
      <w:r>
        <w:rPr>
          <w:rFonts w:hint="eastAsia" w:ascii="黑体" w:hAnsi="黑体" w:eastAsia="黑体" w:cs="黑体"/>
          <w:bCs/>
          <w:szCs w:val="32"/>
        </w:rPr>
        <w:t>五、其他需要说明的问题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00" w:firstLineChars="200"/>
        <w:textAlignment w:val="auto"/>
        <w:rPr>
          <w:rFonts w:hint="eastAsia" w:ascii="华文宋体" w:hAnsi="华文宋体" w:eastAsia="华文宋体" w:cs="华文宋体"/>
          <w:lang w:eastAsia="zh-CN"/>
        </w:rPr>
      </w:pPr>
      <w:r>
        <w:rPr>
          <w:rFonts w:hint="eastAsia" w:ascii="华文宋体" w:hAnsi="华文宋体" w:eastAsia="华文宋体" w:cs="华文宋体"/>
          <w:lang w:eastAsia="zh-CN"/>
        </w:rPr>
        <w:t>无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00" w:firstLineChars="200"/>
        <w:textAlignment w:val="auto"/>
        <w:rPr>
          <w:rFonts w:hint="eastAsia" w:ascii="黑体" w:hAnsi="黑体" w:eastAsia="黑体" w:cs="黑体"/>
          <w:lang w:val="en"/>
        </w:rPr>
      </w:pPr>
      <w:r>
        <w:rPr>
          <w:rFonts w:hint="eastAsia" w:ascii="黑体" w:hAnsi="黑体" w:eastAsia="黑体" w:cs="黑体"/>
          <w:lang w:val="en"/>
        </w:rPr>
        <w:t>六、附件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00" w:firstLineChars="200"/>
        <w:textAlignment w:val="auto"/>
        <w:rPr>
          <w:rFonts w:hint="eastAsia" w:ascii="黑体" w:hAnsi="黑体" w:eastAsia="仿宋_GB2312" w:cs="黑体"/>
          <w:lang w:val="en" w:eastAsia="zh-CN"/>
        </w:rPr>
      </w:pPr>
      <w:r>
        <w:rPr>
          <w:rFonts w:hint="eastAsia"/>
        </w:rPr>
        <w:t>转移支付区域（项目）绩效目标自评表</w:t>
      </w:r>
      <w:r>
        <w:rPr>
          <w:rFonts w:hint="eastAsia"/>
          <w:lang w:eastAsia="zh-CN"/>
        </w:rPr>
        <w:t>（见附件</w:t>
      </w:r>
      <w:r>
        <w:rPr>
          <w:rFonts w:hint="eastAsia"/>
          <w:lang w:val="en-US" w:eastAsia="zh-CN"/>
        </w:rPr>
        <w:t>2</w:t>
      </w:r>
      <w:r>
        <w:rPr>
          <w:rFonts w:hint="eastAsia"/>
          <w:lang w:eastAsia="zh-CN"/>
        </w:rPr>
        <w:t>）</w:t>
      </w:r>
    </w:p>
    <w:sectPr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ECB5356"/>
    <w:multiLevelType w:val="singleLevel"/>
    <w:tmpl w:val="EECB5356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66650452"/>
    <w:multiLevelType w:val="singleLevel"/>
    <w:tmpl w:val="66650452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dit="readOnly" w:enforcement="0"/>
  <w:defaultTabStop w:val="420"/>
  <w:drawingGridHorizontalSpacing w:val="150"/>
  <w:drawingGridVerticalSpacing w:val="581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5NWFmOWQ3MmNmNTdlOWZmNTQ5NDczNjY2MDNlNDkifQ=="/>
  </w:docVars>
  <w:rsids>
    <w:rsidRoot w:val="00F57F82"/>
    <w:rsid w:val="000101E1"/>
    <w:rsid w:val="000732DA"/>
    <w:rsid w:val="00075CDC"/>
    <w:rsid w:val="000B1E8F"/>
    <w:rsid w:val="000B6964"/>
    <w:rsid w:val="00103D16"/>
    <w:rsid w:val="00111638"/>
    <w:rsid w:val="00111928"/>
    <w:rsid w:val="0012041C"/>
    <w:rsid w:val="00164D84"/>
    <w:rsid w:val="00173016"/>
    <w:rsid w:val="0017509C"/>
    <w:rsid w:val="001808CA"/>
    <w:rsid w:val="001A4E46"/>
    <w:rsid w:val="001E03FE"/>
    <w:rsid w:val="002123E8"/>
    <w:rsid w:val="00250053"/>
    <w:rsid w:val="0029569C"/>
    <w:rsid w:val="002A5FA7"/>
    <w:rsid w:val="002B3EEF"/>
    <w:rsid w:val="002B54E4"/>
    <w:rsid w:val="002E5562"/>
    <w:rsid w:val="002F6705"/>
    <w:rsid w:val="00301FC0"/>
    <w:rsid w:val="00336A16"/>
    <w:rsid w:val="003663A3"/>
    <w:rsid w:val="00387DD5"/>
    <w:rsid w:val="003B0980"/>
    <w:rsid w:val="003C6374"/>
    <w:rsid w:val="003D2CB9"/>
    <w:rsid w:val="00413F12"/>
    <w:rsid w:val="00493012"/>
    <w:rsid w:val="004D2137"/>
    <w:rsid w:val="005D1514"/>
    <w:rsid w:val="005D7CC3"/>
    <w:rsid w:val="006218A1"/>
    <w:rsid w:val="00682A10"/>
    <w:rsid w:val="006A30E4"/>
    <w:rsid w:val="006A74BF"/>
    <w:rsid w:val="006C1CEE"/>
    <w:rsid w:val="006D5A86"/>
    <w:rsid w:val="00707C2E"/>
    <w:rsid w:val="00722A7D"/>
    <w:rsid w:val="00724A6B"/>
    <w:rsid w:val="0073331B"/>
    <w:rsid w:val="00733C2D"/>
    <w:rsid w:val="00756C7F"/>
    <w:rsid w:val="007D7E6E"/>
    <w:rsid w:val="00850797"/>
    <w:rsid w:val="00853FC4"/>
    <w:rsid w:val="008720F1"/>
    <w:rsid w:val="00882EFA"/>
    <w:rsid w:val="008B2F56"/>
    <w:rsid w:val="008F0996"/>
    <w:rsid w:val="00903791"/>
    <w:rsid w:val="009600BD"/>
    <w:rsid w:val="00961C83"/>
    <w:rsid w:val="009922BC"/>
    <w:rsid w:val="009E0D8C"/>
    <w:rsid w:val="00A02AF3"/>
    <w:rsid w:val="00A25077"/>
    <w:rsid w:val="00A610CC"/>
    <w:rsid w:val="00A8737E"/>
    <w:rsid w:val="00AA19AF"/>
    <w:rsid w:val="00BC6882"/>
    <w:rsid w:val="00BD3FE0"/>
    <w:rsid w:val="00BE58CF"/>
    <w:rsid w:val="00CA5578"/>
    <w:rsid w:val="00CA7DAA"/>
    <w:rsid w:val="00D04826"/>
    <w:rsid w:val="00D63908"/>
    <w:rsid w:val="00D8718A"/>
    <w:rsid w:val="00D93453"/>
    <w:rsid w:val="00DC524D"/>
    <w:rsid w:val="00E071D6"/>
    <w:rsid w:val="00ED3E0F"/>
    <w:rsid w:val="00F015E4"/>
    <w:rsid w:val="00F57F82"/>
    <w:rsid w:val="00F75224"/>
    <w:rsid w:val="00F91EAE"/>
    <w:rsid w:val="00FA086C"/>
    <w:rsid w:val="00FA2093"/>
    <w:rsid w:val="00FA357A"/>
    <w:rsid w:val="037D0BC8"/>
    <w:rsid w:val="03C0467D"/>
    <w:rsid w:val="08313650"/>
    <w:rsid w:val="0845082D"/>
    <w:rsid w:val="0847444B"/>
    <w:rsid w:val="09E965F2"/>
    <w:rsid w:val="0CC65B7F"/>
    <w:rsid w:val="0DFE05BC"/>
    <w:rsid w:val="0F514DBB"/>
    <w:rsid w:val="0FF7AA4F"/>
    <w:rsid w:val="139840D3"/>
    <w:rsid w:val="143E091F"/>
    <w:rsid w:val="14865FC8"/>
    <w:rsid w:val="14AE18E2"/>
    <w:rsid w:val="14D04E4A"/>
    <w:rsid w:val="150C2DB0"/>
    <w:rsid w:val="1A7D29EA"/>
    <w:rsid w:val="1D994BCF"/>
    <w:rsid w:val="1E761F05"/>
    <w:rsid w:val="1F7BE1E6"/>
    <w:rsid w:val="1FC7205C"/>
    <w:rsid w:val="228B3D05"/>
    <w:rsid w:val="23165F60"/>
    <w:rsid w:val="258D6E84"/>
    <w:rsid w:val="284E74F8"/>
    <w:rsid w:val="2ADB48E8"/>
    <w:rsid w:val="3215659E"/>
    <w:rsid w:val="328F652D"/>
    <w:rsid w:val="36687282"/>
    <w:rsid w:val="367793B2"/>
    <w:rsid w:val="3794FC37"/>
    <w:rsid w:val="38EF7AD8"/>
    <w:rsid w:val="3D167259"/>
    <w:rsid w:val="3E1672E6"/>
    <w:rsid w:val="3E1F711B"/>
    <w:rsid w:val="3EB9C2BB"/>
    <w:rsid w:val="3FEF6A07"/>
    <w:rsid w:val="415F08D8"/>
    <w:rsid w:val="44E2230F"/>
    <w:rsid w:val="48B51347"/>
    <w:rsid w:val="491B45FA"/>
    <w:rsid w:val="49E90CAD"/>
    <w:rsid w:val="4A4D05E3"/>
    <w:rsid w:val="4A55216A"/>
    <w:rsid w:val="4CC90847"/>
    <w:rsid w:val="4FE0696A"/>
    <w:rsid w:val="546F8569"/>
    <w:rsid w:val="55673508"/>
    <w:rsid w:val="58B115BC"/>
    <w:rsid w:val="59595A6F"/>
    <w:rsid w:val="597350B8"/>
    <w:rsid w:val="599330CA"/>
    <w:rsid w:val="5A7FCB1F"/>
    <w:rsid w:val="5D2B78D3"/>
    <w:rsid w:val="5FEAF7C9"/>
    <w:rsid w:val="5FFD3AE0"/>
    <w:rsid w:val="60D5009F"/>
    <w:rsid w:val="625F31FE"/>
    <w:rsid w:val="64AC2E11"/>
    <w:rsid w:val="65FD0201"/>
    <w:rsid w:val="660721C9"/>
    <w:rsid w:val="661E6C75"/>
    <w:rsid w:val="664D7E95"/>
    <w:rsid w:val="67F75FF5"/>
    <w:rsid w:val="681D4831"/>
    <w:rsid w:val="692E4B19"/>
    <w:rsid w:val="69513EF7"/>
    <w:rsid w:val="6BF3256F"/>
    <w:rsid w:val="6CE7018A"/>
    <w:rsid w:val="6E3E3F2D"/>
    <w:rsid w:val="71344263"/>
    <w:rsid w:val="715B2F02"/>
    <w:rsid w:val="72A44DA0"/>
    <w:rsid w:val="76A548F2"/>
    <w:rsid w:val="7765772E"/>
    <w:rsid w:val="776F5E62"/>
    <w:rsid w:val="77867685"/>
    <w:rsid w:val="77EE7FE7"/>
    <w:rsid w:val="781F36B6"/>
    <w:rsid w:val="790627AD"/>
    <w:rsid w:val="79DFF8C4"/>
    <w:rsid w:val="7ADC59FA"/>
    <w:rsid w:val="7AFF2FC3"/>
    <w:rsid w:val="7BF6B4C5"/>
    <w:rsid w:val="7DDD794F"/>
    <w:rsid w:val="7DFA6624"/>
    <w:rsid w:val="7DFD8AD7"/>
    <w:rsid w:val="7DFEFB95"/>
    <w:rsid w:val="7ECD6B9A"/>
    <w:rsid w:val="7FBA576D"/>
    <w:rsid w:val="7FDE47D5"/>
    <w:rsid w:val="7FFD003D"/>
    <w:rsid w:val="94BFC172"/>
    <w:rsid w:val="9BFA614C"/>
    <w:rsid w:val="BAFE1E17"/>
    <w:rsid w:val="BBDF5B5A"/>
    <w:rsid w:val="BBE428C2"/>
    <w:rsid w:val="BFBF52D7"/>
    <w:rsid w:val="DF6E82F1"/>
    <w:rsid w:val="DFCEE0CE"/>
    <w:rsid w:val="DFFF7077"/>
    <w:rsid w:val="EEBF76D9"/>
    <w:rsid w:val="F36EF6AC"/>
    <w:rsid w:val="F6FDCC0E"/>
    <w:rsid w:val="F767D450"/>
    <w:rsid w:val="F76FB1DB"/>
    <w:rsid w:val="F7FBEBBF"/>
    <w:rsid w:val="F9F3FBF0"/>
    <w:rsid w:val="FB9F8FA2"/>
    <w:rsid w:val="FDB5389F"/>
    <w:rsid w:val="FFAFB80B"/>
    <w:rsid w:val="FFF9F86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脚 Char"/>
    <w:basedOn w:val="6"/>
    <w:link w:val="3"/>
    <w:qFormat/>
    <w:uiPriority w:val="99"/>
    <w:rPr>
      <w:rFonts w:eastAsia="仿宋_GB2312"/>
      <w:kern w:val="2"/>
      <w:sz w:val="18"/>
      <w:szCs w:val="18"/>
    </w:rPr>
  </w:style>
  <w:style w:type="character" w:customStyle="1" w:styleId="8">
    <w:name w:val="页眉 Char"/>
    <w:basedOn w:val="6"/>
    <w:link w:val="4"/>
    <w:qFormat/>
    <w:uiPriority w:val="0"/>
    <w:rPr>
      <w:rFonts w:eastAsia="仿宋_GB2312"/>
      <w:kern w:val="2"/>
      <w:sz w:val="18"/>
      <w:szCs w:val="18"/>
    </w:rPr>
  </w:style>
  <w:style w:type="character" w:customStyle="1" w:styleId="9">
    <w:name w:val="批注框文本 Char"/>
    <w:basedOn w:val="6"/>
    <w:link w:val="2"/>
    <w:qFormat/>
    <w:uiPriority w:val="0"/>
    <w:rPr>
      <w:rFonts w:eastAsia="仿宋_GB2312"/>
      <w:kern w:val="2"/>
      <w:sz w:val="18"/>
      <w:szCs w:val="18"/>
    </w:rPr>
  </w:style>
  <w:style w:type="paragraph" w:customStyle="1" w:styleId="10">
    <w:name w:val="p0"/>
    <w:basedOn w:val="1"/>
    <w:qFormat/>
    <w:uiPriority w:val="0"/>
    <w:pPr>
      <w:widowControl/>
      <w:spacing w:line="240" w:lineRule="auto"/>
    </w:pPr>
    <w:rPr>
      <w:rFonts w:ascii="Times New Roman" w:hAnsi="Times New Roman" w:eastAsia="宋体" w:cs="Times New Roman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1891</Words>
  <Characters>2065</Characters>
  <Lines>3</Lines>
  <Paragraphs>1</Paragraphs>
  <TotalTime>0</TotalTime>
  <ScaleCrop>false</ScaleCrop>
  <LinksUpToDate>false</LinksUpToDate>
  <CharactersWithSpaces>2072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2019-02-17T06:26:00Z</dcterms:created>
  <dc:creator>lhn</dc:creator>
  <cp:lastModifiedBy>Administrator</cp:lastModifiedBy>
  <cp:lastPrinted>2023-02-24T17:51:00Z</cp:lastPrinted>
  <dcterms:modified xsi:type="dcterms:W3CDTF">2023-04-25T08:15:33Z</dcterms:modified>
  <dc:title>财政支出绩效评价报告</dc:title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  <property fmtid="{D5CDD505-2E9C-101B-9397-08002B2CF9AE}" pid="3" name="ICV">
    <vt:lpwstr>D2EC70B93FC04EF9B81DCFC78A66D829</vt:lpwstr>
  </property>
</Properties>
</file>