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ascii="仿宋_GB2312" w:hAnsi="华文中宋"/>
          <w:bCs/>
          <w:sz w:val="36"/>
          <w:szCs w:val="44"/>
        </w:rPr>
      </w:pP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宋体" w:hAnsi="宋体" w:eastAsia="宋体" w:cs="宋体"/>
          <w:b/>
          <w:sz w:val="36"/>
          <w:szCs w:val="44"/>
        </w:rPr>
      </w:pPr>
      <w:r>
        <w:rPr>
          <w:rFonts w:hint="eastAsia" w:ascii="Arial" w:hAnsi="Arial" w:eastAsia="宋体" w:cs="Arial"/>
          <w:b/>
          <w:sz w:val="36"/>
          <w:szCs w:val="44"/>
          <w:lang w:eastAsia="zh-CN"/>
        </w:rPr>
        <w:t>云南</w:t>
      </w:r>
      <w:r>
        <w:rPr>
          <w:rFonts w:hint="eastAsia" w:ascii="Arial" w:hAnsi="Arial" w:eastAsia="宋体" w:cs="Arial"/>
          <w:b/>
          <w:sz w:val="36"/>
          <w:szCs w:val="44"/>
        </w:rPr>
        <w:t>省</w:t>
      </w:r>
      <w:r>
        <w:rPr>
          <w:rFonts w:hint="eastAsia" w:ascii="Arial" w:hAnsi="Arial" w:eastAsia="宋体" w:cs="Arial"/>
          <w:b/>
          <w:sz w:val="36"/>
          <w:szCs w:val="44"/>
          <w:lang w:eastAsia="zh-CN"/>
        </w:rPr>
        <w:t>昆明市盘龙区农业资源及生态保护补助资金</w:t>
      </w:r>
      <w:r>
        <w:rPr>
          <w:rFonts w:hint="eastAsia" w:ascii="宋体" w:hAnsi="宋体" w:eastAsia="宋体" w:cs="宋体"/>
          <w:b/>
          <w:sz w:val="36"/>
          <w:szCs w:val="44"/>
        </w:rPr>
        <w:t>转移支付</w:t>
      </w:r>
      <w:r>
        <w:rPr>
          <w:rFonts w:hint="eastAsia" w:ascii="Arial" w:hAnsi="Arial" w:eastAsia="宋体" w:cs="Arial"/>
          <w:b/>
          <w:sz w:val="36"/>
          <w:szCs w:val="44"/>
        </w:rPr>
        <w:t>20</w:t>
      </w:r>
      <w:r>
        <w:rPr>
          <w:rFonts w:hint="eastAsia" w:ascii="Arial" w:hAnsi="Arial" w:eastAsia="宋体" w:cs="Arial"/>
          <w:b/>
          <w:sz w:val="36"/>
          <w:szCs w:val="44"/>
          <w:lang w:val="en-US" w:eastAsia="zh-CN"/>
        </w:rPr>
        <w:t>22</w:t>
      </w:r>
      <w:r>
        <w:rPr>
          <w:rFonts w:hint="eastAsia" w:ascii="宋体" w:hAnsi="宋体" w:eastAsia="宋体" w:cs="宋体"/>
          <w:b/>
          <w:sz w:val="36"/>
          <w:szCs w:val="44"/>
        </w:rPr>
        <w:t>年度绩效自评报告</w:t>
      </w: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宋体" w:hAnsi="宋体" w:eastAsia="宋体" w:cs="宋体"/>
          <w:b/>
          <w:sz w:val="36"/>
          <w:szCs w:val="44"/>
        </w:rPr>
      </w:pP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一、绩效目标分解下达情况</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outlineLvl w:val="0"/>
        <w:rPr>
          <w:rFonts w:hint="eastAsia" w:ascii="仿宋_GB2312"/>
          <w:szCs w:val="32"/>
          <w:lang w:val="en-US" w:eastAsia="zh-CN"/>
        </w:rPr>
      </w:pPr>
      <w:r>
        <w:rPr>
          <w:rFonts w:hint="eastAsia" w:ascii="仿宋_GB2312"/>
          <w:szCs w:val="32"/>
          <w:lang w:eastAsia="zh-CN"/>
        </w:rPr>
        <w:t>根据昆明市财政局、昆明市农业农村局《关于下达</w:t>
      </w:r>
      <w:r>
        <w:rPr>
          <w:rFonts w:hint="eastAsia" w:ascii="仿宋_GB2312"/>
          <w:szCs w:val="32"/>
          <w:lang w:val="en-US" w:eastAsia="zh-CN"/>
        </w:rPr>
        <w:t>2022年第二批中央农业资源及生态保护（市本级部分）补助资金的通知</w:t>
      </w:r>
      <w:r>
        <w:rPr>
          <w:rFonts w:hint="eastAsia" w:ascii="仿宋_GB2312"/>
          <w:szCs w:val="32"/>
          <w:lang w:eastAsia="zh-CN"/>
        </w:rPr>
        <w:t>》（昆财农</w:t>
      </w:r>
      <w:r>
        <w:rPr>
          <w:rFonts w:hint="eastAsia" w:ascii="仿宋_GB2312"/>
          <w:szCs w:val="32"/>
          <w:lang w:val="en-US" w:eastAsia="zh-CN"/>
        </w:rPr>
        <w:t>[2022]183号</w:t>
      </w:r>
      <w:r>
        <w:rPr>
          <w:rFonts w:hint="eastAsia" w:ascii="仿宋_GB2312"/>
          <w:szCs w:val="32"/>
          <w:lang w:eastAsia="zh-CN"/>
        </w:rPr>
        <w:t>），安排盘龙区中央</w:t>
      </w:r>
      <w:r>
        <w:rPr>
          <w:rFonts w:hint="eastAsia" w:ascii="仿宋_GB2312"/>
          <w:szCs w:val="32"/>
          <w:lang w:val="en-US" w:eastAsia="zh-CN"/>
        </w:rPr>
        <w:t>农业资源及生态保护补助</w:t>
      </w:r>
      <w:r>
        <w:rPr>
          <w:rFonts w:hint="eastAsia" w:ascii="仿宋_GB2312"/>
          <w:szCs w:val="32"/>
          <w:lang w:eastAsia="zh-CN"/>
        </w:rPr>
        <w:t>资金</w:t>
      </w:r>
      <w:r>
        <w:rPr>
          <w:rFonts w:hint="eastAsia" w:ascii="仿宋_GB2312"/>
          <w:szCs w:val="32"/>
          <w:lang w:val="en-US" w:eastAsia="zh-CN"/>
        </w:rPr>
        <w:t>3万元。</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highlight w:val="none"/>
        </w:rPr>
      </w:pPr>
      <w:r>
        <w:rPr>
          <w:rFonts w:hint="eastAsia" w:ascii="黑体" w:hAnsi="黑体" w:eastAsia="黑体" w:cs="黑体"/>
          <w:bCs/>
          <w:szCs w:val="32"/>
          <w:highlight w:val="none"/>
        </w:rPr>
        <w:t>二、</w:t>
      </w:r>
      <w:r>
        <w:rPr>
          <w:rFonts w:hint="eastAsia" w:ascii="黑体" w:hAnsi="黑体" w:eastAsia="黑体" w:cs="黑体"/>
          <w:bCs/>
          <w:szCs w:val="32"/>
          <w:highlight w:val="none"/>
          <w:lang w:eastAsia="zh-CN"/>
        </w:rPr>
        <w:t>绩效</w:t>
      </w:r>
      <w:r>
        <w:rPr>
          <w:rFonts w:hint="eastAsia" w:ascii="黑体" w:hAnsi="黑体" w:eastAsia="黑体" w:cs="黑体"/>
          <w:bCs/>
          <w:szCs w:val="32"/>
          <w:highlight w:val="none"/>
        </w:rPr>
        <w:t>情况分析</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outlineLvl w:val="9"/>
        <w:rPr>
          <w:rFonts w:hint="eastAsia" w:ascii="仿宋" w:hAnsi="仿宋" w:eastAsia="仿宋" w:cs="仿宋"/>
          <w:b/>
          <w:bCs/>
          <w:sz w:val="32"/>
          <w:szCs w:val="32"/>
        </w:rPr>
      </w:pPr>
      <w:r>
        <w:rPr>
          <w:rFonts w:hint="eastAsia" w:ascii="仿宋" w:hAnsi="仿宋" w:eastAsia="仿宋" w:cs="仿宋"/>
          <w:b/>
          <w:bCs/>
          <w:sz w:val="32"/>
          <w:szCs w:val="32"/>
        </w:rPr>
        <w:t>1.项目资金到位情况分析。</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盘龙区项目资金到位3万元。</w:t>
      </w:r>
    </w:p>
    <w:p>
      <w:pPr>
        <w:spacing w:beforeLines="0" w:afterLines="0"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2.项目资金执行情况分析。</w:t>
      </w:r>
    </w:p>
    <w:p>
      <w:pPr>
        <w:pStyle w:val="2"/>
        <w:widowControl w:val="0"/>
        <w:numPr>
          <w:ilvl w:val="0"/>
          <w:numId w:val="0"/>
        </w:numPr>
        <w:spacing w:after="120"/>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完成测土配方推广7万亩，完成农户施肥情况调查50户，完成化肥“减量增效”田间试验1组，完成肥料利用率试验1组，完成耕地质量评价区域数量1个，使用资金3万元。</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firstLine="643" w:firstLineChars="200"/>
        <w:textAlignment w:val="auto"/>
        <w:outlineLvl w:val="9"/>
        <w:rPr>
          <w:rFonts w:hint="eastAsia" w:ascii="仿宋" w:hAnsi="仿宋" w:eastAsia="仿宋" w:cs="仿宋"/>
          <w:b/>
          <w:bCs/>
          <w:sz w:val="32"/>
          <w:szCs w:val="32"/>
        </w:rPr>
      </w:pPr>
      <w:r>
        <w:rPr>
          <w:rFonts w:hint="eastAsia" w:ascii="仿宋" w:hAnsi="仿宋" w:eastAsia="仿宋" w:cs="仿宋"/>
          <w:b/>
          <w:bCs/>
          <w:sz w:val="32"/>
          <w:szCs w:val="32"/>
        </w:rPr>
        <w:t>3.项目资金管理情况分析。</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针对技术性较强的</w:t>
      </w:r>
      <w:r>
        <w:rPr>
          <w:rFonts w:hint="eastAsia" w:ascii="仿宋" w:hAnsi="仿宋" w:eastAsia="仿宋" w:cs="仿宋"/>
          <w:sz w:val="32"/>
          <w:szCs w:val="32"/>
          <w:lang w:val="en-US" w:eastAsia="zh-CN"/>
        </w:rPr>
        <w:t>化肥“减量增效”田间试验、肥料利用率试验、耕地质量评价</w:t>
      </w:r>
      <w:r>
        <w:rPr>
          <w:rFonts w:hint="eastAsia" w:ascii="仿宋" w:hAnsi="仿宋" w:eastAsia="仿宋" w:cs="仿宋"/>
          <w:b w:val="0"/>
          <w:bCs w:val="0"/>
          <w:sz w:val="32"/>
          <w:szCs w:val="32"/>
          <w:lang w:eastAsia="zh-CN"/>
        </w:rPr>
        <w:t>通过询价委托第三方实施。</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仿宋_GB2312" w:hAnsi="仿宋_GB2312" w:eastAsia="仿宋_GB2312" w:cs="仿宋_GB2312"/>
          <w:b w:val="0"/>
          <w:bCs w:val="0"/>
          <w:szCs w:val="32"/>
          <w:lang w:eastAsia="zh-CN"/>
        </w:rPr>
      </w:pPr>
      <w:r>
        <w:rPr>
          <w:rFonts w:hint="eastAsia" w:ascii="楷体_GB2312" w:hAnsi="楷体_GB2312" w:eastAsia="楷体_GB2312" w:cs="楷体_GB2312"/>
          <w:b/>
          <w:bCs/>
          <w:szCs w:val="32"/>
          <w:lang w:eastAsia="zh-CN"/>
        </w:rPr>
        <w:t>（三）</w:t>
      </w:r>
      <w:r>
        <w:rPr>
          <w:rFonts w:hint="eastAsia" w:ascii="楷体_GB2312" w:hAnsi="楷体_GB2312" w:eastAsia="楷体_GB2312" w:cs="楷体_GB2312"/>
          <w:b/>
          <w:bCs/>
          <w:szCs w:val="32"/>
        </w:rPr>
        <w:t>总体绩效目标完成情况分析。</w:t>
      </w:r>
      <w:r>
        <w:rPr>
          <w:rFonts w:hint="eastAsia" w:ascii="仿宋_GB2312" w:hAnsi="仿宋_GB2312" w:eastAsia="仿宋_GB2312" w:cs="仿宋_GB2312"/>
          <w:b w:val="0"/>
          <w:bCs w:val="0"/>
          <w:szCs w:val="32"/>
          <w:lang w:eastAsia="zh-CN"/>
        </w:rPr>
        <w:t>（对照总体目标分析全年实际完成情况）</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0"/>
        <w:rPr>
          <w:rFonts w:hint="eastAsia" w:ascii="华文仿宋" w:hAnsi="华文仿宋" w:eastAsia="华文仿宋" w:cs="华文仿宋"/>
          <w:b/>
          <w:bCs/>
          <w:sz w:val="32"/>
          <w:szCs w:val="32"/>
          <w:lang w:eastAsia="zh-CN"/>
        </w:rPr>
      </w:pPr>
      <w:bookmarkStart w:id="0" w:name="_GoBack"/>
      <w:r>
        <w:rPr>
          <w:rFonts w:hint="eastAsia" w:ascii="华文仿宋" w:hAnsi="华文仿宋" w:eastAsia="华文仿宋" w:cs="华文仿宋"/>
          <w:b w:val="0"/>
          <w:bCs w:val="0"/>
          <w:sz w:val="32"/>
          <w:szCs w:val="32"/>
          <w:lang w:eastAsia="zh-CN"/>
        </w:rPr>
        <w:t>通过对种植的小麦、玉米、蔬菜、土壤和作物监测制定了小麦、玉米、蔬菜种植施肥“配方卡”，完成</w:t>
      </w:r>
      <w:r>
        <w:rPr>
          <w:rFonts w:hint="eastAsia" w:ascii="华文仿宋" w:hAnsi="华文仿宋" w:eastAsia="华文仿宋" w:cs="华文仿宋"/>
          <w:sz w:val="32"/>
          <w:szCs w:val="32"/>
          <w:lang w:val="en-US" w:eastAsia="zh-CN"/>
        </w:rPr>
        <w:t>测土配方推广7万亩，完成农户施肥情况调查200户，完成化肥“减量增效”田间试验1组，完成肥料利用率试验1组，完成耕地质量评价区域数量1个。</w:t>
      </w:r>
    </w:p>
    <w:bookmarkEnd w:id="0"/>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仿宋_GB2312"/>
          <w:szCs w:val="32"/>
        </w:rPr>
      </w:pPr>
      <w:r>
        <w:rPr>
          <w:rFonts w:hint="eastAsia" w:ascii="楷体_GB2312" w:hAnsi="楷体_GB2312" w:eastAsia="楷体_GB2312" w:cs="楷体_GB2312"/>
          <w:b/>
          <w:bCs/>
          <w:szCs w:val="32"/>
          <w:lang w:eastAsia="zh-CN"/>
        </w:rPr>
        <w:t>（四）</w:t>
      </w:r>
      <w:r>
        <w:rPr>
          <w:rFonts w:hint="eastAsia" w:ascii="楷体_GB2312" w:hAnsi="楷体_GB2312" w:eastAsia="楷体_GB2312" w:cs="楷体_GB2312"/>
          <w:b/>
          <w:bCs/>
          <w:szCs w:val="32"/>
        </w:rPr>
        <w:t>绩效指标完成情况分析。</w:t>
      </w:r>
      <w:r>
        <w:rPr>
          <w:rFonts w:hint="eastAsia" w:ascii="仿宋_GB2312"/>
          <w:szCs w:val="32"/>
        </w:rPr>
        <w:t>（</w:t>
      </w:r>
      <w:r>
        <w:rPr>
          <w:rFonts w:hint="eastAsia" w:ascii="仿宋_GB2312"/>
          <w:szCs w:val="32"/>
          <w:lang w:eastAsia="zh-CN"/>
        </w:rPr>
        <w:t>根据各三级绩效指标值，逐项分析全年实际完成情况</w:t>
      </w:r>
      <w:r>
        <w:rPr>
          <w:rFonts w:hint="eastAsia" w:ascii="仿宋_GB2312"/>
          <w:szCs w:val="32"/>
        </w:rPr>
        <w:t>）</w:t>
      </w:r>
    </w:p>
    <w:p>
      <w:pPr>
        <w:spacing w:beforeLines="0" w:afterLines="0"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1.产出指标完成情况分析。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（1）数量指标。</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完成测土配方推广7万亩，完成农户施肥情况调查50户，完成化肥“减量增效”田间试验1组，完成肥料利用率试验1组，完成耕地质量评价区域数量1个。</w:t>
      </w:r>
    </w:p>
    <w:p>
      <w:pPr>
        <w:numPr>
          <w:ilvl w:val="0"/>
          <w:numId w:val="1"/>
        </w:numPr>
        <w:spacing w:beforeLines="0" w:afterLines="0"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质量指标。</w:t>
      </w:r>
    </w:p>
    <w:p>
      <w:pPr>
        <w:widowControl w:val="0"/>
        <w:numPr>
          <w:ilvl w:val="0"/>
          <w:numId w:val="0"/>
        </w:numPr>
        <w:spacing w:beforeLines="0" w:afterLines="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完成测土配方施肥技术覆盖率</w:t>
      </w:r>
      <w:r>
        <w:rPr>
          <w:rFonts w:hint="eastAsia" w:ascii="仿宋" w:hAnsi="仿宋" w:eastAsia="仿宋" w:cs="仿宋"/>
          <w:sz w:val="32"/>
          <w:szCs w:val="32"/>
          <w:lang w:val="en-US" w:eastAsia="zh-CN"/>
        </w:rPr>
        <w:t>90</w:t>
      </w:r>
      <w:r>
        <w:rPr>
          <w:rFonts w:hint="eastAsia" w:ascii="仿宋" w:hAnsi="仿宋" w:eastAsia="仿宋" w:cs="仿宋"/>
          <w:sz w:val="32"/>
          <w:szCs w:val="32"/>
        </w:rPr>
        <w:t>%。</w:t>
      </w:r>
    </w:p>
    <w:p>
      <w:pPr>
        <w:numPr>
          <w:ilvl w:val="0"/>
          <w:numId w:val="1"/>
        </w:numPr>
        <w:spacing w:beforeLines="0" w:afterLines="0"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时效指标。</w:t>
      </w:r>
    </w:p>
    <w:p>
      <w:pPr>
        <w:widowControl w:val="0"/>
        <w:numPr>
          <w:ilvl w:val="0"/>
          <w:numId w:val="0"/>
        </w:numPr>
        <w:spacing w:beforeLines="0" w:afterLines="0" w:line="560" w:lineRule="exact"/>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202</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年12月31日以前完成</w:t>
      </w:r>
      <w:r>
        <w:rPr>
          <w:rFonts w:hint="eastAsia" w:ascii="仿宋" w:hAnsi="仿宋" w:eastAsia="仿宋" w:cs="仿宋"/>
          <w:b w:val="0"/>
          <w:bCs w:val="0"/>
          <w:sz w:val="32"/>
          <w:szCs w:val="32"/>
          <w:lang w:eastAsia="zh-CN"/>
        </w:rPr>
        <w:t>。</w:t>
      </w:r>
    </w:p>
    <w:p>
      <w:pPr>
        <w:numPr>
          <w:ilvl w:val="0"/>
          <w:numId w:val="1"/>
        </w:numPr>
        <w:spacing w:beforeLines="0" w:afterLines="0"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成本指标。</w:t>
      </w:r>
    </w:p>
    <w:p>
      <w:pPr>
        <w:widowControl w:val="0"/>
        <w:numPr>
          <w:ilvl w:val="0"/>
          <w:numId w:val="0"/>
        </w:numPr>
        <w:spacing w:beforeLines="0" w:afterLines="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据实施情况统计结果预测，本项目完成后滇池流域及补水区实施测土配方施肥作物每亩平均增产30千克，2000亩总增产达60吨，平均每亩减少不合理施肥量40千克，总减不合理施肥量80吨。减少农药施用量每亩0.2千克，总减少量0.4吨。</w:t>
      </w:r>
    </w:p>
    <w:p>
      <w:pPr>
        <w:spacing w:beforeLines="0" w:afterLines="0"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2.效益指标完成情况分析。</w:t>
      </w:r>
    </w:p>
    <w:p>
      <w:pPr>
        <w:spacing w:beforeLines="0" w:afterLines="0"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（1）社会效益。</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1&gt;</w:t>
      </w:r>
      <w:r>
        <w:rPr>
          <w:rFonts w:hint="eastAsia" w:ascii="仿宋" w:hAnsi="仿宋" w:eastAsia="仿宋" w:cs="仿宋"/>
          <w:sz w:val="32"/>
          <w:szCs w:val="32"/>
        </w:rPr>
        <w:t>改变农民的传统施肥观念。通过减肥减药技术推广实施，农民传统的施肥观念从根本上发生转变，常规的不分作物盲目施肥用药、单一施肥或过量施肥、过量使用农药等的习惯正逐步得到遏制，施肥用药技术正在由“经验型”向“标准定量型”科学转变。</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2&gt;</w:t>
      </w:r>
      <w:r>
        <w:rPr>
          <w:rFonts w:hint="eastAsia" w:ascii="仿宋" w:hAnsi="仿宋" w:eastAsia="仿宋" w:cs="仿宋"/>
          <w:sz w:val="32"/>
          <w:szCs w:val="32"/>
        </w:rPr>
        <w:t>提高农技人员的业务能力。减肥减药技术推广工作的实施，培养锻炼了一大批县、乡、村技术骨干；同时也使得原来的农技人员工作作风更加扎实，工作热情日显高涨，业务能力和服务能力显著增强；进一步加强了农业技术推广、试验示范、肥料企业、农药厂商、农民之间的紧密联系，提高了基层农业技术人员的技术素质和工作水平。</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3&gt;</w:t>
      </w:r>
      <w:r>
        <w:rPr>
          <w:rFonts w:hint="eastAsia" w:ascii="仿宋" w:hAnsi="仿宋" w:eastAsia="仿宋" w:cs="仿宋"/>
          <w:sz w:val="32"/>
          <w:szCs w:val="32"/>
        </w:rPr>
        <w:t>创立了农资经营销售的新模式。通过该技术的实施，探索出了一条农资经营销售的新模式，即“测、配、产、供、施”系列化服务模式；此模式的出现和推广，改变了原来化肥经营的混乱无序状态，减少了假冒伪劣产品坑农害农的现象，社会资源得到整合，农资市场得到净化，农民利益得到保护。</w:t>
      </w:r>
    </w:p>
    <w:p>
      <w:pPr>
        <w:spacing w:beforeLines="0" w:afterLines="0"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（2）可持续影响。</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通过</w:t>
      </w:r>
      <w:r>
        <w:rPr>
          <w:rFonts w:hint="eastAsia" w:ascii="仿宋" w:hAnsi="仿宋" w:eastAsia="仿宋" w:cs="仿宋"/>
          <w:sz w:val="32"/>
          <w:szCs w:val="32"/>
        </w:rPr>
        <w:t>提高肥料利用率和</w:t>
      </w:r>
      <w:r>
        <w:rPr>
          <w:rFonts w:hint="eastAsia" w:ascii="仿宋" w:hAnsi="仿宋" w:eastAsia="仿宋" w:cs="仿宋"/>
          <w:sz w:val="32"/>
          <w:szCs w:val="32"/>
          <w:lang w:eastAsia="zh-CN"/>
        </w:rPr>
        <w:t>肥料</w:t>
      </w:r>
      <w:r>
        <w:rPr>
          <w:rFonts w:hint="eastAsia" w:ascii="仿宋" w:hAnsi="仿宋" w:eastAsia="仿宋" w:cs="仿宋"/>
          <w:sz w:val="32"/>
          <w:szCs w:val="32"/>
        </w:rPr>
        <w:t>使用量的控制减少，使得土壤氮磷养分盈余量大幅度下降，减少养分流失，改善土壤理化性状，平衡土壤的养分，培肥地力，同时也使流失到环境中的氮磷养分得到有效降低，进而减轻农业面源污染对生态环境的影响，促进农业的可持续发展。</w:t>
      </w:r>
      <w:r>
        <w:rPr>
          <w:rFonts w:hint="eastAsia" w:ascii="仿宋" w:hAnsi="仿宋" w:eastAsia="仿宋" w:cs="仿宋"/>
          <w:sz w:val="32"/>
          <w:szCs w:val="32"/>
          <w:lang w:val="en-US" w:eastAsia="zh-CN"/>
        </w:rPr>
        <w:t>1&gt;</w:t>
      </w:r>
      <w:r>
        <w:rPr>
          <w:rFonts w:hint="eastAsia" w:ascii="仿宋" w:hAnsi="仿宋" w:eastAsia="仿宋" w:cs="仿宋"/>
          <w:sz w:val="32"/>
          <w:szCs w:val="32"/>
        </w:rPr>
        <w:t>本工程实施后，在滇池流域及补水区实施测土配方施肥推广工程，从源头上削减农业面源污染，将有效改善滇池流域及补水区水质和生态环境，为遏制滇池流域湖库水质下降做出贡献；</w:t>
      </w:r>
      <w:r>
        <w:rPr>
          <w:rFonts w:hint="eastAsia" w:ascii="仿宋" w:hAnsi="仿宋" w:eastAsia="仿宋" w:cs="仿宋"/>
          <w:sz w:val="32"/>
          <w:szCs w:val="32"/>
          <w:lang w:val="en-US" w:eastAsia="zh-CN"/>
        </w:rPr>
        <w:t>2&gt;</w:t>
      </w:r>
      <w:r>
        <w:rPr>
          <w:rFonts w:hint="eastAsia" w:ascii="仿宋" w:hAnsi="仿宋" w:eastAsia="仿宋" w:cs="仿宋"/>
          <w:sz w:val="32"/>
          <w:szCs w:val="32"/>
        </w:rPr>
        <w:t>化肥的减量增效技术推广，能够指导和带动周边农户，有效保护和改善了生态环境，减少了环境污染，特别是避免由化肥过量施用引起的滇池流域及补水区二次污染，对改善和巩固滇池流域水质发挥了积极作用，对构建清洁城乡，建设美丽幸福昆明起到积极作用；</w:t>
      </w:r>
      <w:r>
        <w:rPr>
          <w:rFonts w:hint="eastAsia" w:ascii="仿宋" w:hAnsi="仿宋" w:eastAsia="仿宋" w:cs="仿宋"/>
          <w:sz w:val="32"/>
          <w:szCs w:val="32"/>
          <w:lang w:val="en-US" w:eastAsia="zh-CN"/>
        </w:rPr>
        <w:t>3&gt;</w:t>
      </w:r>
      <w:r>
        <w:rPr>
          <w:rFonts w:hint="eastAsia" w:ascii="仿宋" w:hAnsi="仿宋" w:eastAsia="仿宋" w:cs="仿宋"/>
          <w:sz w:val="32"/>
          <w:szCs w:val="32"/>
        </w:rPr>
        <w:t>通过推广减肥关键技术，达到施肥结构进一步优化，施肥方式进一步改进，氮、磷、钾和中微量元素等养分结构趋于合理，有机肥资源得到合理利用，肥料利用率稳步提高。</w:t>
      </w:r>
    </w:p>
    <w:p>
      <w:pPr>
        <w:spacing w:beforeLines="0" w:afterLines="0"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3.满意度指标完成情况分析。</w:t>
      </w:r>
    </w:p>
    <w:p>
      <w:pPr>
        <w:spacing w:beforeLines="0" w:afterLines="0"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32"/>
        </w:rPr>
        <w:t>完成农户技术培训，组织完成田间样板测土配方施肥，召开小区样板测土配方施肥现场会</w:t>
      </w:r>
      <w:r>
        <w:rPr>
          <w:rFonts w:hint="eastAsia" w:ascii="仿宋" w:hAnsi="仿宋" w:eastAsia="仿宋" w:cs="仿宋"/>
          <w:kern w:val="0"/>
          <w:sz w:val="32"/>
          <w:szCs w:val="32"/>
          <w:lang w:eastAsia="zh-CN"/>
        </w:rPr>
        <w:t>，促使示范区农户满意度达</w:t>
      </w:r>
      <w:r>
        <w:rPr>
          <w:rFonts w:hint="eastAsia" w:ascii="仿宋" w:hAnsi="仿宋" w:eastAsia="仿宋" w:cs="仿宋"/>
          <w:kern w:val="0"/>
          <w:sz w:val="32"/>
          <w:szCs w:val="32"/>
          <w:lang w:val="en-US" w:eastAsia="zh-CN"/>
        </w:rPr>
        <w:t>90以上。</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仿宋_GB2312"/>
          <w:szCs w:val="32"/>
        </w:rPr>
      </w:pPr>
      <w:r>
        <w:rPr>
          <w:rFonts w:hint="eastAsia" w:ascii="黑体" w:hAnsi="黑体" w:eastAsia="黑体" w:cs="黑体"/>
          <w:bCs/>
          <w:szCs w:val="32"/>
        </w:rPr>
        <w:t>三、偏离绩效目标的原因和下一步改进措施</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仿宋" w:hAnsi="仿宋" w:eastAsia="仿宋" w:cs="仿宋"/>
          <w:b w:val="0"/>
          <w:bCs w:val="0"/>
          <w:szCs w:val="32"/>
          <w:lang w:eastAsia="zh-CN"/>
        </w:rPr>
      </w:pPr>
      <w:r>
        <w:rPr>
          <w:rFonts w:hint="eastAsia" w:ascii="仿宋" w:hAnsi="仿宋" w:eastAsia="仿宋" w:cs="仿宋"/>
          <w:b w:val="0"/>
          <w:bCs w:val="0"/>
          <w:szCs w:val="32"/>
          <w:lang w:eastAsia="zh-CN"/>
        </w:rPr>
        <w:t>无</w:t>
      </w:r>
      <w:r>
        <w:rPr>
          <w:rFonts w:hint="eastAsia" w:ascii="仿宋" w:hAnsi="仿宋" w:eastAsia="仿宋" w:cs="仿宋"/>
          <w:b w:val="0"/>
          <w:bCs w:val="0"/>
          <w:szCs w:val="32"/>
        </w:rPr>
        <w:t>偏离绩效目标的原因</w:t>
      </w:r>
      <w:r>
        <w:rPr>
          <w:rFonts w:hint="eastAsia" w:ascii="仿宋" w:hAnsi="仿宋" w:eastAsia="仿宋" w:cs="仿宋"/>
          <w:b w:val="0"/>
          <w:bCs w:val="0"/>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bCs/>
          <w:szCs w:val="32"/>
        </w:rPr>
      </w:pPr>
      <w:r>
        <w:rPr>
          <w:rFonts w:hint="eastAsia" w:ascii="黑体" w:hAnsi="黑体" w:eastAsia="黑体" w:cs="黑体"/>
          <w:bCs/>
          <w:szCs w:val="32"/>
        </w:rPr>
        <w:t>绩效自评结果拟应用和公开情况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通过推广减肥关键技术，达到施肥结构进一步优化，施肥方式进一步改进，氮、磷、钾和中微量元素等养分结构趋于合理，有机肥资源得到合理利用，肥料利用率稳步提高。</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五、其他需要说明的问题</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华文宋体" w:hAnsi="华文宋体" w:eastAsia="华文宋体" w:cs="华文宋体"/>
          <w:lang w:eastAsia="zh-CN"/>
        </w:rPr>
      </w:pPr>
      <w:r>
        <w:rPr>
          <w:rFonts w:hint="eastAsia" w:ascii="华文宋体" w:hAnsi="华文宋体" w:eastAsia="华文宋体" w:cs="华文宋体"/>
          <w:lang w:eastAsia="zh-CN"/>
        </w:rPr>
        <w:t>无</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lang w:val="en"/>
        </w:rPr>
      </w:pPr>
      <w:r>
        <w:rPr>
          <w:rFonts w:hint="eastAsia" w:ascii="黑体" w:hAnsi="黑体" w:eastAsia="黑体" w:cs="黑体"/>
          <w:lang w:val="en"/>
        </w:rPr>
        <w:t>六、附件</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仿宋_GB2312" w:cs="黑体"/>
          <w:lang w:val="en" w:eastAsia="zh-CN"/>
        </w:rPr>
      </w:pPr>
      <w:r>
        <w:rPr>
          <w:rFonts w:hint="eastAsia"/>
        </w:rPr>
        <w:t>转移支付区域（项目）绩效目标自评表</w:t>
      </w:r>
      <w:r>
        <w:rPr>
          <w:rFonts w:hint="eastAsia"/>
          <w:lang w:eastAsia="zh-CN"/>
        </w:rPr>
        <w:t>（见附件</w:t>
      </w:r>
      <w:r>
        <w:rPr>
          <w:rFonts w:hint="eastAsia"/>
          <w:lang w:val="en-US" w:eastAsia="zh-CN"/>
        </w:rPr>
        <w:t>2</w:t>
      </w:r>
      <w:r>
        <w:rPr>
          <w:rFonts w:hint="eastAsia"/>
          <w:lang w:eastAsia="zh-CN"/>
        </w:rPr>
        <w:t>）</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BA4D08"/>
    <w:multiLevelType w:val="singleLevel"/>
    <w:tmpl w:val="C0BA4D08"/>
    <w:lvl w:ilvl="0" w:tentative="0">
      <w:start w:val="2"/>
      <w:numFmt w:val="decimal"/>
      <w:suff w:val="nothing"/>
      <w:lvlText w:val="（%1）"/>
      <w:lvlJc w:val="left"/>
    </w:lvl>
  </w:abstractNum>
  <w:abstractNum w:abstractNumId="1">
    <w:nsid w:val="66650452"/>
    <w:multiLevelType w:val="singleLevel"/>
    <w:tmpl w:val="66650452"/>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enforcement="0"/>
  <w:defaultTabStop w:val="420"/>
  <w:drawingGridHorizontalSpacing w:val="150"/>
  <w:drawingGridVerticalSpacing w:val="5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5NWFmOWQ3MmNmNTdlOWZmNTQ5NDczNjY2MDNlNDkifQ=="/>
  </w:docVars>
  <w:rsids>
    <w:rsidRoot w:val="00F57F82"/>
    <w:rsid w:val="000101E1"/>
    <w:rsid w:val="000732DA"/>
    <w:rsid w:val="00075CDC"/>
    <w:rsid w:val="000B1E8F"/>
    <w:rsid w:val="000B6964"/>
    <w:rsid w:val="00103D16"/>
    <w:rsid w:val="00111638"/>
    <w:rsid w:val="00111928"/>
    <w:rsid w:val="0012041C"/>
    <w:rsid w:val="00164D84"/>
    <w:rsid w:val="00173016"/>
    <w:rsid w:val="0017509C"/>
    <w:rsid w:val="001808CA"/>
    <w:rsid w:val="001A4E46"/>
    <w:rsid w:val="001E03FE"/>
    <w:rsid w:val="002123E8"/>
    <w:rsid w:val="00250053"/>
    <w:rsid w:val="0029569C"/>
    <w:rsid w:val="002A5FA7"/>
    <w:rsid w:val="002B3EEF"/>
    <w:rsid w:val="002B54E4"/>
    <w:rsid w:val="002E5562"/>
    <w:rsid w:val="002F6705"/>
    <w:rsid w:val="00301FC0"/>
    <w:rsid w:val="00336A16"/>
    <w:rsid w:val="003663A3"/>
    <w:rsid w:val="00387DD5"/>
    <w:rsid w:val="003B0980"/>
    <w:rsid w:val="003C6374"/>
    <w:rsid w:val="003D2CB9"/>
    <w:rsid w:val="00413F12"/>
    <w:rsid w:val="00493012"/>
    <w:rsid w:val="004D2137"/>
    <w:rsid w:val="005D1514"/>
    <w:rsid w:val="005D7CC3"/>
    <w:rsid w:val="006218A1"/>
    <w:rsid w:val="00682A10"/>
    <w:rsid w:val="006A30E4"/>
    <w:rsid w:val="006A74BF"/>
    <w:rsid w:val="006C1CEE"/>
    <w:rsid w:val="006D5A86"/>
    <w:rsid w:val="00707C2E"/>
    <w:rsid w:val="00722A7D"/>
    <w:rsid w:val="00724A6B"/>
    <w:rsid w:val="0073331B"/>
    <w:rsid w:val="00733C2D"/>
    <w:rsid w:val="00756C7F"/>
    <w:rsid w:val="007D7E6E"/>
    <w:rsid w:val="00850797"/>
    <w:rsid w:val="00853FC4"/>
    <w:rsid w:val="008720F1"/>
    <w:rsid w:val="00882EFA"/>
    <w:rsid w:val="008B2F56"/>
    <w:rsid w:val="008F0996"/>
    <w:rsid w:val="00903791"/>
    <w:rsid w:val="009600BD"/>
    <w:rsid w:val="00961C83"/>
    <w:rsid w:val="009922BC"/>
    <w:rsid w:val="009E0D8C"/>
    <w:rsid w:val="00A02AF3"/>
    <w:rsid w:val="00A25077"/>
    <w:rsid w:val="00A610CC"/>
    <w:rsid w:val="00A8737E"/>
    <w:rsid w:val="00AA19AF"/>
    <w:rsid w:val="00BC6882"/>
    <w:rsid w:val="00BD3FE0"/>
    <w:rsid w:val="00BE58CF"/>
    <w:rsid w:val="00CA5578"/>
    <w:rsid w:val="00CA7DAA"/>
    <w:rsid w:val="00D04826"/>
    <w:rsid w:val="00D63908"/>
    <w:rsid w:val="00D8718A"/>
    <w:rsid w:val="00D93453"/>
    <w:rsid w:val="00DC524D"/>
    <w:rsid w:val="00E071D6"/>
    <w:rsid w:val="00ED3E0F"/>
    <w:rsid w:val="00F015E4"/>
    <w:rsid w:val="00F57F82"/>
    <w:rsid w:val="00F75224"/>
    <w:rsid w:val="00F91EAE"/>
    <w:rsid w:val="00FA086C"/>
    <w:rsid w:val="00FA2093"/>
    <w:rsid w:val="00FA357A"/>
    <w:rsid w:val="037D0BC8"/>
    <w:rsid w:val="03C0467D"/>
    <w:rsid w:val="08313650"/>
    <w:rsid w:val="0845082D"/>
    <w:rsid w:val="09E965F2"/>
    <w:rsid w:val="0CC65B7F"/>
    <w:rsid w:val="0DFE05BC"/>
    <w:rsid w:val="0FF7AA4F"/>
    <w:rsid w:val="12163F21"/>
    <w:rsid w:val="139840D3"/>
    <w:rsid w:val="143E091F"/>
    <w:rsid w:val="14865FC8"/>
    <w:rsid w:val="14AE18E2"/>
    <w:rsid w:val="14D04E4A"/>
    <w:rsid w:val="150C2DB0"/>
    <w:rsid w:val="1A7D29EA"/>
    <w:rsid w:val="1D3D59B4"/>
    <w:rsid w:val="1D994BCF"/>
    <w:rsid w:val="1E761F05"/>
    <w:rsid w:val="1F7BE1E6"/>
    <w:rsid w:val="1FC7205C"/>
    <w:rsid w:val="228B3D05"/>
    <w:rsid w:val="23165F60"/>
    <w:rsid w:val="239E770B"/>
    <w:rsid w:val="258D6E84"/>
    <w:rsid w:val="284E74F8"/>
    <w:rsid w:val="2ADB48E8"/>
    <w:rsid w:val="328F652D"/>
    <w:rsid w:val="36687282"/>
    <w:rsid w:val="367793B2"/>
    <w:rsid w:val="3794FC37"/>
    <w:rsid w:val="38EF7AD8"/>
    <w:rsid w:val="3E1672E6"/>
    <w:rsid w:val="3E1F711B"/>
    <w:rsid w:val="3EB9C2BB"/>
    <w:rsid w:val="3FEF6A07"/>
    <w:rsid w:val="415F08D8"/>
    <w:rsid w:val="44E2230F"/>
    <w:rsid w:val="48B51347"/>
    <w:rsid w:val="491B45FA"/>
    <w:rsid w:val="4A4D05E3"/>
    <w:rsid w:val="4A55216A"/>
    <w:rsid w:val="4CC90847"/>
    <w:rsid w:val="4FE0696A"/>
    <w:rsid w:val="546F8569"/>
    <w:rsid w:val="55673508"/>
    <w:rsid w:val="58B115BC"/>
    <w:rsid w:val="59595A6F"/>
    <w:rsid w:val="597350B8"/>
    <w:rsid w:val="599330CA"/>
    <w:rsid w:val="5A7FCB1F"/>
    <w:rsid w:val="5D2B78D3"/>
    <w:rsid w:val="5FEAF7C9"/>
    <w:rsid w:val="60D5009F"/>
    <w:rsid w:val="625F31FE"/>
    <w:rsid w:val="64AC2E11"/>
    <w:rsid w:val="653D7D88"/>
    <w:rsid w:val="65FD0201"/>
    <w:rsid w:val="660721C9"/>
    <w:rsid w:val="661E6C75"/>
    <w:rsid w:val="664D7E95"/>
    <w:rsid w:val="67F75FF5"/>
    <w:rsid w:val="681D4831"/>
    <w:rsid w:val="692E4B19"/>
    <w:rsid w:val="69513EF7"/>
    <w:rsid w:val="6BF3256F"/>
    <w:rsid w:val="6CE7018A"/>
    <w:rsid w:val="6E3E3F2D"/>
    <w:rsid w:val="71344263"/>
    <w:rsid w:val="715B2F02"/>
    <w:rsid w:val="72A44DA0"/>
    <w:rsid w:val="76A548F2"/>
    <w:rsid w:val="7765772E"/>
    <w:rsid w:val="776F5E62"/>
    <w:rsid w:val="77867685"/>
    <w:rsid w:val="77EE7FE7"/>
    <w:rsid w:val="781F36B6"/>
    <w:rsid w:val="790627AD"/>
    <w:rsid w:val="7991375C"/>
    <w:rsid w:val="79DFF8C4"/>
    <w:rsid w:val="7ABB59BC"/>
    <w:rsid w:val="7ADC59FA"/>
    <w:rsid w:val="7AFF2FC3"/>
    <w:rsid w:val="7BF6B4C5"/>
    <w:rsid w:val="7C5F41C0"/>
    <w:rsid w:val="7DDD794F"/>
    <w:rsid w:val="7DFA6624"/>
    <w:rsid w:val="7DFD8AD7"/>
    <w:rsid w:val="7DFEFB95"/>
    <w:rsid w:val="7ECD6B9A"/>
    <w:rsid w:val="7FBA576D"/>
    <w:rsid w:val="7FDE47D5"/>
    <w:rsid w:val="7FFD003D"/>
    <w:rsid w:val="94BFC172"/>
    <w:rsid w:val="9BFA614C"/>
    <w:rsid w:val="BAFE1E17"/>
    <w:rsid w:val="BBDF5B5A"/>
    <w:rsid w:val="BBE428C2"/>
    <w:rsid w:val="BFBF52D7"/>
    <w:rsid w:val="DF6E82F1"/>
    <w:rsid w:val="DFCEE0CE"/>
    <w:rsid w:val="DFFF7077"/>
    <w:rsid w:val="EEBF76D9"/>
    <w:rsid w:val="F36EF6AC"/>
    <w:rsid w:val="F6FDCC0E"/>
    <w:rsid w:val="F767D450"/>
    <w:rsid w:val="F76FB1DB"/>
    <w:rsid w:val="F7FBEBBF"/>
    <w:rsid w:val="F9F3FBF0"/>
    <w:rsid w:val="FB9F8FA2"/>
    <w:rsid w:val="FDB5389F"/>
    <w:rsid w:val="FFAFB80B"/>
    <w:rsid w:val="FFF9F8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alloon Text"/>
    <w:basedOn w:val="1"/>
    <w:link w:val="10"/>
    <w:qFormat/>
    <w:uiPriority w:val="0"/>
    <w:rPr>
      <w:sz w:val="18"/>
      <w:szCs w:val="18"/>
    </w:rPr>
  </w:style>
  <w:style w:type="paragraph" w:styleId="4">
    <w:name w:val="footer"/>
    <w:basedOn w:val="1"/>
    <w:link w:val="8"/>
    <w:qFormat/>
    <w:uiPriority w:val="99"/>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Char"/>
    <w:basedOn w:val="7"/>
    <w:link w:val="4"/>
    <w:qFormat/>
    <w:uiPriority w:val="99"/>
    <w:rPr>
      <w:rFonts w:eastAsia="仿宋_GB2312"/>
      <w:kern w:val="2"/>
      <w:sz w:val="18"/>
      <w:szCs w:val="18"/>
    </w:rPr>
  </w:style>
  <w:style w:type="character" w:customStyle="1" w:styleId="9">
    <w:name w:val="页眉 Char"/>
    <w:basedOn w:val="7"/>
    <w:link w:val="5"/>
    <w:qFormat/>
    <w:uiPriority w:val="0"/>
    <w:rPr>
      <w:rFonts w:eastAsia="仿宋_GB2312"/>
      <w:kern w:val="2"/>
      <w:sz w:val="18"/>
      <w:szCs w:val="18"/>
    </w:rPr>
  </w:style>
  <w:style w:type="character" w:customStyle="1" w:styleId="10">
    <w:name w:val="批注框文本 Char"/>
    <w:basedOn w:val="7"/>
    <w:link w:val="3"/>
    <w:qFormat/>
    <w:uiPriority w:val="0"/>
    <w:rPr>
      <w:rFonts w:eastAsia="仿宋_GB2312"/>
      <w:kern w:val="2"/>
      <w:sz w:val="18"/>
      <w:szCs w:val="18"/>
    </w:rPr>
  </w:style>
  <w:style w:type="paragraph" w:customStyle="1" w:styleId="11">
    <w:name w:val="p0"/>
    <w:basedOn w:val="1"/>
    <w:qFormat/>
    <w:uiPriority w:val="0"/>
    <w:pPr>
      <w:widowControl/>
      <w:spacing w:line="240" w:lineRule="auto"/>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1891</Words>
  <Characters>2065</Characters>
  <Lines>3</Lines>
  <Paragraphs>1</Paragraphs>
  <TotalTime>1</TotalTime>
  <ScaleCrop>false</ScaleCrop>
  <LinksUpToDate>false</LinksUpToDate>
  <CharactersWithSpaces>2072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2019-02-17T06:26:00Z</dcterms:created>
  <dc:creator>lhn</dc:creator>
  <cp:lastModifiedBy>Administrator</cp:lastModifiedBy>
  <cp:lastPrinted>2023-02-24T17:51:00Z</cp:lastPrinted>
  <dcterms:modified xsi:type="dcterms:W3CDTF">2023-04-19T01:48:59Z</dcterms:modified>
  <dc:title>财政支出绩效评价报告</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D2EC70B93FC04EF9B81DCFC78A66D829</vt:lpwstr>
  </property>
</Properties>
</file>