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ascii="仿宋_GB2312" w:hAnsi="华文中宋"/>
          <w:bCs/>
          <w:sz w:val="36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hint="eastAsia" w:ascii="宋体" w:hAnsi="宋体" w:eastAsia="宋体" w:cs="宋体"/>
          <w:b/>
          <w:sz w:val="36"/>
          <w:szCs w:val="44"/>
        </w:rPr>
      </w:pPr>
      <w:r>
        <w:rPr>
          <w:rFonts w:hint="eastAsia" w:ascii="Arial" w:hAnsi="Arial" w:eastAsia="宋体" w:cs="Arial"/>
          <w:b/>
          <w:sz w:val="36"/>
          <w:szCs w:val="44"/>
          <w:lang w:eastAsia="zh-CN"/>
        </w:rPr>
        <w:t>云南</w:t>
      </w:r>
      <w:r>
        <w:rPr>
          <w:rFonts w:hint="eastAsia" w:ascii="Arial" w:hAnsi="Arial" w:eastAsia="宋体" w:cs="Arial"/>
          <w:b/>
          <w:sz w:val="36"/>
          <w:szCs w:val="44"/>
        </w:rPr>
        <w:t>省</w:t>
      </w:r>
      <w:r>
        <w:rPr>
          <w:rFonts w:hint="eastAsia" w:ascii="Arial" w:hAnsi="Arial" w:eastAsia="宋体" w:cs="Arial"/>
          <w:b/>
          <w:sz w:val="36"/>
          <w:szCs w:val="44"/>
          <w:lang w:eastAsia="zh-CN"/>
        </w:rPr>
        <w:t>昆明市盘龙区现代种业发展资金</w:t>
      </w:r>
      <w:r>
        <w:rPr>
          <w:rFonts w:hint="eastAsia" w:ascii="宋体" w:hAnsi="宋体" w:eastAsia="宋体" w:cs="宋体"/>
          <w:b/>
          <w:sz w:val="36"/>
          <w:szCs w:val="44"/>
        </w:rPr>
        <w:t>转移支付</w:t>
      </w:r>
      <w:r>
        <w:rPr>
          <w:rFonts w:hint="eastAsia" w:ascii="Arial" w:hAnsi="Arial" w:eastAsia="宋体" w:cs="Arial"/>
          <w:b/>
          <w:sz w:val="36"/>
          <w:szCs w:val="44"/>
        </w:rPr>
        <w:t>20</w:t>
      </w:r>
      <w:r>
        <w:rPr>
          <w:rFonts w:hint="eastAsia" w:ascii="Arial" w:hAnsi="Arial" w:eastAsia="宋体" w:cs="Arial"/>
          <w:b/>
          <w:sz w:val="36"/>
          <w:szCs w:val="44"/>
          <w:lang w:val="en-US" w:eastAsia="zh-CN"/>
        </w:rPr>
        <w:t>22</w:t>
      </w:r>
      <w:r>
        <w:rPr>
          <w:rFonts w:hint="eastAsia" w:ascii="宋体" w:hAnsi="宋体" w:eastAsia="宋体" w:cs="宋体"/>
          <w:b/>
          <w:sz w:val="36"/>
          <w:szCs w:val="44"/>
        </w:rPr>
        <w:t>年度绩效自评报告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jc w:val="center"/>
        <w:textAlignment w:val="auto"/>
        <w:rPr>
          <w:rFonts w:hint="eastAsia" w:ascii="宋体" w:hAnsi="宋体" w:eastAsia="宋体" w:cs="宋体"/>
          <w:b/>
          <w:sz w:val="36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一、绩效目标分解下达情况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eastAsia" w:ascii="仿宋_GB2312"/>
          <w:szCs w:val="32"/>
          <w:lang w:val="en-US" w:eastAsia="zh-CN"/>
        </w:rPr>
      </w:pPr>
      <w:r>
        <w:rPr>
          <w:rFonts w:hint="eastAsia" w:ascii="仿宋_GB2312"/>
          <w:szCs w:val="32"/>
          <w:lang w:eastAsia="zh-CN"/>
        </w:rPr>
        <w:t>根据昆明市财政局、昆明市农业农村局《关于下达</w:t>
      </w:r>
      <w:r>
        <w:rPr>
          <w:rFonts w:hint="eastAsia" w:ascii="仿宋_GB2312"/>
          <w:szCs w:val="32"/>
          <w:lang w:val="en-US" w:eastAsia="zh-CN"/>
        </w:rPr>
        <w:t>2022年省级农业发展专项资金的通知</w:t>
      </w:r>
      <w:r>
        <w:rPr>
          <w:rFonts w:hint="eastAsia" w:ascii="仿宋_GB2312"/>
          <w:szCs w:val="32"/>
          <w:lang w:eastAsia="zh-CN"/>
        </w:rPr>
        <w:t>》（昆财农</w:t>
      </w:r>
      <w:r>
        <w:rPr>
          <w:rFonts w:hint="eastAsia" w:ascii="仿宋_GB2312"/>
          <w:szCs w:val="32"/>
          <w:lang w:val="en-US" w:eastAsia="zh-CN"/>
        </w:rPr>
        <w:t>[2022]80号</w:t>
      </w:r>
      <w:r>
        <w:rPr>
          <w:rFonts w:hint="eastAsia" w:ascii="仿宋_GB2312"/>
          <w:szCs w:val="32"/>
          <w:lang w:eastAsia="zh-CN"/>
        </w:rPr>
        <w:t>），安排盘龙区现代种业发展资金</w:t>
      </w:r>
      <w:r>
        <w:rPr>
          <w:rFonts w:hint="eastAsia" w:ascii="仿宋_GB2312"/>
          <w:szCs w:val="32"/>
          <w:lang w:val="en-US" w:eastAsia="zh-CN"/>
        </w:rPr>
        <w:t>195万元。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黑体" w:hAnsi="黑体" w:eastAsia="黑体" w:cs="黑体"/>
          <w:bCs/>
          <w:szCs w:val="32"/>
          <w:highlight w:val="none"/>
        </w:rPr>
      </w:pPr>
      <w:r>
        <w:rPr>
          <w:rFonts w:hint="eastAsia" w:ascii="黑体" w:hAnsi="黑体" w:eastAsia="黑体" w:cs="黑体"/>
          <w:bCs/>
          <w:szCs w:val="32"/>
          <w:highlight w:val="none"/>
        </w:rPr>
        <w:t>二、</w:t>
      </w:r>
      <w:r>
        <w:rPr>
          <w:rFonts w:hint="eastAsia" w:ascii="黑体" w:hAnsi="黑体" w:eastAsia="黑体" w:cs="黑体"/>
          <w:bCs/>
          <w:szCs w:val="32"/>
          <w:highlight w:val="none"/>
          <w:lang w:eastAsia="zh-CN"/>
        </w:rPr>
        <w:t>绩效</w:t>
      </w:r>
      <w:r>
        <w:rPr>
          <w:rFonts w:hint="eastAsia" w:ascii="黑体" w:hAnsi="黑体" w:eastAsia="黑体" w:cs="黑体"/>
          <w:bCs/>
          <w:szCs w:val="32"/>
          <w:highlight w:val="none"/>
        </w:rPr>
        <w:t>情况分析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highlight w:val="none"/>
        </w:rPr>
        <w:t>（一）资金投入情况分析。</w:t>
      </w:r>
      <w:r>
        <w:rPr>
          <w:rFonts w:hint="eastAsia" w:ascii="仿宋_GB2312" w:hAnsi="仿宋_GB2312" w:eastAsia="仿宋_GB2312" w:cs="仿宋_GB2312"/>
          <w:b w:val="0"/>
          <w:bCs w:val="0"/>
          <w:szCs w:val="32"/>
          <w:highlight w:val="none"/>
          <w:lang w:eastAsia="zh-CN"/>
        </w:rPr>
        <w:t>（分析资金</w:t>
      </w:r>
      <w:r>
        <w:rPr>
          <w:rFonts w:hint="eastAsia" w:ascii="仿宋_GB2312" w:hAnsi="仿宋_GB2312" w:cs="仿宋_GB2312"/>
          <w:b w:val="0"/>
          <w:bCs w:val="0"/>
          <w:szCs w:val="32"/>
          <w:highlight w:val="none"/>
          <w:lang w:eastAsia="zh-CN"/>
        </w:rPr>
        <w:t>投入及</w:t>
      </w:r>
      <w:r>
        <w:rPr>
          <w:rFonts w:hint="eastAsia" w:ascii="仿宋_GB2312" w:hAnsi="仿宋_GB2312" w:eastAsia="仿宋_GB2312" w:cs="仿宋_GB2312"/>
          <w:b w:val="0"/>
          <w:bCs w:val="0"/>
          <w:szCs w:val="32"/>
          <w:highlight w:val="none"/>
          <w:lang w:eastAsia="zh-CN"/>
        </w:rPr>
        <w:t>执行情况）</w:t>
      </w:r>
    </w:p>
    <w:p>
      <w:pPr>
        <w:ind w:firstLine="640" w:firstLineChars="200"/>
        <w:outlineLvl w:val="0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</w:t>
      </w:r>
      <w:r>
        <w:rPr>
          <w:rFonts w:hint="eastAsia" w:ascii="仿宋" w:hAnsi="仿宋" w:eastAsia="仿宋" w:cs="仿宋"/>
          <w:sz w:val="32"/>
          <w:szCs w:val="32"/>
        </w:rPr>
        <w:t>下达</w:t>
      </w:r>
      <w:r>
        <w:rPr>
          <w:rFonts w:hint="eastAsia" w:ascii="仿宋_GB2312"/>
          <w:szCs w:val="32"/>
          <w:lang w:eastAsia="zh-CN"/>
        </w:rPr>
        <w:t>盘龙区现代种业发展资金</w:t>
      </w:r>
      <w:r>
        <w:rPr>
          <w:rFonts w:hint="eastAsia" w:ascii="仿宋_GB2312"/>
          <w:szCs w:val="32"/>
          <w:lang w:val="en-US" w:eastAsia="zh-CN"/>
        </w:rPr>
        <w:t>195万元。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</w:rPr>
        <w:t>上级资金由农业农村局建立项目库，进行指标挂接下达。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仿宋_GB2312" w:hAnsi="仿宋_GB2312" w:cs="仿宋_GB2312"/>
          <w:b w:val="0"/>
          <w:bCs w:val="0"/>
          <w:szCs w:val="32"/>
          <w:highlight w:val="none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highlight w:val="none"/>
          <w:lang w:eastAsia="zh-CN"/>
        </w:rPr>
        <w:t>资金管理情况分析。</w:t>
      </w:r>
      <w:r>
        <w:rPr>
          <w:rFonts w:hint="eastAsia" w:ascii="仿宋_GB2312" w:hAnsi="仿宋_GB2312" w:cs="仿宋_GB2312"/>
          <w:b w:val="0"/>
          <w:bCs w:val="0"/>
          <w:szCs w:val="32"/>
          <w:highlight w:val="none"/>
          <w:lang w:eastAsia="zh-CN"/>
        </w:rPr>
        <w:t>（分析资金分配、下达、拨付、使用、执行、预算绩效管理、支出责任履行等情况）</w:t>
      </w:r>
    </w:p>
    <w:p>
      <w:pPr>
        <w:ind w:firstLine="640" w:firstLineChars="200"/>
        <w:outlineLvl w:val="0"/>
        <w:rPr>
          <w:rFonts w:hint="default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2022年</w:t>
      </w:r>
      <w:r>
        <w:rPr>
          <w:rFonts w:hint="eastAsia" w:ascii="仿宋" w:hAnsi="仿宋" w:eastAsia="仿宋" w:cs="仿宋"/>
          <w:sz w:val="32"/>
          <w:szCs w:val="32"/>
        </w:rPr>
        <w:t>下达</w:t>
      </w:r>
      <w:r>
        <w:rPr>
          <w:rFonts w:hint="eastAsia" w:ascii="仿宋_GB2312"/>
          <w:szCs w:val="32"/>
          <w:lang w:eastAsia="zh-CN"/>
        </w:rPr>
        <w:t>盘龙区现代种业发展资金</w:t>
      </w:r>
      <w:r>
        <w:rPr>
          <w:rFonts w:hint="eastAsia" w:ascii="仿宋_GB2312"/>
          <w:szCs w:val="32"/>
          <w:lang w:val="en-US" w:eastAsia="zh-CN"/>
        </w:rPr>
        <w:t>195万元。支持省级作物种质资源圃（库）6个、畜禽遗传资源基因库1个，新增收集、引进种质资源210份。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00" w:firstLineChars="200"/>
        <w:textAlignment w:val="auto"/>
        <w:rPr>
          <w:rFonts w:hint="eastAsia" w:ascii="华文仿宋" w:hAnsi="华文仿宋" w:eastAsia="华文仿宋"/>
          <w:sz w:val="32"/>
          <w:szCs w:val="32"/>
        </w:rPr>
      </w:pPr>
      <w:r>
        <w:rPr>
          <w:rFonts w:hint="eastAsia" w:ascii="仿宋_GB2312"/>
          <w:szCs w:val="32"/>
          <w:lang w:eastAsia="zh-CN"/>
        </w:rPr>
        <w:t>盘龙区现代种业发展资金</w:t>
      </w:r>
      <w:r>
        <w:rPr>
          <w:rFonts w:hint="eastAsia" w:ascii="仿宋_GB2312"/>
          <w:szCs w:val="32"/>
          <w:lang w:val="en-US" w:eastAsia="zh-CN"/>
        </w:rPr>
        <w:t>195万元主要</w:t>
      </w:r>
      <w:r>
        <w:rPr>
          <w:rFonts w:hint="eastAsia" w:ascii="华文仿宋" w:hAnsi="华文仿宋" w:eastAsia="华文仿宋"/>
          <w:sz w:val="32"/>
          <w:szCs w:val="32"/>
        </w:rPr>
        <w:t>支持建设省级畜禽遗传资源（家禽活体）基因库1个45万元、省农科院种子库1个25万元、省农科院花卉圃1个25万元、省农科院</w:t>
      </w:r>
      <w:r>
        <w:rPr>
          <w:rFonts w:hint="eastAsia" w:ascii="华文仿宋" w:hAnsi="华文仿宋" w:eastAsia="华文仿宋"/>
          <w:bCs/>
          <w:sz w:val="32"/>
          <w:szCs w:val="32"/>
        </w:rPr>
        <w:t>野生稻种种质资源圃1个25万元、</w:t>
      </w:r>
      <w:r>
        <w:rPr>
          <w:rFonts w:hint="eastAsia" w:ascii="华文仿宋" w:hAnsi="华文仿宋" w:eastAsia="华文仿宋"/>
          <w:sz w:val="32"/>
          <w:szCs w:val="32"/>
        </w:rPr>
        <w:t>云南农大水稻核心种质库1个25万元、云南农大高原甘蔗种质资源圃1个25万元、云南农大马铃薯种质资源圃1个25万元。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楷体_GB2312" w:hAnsi="楷体_GB2312" w:eastAsia="楷体_GB2312" w:cs="楷体_GB2312"/>
          <w:b/>
          <w:bCs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楷体_GB2312" w:hAnsi="楷体_GB2312" w:eastAsia="楷体_GB2312" w:cs="楷体_GB2312"/>
          <w:b/>
          <w:bCs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left="0" w:leftChars="0" w:firstLine="602" w:firstLineChars="200"/>
        <w:textAlignment w:val="auto"/>
        <w:outlineLvl w:val="0"/>
        <w:rPr>
          <w:rFonts w:hint="eastAsia" w:ascii="仿宋_GB2312" w:hAnsi="仿宋_GB2312" w:eastAsia="仿宋_GB2312" w:cs="仿宋_GB2312"/>
          <w:b w:val="0"/>
          <w:bCs w:val="0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szCs w:val="32"/>
        </w:rPr>
        <w:t>总体绩效目标完成情况分析。</w:t>
      </w:r>
      <w:r>
        <w:rPr>
          <w:rFonts w:hint="eastAsia" w:ascii="仿宋_GB2312" w:hAnsi="仿宋_GB2312" w:eastAsia="仿宋_GB2312" w:cs="仿宋_GB2312"/>
          <w:b w:val="0"/>
          <w:bCs w:val="0"/>
          <w:szCs w:val="32"/>
          <w:lang w:eastAsia="zh-CN"/>
        </w:rPr>
        <w:t>（对照总体目标分析全年实际完成情况）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outlineLvl w:val="0"/>
        <w:rPr>
          <w:rFonts w:hint="default" w:ascii="仿宋_GB2312" w:hAnsi="仿宋_GB2312" w:eastAsia="仿宋_GB2312" w:cs="仿宋_GB2312"/>
          <w:b w:val="0"/>
          <w:bCs w:val="0"/>
          <w:szCs w:val="32"/>
          <w:lang w:val="en-US" w:eastAsia="zh-CN"/>
        </w:rPr>
      </w:pPr>
      <w:r>
        <w:rPr>
          <w:rFonts w:hint="eastAsia" w:ascii="仿宋_GB2312" w:hAnsi="仿宋_GB2312" w:cs="仿宋_GB2312"/>
          <w:b w:val="0"/>
          <w:bCs w:val="0"/>
          <w:szCs w:val="32"/>
          <w:lang w:eastAsia="zh-CN"/>
        </w:rPr>
        <w:t>总体目标新增收集、引进种质资源各</w:t>
      </w:r>
      <w:r>
        <w:rPr>
          <w:rFonts w:hint="eastAsia" w:ascii="仿宋_GB2312" w:hAnsi="仿宋_GB2312" w:cs="仿宋_GB2312"/>
          <w:b w:val="0"/>
          <w:bCs w:val="0"/>
          <w:szCs w:val="32"/>
          <w:lang w:val="en-US" w:eastAsia="zh-CN"/>
        </w:rPr>
        <w:t>35份，合计210份，其中：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1、</w:t>
      </w:r>
      <w:r>
        <w:rPr>
          <w:rFonts w:hint="eastAsia" w:ascii="仿宋" w:hAnsi="仿宋" w:eastAsia="仿宋" w:cs="仿宋"/>
          <w:sz w:val="32"/>
          <w:szCs w:val="32"/>
        </w:rPr>
        <w:t>省级畜禽遗传资源（家禽活体）基因库1个</w:t>
      </w:r>
      <w:r>
        <w:rPr>
          <w:rFonts w:hint="eastAsia" w:ascii="仿宋_GB2312" w:hAnsi="仿宋_GB2312" w:cs="仿宋_GB2312"/>
          <w:b w:val="0"/>
          <w:bCs w:val="0"/>
          <w:szCs w:val="32"/>
          <w:lang w:eastAsia="zh-CN"/>
        </w:rPr>
        <w:t>新增收集、引进种质资源</w:t>
      </w:r>
      <w:r>
        <w:rPr>
          <w:rFonts w:hint="eastAsia" w:ascii="仿宋" w:hAnsi="仿宋" w:eastAsia="仿宋" w:cs="仿宋"/>
          <w:sz w:val="32"/>
          <w:szCs w:val="32"/>
        </w:rPr>
        <w:t>40个家系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公鸡不少于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80</w:t>
      </w:r>
      <w:r>
        <w:rPr>
          <w:rFonts w:hint="eastAsia" w:ascii="仿宋" w:hAnsi="仿宋" w:eastAsia="仿宋" w:cs="仿宋"/>
          <w:sz w:val="32"/>
          <w:szCs w:val="32"/>
        </w:rPr>
        <w:t>只，母鸡不少于4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00</w:t>
      </w:r>
      <w:r>
        <w:rPr>
          <w:rFonts w:hint="eastAsia" w:ascii="仿宋" w:hAnsi="仿宋" w:eastAsia="仿宋" w:cs="仿宋"/>
          <w:sz w:val="32"/>
          <w:szCs w:val="32"/>
        </w:rPr>
        <w:t>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省农科院种子库1个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保存新收集资源200份以上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省农科院花卉圃1个补充收集月季和绣球等为主的花卉种质资源30份以上，繁殖更新资源20份以上。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省农科院</w:t>
      </w:r>
      <w:r>
        <w:rPr>
          <w:rFonts w:hint="eastAsia" w:ascii="仿宋" w:hAnsi="仿宋" w:eastAsia="仿宋" w:cs="仿宋"/>
          <w:bCs/>
          <w:sz w:val="32"/>
          <w:szCs w:val="32"/>
        </w:rPr>
        <w:t>野生稻种种质资源圃1个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保存新收集野生稻资源40份以上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。</w:t>
      </w:r>
    </w:p>
    <w:p>
      <w:pPr>
        <w:spacing w:line="360" w:lineRule="auto"/>
        <w:ind w:firstLine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云南农大水稻核心种质库1个种质资源的繁育保存和更新，保持种子活力，每年1000-2000份。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 w:cs="仿宋"/>
          <w:sz w:val="32"/>
          <w:szCs w:val="32"/>
        </w:rPr>
        <w:t>云南农大高原甘蔗种质资源圃1个25万元、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配制不同杂交组合，获得杂交花穗不少于30个，培育生生苗1000株以上，筛选鉴定甘蔗新种质30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45份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（4）构建基于资源信息共享的甘蔗种质资源表型组、基因组等数据库和相关模型2~3个；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</w:t>
      </w:r>
      <w:r>
        <w:rPr>
          <w:rFonts w:hint="eastAsia" w:ascii="仿宋" w:hAnsi="仿宋" w:eastAsia="仿宋" w:cs="仿宋"/>
          <w:sz w:val="32"/>
          <w:szCs w:val="32"/>
        </w:rPr>
        <w:t>云南农大马铃薯种质资源圃1个25万元。</w:t>
      </w:r>
    </w:p>
    <w:p>
      <w:pPr>
        <w:ind w:firstLine="800" w:firstLineChars="25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开展了资源更新和筛选鉴定工作。在项目建设期内筛选低筛选实生子38471份，筛选低代品系1911份，高代品系726份，筛选具有推广应用潜力的示范品系16份。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2" w:firstLineChars="200"/>
        <w:textAlignment w:val="auto"/>
        <w:outlineLvl w:val="0"/>
        <w:rPr>
          <w:rFonts w:hint="eastAsia" w:ascii="仿宋_GB231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Cs w:val="32"/>
          <w:lang w:eastAsia="zh-CN"/>
        </w:rPr>
        <w:t>（四）</w:t>
      </w:r>
      <w:r>
        <w:rPr>
          <w:rFonts w:hint="eastAsia" w:ascii="楷体_GB2312" w:hAnsi="楷体_GB2312" w:eastAsia="楷体_GB2312" w:cs="楷体_GB2312"/>
          <w:b/>
          <w:bCs/>
          <w:szCs w:val="32"/>
        </w:rPr>
        <w:t>绩效指标完成情况分析。</w:t>
      </w:r>
      <w:r>
        <w:rPr>
          <w:rFonts w:hint="eastAsia" w:ascii="仿宋_GB2312"/>
          <w:szCs w:val="32"/>
        </w:rPr>
        <w:t>（</w:t>
      </w:r>
      <w:r>
        <w:rPr>
          <w:rFonts w:hint="eastAsia" w:ascii="仿宋_GB2312"/>
          <w:szCs w:val="32"/>
          <w:lang w:eastAsia="zh-CN"/>
        </w:rPr>
        <w:t>根据各三级绩效指标值，逐项分析全年实际完成情况</w:t>
      </w:r>
      <w:r>
        <w:rPr>
          <w:rFonts w:hint="eastAsia" w:ascii="仿宋_GB2312"/>
          <w:szCs w:val="32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560" w:leftChars="0" w:firstLine="640" w:firstLineChars="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省级畜禽遗传资源（家禽活体）基因库1个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）建设</w:t>
      </w:r>
      <w:r>
        <w:rPr>
          <w:rFonts w:hint="eastAsia" w:ascii="仿宋" w:hAnsi="仿宋" w:eastAsia="仿宋" w:cs="仿宋"/>
          <w:sz w:val="32"/>
          <w:szCs w:val="32"/>
        </w:rPr>
        <w:t>茶花鸡家系保种，40个家系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</w:rPr>
        <w:t>公鸡不少于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80</w:t>
      </w:r>
      <w:r>
        <w:rPr>
          <w:rFonts w:hint="eastAsia" w:ascii="仿宋" w:hAnsi="仿宋" w:eastAsia="仿宋" w:cs="仿宋"/>
          <w:sz w:val="32"/>
          <w:szCs w:val="32"/>
        </w:rPr>
        <w:t>只，母鸡不少于4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00</w:t>
      </w:r>
      <w:r>
        <w:rPr>
          <w:rFonts w:hint="eastAsia" w:ascii="仿宋" w:hAnsi="仿宋" w:eastAsia="仿宋" w:cs="仿宋"/>
          <w:sz w:val="32"/>
          <w:szCs w:val="32"/>
        </w:rPr>
        <w:t>只，（每个家系公鸡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只，母鸡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10</w:t>
      </w:r>
      <w:r>
        <w:rPr>
          <w:rFonts w:hint="eastAsia" w:ascii="仿宋" w:hAnsi="仿宋" w:eastAsia="仿宋" w:cs="仿宋"/>
          <w:sz w:val="32"/>
          <w:szCs w:val="32"/>
        </w:rPr>
        <w:t>只）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300" w:leftChars="0"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sz w:val="32"/>
          <w:szCs w:val="32"/>
        </w:rPr>
        <w:t>其余品种做群体保种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其中腾冲雪鸡</w:t>
      </w:r>
      <w:r>
        <w:rPr>
          <w:rFonts w:hint="eastAsia" w:ascii="仿宋" w:hAnsi="仿宋" w:eastAsia="仿宋" w:cs="仿宋"/>
          <w:sz w:val="32"/>
          <w:szCs w:val="32"/>
        </w:rPr>
        <w:t>母鸡数量不少于400只；公鸡不少于80只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盐津乌骨鸡</w:t>
      </w:r>
      <w:r>
        <w:rPr>
          <w:rFonts w:hint="eastAsia" w:ascii="仿宋" w:hAnsi="仿宋" w:eastAsia="仿宋" w:cs="仿宋"/>
          <w:sz w:val="32"/>
          <w:szCs w:val="32"/>
        </w:rPr>
        <w:t>母鸡数量不少于400只；公鸡不少于80只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独龙鸡</w:t>
      </w:r>
      <w:r>
        <w:rPr>
          <w:rFonts w:hint="eastAsia" w:ascii="仿宋" w:hAnsi="仿宋" w:eastAsia="仿宋" w:cs="仿宋"/>
          <w:sz w:val="32"/>
          <w:szCs w:val="32"/>
        </w:rPr>
        <w:t>母鸡数量不少于400只；公鸡不少于80只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大围山微型鸡</w:t>
      </w:r>
      <w:r>
        <w:rPr>
          <w:rFonts w:hint="eastAsia" w:ascii="仿宋" w:hAnsi="仿宋" w:eastAsia="仿宋" w:cs="仿宋"/>
          <w:sz w:val="32"/>
          <w:szCs w:val="32"/>
        </w:rPr>
        <w:t>母鸡数量不少于400只；公鸡不少于80只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</w:t>
      </w:r>
      <w:r>
        <w:rPr>
          <w:rFonts w:hint="eastAsia" w:ascii="仿宋" w:hAnsi="仿宋" w:eastAsia="仿宋" w:cs="仿宋"/>
          <w:sz w:val="32"/>
          <w:szCs w:val="32"/>
        </w:rPr>
        <w:t>省农科院种子库1个25万元、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提升云南省省级农作物种质资源库种子安全保存与共享分发能力，保障库存现有4万份农作物种质资源生活力，保存新收集资源200份以上，繁殖更新、鉴定评价云南特色资源30份以上；提升云南农作物种质资源库信息管理系统1套；共享分发种子50份次以上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3、</w:t>
      </w:r>
      <w:r>
        <w:rPr>
          <w:rFonts w:hint="eastAsia" w:ascii="仿宋" w:hAnsi="仿宋" w:eastAsia="仿宋" w:cs="仿宋"/>
          <w:sz w:val="32"/>
          <w:szCs w:val="32"/>
        </w:rPr>
        <w:t>省农科院花卉圃1个25万元</w:t>
      </w:r>
    </w:p>
    <w:p>
      <w:pPr>
        <w:adjustRightInd w:val="0"/>
        <w:snapToGrid w:val="0"/>
        <w:spacing w:line="360" w:lineRule="auto"/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补充收集月季和绣球等为主的花卉种质资源30份以上，繁殖更新资源20份以上；对已收集保存的部分种质资源继续开展性状鉴定评价；继续对社会公众开展科普教育和资源共享等服务。通过项目实施，云南省省级花卉资源圃得到提升，收集保存的花卉种质资源得到扩充和更新，为进一步合理开发利用花卉种质资源奠定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4、</w:t>
      </w:r>
      <w:r>
        <w:rPr>
          <w:rFonts w:hint="eastAsia" w:ascii="仿宋" w:hAnsi="仿宋" w:eastAsia="仿宋" w:cs="仿宋"/>
          <w:sz w:val="32"/>
          <w:szCs w:val="32"/>
        </w:rPr>
        <w:t>省农科院</w:t>
      </w:r>
      <w:r>
        <w:rPr>
          <w:rFonts w:hint="eastAsia" w:ascii="仿宋" w:hAnsi="仿宋" w:eastAsia="仿宋" w:cs="仿宋"/>
          <w:bCs/>
          <w:sz w:val="32"/>
          <w:szCs w:val="32"/>
        </w:rPr>
        <w:t>野生稻种种质资源圃1个25万元、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维护野生稻资源圃日常运行，开展省内外野生稻资源调查收集3次以上，保存新收集野生稻资源40份以上，鉴定评价野生稻资源50份以上，开展资源圃参观、调研等2次，开展会议培训2次，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  <w:lang w:val="en-US" w:eastAsia="zh-CN"/>
        </w:rPr>
        <w:t>5、</w:t>
      </w:r>
      <w:r>
        <w:rPr>
          <w:rFonts w:hint="eastAsia" w:ascii="仿宋" w:hAnsi="仿宋" w:eastAsia="仿宋" w:cs="仿宋"/>
          <w:sz w:val="32"/>
          <w:szCs w:val="32"/>
        </w:rPr>
        <w:t>云南农大水稻核心种质库1个25万元、</w:t>
      </w:r>
    </w:p>
    <w:p>
      <w:pPr>
        <w:spacing w:line="360" w:lineRule="auto"/>
        <w:ind w:firstLine="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构建水稻信息化智能育种平台，对每年繁育的种质资源进行性状采集、维护及出入库管理。每年有计划地针对已有种质资源的繁育保存和更新，保持种子活力，每年1000-2000份。每年进行资源综合，筛选优质、多抗、广亲和优异种质资源，利用传统育种方式和分子辅助选择相结合的方式开展聚合育种，创制新种质100-200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6、</w:t>
      </w:r>
      <w:r>
        <w:rPr>
          <w:rFonts w:hint="eastAsia" w:ascii="仿宋" w:hAnsi="仿宋" w:eastAsia="仿宋" w:cs="仿宋"/>
          <w:sz w:val="32"/>
          <w:szCs w:val="32"/>
        </w:rPr>
        <w:t>云南农大高原甘蔗种质资源圃1个25万元、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（1）资源圃全部野生资源实行“隔离桶”种植，并按资源类型、生长习性等分区种植和管理；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（2）探索建立甘蔗种质资源离体保存技术体系；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（3）配制不同杂交组合，获得杂交花穗不少于30个，培育生生苗1000株以上，筛选鉴定甘蔗新种质30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45份，选育甘蔗新品系/种3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4个；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（4）构建基于资源信息共享的甘蔗种质资源表型组、基因组等数据库和相关模型2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3个；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b w:val="0"/>
          <w:bCs/>
          <w:sz w:val="32"/>
          <w:szCs w:val="32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（5）挖掘有益基因3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5个（GenBank登录号），获得授权专利2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3件，获植物新品种保护2</w:t>
      </w:r>
      <w:r>
        <w:rPr>
          <w:rFonts w:hint="eastAsia" w:ascii="仿宋" w:hAnsi="仿宋" w:eastAsia="仿宋" w:cs="仿宋"/>
          <w:b w:val="0"/>
          <w:bCs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b w:val="0"/>
          <w:bCs/>
          <w:sz w:val="32"/>
          <w:szCs w:val="32"/>
        </w:rPr>
        <w:t>3个；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sz w:val="32"/>
          <w:szCs w:val="32"/>
        </w:rPr>
        <w:t>（6）发表高</w:t>
      </w:r>
      <w:r>
        <w:rPr>
          <w:rFonts w:hint="eastAsia" w:ascii="仿宋" w:hAnsi="仿宋" w:eastAsia="仿宋" w:cs="仿宋"/>
          <w:sz w:val="32"/>
          <w:szCs w:val="32"/>
        </w:rPr>
        <w:t>质量论文4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5篇，培养博士、硕士研究生4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-</w:t>
      </w:r>
      <w:r>
        <w:rPr>
          <w:rFonts w:hint="eastAsia" w:ascii="仿宋" w:hAnsi="仿宋" w:eastAsia="仿宋" w:cs="仿宋"/>
          <w:sz w:val="32"/>
          <w:szCs w:val="32"/>
        </w:rPr>
        <w:t>5人。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7、</w:t>
      </w:r>
      <w:r>
        <w:rPr>
          <w:rFonts w:hint="eastAsia" w:ascii="仿宋" w:hAnsi="仿宋" w:eastAsia="仿宋" w:cs="仿宋"/>
          <w:sz w:val="32"/>
          <w:szCs w:val="32"/>
        </w:rPr>
        <w:t>云南农大马铃薯种质资源圃1个25万元。</w:t>
      </w:r>
    </w:p>
    <w:p>
      <w:pPr>
        <w:ind w:firstLine="800" w:firstLineChars="25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在双江、建水、大理和昆明试验基地开展了资源更新和筛选鉴定工作。在项目建设期内筛选低筛选实生子38471份，筛选低代品系1911份，高代品系726份，筛选具有推广应用潜力的示范品系16份。</w:t>
      </w:r>
    </w:p>
    <w:p>
      <w:pPr>
        <w:ind w:firstLine="800" w:firstLineChars="25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对培育出的‘滇同薯1号’进行了无菌苗保存；收集鲁甸地区地方马铃薯资源1份（‘黑糯香1号’），CIP马铃薯资源1份（I-1039），收集地方资源‘转心乌’进行了无菌苗保存；通过转基因的手段培育了基因编辑‘大西洋’资源2份、过表达耐热基因的‘丽薯6号’资源1份；收集甘薯皮色变异资源2份，马铃薯皮色变异资源1份。对6份收集的薯类资源进行了繁育。引进CIP二倍体马铃薯资源34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仿宋_GB2312"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三、偏离绩效目标的原因和下一步改进措施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仿宋" w:hAnsi="仿宋" w:eastAsia="仿宋" w:cs="仿宋"/>
          <w:b w:val="0"/>
          <w:bCs w:val="0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Cs w:val="32"/>
          <w:lang w:eastAsia="zh-CN"/>
        </w:rPr>
        <w:t>无</w:t>
      </w:r>
      <w:r>
        <w:rPr>
          <w:rFonts w:hint="eastAsia" w:ascii="仿宋" w:hAnsi="仿宋" w:eastAsia="仿宋" w:cs="仿宋"/>
          <w:b w:val="0"/>
          <w:bCs w:val="0"/>
          <w:szCs w:val="32"/>
        </w:rPr>
        <w:t>偏离绩效目标的原因</w:t>
      </w:r>
      <w:r>
        <w:rPr>
          <w:rFonts w:hint="eastAsia" w:ascii="仿宋" w:hAnsi="仿宋" w:eastAsia="仿宋" w:cs="仿宋"/>
          <w:b w:val="0"/>
          <w:bCs w:val="0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绩效自评结果拟应用和公开情况</w:t>
      </w:r>
    </w:p>
    <w:p>
      <w:pPr>
        <w:ind w:firstLine="700" w:firstLineChars="250"/>
        <w:outlineLvl w:val="0"/>
        <w:rPr>
          <w:rFonts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根据《云南省省级作物种质资源圃（库）管理办法》，下步将加强种质资源接收入库，安全保存、鉴定评价、数据库建设及提供利用等种质资源基础性工作，力求有更大提升。主要包括：</w:t>
      </w:r>
    </w:p>
    <w:p>
      <w:pPr>
        <w:ind w:firstLine="700" w:firstLineChars="250"/>
        <w:outlineLvl w:val="0"/>
        <w:rPr>
          <w:rFonts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1、种质库日常维护，确保存量资源安全保存并保障足够的种质资源提供利用。</w:t>
      </w:r>
    </w:p>
    <w:p>
      <w:pPr>
        <w:ind w:firstLine="700" w:firstLineChars="250"/>
        <w:outlineLvl w:val="0"/>
        <w:rPr>
          <w:rFonts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2、农作物种子类种质资源接收、整理、登记编号、干燥、包装及种质资源共享利用，充分发挥种质库公益性作用。</w:t>
      </w:r>
    </w:p>
    <w:p>
      <w:pPr>
        <w:ind w:firstLine="700" w:firstLineChars="250"/>
        <w:outlineLvl w:val="0"/>
        <w:rPr>
          <w:rFonts w:ascii="宋体" w:hAnsi="宋体"/>
          <w:bCs/>
          <w:color w:val="000000"/>
          <w:sz w:val="28"/>
          <w:szCs w:val="28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3、按照《农作物种质资源描述规范的技术标准》及繁殖更新技术规程和标准，开展</w:t>
      </w:r>
      <w:r>
        <w:rPr>
          <w:rFonts w:ascii="宋体" w:hAnsi="宋体"/>
          <w:bCs/>
          <w:color w:val="000000"/>
          <w:sz w:val="28"/>
          <w:szCs w:val="28"/>
        </w:rPr>
        <w:t>性状鉴定评价</w:t>
      </w:r>
      <w:r>
        <w:rPr>
          <w:rFonts w:hint="eastAsia" w:ascii="宋体" w:hAnsi="宋体"/>
          <w:bCs/>
          <w:color w:val="000000"/>
          <w:sz w:val="28"/>
          <w:szCs w:val="28"/>
        </w:rPr>
        <w:t>与繁殖更新。</w:t>
      </w:r>
    </w:p>
    <w:p>
      <w:pPr>
        <w:ind w:firstLine="700" w:firstLineChars="250"/>
        <w:outlineLvl w:val="0"/>
        <w:rPr>
          <w:rFonts w:hint="eastAsia" w:ascii="黑体" w:hAnsi="黑体" w:eastAsia="黑体" w:cs="黑体"/>
          <w:bCs/>
          <w:szCs w:val="32"/>
        </w:rPr>
      </w:pPr>
      <w:r>
        <w:rPr>
          <w:rFonts w:hint="eastAsia" w:ascii="宋体" w:hAnsi="宋体"/>
          <w:bCs/>
          <w:color w:val="000000"/>
          <w:sz w:val="28"/>
          <w:szCs w:val="28"/>
        </w:rPr>
        <w:t>4、建设资源信息数据库与共享服务系统平台，为高效利用云南农作物种质资源提供数据支持。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ascii="黑体" w:hAnsi="黑体" w:eastAsia="黑体" w:cs="黑体"/>
          <w:bCs/>
          <w:szCs w:val="32"/>
        </w:rPr>
      </w:pPr>
      <w:r>
        <w:rPr>
          <w:rFonts w:hint="eastAsia" w:ascii="黑体" w:hAnsi="黑体" w:eastAsia="黑体" w:cs="黑体"/>
          <w:bCs/>
          <w:szCs w:val="32"/>
        </w:rPr>
        <w:t>五、其他需要说明的问题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华文宋体" w:hAnsi="华文宋体" w:eastAsia="华文宋体" w:cs="华文宋体"/>
          <w:lang w:eastAsia="zh-CN"/>
        </w:rPr>
      </w:pPr>
      <w:r>
        <w:rPr>
          <w:rFonts w:hint="eastAsia" w:ascii="华文宋体" w:hAnsi="华文宋体" w:eastAsia="华文宋体" w:cs="华文宋体"/>
          <w:lang w:eastAsia="zh-CN"/>
        </w:rPr>
        <w:t>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 w:ascii="黑体" w:hAnsi="黑体" w:eastAsia="黑体" w:cs="黑体"/>
          <w:lang w:val="en"/>
        </w:rPr>
      </w:pPr>
      <w:r>
        <w:rPr>
          <w:rFonts w:hint="eastAsia" w:ascii="黑体" w:hAnsi="黑体" w:eastAsia="黑体" w:cs="黑体"/>
          <w:lang w:val="en"/>
        </w:rPr>
        <w:t>六、附件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/>
          <w:lang w:eastAsia="zh-CN"/>
        </w:rPr>
      </w:pPr>
      <w:r>
        <w:rPr>
          <w:rFonts w:hint="eastAsia"/>
        </w:rPr>
        <w:t>转移支付区域（项目）绩效目标自评表</w:t>
      </w:r>
      <w:r>
        <w:rPr>
          <w:rFonts w:hint="eastAsia"/>
          <w:lang w:eastAsia="zh-CN"/>
        </w:rPr>
        <w:t>（见附件</w:t>
      </w:r>
      <w:r>
        <w:rPr>
          <w:rFonts w:hint="eastAsia"/>
          <w:lang w:val="en-US" w:eastAsia="zh-CN"/>
        </w:rPr>
        <w:t>2</w:t>
      </w:r>
      <w:r>
        <w:rPr>
          <w:rFonts w:hint="eastAsia"/>
          <w:lang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textAlignment w:val="auto"/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jc w:val="right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盘龙区农业农村局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80" w:lineRule="exact"/>
        <w:ind w:firstLine="600" w:firstLineChars="200"/>
        <w:jc w:val="right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2023年4月21日</w:t>
      </w:r>
    </w:p>
    <w:sectPr>
      <w:pgSz w:w="11906" w:h="16838"/>
      <w:pgMar w:top="1440" w:right="1800" w:bottom="1440" w:left="180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ECB5356"/>
    <w:multiLevelType w:val="singleLevel"/>
    <w:tmpl w:val="EECB5356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1">
    <w:nsid w:val="001D01A9"/>
    <w:multiLevelType w:val="singleLevel"/>
    <w:tmpl w:val="001D01A9"/>
    <w:lvl w:ilvl="0" w:tentative="0">
      <w:start w:val="1"/>
      <w:numFmt w:val="decimal"/>
      <w:suff w:val="nothing"/>
      <w:lvlText w:val="%1、"/>
      <w:lvlJc w:val="left"/>
      <w:pPr>
        <w:ind w:left="560"/>
      </w:pPr>
    </w:lvl>
  </w:abstractNum>
  <w:abstractNum w:abstractNumId="2">
    <w:nsid w:val="66650452"/>
    <w:multiLevelType w:val="singleLevel"/>
    <w:tmpl w:val="66650452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readOnly" w:enforcement="0"/>
  <w:defaultTabStop w:val="420"/>
  <w:drawingGridHorizontalSpacing w:val="150"/>
  <w:drawingGridVerticalSpacing w:val="581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E5NWFmOWQ3MmNmNTdlOWZmNTQ5NDczNjY2MDNlNDkifQ=="/>
  </w:docVars>
  <w:rsids>
    <w:rsidRoot w:val="00F57F82"/>
    <w:rsid w:val="000101E1"/>
    <w:rsid w:val="000732DA"/>
    <w:rsid w:val="00075CDC"/>
    <w:rsid w:val="000B1E8F"/>
    <w:rsid w:val="000B6964"/>
    <w:rsid w:val="00103D16"/>
    <w:rsid w:val="00111638"/>
    <w:rsid w:val="00111928"/>
    <w:rsid w:val="0012041C"/>
    <w:rsid w:val="00164D84"/>
    <w:rsid w:val="00173016"/>
    <w:rsid w:val="0017509C"/>
    <w:rsid w:val="001808CA"/>
    <w:rsid w:val="001A4E46"/>
    <w:rsid w:val="001E03FE"/>
    <w:rsid w:val="002123E8"/>
    <w:rsid w:val="00250053"/>
    <w:rsid w:val="0029569C"/>
    <w:rsid w:val="002A5FA7"/>
    <w:rsid w:val="002B3EEF"/>
    <w:rsid w:val="002B54E4"/>
    <w:rsid w:val="002E5562"/>
    <w:rsid w:val="002F6705"/>
    <w:rsid w:val="00301FC0"/>
    <w:rsid w:val="00336A16"/>
    <w:rsid w:val="003663A3"/>
    <w:rsid w:val="00387DD5"/>
    <w:rsid w:val="003B0980"/>
    <w:rsid w:val="003C6374"/>
    <w:rsid w:val="003D2CB9"/>
    <w:rsid w:val="00413F12"/>
    <w:rsid w:val="00493012"/>
    <w:rsid w:val="004D2137"/>
    <w:rsid w:val="005D1514"/>
    <w:rsid w:val="005D7CC3"/>
    <w:rsid w:val="006218A1"/>
    <w:rsid w:val="00682A10"/>
    <w:rsid w:val="006A30E4"/>
    <w:rsid w:val="006A74BF"/>
    <w:rsid w:val="006C1CEE"/>
    <w:rsid w:val="006D5A86"/>
    <w:rsid w:val="00707C2E"/>
    <w:rsid w:val="00722A7D"/>
    <w:rsid w:val="00724A6B"/>
    <w:rsid w:val="0073331B"/>
    <w:rsid w:val="00733C2D"/>
    <w:rsid w:val="00756C7F"/>
    <w:rsid w:val="007D7E6E"/>
    <w:rsid w:val="00850797"/>
    <w:rsid w:val="00853FC4"/>
    <w:rsid w:val="008720F1"/>
    <w:rsid w:val="00882EFA"/>
    <w:rsid w:val="008B2F56"/>
    <w:rsid w:val="008F0996"/>
    <w:rsid w:val="00903791"/>
    <w:rsid w:val="009600BD"/>
    <w:rsid w:val="00961C83"/>
    <w:rsid w:val="009922BC"/>
    <w:rsid w:val="009E0D8C"/>
    <w:rsid w:val="00A02AF3"/>
    <w:rsid w:val="00A25077"/>
    <w:rsid w:val="00A610CC"/>
    <w:rsid w:val="00A8737E"/>
    <w:rsid w:val="00AA19AF"/>
    <w:rsid w:val="00BC6882"/>
    <w:rsid w:val="00BD3FE0"/>
    <w:rsid w:val="00BE58CF"/>
    <w:rsid w:val="00CA5578"/>
    <w:rsid w:val="00CA7DAA"/>
    <w:rsid w:val="00D04826"/>
    <w:rsid w:val="00D63908"/>
    <w:rsid w:val="00D8718A"/>
    <w:rsid w:val="00D93453"/>
    <w:rsid w:val="00DC524D"/>
    <w:rsid w:val="00E071D6"/>
    <w:rsid w:val="00ED3E0F"/>
    <w:rsid w:val="00F015E4"/>
    <w:rsid w:val="00F57F82"/>
    <w:rsid w:val="00F75224"/>
    <w:rsid w:val="00F91EAE"/>
    <w:rsid w:val="00FA086C"/>
    <w:rsid w:val="00FA2093"/>
    <w:rsid w:val="00FA357A"/>
    <w:rsid w:val="037D0BC8"/>
    <w:rsid w:val="03C0467D"/>
    <w:rsid w:val="08313650"/>
    <w:rsid w:val="0845082D"/>
    <w:rsid w:val="09E965F2"/>
    <w:rsid w:val="0CC65B7F"/>
    <w:rsid w:val="0DFE05BC"/>
    <w:rsid w:val="0FF7AA4F"/>
    <w:rsid w:val="139840D3"/>
    <w:rsid w:val="143E091F"/>
    <w:rsid w:val="1476569A"/>
    <w:rsid w:val="14865FC8"/>
    <w:rsid w:val="14AE18E2"/>
    <w:rsid w:val="14D04E4A"/>
    <w:rsid w:val="150C2DB0"/>
    <w:rsid w:val="1A7D29EA"/>
    <w:rsid w:val="1D994BCF"/>
    <w:rsid w:val="1E761F05"/>
    <w:rsid w:val="1F6148EF"/>
    <w:rsid w:val="1F7BE1E6"/>
    <w:rsid w:val="1FC7205C"/>
    <w:rsid w:val="21ED08E8"/>
    <w:rsid w:val="228B3D05"/>
    <w:rsid w:val="23165F60"/>
    <w:rsid w:val="258D6E84"/>
    <w:rsid w:val="277D3DF7"/>
    <w:rsid w:val="284E74F8"/>
    <w:rsid w:val="2ADB48E8"/>
    <w:rsid w:val="2E5240F5"/>
    <w:rsid w:val="30090530"/>
    <w:rsid w:val="328F652D"/>
    <w:rsid w:val="36687282"/>
    <w:rsid w:val="367793B2"/>
    <w:rsid w:val="3794FC37"/>
    <w:rsid w:val="38EF7AD8"/>
    <w:rsid w:val="3E1672E6"/>
    <w:rsid w:val="3E1F711B"/>
    <w:rsid w:val="3EB9C2BB"/>
    <w:rsid w:val="3FEF6A07"/>
    <w:rsid w:val="40C23251"/>
    <w:rsid w:val="415F08D8"/>
    <w:rsid w:val="43FB16FF"/>
    <w:rsid w:val="44E2230F"/>
    <w:rsid w:val="48627FBD"/>
    <w:rsid w:val="48B51347"/>
    <w:rsid w:val="491B45FA"/>
    <w:rsid w:val="4A4D05E3"/>
    <w:rsid w:val="4A55216A"/>
    <w:rsid w:val="4CC12409"/>
    <w:rsid w:val="4CC90847"/>
    <w:rsid w:val="4F1F0F0B"/>
    <w:rsid w:val="4FE0696A"/>
    <w:rsid w:val="546F8569"/>
    <w:rsid w:val="55673508"/>
    <w:rsid w:val="55ED5AE6"/>
    <w:rsid w:val="58B115BC"/>
    <w:rsid w:val="59595A6F"/>
    <w:rsid w:val="597350B8"/>
    <w:rsid w:val="599330CA"/>
    <w:rsid w:val="5A7FCB1F"/>
    <w:rsid w:val="5D2B78D3"/>
    <w:rsid w:val="5FEAF7C9"/>
    <w:rsid w:val="60D5009F"/>
    <w:rsid w:val="625F31FE"/>
    <w:rsid w:val="64AC2E11"/>
    <w:rsid w:val="65FD0201"/>
    <w:rsid w:val="660721C9"/>
    <w:rsid w:val="661E6C75"/>
    <w:rsid w:val="664D7E95"/>
    <w:rsid w:val="67F75FF5"/>
    <w:rsid w:val="681D4831"/>
    <w:rsid w:val="692E4B19"/>
    <w:rsid w:val="69513EF7"/>
    <w:rsid w:val="6BF3256F"/>
    <w:rsid w:val="6CE7018A"/>
    <w:rsid w:val="6DFD4B69"/>
    <w:rsid w:val="6E3E3F2D"/>
    <w:rsid w:val="71344263"/>
    <w:rsid w:val="715B2F02"/>
    <w:rsid w:val="72A44DA0"/>
    <w:rsid w:val="73C801C8"/>
    <w:rsid w:val="76A548F2"/>
    <w:rsid w:val="7765772E"/>
    <w:rsid w:val="776F5E62"/>
    <w:rsid w:val="77867685"/>
    <w:rsid w:val="77EE7FE7"/>
    <w:rsid w:val="781F36B6"/>
    <w:rsid w:val="790627AD"/>
    <w:rsid w:val="79DFF8C4"/>
    <w:rsid w:val="7ADC59FA"/>
    <w:rsid w:val="7AFF2FC3"/>
    <w:rsid w:val="7BF6B4C5"/>
    <w:rsid w:val="7DDD794F"/>
    <w:rsid w:val="7DFA6624"/>
    <w:rsid w:val="7DFD8AD7"/>
    <w:rsid w:val="7DFEFB95"/>
    <w:rsid w:val="7ECD6B9A"/>
    <w:rsid w:val="7FBA576D"/>
    <w:rsid w:val="7FDE47D5"/>
    <w:rsid w:val="7FFD003D"/>
    <w:rsid w:val="94BFC172"/>
    <w:rsid w:val="9BFA614C"/>
    <w:rsid w:val="BAFE1E17"/>
    <w:rsid w:val="BBDF5B5A"/>
    <w:rsid w:val="BBE428C2"/>
    <w:rsid w:val="BFBF52D7"/>
    <w:rsid w:val="DF6E82F1"/>
    <w:rsid w:val="DFCEE0CE"/>
    <w:rsid w:val="DFFF7077"/>
    <w:rsid w:val="EEBF76D9"/>
    <w:rsid w:val="F36EF6AC"/>
    <w:rsid w:val="F6FDCC0E"/>
    <w:rsid w:val="F767D450"/>
    <w:rsid w:val="F76FB1DB"/>
    <w:rsid w:val="F7FBEBBF"/>
    <w:rsid w:val="F9F3FBF0"/>
    <w:rsid w:val="FB9F8FA2"/>
    <w:rsid w:val="FDB5389F"/>
    <w:rsid w:val="FFAFB80B"/>
    <w:rsid w:val="FFF9F8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360" w:lineRule="auto"/>
      <w:ind w:firstLine="200" w:firstLineChars="200"/>
    </w:pPr>
    <w:rPr>
      <w:rFonts w:ascii="Calibri" w:hAnsi="Calibri"/>
      <w:szCs w:val="22"/>
    </w:rPr>
  </w:style>
  <w:style w:type="paragraph" w:styleId="3">
    <w:name w:val="toc 5"/>
    <w:basedOn w:val="1"/>
    <w:next w:val="1"/>
    <w:unhideWhenUsed/>
    <w:qFormat/>
    <w:uiPriority w:val="39"/>
    <w:pPr>
      <w:spacing w:line="560" w:lineRule="exact"/>
      <w:ind w:left="880"/>
    </w:pPr>
    <w:rPr>
      <w:rFonts w:eastAsia="Calibri"/>
      <w:sz w:val="18"/>
      <w:szCs w:val="18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页脚 Char"/>
    <w:basedOn w:val="9"/>
    <w:link w:val="5"/>
    <w:qFormat/>
    <w:uiPriority w:val="99"/>
    <w:rPr>
      <w:rFonts w:eastAsia="仿宋_GB2312"/>
      <w:kern w:val="2"/>
      <w:sz w:val="18"/>
      <w:szCs w:val="18"/>
    </w:rPr>
  </w:style>
  <w:style w:type="character" w:customStyle="1" w:styleId="11">
    <w:name w:val="页眉 Char"/>
    <w:basedOn w:val="9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12">
    <w:name w:val="批注框文本 Char"/>
    <w:basedOn w:val="9"/>
    <w:link w:val="4"/>
    <w:qFormat/>
    <w:uiPriority w:val="0"/>
    <w:rPr>
      <w:rFonts w:eastAsia="仿宋_GB2312"/>
      <w:kern w:val="2"/>
      <w:sz w:val="18"/>
      <w:szCs w:val="18"/>
    </w:rPr>
  </w:style>
  <w:style w:type="paragraph" w:customStyle="1" w:styleId="13">
    <w:name w:val="p0"/>
    <w:basedOn w:val="1"/>
    <w:qFormat/>
    <w:uiPriority w:val="0"/>
    <w:pPr>
      <w:widowControl/>
      <w:spacing w:line="240" w:lineRule="auto"/>
    </w:pPr>
    <w:rPr>
      <w:rFonts w:ascii="Times New Roman" w:hAnsi="Times New Roman" w:eastAsia="宋体" w:cs="Times New Roman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5</Pages>
  <Words>1891</Words>
  <Characters>2065</Characters>
  <Lines>3</Lines>
  <Paragraphs>1</Paragraphs>
  <TotalTime>2</TotalTime>
  <ScaleCrop>false</ScaleCrop>
  <LinksUpToDate>false</LinksUpToDate>
  <CharactersWithSpaces>2072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2019-02-17T06:26:00Z</dcterms:created>
  <dc:creator>lhn</dc:creator>
  <cp:lastModifiedBy>Administrator</cp:lastModifiedBy>
  <cp:lastPrinted>2023-02-24T17:51:00Z</cp:lastPrinted>
  <dcterms:modified xsi:type="dcterms:W3CDTF">2023-04-26T06:14:44Z</dcterms:modified>
  <dc:title>财政支出绩效评价报告</dc:title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D2EC70B93FC04EF9B81DCFC78A66D829</vt:lpwstr>
  </property>
</Properties>
</file>