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hint="default" w:ascii="Times New Roman" w:hAnsi="Times New Roman" w:eastAsia="方正小标宋_GBK" w:cs="Times New Roman"/>
          <w:sz w:val="28"/>
          <w:szCs w:val="28"/>
        </w:rPr>
      </w:pPr>
      <w:r>
        <w:rPr>
          <w:rFonts w:hint="default" w:ascii="Times New Roman" w:hAnsi="Times New Roman" w:eastAsia="方正小标宋_GBK" w:cs="Times New Roman"/>
          <w:sz w:val="28"/>
          <w:szCs w:val="28"/>
        </w:rPr>
        <w:t>附件5：项目支出绩效评价报告</w:t>
      </w:r>
    </w:p>
    <w:p>
      <w:pPr>
        <w:spacing w:before="120" w:after="120" w:line="480" w:lineRule="auto"/>
        <w:jc w:val="center"/>
        <w:rPr>
          <w:rFonts w:hint="default" w:ascii="Times New Roman" w:hAnsi="Times New Roman" w:eastAsia="黑体" w:cs="Times New Roman"/>
          <w:b/>
          <w:bCs/>
          <w:sz w:val="52"/>
          <w:szCs w:val="52"/>
        </w:rPr>
      </w:pPr>
    </w:p>
    <w:p>
      <w:pPr>
        <w:jc w:val="center"/>
        <w:rPr>
          <w:rFonts w:hint="default" w:ascii="Times New Roman" w:hAnsi="Times New Roman" w:eastAsia="黑体" w:cs="Times New Roman"/>
          <w:bCs/>
          <w:sz w:val="52"/>
          <w:szCs w:val="52"/>
        </w:rPr>
      </w:pPr>
      <w:r>
        <w:rPr>
          <w:rFonts w:hint="default" w:ascii="Times New Roman" w:hAnsi="Times New Roman" w:eastAsia="黑体" w:cs="Times New Roman"/>
          <w:bCs/>
          <w:sz w:val="52"/>
          <w:szCs w:val="52"/>
        </w:rPr>
        <w:t>追加松华坝生态修复项目经费支出绩效自评报告</w:t>
      </w:r>
    </w:p>
    <w:p>
      <w:pPr>
        <w:spacing w:before="120" w:after="120" w:line="480" w:lineRule="auto"/>
        <w:rPr>
          <w:rFonts w:hint="default" w:ascii="Times New Roman" w:hAnsi="Times New Roman" w:cs="Times New Roman"/>
          <w:b/>
          <w:bCs/>
          <w:sz w:val="44"/>
          <w:szCs w:val="44"/>
        </w:rPr>
      </w:pPr>
    </w:p>
    <w:p>
      <w:pPr>
        <w:spacing w:before="120" w:after="120" w:line="480" w:lineRule="auto"/>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eastAsia="黑体" w:cs="Times New Roman"/>
          <w:b/>
          <w:bCs/>
          <w:sz w:val="44"/>
          <w:szCs w:val="44"/>
        </w:rPr>
      </w:pPr>
    </w:p>
    <w:p>
      <w:pPr>
        <w:tabs>
          <w:tab w:val="center" w:pos="4783"/>
          <w:tab w:val="right" w:pos="8306"/>
        </w:tabs>
        <w:adjustRightInd w:val="0"/>
        <w:snapToGrid w:val="0"/>
        <w:spacing w:line="360" w:lineRule="auto"/>
        <w:ind w:left="1260" w:left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部门名称（公章）：</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t>盘龙区农业农村局</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项目单位： </w:t>
      </w:r>
      <w:r>
        <w:rPr>
          <w:rFonts w:hint="eastAsia" w:ascii="Times New Roman" w:hAnsi="Times New Roman" w:eastAsia="黑体" w:cs="Times New Roman"/>
          <w:b/>
          <w:bCs/>
          <w:sz w:val="28"/>
          <w:szCs w:val="28"/>
          <w:lang w:val="en-US" w:eastAsia="zh-CN"/>
        </w:rPr>
        <w:t>昆明市盘龙区农业发展投资有限公司</w:t>
      </w:r>
    </w:p>
    <w:p>
      <w:pPr>
        <w:tabs>
          <w:tab w:val="left" w:pos="3445"/>
        </w:tabs>
        <w:adjustRightInd w:val="0"/>
        <w:snapToGrid w:val="0"/>
        <w:spacing w:line="360" w:lineRule="auto"/>
        <w:ind w:left="1260" w:left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 xml:space="preserve">主管部门： </w:t>
      </w:r>
      <w:r>
        <w:rPr>
          <w:rFonts w:hint="default" w:ascii="Times New Roman" w:hAnsi="Times New Roman" w:eastAsia="黑体" w:cs="Times New Roman"/>
          <w:b/>
          <w:bCs/>
          <w:sz w:val="28"/>
          <w:szCs w:val="28"/>
        </w:rPr>
        <w:tab/>
      </w:r>
      <w:r>
        <w:rPr>
          <w:rFonts w:hint="default" w:ascii="Times New Roman" w:hAnsi="Times New Roman" w:eastAsia="黑体" w:cs="Times New Roman"/>
          <w:b/>
          <w:bCs/>
          <w:sz w:val="28"/>
          <w:szCs w:val="28"/>
        </w:rPr>
        <w:t>盘龙区农业农村局</w:t>
      </w:r>
    </w:p>
    <w:p>
      <w:pPr>
        <w:adjustRightInd w:val="0"/>
        <w:snapToGrid w:val="0"/>
        <w:spacing w:line="360" w:lineRule="auto"/>
        <w:ind w:left="2665" w:leftChars="600" w:hanging="1405" w:hangingChars="5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 追加松华坝生态修复项目经费支出绩效自评报告</w:t>
      </w:r>
    </w:p>
    <w:p>
      <w:pPr>
        <w:adjustRightInd w:val="0"/>
        <w:snapToGrid w:val="0"/>
        <w:spacing w:line="360" w:lineRule="auto"/>
        <w:ind w:left="2665" w:leftChars="600" w:hanging="1405" w:hangingChars="500"/>
        <w:rPr>
          <w:rFonts w:hint="default" w:ascii="Times New Roman" w:hAnsi="Times New Roman" w:eastAsia="黑体" w:cs="Times New Roman"/>
          <w:b/>
          <w:bCs/>
          <w:sz w:val="28"/>
          <w:szCs w:val="28"/>
        </w:rPr>
      </w:pPr>
    </w:p>
    <w:p>
      <w:pPr>
        <w:adjustRightInd w:val="0"/>
        <w:snapToGrid w:val="0"/>
        <w:spacing w:line="360" w:lineRule="auto"/>
        <w:ind w:left="1260" w:left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绩效自评日期： 202</w:t>
      </w:r>
      <w:r>
        <w:rPr>
          <w:rFonts w:hint="eastAsia" w:ascii="Times New Roman" w:hAnsi="Times New Roman" w:eastAsia="黑体" w:cs="Times New Roman"/>
          <w:b/>
          <w:bCs/>
          <w:sz w:val="28"/>
          <w:szCs w:val="28"/>
          <w:lang w:val="en-US" w:eastAsia="zh-CN"/>
        </w:rPr>
        <w:t>3</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4</w:t>
      </w:r>
      <w:r>
        <w:rPr>
          <w:rFonts w:hint="default" w:ascii="Times New Roman" w:hAnsi="Times New Roman" w:eastAsia="黑体" w:cs="Times New Roman"/>
          <w:b/>
          <w:bCs/>
          <w:sz w:val="28"/>
          <w:szCs w:val="28"/>
        </w:rPr>
        <w:t>月</w:t>
      </w:r>
      <w:r>
        <w:rPr>
          <w:rFonts w:hint="eastAsia" w:ascii="Times New Roman" w:hAnsi="Times New Roman" w:eastAsia="黑体" w:cs="Times New Roman"/>
          <w:b/>
          <w:bCs/>
          <w:sz w:val="28"/>
          <w:szCs w:val="28"/>
          <w:lang w:val="en-US" w:eastAsia="zh-CN"/>
        </w:rPr>
        <w:t>28</w:t>
      </w:r>
      <w:r>
        <w:rPr>
          <w:rFonts w:hint="default" w:ascii="Times New Roman" w:hAnsi="Times New Roman" w:eastAsia="黑体" w:cs="Times New Roman"/>
          <w:b/>
          <w:bCs/>
          <w:sz w:val="28"/>
          <w:szCs w:val="28"/>
        </w:rPr>
        <w:t>日</w:t>
      </w: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3</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4</w:t>
      </w:r>
      <w:r>
        <w:rPr>
          <w:rFonts w:hint="default" w:ascii="Times New Roman" w:hAnsi="Times New Roman" w:eastAsia="黑体" w:cs="Times New Roman"/>
          <w:b/>
          <w:bCs/>
          <w:sz w:val="28"/>
          <w:szCs w:val="28"/>
        </w:rPr>
        <w:t>月</w:t>
      </w:r>
    </w:p>
    <w:p>
      <w:pPr>
        <w:rPr>
          <w:rFonts w:hint="default" w:ascii="Times New Roman" w:hAnsi="Times New Roman" w:eastAsia="黑体" w:cs="Times New Roman"/>
          <w:b/>
          <w:bCs/>
          <w:sz w:val="28"/>
          <w:szCs w:val="28"/>
        </w:rPr>
      </w:pPr>
    </w:p>
    <w:p>
      <w:pPr>
        <w:jc w:val="center"/>
        <w:rPr>
          <w:rFonts w:hint="default" w:ascii="Times New Roman" w:hAnsi="Times New Roman" w:eastAsia="仿宋_GB2312" w:cs="Times New Roman"/>
          <w:b/>
          <w:bCs/>
          <w:sz w:val="28"/>
          <w:szCs w:val="28"/>
        </w:rPr>
      </w:pPr>
    </w:p>
    <w:p>
      <w:pPr>
        <w:widowControl/>
        <w:jc w:val="left"/>
        <w:rPr>
          <w:rFonts w:hint="default" w:ascii="Times New Roman" w:hAnsi="Times New Roman" w:eastAsia="仿宋_GB2312" w:cs="Times New Roman"/>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420" w:leftChars="200"/>
        <w:jc w:val="both"/>
        <w:rPr>
          <w:rFonts w:hint="default" w:ascii="Times New Roman" w:hAnsi="Times New Roman" w:eastAsia="黑体" w:cs="Times New Roman"/>
          <w:kern w:val="2"/>
          <w:sz w:val="24"/>
          <w:szCs w:val="24"/>
          <w:lang w:val="zh-TW" w:eastAsia="zh-TW"/>
        </w:rPr>
      </w:pPr>
      <w:r>
        <w:rPr>
          <w:rFonts w:hint="default"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评价小组</w:t>
            </w:r>
          </w:p>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机构职位</w:t>
            </w:r>
          </w:p>
        </w:tc>
        <w:tc>
          <w:tcPr>
            <w:tcW w:w="1620"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姓名</w:t>
            </w:r>
          </w:p>
        </w:tc>
        <w:tc>
          <w:tcPr>
            <w:tcW w:w="1620"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职务/职称</w:t>
            </w:r>
          </w:p>
        </w:tc>
        <w:tc>
          <w:tcPr>
            <w:tcW w:w="1621"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所属</w:t>
            </w:r>
          </w:p>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单位/处室</w:t>
            </w:r>
          </w:p>
        </w:tc>
        <w:tc>
          <w:tcPr>
            <w:tcW w:w="1621"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组长</w:t>
            </w:r>
          </w:p>
        </w:tc>
        <w:tc>
          <w:tcPr>
            <w:tcW w:w="1620" w:type="dxa"/>
          </w:tcPr>
          <w:p>
            <w:pPr>
              <w:pStyle w:val="11"/>
              <w:widowControl w:val="0"/>
              <w:spacing w:after="0" w:line="240" w:lineRule="auto"/>
              <w:jc w:val="both"/>
              <w:rPr>
                <w:rFonts w:hint="default" w:ascii="Times New Roman" w:hAnsi="Times New Roman" w:eastAsia="仿宋" w:cs="Times New Roman"/>
                <w:kern w:val="2"/>
                <w:sz w:val="24"/>
                <w:szCs w:val="24"/>
                <w:lang w:val="en-US" w:eastAsia="zh-CN"/>
              </w:rPr>
            </w:pPr>
            <w:r>
              <w:rPr>
                <w:rFonts w:hint="default" w:ascii="Times New Roman" w:hAnsi="Times New Roman" w:eastAsia="仿宋" w:cs="Times New Roman"/>
                <w:kern w:val="2"/>
                <w:sz w:val="24"/>
                <w:szCs w:val="24"/>
                <w:lang w:val="en-US" w:eastAsia="zh-CN"/>
              </w:rPr>
              <w:t>冯瑞锦</w:t>
            </w:r>
          </w:p>
        </w:tc>
        <w:tc>
          <w:tcPr>
            <w:tcW w:w="1620" w:type="dxa"/>
          </w:tcPr>
          <w:p>
            <w:pPr>
              <w:pStyle w:val="11"/>
              <w:widowControl w:val="0"/>
              <w:spacing w:after="0" w:line="240" w:lineRule="auto"/>
              <w:jc w:val="both"/>
              <w:rPr>
                <w:rFonts w:hint="default" w:ascii="Times New Roman" w:hAnsi="Times New Roman" w:eastAsia="仿宋" w:cs="Times New Roman"/>
                <w:kern w:val="2"/>
                <w:sz w:val="24"/>
                <w:szCs w:val="24"/>
                <w:lang w:val="zh-TW" w:eastAsia="zh-CN"/>
              </w:rPr>
            </w:pPr>
            <w:r>
              <w:rPr>
                <w:rFonts w:hint="default" w:ascii="Times New Roman" w:hAnsi="Times New Roman" w:eastAsia="仿宋" w:cs="Times New Roman"/>
                <w:kern w:val="2"/>
                <w:sz w:val="24"/>
                <w:szCs w:val="24"/>
                <w:lang w:val="zh-TW" w:eastAsia="zh-CN"/>
              </w:rPr>
              <w:t>副局长</w:t>
            </w:r>
          </w:p>
        </w:tc>
        <w:tc>
          <w:tcPr>
            <w:tcW w:w="1621" w:type="dxa"/>
          </w:tcPr>
          <w:p>
            <w:pPr>
              <w:pStyle w:val="11"/>
              <w:widowControl w:val="0"/>
              <w:spacing w:after="0" w:line="240" w:lineRule="auto"/>
              <w:jc w:val="both"/>
              <w:rPr>
                <w:rFonts w:hint="default" w:ascii="Times New Roman" w:hAnsi="Times New Roman" w:eastAsia="仿宋" w:cs="Times New Roman"/>
                <w:kern w:val="2"/>
                <w:sz w:val="24"/>
                <w:szCs w:val="24"/>
                <w:lang w:val="zh-TW" w:eastAsia="zh-CN"/>
              </w:rPr>
            </w:pPr>
            <w:r>
              <w:rPr>
                <w:rFonts w:hint="default" w:ascii="Times New Roman" w:hAnsi="Times New Roman" w:eastAsia="仿宋" w:cs="Times New Roman"/>
                <w:kern w:val="2"/>
                <w:sz w:val="24"/>
                <w:szCs w:val="24"/>
                <w:lang w:val="zh-TW" w:eastAsia="zh-CN"/>
              </w:rPr>
              <w:t>区农业农村局</w:t>
            </w:r>
          </w:p>
        </w:tc>
        <w:tc>
          <w:tcPr>
            <w:tcW w:w="1621" w:type="dxa"/>
          </w:tcPr>
          <w:p>
            <w:pPr>
              <w:pStyle w:val="11"/>
              <w:widowControl w:val="0"/>
              <w:spacing w:after="0" w:line="240" w:lineRule="auto"/>
              <w:jc w:val="both"/>
              <w:rPr>
                <w:rFonts w:hint="default" w:ascii="Times New Roman" w:hAnsi="Times New Roman" w:eastAsia="仿宋"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副组长</w:t>
            </w:r>
          </w:p>
        </w:tc>
        <w:tc>
          <w:tcPr>
            <w:tcW w:w="1620" w:type="dxa"/>
          </w:tcPr>
          <w:p>
            <w:pPr>
              <w:pStyle w:val="11"/>
              <w:widowControl w:val="0"/>
              <w:spacing w:after="0" w:line="360" w:lineRule="auto"/>
              <w:jc w:val="both"/>
              <w:rPr>
                <w:rFonts w:hint="eastAsia" w:ascii="Times New Roman" w:hAnsi="Times New Roman" w:eastAsia="仿宋" w:cs="Times New Roman"/>
                <w:kern w:val="2"/>
                <w:sz w:val="24"/>
                <w:szCs w:val="24"/>
                <w:lang w:val="zh-TW" w:eastAsia="zh-CN"/>
              </w:rPr>
            </w:pPr>
            <w:r>
              <w:rPr>
                <w:rFonts w:hint="eastAsia" w:ascii="Times New Roman" w:hAnsi="Times New Roman" w:eastAsia="仿宋" w:cs="Times New Roman"/>
                <w:kern w:val="2"/>
                <w:sz w:val="24"/>
                <w:szCs w:val="24"/>
                <w:lang w:val="zh-TW" w:eastAsia="zh-CN"/>
              </w:rPr>
              <w:t>张丽红</w:t>
            </w:r>
          </w:p>
        </w:tc>
        <w:tc>
          <w:tcPr>
            <w:tcW w:w="1620" w:type="dxa"/>
          </w:tcPr>
          <w:p>
            <w:pPr>
              <w:pStyle w:val="11"/>
              <w:widowControl w:val="0"/>
              <w:spacing w:after="0" w:line="360" w:lineRule="auto"/>
              <w:jc w:val="both"/>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科长</w:t>
            </w:r>
          </w:p>
        </w:tc>
        <w:tc>
          <w:tcPr>
            <w:tcW w:w="1621" w:type="dxa"/>
          </w:tcPr>
          <w:p>
            <w:pPr>
              <w:pStyle w:val="11"/>
              <w:widowControl w:val="0"/>
              <w:spacing w:after="0" w:line="360" w:lineRule="auto"/>
              <w:jc w:val="both"/>
              <w:rPr>
                <w:rFonts w:hint="eastAsia" w:ascii="Times New Roman" w:hAnsi="Times New Roman" w:eastAsia="仿宋" w:cs="Times New Roman"/>
                <w:kern w:val="2"/>
                <w:sz w:val="24"/>
                <w:szCs w:val="24"/>
                <w:lang w:val="zh-TW" w:eastAsia="zh-CN"/>
              </w:rPr>
            </w:pPr>
            <w:r>
              <w:rPr>
                <w:rFonts w:hint="eastAsia" w:ascii="Times New Roman" w:hAnsi="Times New Roman" w:eastAsia="仿宋" w:cs="Times New Roman"/>
                <w:kern w:val="2"/>
                <w:sz w:val="24"/>
                <w:szCs w:val="24"/>
                <w:lang w:val="zh-TW" w:eastAsia="zh-CN"/>
              </w:rPr>
              <w:t>生态修复科</w:t>
            </w:r>
          </w:p>
        </w:tc>
        <w:tc>
          <w:tcPr>
            <w:tcW w:w="1621"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成员</w:t>
            </w:r>
          </w:p>
        </w:tc>
        <w:tc>
          <w:tcPr>
            <w:tcW w:w="1620" w:type="dxa"/>
          </w:tcPr>
          <w:p>
            <w:pPr>
              <w:pStyle w:val="11"/>
              <w:widowControl w:val="0"/>
              <w:spacing w:after="0" w:line="360" w:lineRule="auto"/>
              <w:jc w:val="both"/>
              <w:rPr>
                <w:rFonts w:hint="default" w:ascii="Times New Roman" w:hAnsi="Times New Roman" w:eastAsia="仿宋" w:cs="Times New Roman"/>
                <w:kern w:val="2"/>
                <w:sz w:val="24"/>
                <w:szCs w:val="24"/>
                <w:lang w:val="zh-TW" w:eastAsia="zh-CN"/>
              </w:rPr>
            </w:pPr>
            <w:r>
              <w:rPr>
                <w:rFonts w:hint="eastAsia" w:ascii="Times New Roman" w:hAnsi="Times New Roman" w:eastAsia="仿宋" w:cs="Times New Roman"/>
                <w:kern w:val="2"/>
                <w:sz w:val="24"/>
                <w:szCs w:val="24"/>
                <w:lang w:val="zh-TW" w:eastAsia="zh-CN"/>
              </w:rPr>
              <w:t>孔祥龙</w:t>
            </w:r>
          </w:p>
        </w:tc>
        <w:tc>
          <w:tcPr>
            <w:tcW w:w="1620"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c>
          <w:tcPr>
            <w:tcW w:w="1621" w:type="dxa"/>
            <w:vAlign w:val="top"/>
          </w:tcPr>
          <w:p>
            <w:pPr>
              <w:pStyle w:val="11"/>
              <w:widowControl w:val="0"/>
              <w:spacing w:after="0" w:line="360" w:lineRule="auto"/>
              <w:jc w:val="both"/>
              <w:rPr>
                <w:rFonts w:hint="eastAsia" w:ascii="Times New Roman" w:hAnsi="Times New Roman" w:eastAsia="仿宋" w:cs="Times New Roman"/>
                <w:kern w:val="2"/>
                <w:sz w:val="24"/>
                <w:szCs w:val="24"/>
                <w:lang w:val="zh-TW" w:eastAsia="zh-CN"/>
              </w:rPr>
            </w:pPr>
            <w:r>
              <w:rPr>
                <w:rFonts w:hint="eastAsia" w:ascii="Times New Roman" w:hAnsi="Times New Roman" w:eastAsia="仿宋" w:cs="Times New Roman"/>
                <w:kern w:val="2"/>
                <w:sz w:val="24"/>
                <w:szCs w:val="24"/>
                <w:lang w:val="zh-TW" w:eastAsia="zh-CN"/>
              </w:rPr>
              <w:t>生态修复科</w:t>
            </w:r>
          </w:p>
        </w:tc>
        <w:tc>
          <w:tcPr>
            <w:tcW w:w="1621" w:type="dxa"/>
            <w:vAlign w:val="top"/>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w:t>
            </w:r>
          </w:p>
        </w:tc>
        <w:tc>
          <w:tcPr>
            <w:tcW w:w="1620"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c>
          <w:tcPr>
            <w:tcW w:w="1620"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c>
          <w:tcPr>
            <w:tcW w:w="1621" w:type="dxa"/>
          </w:tcPr>
          <w:p>
            <w:pPr>
              <w:pStyle w:val="11"/>
              <w:widowControl w:val="0"/>
              <w:spacing w:after="0" w:line="360" w:lineRule="auto"/>
              <w:jc w:val="both"/>
              <w:rPr>
                <w:rFonts w:hint="default" w:ascii="Times New Roman" w:hAnsi="Times New Roman" w:eastAsia="仿宋"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1"/>
              <w:widowControl w:val="0"/>
              <w:spacing w:after="0" w:line="360" w:lineRule="auto"/>
              <w:jc w:val="both"/>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报告撰写人（签字）：</w:t>
            </w:r>
          </w:p>
          <w:p>
            <w:pPr>
              <w:pStyle w:val="11"/>
              <w:widowControl w:val="0"/>
              <w:spacing w:after="0" w:line="360" w:lineRule="auto"/>
              <w:jc w:val="both"/>
              <w:rPr>
                <w:rFonts w:hint="default" w:ascii="Times New Roman" w:hAnsi="Times New Roman" w:eastAsia="仿宋" w:cs="Times New Roman"/>
                <w:kern w:val="2"/>
                <w:sz w:val="24"/>
                <w:szCs w:val="24"/>
                <w:lang w:val="zh-TW"/>
              </w:rPr>
            </w:pPr>
          </w:p>
          <w:p>
            <w:pPr>
              <w:pStyle w:val="11"/>
              <w:widowControl w:val="0"/>
              <w:spacing w:after="0" w:line="360" w:lineRule="auto"/>
              <w:jc w:val="both"/>
              <w:rPr>
                <w:rFonts w:hint="default" w:ascii="Times New Roman" w:hAnsi="Times New Roman" w:eastAsia="仿宋" w:cs="Times New Roman"/>
                <w:kern w:val="2"/>
                <w:sz w:val="24"/>
                <w:szCs w:val="24"/>
                <w:lang w:val="zh-TW"/>
              </w:rPr>
            </w:pPr>
          </w:p>
          <w:p>
            <w:pPr>
              <w:pStyle w:val="11"/>
              <w:widowControl w:val="0"/>
              <w:wordWrap w:val="0"/>
              <w:spacing w:after="0" w:line="360" w:lineRule="auto"/>
              <w:jc w:val="right"/>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1"/>
              <w:widowControl w:val="0"/>
              <w:spacing w:after="0" w:line="360" w:lineRule="auto"/>
              <w:jc w:val="both"/>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评价工作负责人（签字）：</w:t>
            </w:r>
          </w:p>
          <w:p>
            <w:pPr>
              <w:pStyle w:val="11"/>
              <w:widowControl w:val="0"/>
              <w:spacing w:after="0" w:line="360" w:lineRule="auto"/>
              <w:jc w:val="both"/>
              <w:rPr>
                <w:rFonts w:hint="default" w:ascii="Times New Roman" w:hAnsi="Times New Roman" w:eastAsia="仿宋" w:cs="Times New Roman"/>
                <w:kern w:val="2"/>
                <w:sz w:val="24"/>
                <w:szCs w:val="24"/>
                <w:lang w:val="zh-TW"/>
              </w:rPr>
            </w:pPr>
          </w:p>
          <w:p>
            <w:pPr>
              <w:pStyle w:val="11"/>
              <w:widowControl w:val="0"/>
              <w:spacing w:after="0" w:line="360" w:lineRule="auto"/>
              <w:jc w:val="both"/>
              <w:rPr>
                <w:rFonts w:hint="default" w:ascii="Times New Roman" w:hAnsi="Times New Roman" w:eastAsia="仿宋" w:cs="Times New Roman"/>
                <w:kern w:val="2"/>
                <w:sz w:val="24"/>
                <w:szCs w:val="24"/>
                <w:lang w:val="zh-TW"/>
              </w:rPr>
            </w:pPr>
          </w:p>
          <w:p>
            <w:pPr>
              <w:pStyle w:val="11"/>
              <w:widowControl w:val="0"/>
              <w:wordWrap w:val="0"/>
              <w:spacing w:after="0" w:line="360" w:lineRule="auto"/>
              <w:jc w:val="right"/>
              <w:rPr>
                <w:rFonts w:hint="default" w:ascii="Times New Roman" w:hAnsi="Times New Roman" w:eastAsia="仿宋" w:cs="Times New Roman"/>
                <w:kern w:val="2"/>
                <w:sz w:val="24"/>
                <w:szCs w:val="24"/>
                <w:lang w:val="zh-TW"/>
              </w:rPr>
            </w:pPr>
            <w:r>
              <w:rPr>
                <w:rFonts w:hint="default" w:ascii="Times New Roman" w:hAnsi="Times New Roman" w:eastAsia="仿宋" w:cs="Times New Roman"/>
                <w:kern w:val="2"/>
                <w:sz w:val="24"/>
                <w:szCs w:val="24"/>
                <w:lang w:val="zh-TW"/>
              </w:rPr>
              <w:t>年  月  日</w:t>
            </w:r>
          </w:p>
        </w:tc>
      </w:tr>
    </w:tbl>
    <w:p>
      <w:pPr>
        <w:pStyle w:val="11"/>
        <w:widowControl w:val="0"/>
        <w:spacing w:after="0" w:line="360" w:lineRule="auto"/>
        <w:ind w:firstLine="566" w:firstLineChars="236"/>
        <w:jc w:val="both"/>
        <w:rPr>
          <w:rFonts w:hint="default" w:ascii="Times New Roman" w:hAnsi="Times New Roman" w:eastAsia="PMingLiU" w:cs="Times New Roman"/>
          <w:kern w:val="2"/>
          <w:sz w:val="24"/>
          <w:szCs w:val="24"/>
          <w:lang w:val="zh-TW" w:eastAsia="zh-TW"/>
        </w:rPr>
      </w:pPr>
    </w:p>
    <w:p>
      <w:pPr>
        <w:pStyle w:val="11"/>
        <w:widowControl w:val="0"/>
        <w:spacing w:after="0" w:line="360" w:lineRule="auto"/>
        <w:jc w:val="both"/>
        <w:rPr>
          <w:rFonts w:hint="default"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2"/>
        <w:jc w:val="center"/>
        <w:rPr>
          <w:rFonts w:hint="default" w:ascii="Times New Roman" w:hAnsi="Times New Roman" w:cs="Times New Roman"/>
          <w:color w:val="auto"/>
        </w:rPr>
      </w:pPr>
      <w:r>
        <w:rPr>
          <w:rFonts w:hint="default" w:ascii="Times New Roman" w:hAnsi="Times New Roman" w:cs="Times New Roman"/>
          <w:color w:val="auto"/>
          <w:lang w:val="zh-CN"/>
        </w:rPr>
        <w:t>目录</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摘要</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一、 项目基本情况</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（一）项目立项背景</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 xml:space="preserve">（二）项目立项依据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（三）项目实施内容</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（四）项目实施计划及完成情况</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（五）项目的组织及管理</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 xml:space="preserve">（六）项目绩效目标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(一)评价的目的和依据</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(二)绩效评价工作方案制定过程</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(三)绩效评价原则、评价方法等</w:t>
      </w:r>
      <w:r>
        <w:rPr>
          <w:rFonts w:hint="default" w:ascii="Times New Roman" w:hAnsi="Times New Roman" w:eastAsia="黑体" w:cs="Times New Roman"/>
          <w:szCs w:val="32"/>
        </w:rPr>
        <w:tab/>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(四)绩效评价实施过程</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(五)绩效评价的局限性</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 xml:space="preserve">三、评价结论及绩效分析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(一)评价结论</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(二)绩效分析</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 xml:space="preserve">四、项目主要经验及做法、存在的问题和建议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(一)主要经验及做法</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(二)存在的问题</w:t>
      </w: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00" w:lineRule="exact"/>
        <w:ind w:firstLine="420" w:firstLineChars="200"/>
        <w:jc w:val="left"/>
        <w:rPr>
          <w:rFonts w:hint="default" w:ascii="Times New Roman" w:hAnsi="Times New Roman" w:eastAsia="黑体" w:cs="Times New Roman"/>
          <w:szCs w:val="32"/>
        </w:rPr>
      </w:pPr>
    </w:p>
    <w:p>
      <w:pPr>
        <w:spacing w:line="440" w:lineRule="exact"/>
        <w:ind w:firstLine="420" w:firstLineChars="200"/>
        <w:jc w:val="left"/>
        <w:rPr>
          <w:rFonts w:hint="default" w:ascii="Times New Roman" w:hAnsi="Times New Roman" w:eastAsia="黑体" w:cs="Times New Roman"/>
          <w:szCs w:val="32"/>
        </w:rPr>
      </w:pP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pStyle w:val="2"/>
        <w:rPr>
          <w:rFonts w:hint="default" w:ascii="Times New Roman" w:hAnsi="Times New Roman" w:eastAsia="黑体" w:cs="Times New Roman"/>
          <w:szCs w:val="32"/>
        </w:rPr>
      </w:pPr>
    </w:p>
    <w:p>
      <w:pPr>
        <w:rPr>
          <w:rFonts w:hint="default" w:ascii="Times New Roman" w:hAnsi="Times New Roman" w:eastAsia="黑体" w:cs="Times New Roman"/>
          <w:szCs w:val="32"/>
        </w:rPr>
      </w:pPr>
    </w:p>
    <w:p>
      <w:pPr>
        <w:pStyle w:val="2"/>
        <w:rPr>
          <w:rFonts w:hint="default" w:ascii="Times New Roman" w:hAnsi="Times New Roman" w:eastAsia="黑体" w:cs="Times New Roman"/>
          <w:szCs w:val="32"/>
        </w:rPr>
      </w:pPr>
    </w:p>
    <w:p>
      <w:pPr>
        <w:rPr>
          <w:rFonts w:hint="default" w:ascii="Times New Roman" w:hAnsi="Times New Roman" w:eastAsia="黑体" w:cs="Times New Roman"/>
          <w:szCs w:val="32"/>
        </w:rPr>
      </w:pPr>
    </w:p>
    <w:p>
      <w:pPr>
        <w:pStyle w:val="2"/>
        <w:rPr>
          <w:rFonts w:hint="default" w:ascii="Times New Roman" w:hAnsi="Times New Roman" w:eastAsia="黑体" w:cs="Times New Roman"/>
          <w:szCs w:val="32"/>
        </w:rPr>
      </w:pPr>
    </w:p>
    <w:p>
      <w:pPr>
        <w:rPr>
          <w:rFonts w:hint="default"/>
        </w:rPr>
      </w:pPr>
    </w:p>
    <w:p>
      <w:pPr>
        <w:spacing w:line="540" w:lineRule="exact"/>
        <w:rPr>
          <w:rFonts w:hint="default" w:ascii="Times New Roman" w:hAnsi="Times New Roman" w:eastAsia="方正小标宋_GBK" w:cs="Times New Roman"/>
          <w:szCs w:val="32"/>
        </w:rPr>
      </w:pPr>
    </w:p>
    <w:p>
      <w:pPr>
        <w:topLinePunct/>
        <w:spacing w:line="4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专项债券生态修复项目支出绩效自评报告</w:t>
      </w:r>
    </w:p>
    <w:p>
      <w:pPr>
        <w:topLinePunct/>
        <w:ind w:firstLine="800" w:firstLineChars="250"/>
        <w:rPr>
          <w:rFonts w:hint="default" w:ascii="Times New Roman" w:hAnsi="Times New Roman" w:eastAsia="黑体" w:cs="Times New Roman"/>
          <w:sz w:val="32"/>
          <w:szCs w:val="32"/>
        </w:rPr>
      </w:pPr>
    </w:p>
    <w:p>
      <w:pPr>
        <w:topLinePun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（一）项目概况</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根据《区委常委会议纪要（12-34）》、《昆明市盘龙区人民政府常务会议纪要（17-6）》、《</w:t>
      </w:r>
      <w:r>
        <w:rPr>
          <w:rFonts w:hint="eastAsia" w:ascii="Times New Roman" w:hAnsi="Times New Roman" w:eastAsia="仿宋_GB2312" w:cs="Times New Roman"/>
          <w:sz w:val="32"/>
          <w:szCs w:val="32"/>
          <w:lang w:val="en-US" w:eastAsia="zh-CN"/>
        </w:rPr>
        <w:t>昆明市盘龙区农业农村局关于对昆明市盘龙区松华坝生态修复项目可行性研究报告的批复</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盘农复</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lang w:val="en-US" w:eastAsia="zh-CN"/>
        </w:rPr>
        <w:t>号）要求，</w:t>
      </w:r>
      <w:r>
        <w:rPr>
          <w:rFonts w:hint="eastAsia" w:ascii="Times New Roman" w:hAnsi="Times New Roman" w:eastAsia="仿宋_GB2312" w:cs="Times New Roman"/>
          <w:sz w:val="32"/>
          <w:szCs w:val="32"/>
          <w:lang w:val="en-US" w:eastAsia="zh-CN"/>
        </w:rPr>
        <w:t>昆明市盘龙区农业发展投资有限公司</w:t>
      </w:r>
      <w:r>
        <w:rPr>
          <w:rFonts w:hint="default" w:ascii="Times New Roman" w:hAnsi="Times New Roman" w:eastAsia="仿宋_GB2312" w:cs="Times New Roman"/>
          <w:sz w:val="32"/>
          <w:szCs w:val="32"/>
          <w:lang w:val="en-US" w:eastAsia="zh-CN"/>
        </w:rPr>
        <w:t>委托云南省</w:t>
      </w:r>
      <w:r>
        <w:rPr>
          <w:rFonts w:hint="eastAsia" w:ascii="Times New Roman" w:hAnsi="Times New Roman" w:eastAsia="仿宋_GB2312" w:cs="Times New Roman"/>
          <w:sz w:val="32"/>
          <w:szCs w:val="32"/>
          <w:lang w:val="en-US" w:eastAsia="zh-CN"/>
        </w:rPr>
        <w:t>设计院开展初步设计，在落实</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昆明市盘龙区松华坝生态修复项目可行性研究报告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及可研批复、《昆明市盘龙区松华坝生态修复建设项目初步设计》相关内容的基础上开展实施，项目已</w:t>
      </w:r>
      <w:r>
        <w:rPr>
          <w:rFonts w:hint="default" w:ascii="Times New Roman" w:hAnsi="Times New Roman" w:eastAsia="仿宋_GB2312" w:cs="Times New Roman"/>
          <w:sz w:val="32"/>
          <w:szCs w:val="32"/>
          <w:lang w:val="en-US" w:eastAsia="zh-CN"/>
        </w:rPr>
        <w:t>通过专家评审。</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pPr>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昆明市盘龙区松华坝生态修复项目可行性研究报告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、《昆明市盘龙区松华坝生态修复建设项目初步设计》，项目主要分为四种类型：一是生态种植基地建设，净用地面积 1972 亩，主要为土地整理、灌溉管网、机耕道路、生态林轮植基地、 生态种植大棚等建设；二是水源区涵养林生态修复建设，面积 4870 亩，主要是对长势不佳，病虫害严重的植被植被进行替换，建设生态隔离沟、循环沟、生态塘、机耕道路（管护）等；三是生态防护围栏建设，长度 27.81Km，主要是在重点区域建设防护隔离栏，形成物理隔离；四是湿地提升整治，面积 1255.21 亩，主要对现有湿地引水和循环沟、生态塘、植被等进行提升改造。</w:t>
      </w:r>
    </w:p>
    <w:p>
      <w:pPr>
        <w:numPr>
          <w:ilvl w:val="-1"/>
          <w:numId w:val="0"/>
        </w:num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资金来源及使用情况</w:t>
      </w:r>
    </w:p>
    <w:p>
      <w:pPr>
        <w:numPr>
          <w:ilvl w:val="0"/>
          <w:numId w:val="0"/>
        </w:num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区本级财政安排</w:t>
      </w:r>
      <w:r>
        <w:rPr>
          <w:rFonts w:hint="eastAsia" w:ascii="Times New Roman" w:hAnsi="Times New Roman" w:eastAsia="仿宋_GB2312" w:cs="Times New Roman"/>
          <w:sz w:val="32"/>
          <w:szCs w:val="32"/>
          <w:lang w:val="en-US" w:eastAsia="zh-CN"/>
        </w:rPr>
        <w:t>300万元，其他100万元（市级前期费）</w:t>
      </w:r>
      <w:r>
        <w:rPr>
          <w:rFonts w:hint="default" w:ascii="Times New Roman" w:hAnsi="Times New Roman" w:eastAsia="仿宋_GB2312" w:cs="Times New Roman"/>
          <w:sz w:val="32"/>
          <w:szCs w:val="32"/>
        </w:rPr>
        <w:t>。</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截至目前，项目已招选测绘、设计、监理、造价、水土保持、生态种植大棚合作等，参建单位已完成测绘、初设及施工图设计工作。已完成410亩种植大棚建设，并通过终验；已完成防护围栏安装约12km；正在开展生态林轮植基地、湿地提升整治及生态修复的招标前的准备工作。</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项目实施资金拨付严格按照</w:t>
      </w:r>
      <w:r>
        <w:rPr>
          <w:rFonts w:hint="eastAsia" w:ascii="Times New Roman" w:hAnsi="Times New Roman" w:eastAsia="仿宋_GB2312" w:cs="Times New Roman"/>
          <w:sz w:val="32"/>
          <w:szCs w:val="32"/>
          <w:lang w:val="en-US" w:eastAsia="zh-CN"/>
        </w:rPr>
        <w:t>专项债券管理办法的</w:t>
      </w:r>
      <w:r>
        <w:rPr>
          <w:rFonts w:hint="default" w:ascii="Times New Roman" w:hAnsi="Times New Roman" w:eastAsia="仿宋_GB2312" w:cs="Times New Roman"/>
          <w:sz w:val="32"/>
          <w:szCs w:val="32"/>
          <w:lang w:eastAsia="zh-CN"/>
        </w:rPr>
        <w:t>要求</w:t>
      </w:r>
      <w:r>
        <w:rPr>
          <w:rFonts w:hint="eastAsia" w:ascii="Times New Roman" w:hAnsi="Times New Roman" w:eastAsia="仿宋_GB2312" w:cs="Times New Roman"/>
          <w:sz w:val="32"/>
          <w:szCs w:val="32"/>
          <w:lang w:val="en-US" w:eastAsia="zh-CN"/>
        </w:rPr>
        <w:t>拨付</w:t>
      </w:r>
      <w:r>
        <w:rPr>
          <w:rFonts w:hint="default" w:ascii="Times New Roman" w:hAnsi="Times New Roman" w:eastAsia="仿宋_GB2312" w:cs="Times New Roman"/>
          <w:sz w:val="32"/>
          <w:szCs w:val="32"/>
          <w:lang w:val="en-US" w:eastAsia="zh-CN"/>
        </w:rPr>
        <w:t>。</w:t>
      </w:r>
    </w:p>
    <w:p>
      <w:pPr>
        <w:topLinePunct/>
        <w:ind w:firstLine="800" w:firstLineChars="25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topLinePunct/>
        <w:ind w:firstLine="800" w:firstLineChars="25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1.总目标</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修复建设生态种植基地1972.07亩、湿地1254.14亩、水源区涵养林生态修复4800亩及修建防护围栏27.81Km</w:t>
      </w:r>
      <w:r>
        <w:rPr>
          <w:rFonts w:hint="default" w:ascii="Times New Roman" w:hAnsi="Times New Roman" w:eastAsia="仿宋" w:cs="Times New Roman"/>
          <w:sz w:val="32"/>
          <w:szCs w:val="32"/>
        </w:rPr>
        <w:t xml:space="preserve">。 </w:t>
      </w:r>
    </w:p>
    <w:p>
      <w:pPr>
        <w:topLinePunct/>
        <w:ind w:firstLine="800" w:firstLineChars="25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2.年度目标</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完成410亩种植大棚建设；完成防护围栏安装27.81km</w:t>
      </w:r>
      <w:r>
        <w:rPr>
          <w:rFonts w:hint="default" w:ascii="Times New Roman" w:hAnsi="Times New Roman" w:eastAsia="仿宋" w:cs="Times New Roman"/>
          <w:sz w:val="32"/>
          <w:szCs w:val="32"/>
        </w:rPr>
        <w:t>。</w:t>
      </w:r>
    </w:p>
    <w:p>
      <w:pPr>
        <w:topLinePun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二、评价结论和绩效分析</w:t>
      </w:r>
    </w:p>
    <w:p>
      <w:pPr>
        <w:topLinePunct/>
        <w:ind w:firstLine="800" w:firstLineChars="25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1.评价结果</w:t>
      </w:r>
    </w:p>
    <w:p>
      <w:pPr>
        <w:topLinePunct/>
        <w:ind w:firstLine="800" w:firstLineChars="250"/>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lang w:val="en-US" w:eastAsia="zh-CN"/>
        </w:rPr>
        <w:t>已完成410亩种植大棚建设，并通过终验；已完成防护围栏安装约12km；正在开展生态林</w:t>
      </w:r>
      <w:bookmarkStart w:id="0" w:name="_GoBack"/>
      <w:bookmarkEnd w:id="0"/>
      <w:r>
        <w:rPr>
          <w:rFonts w:hint="default" w:ascii="Times New Roman" w:hAnsi="Times New Roman" w:eastAsia="仿宋_GB2312" w:cs="Times New Roman"/>
          <w:sz w:val="32"/>
          <w:szCs w:val="32"/>
          <w:lang w:val="en-US" w:eastAsia="zh-CN"/>
        </w:rPr>
        <w:t>轮植基地、湿地提升整治及生态修复的招标前的准备工作</w:t>
      </w:r>
      <w:r>
        <w:rPr>
          <w:rFonts w:hint="eastAsia" w:ascii="Times New Roman" w:hAnsi="Times New Roman" w:eastAsia="仿宋_GB2312" w:cs="Times New Roman"/>
          <w:sz w:val="32"/>
          <w:szCs w:val="32"/>
          <w:lang w:val="en-US" w:eastAsia="zh-CN"/>
        </w:rPr>
        <w:t>。完成下达任务的50%。</w:t>
      </w:r>
    </w:p>
    <w:p>
      <w:pPr>
        <w:topLinePunct/>
        <w:ind w:firstLine="800" w:firstLineChars="25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2.主要绩效</w:t>
      </w:r>
    </w:p>
    <w:p>
      <w:pPr>
        <w:ind w:firstLine="640" w:firstLineChars="2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（1）项目实施的经济、社会效益分析</w:t>
      </w:r>
    </w:p>
    <w:p>
      <w:pPr>
        <w:ind w:firstLine="640" w:firstLineChars="200"/>
        <w:jc w:val="left"/>
        <w:rPr>
          <w:rFonts w:hint="default" w:ascii="Times New Roman" w:hAnsi="Times New Roman" w:eastAsia="仿宋" w:cs="Times New Roman"/>
          <w:sz w:val="32"/>
          <w:szCs w:val="32"/>
        </w:rPr>
      </w:pPr>
      <w:r>
        <w:rPr>
          <w:rFonts w:hint="eastAsia" w:eastAsia="仿宋_GB2312"/>
          <w:kern w:val="0"/>
          <w:sz w:val="32"/>
          <w:szCs w:val="32"/>
          <w:lang w:val="en-US" w:eastAsia="zh-CN"/>
        </w:rPr>
        <w:t>项目通过对松华坝水源区域进行生态修复、湿地整治、生态防护围栏、生态林轮植基地的建设，推进生态林建设、湿地提升整治，改善区域生态环境，盘活林木资源</w:t>
      </w:r>
      <w:r>
        <w:rPr>
          <w:rFonts w:hint="default" w:ascii="Times New Roman" w:hAnsi="Times New Roman" w:eastAsia="仿宋" w:cs="Times New Roman"/>
          <w:sz w:val="32"/>
          <w:szCs w:val="32"/>
          <w:lang w:val="en-US" w:eastAsia="zh-CN"/>
        </w:rPr>
        <w:t>。项目产生的经济效益、社会效益和生态效益显著</w:t>
      </w:r>
      <w:r>
        <w:rPr>
          <w:rFonts w:hint="eastAsia" w:ascii="Times New Roman" w:hAnsi="Times New Roman" w:eastAsia="仿宋" w:cs="Times New Roman"/>
          <w:sz w:val="32"/>
          <w:szCs w:val="32"/>
          <w:lang w:val="en-US" w:eastAsia="zh-CN"/>
        </w:rPr>
        <w:t>。</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（2）项目实施的生态效益分析</w:t>
      </w:r>
    </w:p>
    <w:p>
      <w:pPr>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松华坝水源保护区作为“城市饮用水源保护区”的功能定位 ，要认真落实水源区保护与管理总体规划及各专项规划，按照“一 张图”要求分级分区实施差异化空间管控，统筹实施松华坝水源区“山水林田湖草”生态保护和修复工程，持续推进退耕还林、农改林、湿地建设，完成牧羊河、冷水河沿线生态林生态沟建设。</w:t>
      </w:r>
      <w:r>
        <w:rPr>
          <w:rFonts w:hint="default" w:ascii="Times New Roman" w:hAnsi="Times New Roman" w:eastAsia="仿宋" w:cs="Times New Roman"/>
          <w:sz w:val="32"/>
          <w:szCs w:val="32"/>
        </w:rPr>
        <w:t>为涵养水源</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水土保持</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生态修复</w:t>
      </w:r>
      <w:r>
        <w:rPr>
          <w:rFonts w:hint="default" w:ascii="Times New Roman" w:hAnsi="Times New Roman" w:eastAsia="仿宋" w:cs="Times New Roman"/>
          <w:sz w:val="32"/>
          <w:szCs w:val="32"/>
        </w:rPr>
        <w:t>发挥了巨大的生态效益，生态环境明显改善。</w:t>
      </w:r>
    </w:p>
    <w:p>
      <w:pPr>
        <w:ind w:firstLine="640" w:firstLineChars="2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（3）项目实施的可持续影响分析</w:t>
      </w:r>
    </w:p>
    <w:p>
      <w:pPr>
        <w:ind w:firstLine="640" w:firstLineChars="2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项目通过对松华坝水源区域进行生态修复、湿地整治、生态防护围栏、生态林轮植基地的建设</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推进生态林建设，改善区域生态环境，力求保证松华坝水源地的生态环境，保护和提升松华坝水库的入库水源水质，保证昆明市城乡饮水安全，促进昆明市经济可持续发展</w:t>
      </w:r>
      <w:r>
        <w:rPr>
          <w:rFonts w:hint="eastAsia" w:ascii="Times New Roman" w:hAnsi="Times New Roman" w:eastAsia="仿宋" w:cs="Times New Roman"/>
          <w:sz w:val="32"/>
          <w:szCs w:val="32"/>
          <w:lang w:val="en-US" w:eastAsia="zh-CN"/>
        </w:rPr>
        <w:t>。</w:t>
      </w:r>
    </w:p>
    <w:p>
      <w:pPr>
        <w:topLinePun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三、成本效益分析</w:t>
      </w:r>
    </w:p>
    <w:p>
      <w:pPr>
        <w:pStyle w:val="13"/>
        <w:ind w:firstLine="64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严格按照</w:t>
      </w:r>
      <w:r>
        <w:rPr>
          <w:rFonts w:hint="eastAsia" w:ascii="Times New Roman" w:hAnsi="Times New Roman" w:eastAsia="仿宋" w:cs="Times New Roman"/>
          <w:sz w:val="32"/>
          <w:szCs w:val="32"/>
          <w:lang w:val="en-US" w:eastAsia="zh-CN"/>
        </w:rPr>
        <w:t>专项债券资金要求</w:t>
      </w:r>
      <w:r>
        <w:rPr>
          <w:rFonts w:hint="default" w:ascii="Times New Roman" w:hAnsi="Times New Roman" w:eastAsia="仿宋" w:cs="Times New Roman"/>
          <w:sz w:val="32"/>
          <w:szCs w:val="32"/>
        </w:rPr>
        <w:t>做好专项资金使用管理，做到专款专用。</w:t>
      </w:r>
    </w:p>
    <w:p>
      <w:pPr>
        <w:topLinePunct/>
        <w:ind w:firstLine="800" w:firstLineChars="25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四、主要经验及做法、存在的问题</w:t>
      </w:r>
    </w:p>
    <w:p>
      <w:pPr>
        <w:topLinePunct/>
        <w:ind w:firstLine="800" w:firstLineChars="250"/>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（一）主要经验及做法</w:t>
      </w:r>
    </w:p>
    <w:p>
      <w:pPr>
        <w:ind w:firstLine="640" w:firstLineChars="200"/>
        <w:textAlignment w:val="top"/>
        <w:rPr>
          <w:rFonts w:hint="default" w:ascii="Times New Roman" w:hAnsi="Times New Roman" w:eastAsia="仿宋" w:cs="Times New Roman"/>
          <w:sz w:val="32"/>
          <w:szCs w:val="32"/>
        </w:rPr>
      </w:pPr>
      <w:r>
        <w:rPr>
          <w:rFonts w:hint="eastAsia" w:ascii="Times New Roman" w:hAnsi="Times New Roman" w:eastAsia="仿宋_GB2312" w:cs="Times New Roman"/>
          <w:kern w:val="0"/>
          <w:sz w:val="32"/>
          <w:szCs w:val="32"/>
          <w:lang w:val="en-US" w:eastAsia="zh-CN"/>
        </w:rPr>
        <w:t>昆明市盘龙区松华坝生态修复项目规划总用地面积8141.89亩，主要位于阿子营街道、滇源街道和松华街道范围“农改林”内，重点建设沿冷水河、牧羊河两岸生态廊道。项目主要分为四种类型：一是生态种植基地建设，净用地面积1972亩，主要为土地整理、灌溉管网、机耕道路、生态林轮植基地、生态种植大棚等建设；二是水源区涵养林生态修复建设，面积4870亩，主要是对长势不佳，病虫害严重的植被植被进行替换，建设生态隔离沟、循环沟、生态塘、机耕道路（管护）等；三是生态防护围栏建设，长度27.81Km，主要是在重点区域建设防护隔离栏，形成物理隔离；四是湿地提升整治，面积1255.21亩，主要对现有湿地引水和循环沟、生态塘、植被等进行提升改造</w:t>
      </w:r>
      <w:r>
        <w:rPr>
          <w:rFonts w:hint="default" w:ascii="Times New Roman" w:hAnsi="Times New Roman" w:eastAsia="仿宋" w:cs="Times New Roman"/>
          <w:sz w:val="32"/>
          <w:szCs w:val="32"/>
        </w:rPr>
        <w:t>。</w:t>
      </w:r>
    </w:p>
    <w:p>
      <w:pPr>
        <w:topLinePunct/>
        <w:ind w:firstLine="800" w:firstLineChars="250"/>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（二）存在的问题</w:t>
      </w:r>
    </w:p>
    <w:p>
      <w:pPr>
        <w:ind w:firstLine="640" w:firstLineChars="200"/>
        <w:textAlignment w:val="top"/>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lang w:val="en-US" w:eastAsia="zh-CN"/>
        </w:rPr>
        <w:t>资金到位情况缓慢，入库河道水质直接影响松华坝水库水质，同时河流沿岸的生态环境改善已刻不容缓，建议加大对该项目资金的争取，力争早日完工</w:t>
      </w:r>
      <w:r>
        <w:rPr>
          <w:rFonts w:hint="default" w:ascii="Times New Roman" w:hAnsi="Times New Roman" w:eastAsia="仿宋_GB2312" w:cs="Times New Roman"/>
          <w:kern w:val="0"/>
          <w:sz w:val="32"/>
          <w:szCs w:val="32"/>
          <w:lang w:val="en-US" w:eastAsia="zh-CN"/>
        </w:rPr>
        <w:t>。</w:t>
      </w:r>
    </w:p>
    <w:p>
      <w:pPr>
        <w:ind w:firstLine="640" w:firstLineChars="200"/>
        <w:textAlignment w:val="top"/>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lang w:val="en-US" w:eastAsia="zh-CN"/>
        </w:rPr>
        <w:t>、森林防火期与</w:t>
      </w:r>
      <w:r>
        <w:rPr>
          <w:rFonts w:hint="eastAsia" w:ascii="Times New Roman" w:hAnsi="Times New Roman" w:eastAsia="仿宋_GB2312" w:cs="Times New Roman"/>
          <w:kern w:val="0"/>
          <w:sz w:val="32"/>
          <w:szCs w:val="32"/>
          <w:lang w:val="en-US" w:eastAsia="zh-CN"/>
        </w:rPr>
        <w:t>生态围栏的焊接工作</w:t>
      </w:r>
      <w:r>
        <w:rPr>
          <w:rFonts w:hint="default" w:ascii="Times New Roman" w:hAnsi="Times New Roman" w:eastAsia="仿宋_GB2312" w:cs="Times New Roman"/>
          <w:kern w:val="0"/>
          <w:sz w:val="32"/>
          <w:szCs w:val="32"/>
          <w:lang w:val="en-US" w:eastAsia="zh-CN"/>
        </w:rPr>
        <w:t>冲突，导致</w:t>
      </w:r>
      <w:r>
        <w:rPr>
          <w:rFonts w:hint="eastAsia" w:ascii="Times New Roman" w:hAnsi="Times New Roman" w:eastAsia="仿宋_GB2312" w:cs="Times New Roman"/>
          <w:kern w:val="0"/>
          <w:sz w:val="32"/>
          <w:szCs w:val="32"/>
          <w:lang w:val="en-US" w:eastAsia="zh-CN"/>
        </w:rPr>
        <w:t>生态围栏</w:t>
      </w:r>
      <w:r>
        <w:rPr>
          <w:rFonts w:hint="default" w:ascii="Times New Roman" w:hAnsi="Times New Roman" w:eastAsia="仿宋_GB2312" w:cs="Times New Roman"/>
          <w:kern w:val="0"/>
          <w:sz w:val="32"/>
          <w:szCs w:val="32"/>
          <w:lang w:val="en-US" w:eastAsia="zh-CN"/>
        </w:rPr>
        <w:t>工作进展较慢。</w:t>
      </w:r>
    </w:p>
    <w:p>
      <w:pPr>
        <w:ind w:firstLine="640" w:firstLineChars="200"/>
        <w:textAlignment w:val="top"/>
        <w:rPr>
          <w:rFonts w:hint="eastAsia"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3.造林基地认定、经营、 采伐以及融资等方面</w:t>
      </w:r>
      <w:r>
        <w:rPr>
          <w:rFonts w:hint="eastAsia" w:ascii="Times New Roman" w:hAnsi="Times New Roman" w:eastAsia="仿宋_GB2312" w:cs="Times New Roman"/>
          <w:kern w:val="0"/>
          <w:sz w:val="32"/>
          <w:szCs w:val="32"/>
          <w:lang w:val="en-US" w:eastAsia="zh-CN"/>
        </w:rPr>
        <w:t>的</w:t>
      </w:r>
      <w:r>
        <w:rPr>
          <w:rFonts w:hint="default" w:ascii="Times New Roman" w:hAnsi="Times New Roman" w:eastAsia="仿宋_GB2312" w:cs="Times New Roman"/>
          <w:kern w:val="0"/>
          <w:sz w:val="32"/>
          <w:szCs w:val="32"/>
          <w:lang w:val="en-US" w:eastAsia="zh-CN"/>
        </w:rPr>
        <w:t>政策支持</w:t>
      </w:r>
      <w:r>
        <w:rPr>
          <w:rFonts w:hint="eastAsia" w:ascii="Times New Roman" w:hAnsi="Times New Roman" w:eastAsia="仿宋_GB2312" w:cs="Times New Roman"/>
          <w:kern w:val="0"/>
          <w:sz w:val="32"/>
          <w:szCs w:val="32"/>
          <w:lang w:val="en-US" w:eastAsia="zh-CN"/>
        </w:rPr>
        <w:t>需要加强</w:t>
      </w:r>
      <w:r>
        <w:rPr>
          <w:rFonts w:hint="default" w:ascii="Times New Roman" w:hAnsi="Times New Roman" w:eastAsia="仿宋_GB2312" w:cs="Times New Roman"/>
          <w:kern w:val="0"/>
          <w:sz w:val="32"/>
          <w:szCs w:val="32"/>
          <w:lang w:val="en-US" w:eastAsia="zh-CN"/>
        </w:rPr>
        <w:t>，以</w:t>
      </w:r>
      <w:r>
        <w:rPr>
          <w:rFonts w:hint="eastAsia" w:ascii="Times New Roman" w:hAnsi="Times New Roman" w:eastAsia="仿宋_GB2312" w:cs="Times New Roman"/>
          <w:kern w:val="0"/>
          <w:sz w:val="32"/>
          <w:szCs w:val="32"/>
          <w:lang w:val="en-US" w:eastAsia="zh-CN"/>
        </w:rPr>
        <w:t>便</w:t>
      </w:r>
      <w:r>
        <w:rPr>
          <w:rFonts w:hint="default" w:ascii="Times New Roman" w:hAnsi="Times New Roman" w:eastAsia="仿宋_GB2312" w:cs="Times New Roman"/>
          <w:kern w:val="0"/>
          <w:sz w:val="32"/>
          <w:szCs w:val="32"/>
          <w:lang w:val="en-US" w:eastAsia="zh-CN"/>
        </w:rPr>
        <w:t>有效地推动基地加快发展</w:t>
      </w:r>
      <w:r>
        <w:rPr>
          <w:rFonts w:hint="eastAsia" w:ascii="Times New Roman" w:hAnsi="Times New Roman" w:eastAsia="仿宋_GB2312" w:cs="Times New Roman"/>
          <w:kern w:val="0"/>
          <w:sz w:val="32"/>
          <w:szCs w:val="32"/>
          <w:lang w:val="en-US" w:eastAsia="zh-CN"/>
        </w:rPr>
        <w:t>。</w:t>
      </w:r>
    </w:p>
    <w:p>
      <w:pPr>
        <w:ind w:firstLine="420" w:firstLineChars="200"/>
        <w:rPr>
          <w:rFonts w:hint="default" w:eastAsia="宋体"/>
          <w:lang w:val="en-US" w:eastAsia="zh-CN"/>
        </w:rPr>
      </w:pPr>
    </w:p>
    <w:p>
      <w:pPr>
        <w:ind w:firstLine="640" w:firstLineChars="200"/>
        <w:rPr>
          <w:rFonts w:hint="default" w:ascii="Times New Roman" w:hAnsi="Times New Roman" w:eastAsia="仿宋" w:cs="Times New Roman"/>
          <w:sz w:val="32"/>
          <w:szCs w:val="32"/>
        </w:rPr>
      </w:pPr>
    </w:p>
    <w:p>
      <w:pPr>
        <w:rPr>
          <w:rFonts w:hint="default" w:ascii="Times New Roman" w:hAnsi="Times New Roman" w:eastAsia="仿宋" w:cs="Times New Roman"/>
          <w:sz w:val="32"/>
          <w:szCs w:val="32"/>
        </w:rPr>
      </w:pPr>
    </w:p>
    <w:p>
      <w:pPr>
        <w:rPr>
          <w:rFonts w:hint="default" w:ascii="Times New Roman" w:hAnsi="Times New Roman" w:cs="Times New Roma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NDU3M2FjZDNhMzY0NmQ3NTIyYzA1YWVmODg1YWYifQ=="/>
  </w:docVars>
  <w:rsids>
    <w:rsidRoot w:val="42C350F0"/>
    <w:rsid w:val="04270BD7"/>
    <w:rsid w:val="04FB52F9"/>
    <w:rsid w:val="07105C53"/>
    <w:rsid w:val="0DF45FC0"/>
    <w:rsid w:val="14685041"/>
    <w:rsid w:val="1BF80A1E"/>
    <w:rsid w:val="29E34FDB"/>
    <w:rsid w:val="3E8C3754"/>
    <w:rsid w:val="3ED66FCF"/>
    <w:rsid w:val="41D36AC0"/>
    <w:rsid w:val="424C449D"/>
    <w:rsid w:val="42C350F0"/>
    <w:rsid w:val="5F45637F"/>
    <w:rsid w:val="6A6A664B"/>
    <w:rsid w:val="6D031AB5"/>
    <w:rsid w:val="6E1C4902"/>
    <w:rsid w:val="736F62FA"/>
    <w:rsid w:val="793A1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0"/>
    <w:pPr>
      <w:spacing w:beforeAutospacing="0" w:afterAutospacing="0"/>
      <w:jc w:val="left"/>
      <w:outlineLvl w:val="0"/>
    </w:pPr>
    <w:rPr>
      <w:rFonts w:hint="eastAsia" w:ascii="宋体" w:hAnsi="宋体" w:eastAsia="方正小标宋简体" w:cs="Times New Roman"/>
      <w:kern w:val="44"/>
      <w:sz w:val="44"/>
      <w:szCs w:val="48"/>
    </w:rPr>
  </w:style>
  <w:style w:type="paragraph" w:styleId="3">
    <w:name w:val="heading 2"/>
    <w:basedOn w:val="1"/>
    <w:next w:val="1"/>
    <w:semiHidden/>
    <w:unhideWhenUsed/>
    <w:qFormat/>
    <w:uiPriority w:val="0"/>
    <w:pPr>
      <w:keepNext/>
      <w:keepLines/>
      <w:spacing w:beforeLines="0" w:beforeAutospacing="0" w:afterLines="0" w:afterAutospacing="0" w:line="560" w:lineRule="exact"/>
      <w:jc w:val="left"/>
      <w:outlineLvl w:val="1"/>
    </w:pPr>
    <w:rPr>
      <w:rFonts w:ascii="Arial" w:hAnsi="Arial" w:eastAsia="黑体"/>
    </w:rPr>
  </w:style>
  <w:style w:type="character" w:default="1" w:styleId="9">
    <w:name w:val="Default Paragraph Font"/>
    <w:semiHidden/>
    <w:unhideWhenUsed/>
    <w:qFormat/>
    <w:uiPriority w:val="1"/>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next w:val="5"/>
    <w:qFormat/>
    <w:uiPriority w:val="0"/>
    <w:pPr>
      <w:ind w:left="0" w:firstLine="880" w:firstLineChars="200"/>
    </w:pPr>
    <w:rPr>
      <w:rFonts w:ascii="仿宋_GB2312" w:hAnsi="仿宋_GB2312" w:eastAsia="仿宋_GB2312" w:cs="Times New Roman"/>
      <w:sz w:val="32"/>
      <w:szCs w:val="22"/>
    </w:rPr>
  </w:style>
  <w:style w:type="paragraph" w:styleId="5">
    <w:name w:val="toc 5"/>
    <w:basedOn w:val="1"/>
    <w:next w:val="1"/>
    <w:qFormat/>
    <w:uiPriority w:val="0"/>
    <w:pPr>
      <w:ind w:left="1680" w:leftChars="800"/>
    </w:pPr>
  </w:style>
  <w:style w:type="paragraph" w:styleId="6">
    <w:name w:val="footer"/>
    <w:basedOn w:val="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标题 1 Char"/>
    <w:basedOn w:val="9"/>
    <w:link w:val="2"/>
    <w:qFormat/>
    <w:uiPriority w:val="0"/>
    <w:rPr>
      <w:rFonts w:ascii="宋体" w:hAnsi="宋体" w:eastAsia="方正小标宋简体" w:cs="Times New Roman"/>
      <w:kern w:val="44"/>
      <w:sz w:val="44"/>
      <w:szCs w:val="48"/>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paragraph" w:customStyle="1" w:styleId="12">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
    <w:name w:val="_Style 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52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2023-05-10T06:53:00Z</dcterms:created>
  <dc:creator>_Ymax</dc:creator>
  <cp:lastModifiedBy>Administrator</cp:lastModifiedBy>
  <dcterms:modified xsi:type="dcterms:W3CDTF">2023-05-11T08:20:04Z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2FD1DE0F24894219A95C214B11E0DD76_11</vt:lpwstr>
  </property>
</Properties>
</file>