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盘龙区2022年度道路及桥梁等设施维护工程项目支出绩效自评报告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部门名称（公章）：昆明市盘龙区住房和城乡建设局</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GEXY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盘龙区市政基础设施建设管理处</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cs="黑体"/>
          <w:b/>
          <w:bCs/>
          <w:sz w:val="28"/>
          <w:szCs w:val="28"/>
        </w:rPr>
        <w:t>昆明市盘龙区住房和城乡建设局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项目名称：盘龙区2022年度道路及桥梁等设施维护工程项目</w:t>
      </w:r>
      <w:r>
        <w:rPr>
          <w:rFonts w:ascii="Times New Roman" w:hAnsi="Times New Roman" w:eastAsia="黑体"/>
          <w:b/>
          <w:bCs/>
          <w:sz w:val="28"/>
          <w:szCs w:val="28"/>
        </w:rPr>
        <w:t xml:space="preserve"> </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cs="黑体"/>
          <w:b/>
          <w:bCs/>
          <w:sz w:val="28"/>
          <w:szCs w:val="28"/>
          <w:lang w:val="en-US" w:eastAsia="zh-CN"/>
        </w:rPr>
        <w:t>2023年4月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04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pStyle w:val="9"/>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附件三：访谈记录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附件五：</w:t>
      </w:r>
      <w:r>
        <w:rPr>
          <w:rFonts w:ascii="黑体" w:hAnsi="黑体" w:eastAsia="黑体" w:cs="黑体"/>
          <w:sz w:val="24"/>
          <w:szCs w:val="24"/>
          <w:lang w:val="zh-TW"/>
        </w:rPr>
        <w:t>……</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pStyle w:val="2"/>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盘龙区2022年度道路及桥梁等设施维护工程项目 支出绩效自评报告</w:t>
      </w:r>
    </w:p>
    <w:p>
      <w:pPr>
        <w:spacing w:line="440" w:lineRule="exact"/>
        <w:ind w:firstLine="420" w:firstLineChars="200"/>
        <w:jc w:val="left"/>
        <w:rPr>
          <w:rFonts w:ascii="黑体" w:hAnsi="黑体" w:eastAsia="黑体"/>
          <w:szCs w:val="32"/>
        </w:rPr>
      </w:pPr>
    </w:p>
    <w:p>
      <w:pPr>
        <w:spacing w:line="440" w:lineRule="exact"/>
        <w:ind w:firstLine="640" w:firstLineChars="200"/>
        <w:jc w:val="center"/>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摘要</w:t>
      </w:r>
    </w:p>
    <w:p>
      <w:pPr>
        <w:numPr>
          <w:ilvl w:val="0"/>
          <w:numId w:val="1"/>
        </w:numPr>
        <w:spacing w:line="440" w:lineRule="exact"/>
        <w:ind w:firstLine="640" w:firstLineChars="200"/>
        <w:jc w:val="left"/>
        <w:rPr>
          <w:rFonts w:hint="eastAsia" w:ascii="黑体" w:hAnsi="黑体" w:eastAsia="黑体"/>
          <w:szCs w:val="32"/>
        </w:rPr>
      </w:pPr>
      <w:r>
        <w:rPr>
          <w:rFonts w:hint="eastAsia" w:ascii="楷体" w:hAnsi="楷体" w:eastAsia="楷体" w:cs="Times New Roman"/>
          <w:sz w:val="32"/>
          <w:szCs w:val="32"/>
          <w:lang w:val="en-US" w:eastAsia="zh-CN"/>
        </w:rPr>
        <w:t>项目概况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立项背景：</w:t>
      </w:r>
      <w:r>
        <w:rPr>
          <w:rFonts w:hint="eastAsia" w:ascii="仿宋_GB2312" w:hAnsi="仿宋_GB2312" w:eastAsia="仿宋_GB2312" w:cs="仿宋_GB2312"/>
          <w:kern w:val="44"/>
          <w:sz w:val="32"/>
          <w:szCs w:val="32"/>
          <w:lang w:val="en-US" w:eastAsia="zh-CN" w:bidi="ar-SA"/>
        </w:rPr>
        <w:t>为贯彻落实高质量建设区域性国际中心城市，坚持秉承服务人民开展城市建设，提升城市道路管理维护工作，提高城市道路精细化管养维护水平。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目的：</w:t>
      </w:r>
      <w:r>
        <w:rPr>
          <w:rFonts w:hint="eastAsia" w:ascii="仿宋_GB2312" w:hAnsi="仿宋_GB2312" w:eastAsia="仿宋_GB2312" w:cs="仿宋_GB2312"/>
          <w:kern w:val="44"/>
          <w:sz w:val="32"/>
          <w:szCs w:val="32"/>
          <w:lang w:val="en-US" w:eastAsia="zh-CN" w:bidi="ar-SA"/>
        </w:rPr>
        <w:t>消除城市道路桥梁、隧道病害及安全隐患，切实提高养护质量水平，充分发挥道桥设施的使用功能，确保设施的安全运营，提升城市综合服务功能和城市整体形象。</w:t>
      </w:r>
    </w:p>
    <w:p>
      <w:pPr>
        <w:numPr>
          <w:ilvl w:val="0"/>
          <w:numId w:val="1"/>
        </w:numPr>
        <w:spacing w:line="440" w:lineRule="exact"/>
        <w:ind w:left="0" w:leftChars="0" w:firstLine="640" w:firstLineChars="200"/>
        <w:jc w:val="left"/>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评价结论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2022年度该项目整体支出情况良好，各项资金使用规范，无虚列项目支出情况，无截留挤占挪用情况，无超标开支情况，无超预算情况，内部控制制度基本健全，管理规范，有力贯彻落实相关项目的决策部署，及时做好上传下达、学习领会、布置安排、督促落实，不存在消极抵触，推诿扯皮，弄虚作假，敷衍塞则的现象，做到定目标、定时限，定期会议推进制，积极妥善地协调解决好项目推进过程中存在的问题和困难。在工作过程中，本着“为民、务实、清廉、高效”的原则，围绕昆明市盘龙区住房和城乡建设局的中心工作和任务，认真履行职责，提高行政效能，项目工作顺利推进，年度工作目标按时按质完成，绩效目标得以实现。</w:t>
      </w:r>
    </w:p>
    <w:p>
      <w:pPr>
        <w:spacing w:line="440" w:lineRule="exact"/>
        <w:ind w:firstLine="640" w:firstLineChars="200"/>
        <w:jc w:val="left"/>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三、经验、问题和建议</w:t>
      </w:r>
    </w:p>
    <w:p>
      <w:pPr>
        <w:spacing w:line="440" w:lineRule="exact"/>
        <w:ind w:firstLine="640" w:firstLineChars="200"/>
        <w:jc w:val="left"/>
        <w:rPr>
          <w:rFonts w:hint="eastAsia" w:ascii="楷体" w:hAnsi="楷体" w:eastAsia="楷体"/>
          <w:szCs w:val="32"/>
        </w:rPr>
      </w:pPr>
      <w:r>
        <w:rPr>
          <w:rFonts w:hint="eastAsia" w:ascii="楷体" w:hAnsi="楷体" w:eastAsia="楷体" w:cs="Times New Roman"/>
          <w:sz w:val="32"/>
          <w:szCs w:val="32"/>
          <w:lang w:val="en-US" w:eastAsia="zh-CN"/>
        </w:rPr>
        <w:t>1.主要经验及做法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我处自有设备不足，职工老龄化严重，且维护作业强度高，道桥管养维护面积逐年增加，在设备及人员均无法满足维护施工的情况下，我处通过公开招标确定维护单位，将社会资源和内部资源得到了充分融合。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通过</w:t>
      </w:r>
      <w:r>
        <w:rPr>
          <w:rFonts w:hint="eastAsia" w:ascii="仿宋_GB2312" w:hAnsi="仿宋_GB2312" w:eastAsia="仿宋_GB2312" w:cs="仿宋_GB2312"/>
          <w:kern w:val="44"/>
          <w:sz w:val="32"/>
          <w:szCs w:val="32"/>
          <w:lang w:eastAsia="zh-CN"/>
        </w:rPr>
        <w:t>建立</w:t>
      </w:r>
      <w:r>
        <w:rPr>
          <w:rFonts w:hint="eastAsia" w:ascii="仿宋_GB2312" w:hAnsi="仿宋_GB2312" w:eastAsia="仿宋_GB2312" w:cs="仿宋_GB2312"/>
          <w:kern w:val="44"/>
          <w:sz w:val="32"/>
          <w:szCs w:val="32"/>
        </w:rPr>
        <w:t>“三级巡查”制度对道路桥梁设施进行全面巡查，细化道路桥梁设施权责，责任到人，真正将维护工作做到实处</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细化预算工作，提高预算编制的科学性、严谨性和可控性</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加强</w:t>
      </w:r>
      <w:r>
        <w:rPr>
          <w:rFonts w:hint="eastAsia" w:ascii="仿宋_GB2312" w:hAnsi="仿宋_GB2312" w:eastAsia="仿宋_GB2312" w:cs="仿宋_GB2312"/>
          <w:kern w:val="44"/>
          <w:sz w:val="32"/>
          <w:szCs w:val="32"/>
          <w:lang w:eastAsia="zh-CN"/>
        </w:rPr>
        <w:t>项目建设资金</w:t>
      </w:r>
      <w:r>
        <w:rPr>
          <w:rFonts w:hint="eastAsia" w:ascii="仿宋_GB2312" w:hAnsi="仿宋_GB2312" w:eastAsia="仿宋_GB2312" w:cs="仿宋_GB2312"/>
          <w:kern w:val="44"/>
          <w:sz w:val="32"/>
          <w:szCs w:val="32"/>
        </w:rPr>
        <w:t>管理，严格</w:t>
      </w:r>
      <w:r>
        <w:rPr>
          <w:rFonts w:hint="eastAsia" w:ascii="仿宋_GB2312" w:hAnsi="仿宋_GB2312" w:eastAsia="仿宋_GB2312" w:cs="仿宋_GB2312"/>
          <w:kern w:val="44"/>
          <w:sz w:val="32"/>
          <w:szCs w:val="32"/>
          <w:lang w:eastAsia="zh-CN"/>
        </w:rPr>
        <w:t>资金</w:t>
      </w:r>
      <w:r>
        <w:rPr>
          <w:rFonts w:hint="eastAsia" w:ascii="仿宋_GB2312" w:hAnsi="仿宋_GB2312" w:eastAsia="仿宋_GB2312" w:cs="仿宋_GB2312"/>
          <w:kern w:val="44"/>
          <w:sz w:val="32"/>
          <w:szCs w:val="32"/>
        </w:rPr>
        <w:t>审批</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及时整理、归纳分析、绩效自评结果，积累和储备历史数据，补充完善绩效评价指标并将其作为改进预算绩效管理和安排以后年度预算的重要依据。将绩效自评整改意见的落实情况等及时报送主管部门和区财政局。并按照相关规定，及时向社会公开，接受社会监督。</w:t>
      </w:r>
    </w:p>
    <w:p>
      <w:pPr>
        <w:numPr>
          <w:ilvl w:val="0"/>
          <w:numId w:val="2"/>
        </w:numPr>
        <w:topLinePunct/>
        <w:spacing w:line="440" w:lineRule="exact"/>
        <w:ind w:firstLine="640" w:firstLineChars="200"/>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存在的问题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（1）目前主要养护模式是发现问题后再处理，虽短期看来单笔投入较少，效果较快，但长期来看，其累计投资较高，影响基础设施的使用寿命和服务水平。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rPr>
        <w:t>（2）我处在执行专项资金进度计划时，为确保质量维护工作需要避开恶劣气候、阴雨等天气条件，否则将造成维护重复、资金浪费情况，因此，雨期维护资金进度计划执行时有偏差。</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lang w:val="en-US" w:eastAsia="zh-CN"/>
        </w:rPr>
        <w:t>3.</w:t>
      </w:r>
      <w:r>
        <w:rPr>
          <w:rFonts w:hint="eastAsia" w:ascii="楷体" w:hAnsi="楷体" w:eastAsia="楷体" w:cs="Times New Roman"/>
          <w:sz w:val="32"/>
          <w:szCs w:val="32"/>
        </w:rPr>
        <w:t>改进措施及建议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（1）在病害发展的初期，开展预防性养护措施，能够有效消除现存的病害，提高基础设施服务水平。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（2）加大道路桥梁巡查力度，及时发现道路桥梁病害，争取在天气条件良好的情况下加班加点完成道梁设施病害的维修养护。</w:t>
      </w:r>
    </w:p>
    <w:p>
      <w:pPr>
        <w:rPr>
          <w:rFonts w:ascii="仿宋_GB2312" w:hAnsi="仿宋_GB2312" w:eastAsia="仿宋_GB2312" w:cs="仿宋_GB2312"/>
          <w:kern w:val="44"/>
          <w:sz w:val="32"/>
          <w:szCs w:val="32"/>
        </w:rPr>
      </w:pPr>
    </w:p>
    <w:p>
      <w:pPr>
        <w:pStyle w:val="2"/>
        <w:numPr>
          <w:ilvl w:val="0"/>
          <w:numId w:val="0"/>
        </w:numPr>
        <w:ind w:leftChars="200"/>
      </w:pPr>
    </w:p>
    <w:p>
      <w:pPr>
        <w:spacing w:line="440" w:lineRule="exact"/>
        <w:ind w:firstLine="420" w:firstLineChars="200"/>
        <w:jc w:val="left"/>
        <w:rPr>
          <w:rFonts w:ascii="楷体" w:hAnsi="楷体" w:eastAsia="楷体"/>
          <w:szCs w:val="32"/>
        </w:rPr>
      </w:pPr>
    </w:p>
    <w:p>
      <w:pPr>
        <w:spacing w:line="440" w:lineRule="exact"/>
        <w:ind w:firstLine="640" w:firstLineChars="200"/>
        <w:jc w:val="center"/>
        <w:rPr>
          <w:rFonts w:ascii="黑体" w:hAnsi="黑体" w:eastAsia="黑体"/>
          <w:sz w:val="36"/>
          <w:szCs w:val="36"/>
        </w:rPr>
      </w:pPr>
      <w:r>
        <w:rPr>
          <w:rFonts w:hint="eastAsia" w:ascii="楷体" w:hAnsi="楷体" w:eastAsia="楷体" w:cs="Times New Roman"/>
          <w:sz w:val="32"/>
          <w:szCs w:val="32"/>
        </w:rPr>
        <w:t>盘龙区2022年度道路及桥梁等设施维护工程项目支出绩效自评报告</w:t>
      </w:r>
    </w:p>
    <w:p>
      <w:pPr>
        <w:topLinePunct/>
        <w:spacing w:line="440" w:lineRule="exact"/>
        <w:ind w:firstLine="525" w:firstLineChars="250"/>
        <w:rPr>
          <w:rFonts w:ascii="黑体" w:eastAsia="黑体"/>
          <w:szCs w:val="32"/>
        </w:rPr>
      </w:pPr>
    </w:p>
    <w:p>
      <w:pPr>
        <w:topLinePunct/>
        <w:spacing w:line="440" w:lineRule="exact"/>
        <w:ind w:firstLine="800" w:firstLineChars="250"/>
        <w:rPr>
          <w:rFonts w:ascii="黑体" w:eastAsia="黑体"/>
          <w:szCs w:val="32"/>
        </w:rPr>
      </w:pPr>
      <w:r>
        <w:rPr>
          <w:rFonts w:hint="eastAsia" w:ascii="楷体" w:hAnsi="楷体" w:eastAsia="楷体" w:cs="Times New Roman"/>
          <w:sz w:val="32"/>
          <w:szCs w:val="32"/>
        </w:rPr>
        <w:t>一、项目基本情况</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（一）项目概况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1、立项背景及目的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为贯彻落实高质量建设区域性国际中心城市，坚持秉承服务人民开展城市建设，提升城市道路管理维护工作，切实提高城市道路精细化管养维护水平。消除城市道路桥梁、隧道病害及安全隐患，充分发挥道桥设施的使用功能，确保设施的安全运营，提升城市综合服务功能和城市整体形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2、项目实施情况</w:t>
      </w:r>
    </w:p>
    <w:p>
      <w:pPr>
        <w:topLinePunct/>
        <w:spacing w:line="440" w:lineRule="exact"/>
        <w:ind w:firstLine="640" w:firstLineChars="200"/>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2022年维护以城市道路桥梁设施全覆盖为基础，优先保障重点道路桥梁维护的原则，维护整治道路102条路（巷）、老旧小区改造道路、地产代建道路20余条，桥梁6座。根据区政府常务会议（16-113次）研究同意由我局市政处负责实施盘龙区2022年度道路及桥梁等设施维护工程，项目建设资金列入2022财政投资项目计划，由区财政根据相关规定统筹安排。目前，该项目已于2022年3月进场施工，正在积极推进相关工作并采取《昆明市盘龙区进一步规范公建基础设施工程资金拨付的指导意见》（盘政发[2020]9号）规定及合同约定的付款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3、资金来源及使用情况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3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（1）资金来源：</w:t>
      </w:r>
      <w:r>
        <w:rPr>
          <w:rFonts w:hint="eastAsia" w:ascii="仿宋_GB2312" w:hAnsi="仿宋_GB2312" w:eastAsia="仿宋_GB2312" w:cs="仿宋_GB2312"/>
          <w:kern w:val="44"/>
          <w:sz w:val="32"/>
          <w:szCs w:val="32"/>
          <w:lang w:val="en-US" w:eastAsia="zh-CN" w:bidi="ar-SA"/>
        </w:rPr>
        <w:t>财政拨款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3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（2）使用情况：</w:t>
      </w:r>
      <w:r>
        <w:rPr>
          <w:rFonts w:hint="eastAsia" w:ascii="仿宋_GB2312" w:hAnsi="仿宋_GB2312" w:eastAsia="仿宋_GB2312" w:cs="仿宋_GB2312"/>
          <w:kern w:val="44"/>
          <w:sz w:val="32"/>
          <w:szCs w:val="32"/>
          <w:lang w:val="en-US" w:eastAsia="zh-CN" w:bidi="ar-SA"/>
        </w:rPr>
        <w:t>2022年我局申请拨付道桥维护项目资金448.88万元，区财政批复并拨付我局448.88万元，我局全额拨付至市政处，我处已使用并拨付维护资金448.88万元。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774" w:firstLineChars="242"/>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我处对维护经费的使用管理，严格按照专项资金的管理制度执行，层层审核、专款专用，全额用于道桥的日常维护工作，无挪用、截留、挤占、虚列项目支出等违规情况，支出手续健全，审批严谨，并在财务核算上独立核算，严格执行专项资金管理办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4、组织及管理情况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lang w:val="en-US" w:eastAsia="zh-CN" w:bidi="ar-SA"/>
        </w:rPr>
        <w:t>2022年我处严格按照相关技术管理规范开展城市道路、桥梁及隧道的维修养护工作；加强日常巡查力度，按照规范定义城市道路、桥梁及隧道的养护等级，确定相应的管理养护方案；对存在安全隐患的道路桥梁进行及时处理，制定季度、半年、年度计划，并按计划组织实施。</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（二）绩效目标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1.总目标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认真贯彻执行国家和省、市有关住房城乡建设事业的法律法规，强化制度建设，加强政策解读，构成主要领导亲自抓，分管领导具体抓；在资金保障的情况下，按照养护规范要求及道路桥梁设施的基本情况，对辖区内管养道路进行及时养护，保障道路桥梁安全运行，消除安全隐患，维护社会稳定，为盘龙区经济发展提供强有力的硬件保障。</w:t>
      </w:r>
    </w:p>
    <w:p>
      <w:pPr>
        <w:topLinePunct/>
        <w:spacing w:line="440" w:lineRule="exact"/>
        <w:ind w:firstLine="800" w:firstLineChars="250"/>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2.年度目标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default"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产出目标：</w:t>
      </w:r>
      <w:r>
        <w:rPr>
          <w:rFonts w:hint="eastAsia" w:ascii="仿宋_GB2312" w:hAnsi="仿宋_GB2312" w:eastAsia="仿宋_GB2312" w:cs="仿宋_GB2312"/>
          <w:kern w:val="44"/>
          <w:sz w:val="32"/>
          <w:szCs w:val="32"/>
          <w:lang w:val="en-US" w:eastAsia="zh-CN" w:bidi="ar-SA"/>
        </w:rPr>
        <w:t>2022年我处计划维护沥青路面36550㎡，人行道维护5313.60㎡,桥梁钢制结构（梁、板）、桥梁栏杆及其他零星钢制结构油漆养护7474㎡，更换人行天桥桥面铺装2800㎡。</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lang w:val="en-US" w:eastAsia="zh-CN"/>
        </w:rPr>
      </w:pPr>
      <w:r>
        <w:rPr>
          <w:rFonts w:hint="eastAsia" w:ascii="楷体" w:hAnsi="楷体" w:eastAsia="楷体" w:cs="Times New Roman"/>
          <w:kern w:val="2"/>
          <w:sz w:val="32"/>
          <w:szCs w:val="32"/>
          <w:lang w:val="en-US" w:eastAsia="zh-CN" w:bidi="ar-SA"/>
        </w:rPr>
        <w:t>效果目标：</w:t>
      </w:r>
      <w:r>
        <w:rPr>
          <w:rFonts w:hint="eastAsia" w:ascii="仿宋_GB2312" w:hAnsi="仿宋_GB2312" w:eastAsia="仿宋_GB2312" w:cs="仿宋_GB2312"/>
          <w:kern w:val="44"/>
          <w:sz w:val="32"/>
          <w:szCs w:val="32"/>
          <w:lang w:val="en-US" w:eastAsia="zh-CN" w:bidi="ar-SA"/>
        </w:rPr>
        <w:t>效益最大化的利用财政资金，及时对辖区内道路桥梁设施进行维修养护，充分发挥设施的使用功能，确保设施的安全运营，消除安全隐患，给广大市民提供一个安全、快捷的出行环境。</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二、绩效评价工作情况</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（一）绩效评价目的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我处严格遵循相关技术规范开展道桥维修养护工作，尽量根据年度工作计划完成产出目标，确保效果目标得以实现。在项目实施的过程中，难以避免恶劣气候、阴雨等天气条件的影响，造成重复维护，浪费资金。基于上述问题，我处将加大道路桥梁巡查力度，及时发现道路桥梁病害，尽量在天气良好的情况下加班加点维护存在病害的道桥设施。</w:t>
      </w:r>
    </w:p>
    <w:p>
      <w:pPr>
        <w:numPr>
          <w:ilvl w:val="0"/>
          <w:numId w:val="3"/>
        </w:numPr>
        <w:topLinePunct/>
        <w:spacing w:line="440" w:lineRule="exact"/>
        <w:ind w:firstLine="800" w:firstLineChars="250"/>
        <w:rPr>
          <w:rFonts w:hint="eastAsia" w:ascii="楷体" w:hAnsi="楷体" w:eastAsia="楷体"/>
          <w:sz w:val="32"/>
          <w:szCs w:val="32"/>
        </w:rPr>
      </w:pPr>
      <w:r>
        <w:rPr>
          <w:rFonts w:hint="eastAsia" w:ascii="楷体" w:hAnsi="楷体" w:eastAsia="楷体"/>
          <w:sz w:val="32"/>
          <w:szCs w:val="32"/>
        </w:rPr>
        <w:t>绩效评价工作方案制定过程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1、前期调研</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both"/>
        <w:rPr>
          <w:rFonts w:hint="eastAsia" w:ascii="楷体" w:hAnsi="楷体" w:eastAsia="楷体" w:cs="Times New Roman"/>
          <w:kern w:val="2"/>
          <w:sz w:val="32"/>
          <w:szCs w:val="32"/>
          <w:lang w:val="en-US" w:eastAsia="zh-CN" w:bidi="ar-SA"/>
        </w:rPr>
      </w:pPr>
      <w:r>
        <w:rPr>
          <w:rFonts w:hint="eastAsia" w:ascii="仿宋_GB2312" w:hAnsi="仿宋_GB2312" w:eastAsia="仿宋_GB2312" w:cs="仿宋_GB2312"/>
          <w:kern w:val="44"/>
          <w:sz w:val="32"/>
          <w:szCs w:val="32"/>
          <w:lang w:val="en-US" w:eastAsia="zh-CN" w:bidi="ar-SA"/>
        </w:rPr>
        <w:t>根据辖区内的城市道路桥梁、隧道等市政设施的现状及使用情况进行日常巡查，根据巡查情况做出次年维修养护计划。</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2、研究文件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建设部《城镇道路养护技术规范》（CJJ36-2016）</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建设部《城市桥梁养护技术标准》（CJJ99-2017）</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微软雅黑" w:hAnsi="微软雅黑" w:eastAsia="微软雅黑" w:cs="微软雅黑"/>
          <w:i w:val="0"/>
          <w:iCs w:val="0"/>
          <w:caps w:val="0"/>
          <w:color w:val="666666"/>
          <w:spacing w:val="0"/>
          <w:sz w:val="24"/>
          <w:szCs w:val="24"/>
        </w:rPr>
      </w:pPr>
      <w:r>
        <w:rPr>
          <w:rFonts w:hint="eastAsia" w:ascii="仿宋_GB2312" w:hAnsi="仿宋_GB2312" w:eastAsia="仿宋_GB2312" w:cs="仿宋_GB2312"/>
          <w:kern w:val="44"/>
          <w:sz w:val="32"/>
          <w:szCs w:val="32"/>
          <w:lang w:val="en-US" w:eastAsia="zh-CN" w:bidi="ar-SA"/>
        </w:rPr>
        <w:t>昆明市《城市道路管养维修办法》昆政发【2012】42号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3、绩效评价指标体系及工作方案的设计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rPr>
      </w:pPr>
      <w:r>
        <w:rPr>
          <w:rFonts w:hint="eastAsia" w:ascii="仿宋_GB2312" w:hAnsi="仿宋_GB2312" w:eastAsia="仿宋_GB2312" w:cs="仿宋_GB2312"/>
          <w:kern w:val="44"/>
          <w:sz w:val="32"/>
          <w:szCs w:val="32"/>
          <w:lang w:val="en-US" w:eastAsia="zh-CN" w:bidi="ar-SA"/>
        </w:rPr>
        <w:t>道桥维护绩效评价指标体系严格按照国家法律法规，行业规范要求，结合我处管养道桥设施的实际情况，合理使用资金，科学统筹，节约成本，认真制定工作计划达到资金效益最优化</w:t>
      </w:r>
      <w:r>
        <w:rPr>
          <w:rFonts w:hint="eastAsia" w:ascii="仿宋_GB2312" w:hAnsi="微软雅黑" w:eastAsia="仿宋_GB2312" w:cs="仿宋_GB2312"/>
          <w:i w:val="0"/>
          <w:iCs w:val="0"/>
          <w:caps w:val="0"/>
          <w:color w:val="666666"/>
          <w:spacing w:val="0"/>
          <w:sz w:val="30"/>
          <w:szCs w:val="30"/>
          <w:shd w:val="clear" w:fill="FFFFFF"/>
        </w:rPr>
        <w:t>。</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（三）绩效评价原则、评价方法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szCs w:val="32"/>
          <w:lang w:val="en-US" w:eastAsia="zh-CN"/>
        </w:rPr>
        <w:t xml:space="preserve">  </w:t>
      </w:r>
      <w:r>
        <w:rPr>
          <w:rFonts w:hint="eastAsia" w:ascii="楷体" w:hAnsi="楷体" w:eastAsia="楷体" w:cs="Times New Roman"/>
          <w:kern w:val="2"/>
          <w:sz w:val="32"/>
          <w:szCs w:val="32"/>
          <w:lang w:val="en-US" w:eastAsia="zh-CN" w:bidi="ar-SA"/>
        </w:rPr>
        <w:t xml:space="preserve"> </w:t>
      </w:r>
      <w:r>
        <w:rPr>
          <w:rFonts w:hint="eastAsia" w:ascii="仿宋_GB2312" w:hAnsi="仿宋_GB2312" w:eastAsia="仿宋_GB2312" w:cs="仿宋_GB2312"/>
          <w:kern w:val="44"/>
          <w:sz w:val="32"/>
          <w:szCs w:val="32"/>
          <w:lang w:val="en-US" w:eastAsia="zh-CN" w:bidi="ar-SA"/>
        </w:rPr>
        <w:t>绩效评价原则及方法遵循总体目标，年度目标，长期有效，短期合理的原则。</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（四）绩效评价实施过程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1、数据填报和采集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对专项维护项目的绩效跟踪、检查、分析、纠偏及考核等系列工作已被我处列为常态化工作之一，对项目执行过程中同步形成的维护资料及时分类、整理归档，从而形成系统的项目绩效相关材料。同时，我处严控项目执行质量，注重数据的采集与整理，以备提供佐证数据，开展绩效相关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2、社会调查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作为市政道桥管养维护单位，群众的维护意见和建议是我处做好维护工作不可或缺的监督与指导手段，项目执行前期及过程中，我处会在项目周边进行必要的社会调查，了解群众出行需求及对维护工作的建议和要求，并联系社区及时发布维护公告，尽力满足群众对出行的需求。在维护完毕后我处积极听取大家对维护工作的评价，及时总结以提高服务大众的维护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3、数据分析和撰写报告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仿宋_GB2312" w:hAnsi="仿宋_GB2312" w:eastAsia="仿宋_GB2312" w:cs="仿宋_GB2312"/>
          <w:kern w:val="44"/>
          <w:sz w:val="32"/>
          <w:szCs w:val="32"/>
          <w:lang w:val="en-US" w:eastAsia="zh-CN" w:bidi="ar-SA"/>
        </w:rPr>
        <w:t xml:space="preserve">针对项目执行过程中收集的资料及依据，及时进行对比分析，查看项目是否按照计划执行，对于可能出现的项目偏差找出具体原因，之后进行纠偏。确保项目目标得以实现。     </w:t>
      </w:r>
      <w:r>
        <w:rPr>
          <w:rFonts w:hint="eastAsia" w:ascii="楷体" w:hAnsi="楷体" w:eastAsia="楷体" w:cs="Times New Roman"/>
          <w:kern w:val="2"/>
          <w:sz w:val="32"/>
          <w:szCs w:val="32"/>
          <w:lang w:val="en-US" w:eastAsia="zh-CN" w:bidi="ar-SA"/>
        </w:rPr>
        <w:t>（五）本次绩效评价的局限性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bidi="ar-SA"/>
        </w:rPr>
        <w:t>本次绩效评价由于工作专业性强，工作成果使用面针对性强，工作效果显现周期性长，单次绩效评价效果不明显。</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三、评价结论和绩效分析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（一）评价结论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eastAsia" w:ascii="楷体" w:hAnsi="楷体" w:eastAsia="楷体" w:cs="Times New Roman"/>
          <w:kern w:val="2"/>
          <w:sz w:val="32"/>
          <w:szCs w:val="32"/>
          <w:lang w:val="en-US" w:eastAsia="zh-CN" w:bidi="ar-SA"/>
        </w:rPr>
        <w:t>1、评价结果：</w:t>
      </w:r>
      <w:r>
        <w:rPr>
          <w:rStyle w:val="7"/>
          <w:rFonts w:hint="eastAsia" w:ascii="仿宋_GB2312" w:hAnsi="微软雅黑" w:eastAsia="仿宋_GB2312" w:cs="仿宋_GB2312"/>
          <w:b/>
          <w:bCs/>
          <w:i w:val="0"/>
          <w:iCs w:val="0"/>
          <w:caps w:val="0"/>
          <w:color w:val="666666"/>
          <w:spacing w:val="0"/>
          <w:sz w:val="30"/>
          <w:szCs w:val="30"/>
          <w:shd w:val="clear" w:fill="FFFFFF"/>
        </w:rPr>
        <w:t>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2、主要绩效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一标段主要完成工程量：</w:t>
      </w:r>
      <w:r>
        <w:rPr>
          <w:rFonts w:hint="eastAsia" w:ascii="仿宋_GB2312" w:hAnsi="仿宋_GB2312" w:eastAsia="仿宋_GB2312" w:cs="仿宋_GB2312"/>
          <w:kern w:val="44"/>
          <w:sz w:val="32"/>
          <w:szCs w:val="32"/>
          <w:lang w:val="en-US" w:eastAsia="zh-CN" w:bidi="ar-SA"/>
        </w:rPr>
        <w:t>铺筑6cm厚中粒式沥青混凝土（AC-20）14700㎡，4cm厚细粒式沥青混凝土（AC-13）14700㎡，粘层14700㎡，透层14700㎡；更换铸铁井盖（DN900）60座，拆除安砌街沿流水石3948m，铺设人行道3696㎡，提升井盖30座。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二标段主要完成工程量：</w:t>
      </w:r>
      <w:r>
        <w:rPr>
          <w:rFonts w:hint="eastAsia" w:ascii="仿宋_GB2312" w:hAnsi="仿宋_GB2312" w:eastAsia="仿宋_GB2312" w:cs="仿宋_GB2312"/>
          <w:kern w:val="44"/>
          <w:sz w:val="32"/>
          <w:szCs w:val="32"/>
          <w:lang w:val="en-US" w:eastAsia="zh-CN" w:bidi="ar-SA"/>
        </w:rPr>
        <w:t>铺筑6cm厚中粒式沥青混凝土（AC-20）14000㎡，4cm厚细粒式沥青混凝土（AC-13）14000㎡，粘层14000㎡，透层14000㎡；更换铸铁井盖（DN900）60座，拆除安砌街沿流水石3760m，铺设人行道3520㎡，提升井盖30座。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eastAsia="zh-CN"/>
        </w:rPr>
      </w:pPr>
      <w:r>
        <w:rPr>
          <w:rFonts w:hint="eastAsia" w:ascii="楷体" w:hAnsi="楷体" w:eastAsia="楷体" w:cs="Times New Roman"/>
          <w:kern w:val="2"/>
          <w:sz w:val="32"/>
          <w:szCs w:val="32"/>
          <w:lang w:val="en-US" w:eastAsia="zh-CN" w:bidi="ar-SA"/>
        </w:rPr>
        <w:t>三标段主要完成工程量：</w:t>
      </w:r>
      <w:r>
        <w:rPr>
          <w:rFonts w:hint="eastAsia" w:ascii="仿宋_GB2312" w:hAnsi="仿宋_GB2312" w:eastAsia="仿宋_GB2312" w:cs="仿宋_GB2312"/>
          <w:kern w:val="44"/>
          <w:sz w:val="32"/>
          <w:szCs w:val="32"/>
          <w:lang w:val="en-US" w:eastAsia="zh-CN" w:bidi="ar-SA"/>
        </w:rPr>
        <w:t>铺筑6cm厚中粒式沥青混凝土（AC-20）6300㎡，4cm厚细粒式沥青混凝土（AC-13）6300㎡，粘层6300㎡，透层6300㎡；更换铸铁井盖（DN900）30座，拆除安砌街沿流水石1692m，铺设人行道1584㎡，提升井盖20座；桥梁混凝土结构涂装、钢结构涂装9550㎡，桥面清洗4775㎡。</w:t>
      </w:r>
    </w:p>
    <w:p>
      <w:pPr>
        <w:numPr>
          <w:ilvl w:val="0"/>
          <w:numId w:val="4"/>
        </w:numPr>
        <w:topLinePunct/>
        <w:spacing w:line="440" w:lineRule="exact"/>
        <w:ind w:firstLine="800" w:firstLineChars="250"/>
        <w:rPr>
          <w:rFonts w:hint="eastAsia" w:ascii="仿宋" w:hAnsi="仿宋" w:eastAsia="仿宋"/>
          <w:szCs w:val="32"/>
        </w:rPr>
      </w:pPr>
      <w:r>
        <w:rPr>
          <w:rFonts w:hint="eastAsia" w:ascii="楷体" w:hAnsi="楷体" w:eastAsia="楷体" w:cs="Times New Roman"/>
          <w:sz w:val="32"/>
          <w:szCs w:val="32"/>
        </w:rPr>
        <w:t>具体绩效分析</w:t>
      </w:r>
    </w:p>
    <w:p>
      <w:pPr>
        <w:pStyle w:val="2"/>
        <w:numPr>
          <w:ilvl w:val="0"/>
          <w:numId w:val="5"/>
        </w:numPr>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一级指标：项目决策（20分）</w:t>
      </w:r>
    </w:p>
    <w:p>
      <w:pPr>
        <w:ind w:firstLine="627" w:firstLineChars="196"/>
        <w:contextualSpacing/>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rPr>
        <w:t>项目决策</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项目立项</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项目目标</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个二级指标。</w:t>
      </w:r>
    </w:p>
    <w:p>
      <w:pPr>
        <w:pStyle w:val="2"/>
        <w:numPr>
          <w:ilvl w:val="0"/>
          <w:numId w:val="6"/>
        </w:numPr>
        <w:ind w:firstLine="640" w:firstLineChars="20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二级指标：项目立项（8分）</w:t>
      </w:r>
    </w:p>
    <w:p>
      <w:pPr>
        <w:pStyle w:val="2"/>
        <w:numPr>
          <w:ilvl w:val="0"/>
          <w:numId w:val="0"/>
        </w:numPr>
        <w:ind w:firstLine="640" w:firstLineChars="200"/>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根据昆明市盘龙区住房和城乡建设局设定</w:t>
      </w:r>
      <w:r>
        <w:rPr>
          <w:rFonts w:hint="eastAsia" w:ascii="仿宋_GB2312" w:hAnsi="仿宋_GB2312" w:eastAsia="仿宋_GB2312" w:cs="仿宋_GB2312"/>
          <w:kern w:val="44"/>
          <w:sz w:val="32"/>
          <w:szCs w:val="32"/>
          <w:lang w:eastAsia="zh-CN"/>
        </w:rPr>
        <w:t>的</w:t>
      </w:r>
      <w:r>
        <w:rPr>
          <w:rFonts w:hint="eastAsia" w:ascii="仿宋_GB2312" w:hAnsi="仿宋_GB2312" w:eastAsia="仿宋_GB2312" w:cs="仿宋_GB2312"/>
          <w:kern w:val="44"/>
          <w:sz w:val="32"/>
          <w:szCs w:val="32"/>
        </w:rPr>
        <w:t>部门中长期规划目标，部门中长期规划目标明确且与盘龙区城市管理“十四五”规划目标及部门职能相一致，能够与部门职能相适应。</w:t>
      </w:r>
      <w:r>
        <w:rPr>
          <w:rFonts w:hint="eastAsia" w:ascii="仿宋_GB2312" w:hAnsi="仿宋_GB2312" w:eastAsia="仿宋_GB2312" w:cs="仿宋_GB2312"/>
          <w:kern w:val="44"/>
          <w:sz w:val="32"/>
          <w:szCs w:val="32"/>
          <w:lang w:eastAsia="zh-CN"/>
        </w:rPr>
        <w:t>项目符合区政府相关规划、决策、批复</w:t>
      </w:r>
      <w:r>
        <w:rPr>
          <w:rFonts w:hint="eastAsia" w:ascii="仿宋_GB2312" w:hAnsi="仿宋_GB2312" w:eastAsia="仿宋_GB2312" w:cs="仿宋_GB2312"/>
          <w:kern w:val="44"/>
          <w:sz w:val="32"/>
          <w:szCs w:val="32"/>
        </w:rPr>
        <w:t>；绩效目标与部门中长期规划、年度工作目标任务相一致；</w:t>
      </w:r>
      <w:r>
        <w:rPr>
          <w:rFonts w:hint="eastAsia" w:ascii="仿宋_GB2312" w:hAnsi="仿宋_GB2312" w:eastAsia="仿宋_GB2312" w:cs="仿宋_GB2312"/>
          <w:kern w:val="44"/>
          <w:sz w:val="32"/>
          <w:szCs w:val="32"/>
          <w:lang w:eastAsia="zh-CN"/>
        </w:rPr>
        <w:t>项目立项经过前期调研，项目的申请、设立过程符合相关要求。项目立项</w:t>
      </w:r>
      <w:r>
        <w:rPr>
          <w:rFonts w:hint="eastAsia" w:ascii="仿宋_GB2312" w:hAnsi="仿宋_GB2312" w:eastAsia="仿宋_GB2312" w:cs="仿宋_GB2312"/>
          <w:kern w:val="44"/>
          <w:sz w:val="32"/>
          <w:szCs w:val="32"/>
        </w:rPr>
        <w:t>自评得分</w:t>
      </w:r>
      <w:r>
        <w:rPr>
          <w:rFonts w:hint="eastAsia" w:ascii="仿宋_GB2312" w:hAnsi="仿宋_GB2312" w:eastAsia="仿宋_GB2312" w:cs="仿宋_GB2312"/>
          <w:kern w:val="44"/>
          <w:sz w:val="32"/>
          <w:szCs w:val="32"/>
          <w:lang w:val="en-US" w:eastAsia="zh-CN"/>
        </w:rPr>
        <w:t>8</w:t>
      </w:r>
      <w:r>
        <w:rPr>
          <w:rFonts w:hint="eastAsia" w:ascii="仿宋_GB2312" w:hAnsi="仿宋_GB2312" w:eastAsia="仿宋_GB2312" w:cs="仿宋_GB2312"/>
          <w:kern w:val="44"/>
          <w:sz w:val="32"/>
          <w:szCs w:val="32"/>
        </w:rPr>
        <w:t>分。</w:t>
      </w:r>
    </w:p>
    <w:p>
      <w:pPr>
        <w:pStyle w:val="2"/>
        <w:numPr>
          <w:ilvl w:val="0"/>
          <w:numId w:val="6"/>
        </w:numPr>
        <w:ind w:left="0" w:leftChars="0" w:firstLine="640" w:firstLineChars="200"/>
        <w:rPr>
          <w:rFonts w:hint="eastAsia" w:ascii="仿宋_GB2312" w:hAnsi="仿宋_GB2312" w:eastAsia="仿宋_GB2312" w:cs="仿宋_GB2312"/>
          <w:kern w:val="44"/>
          <w:sz w:val="32"/>
          <w:szCs w:val="32"/>
          <w:lang w:eastAsia="zh-CN"/>
        </w:rPr>
      </w:pPr>
      <w:r>
        <w:rPr>
          <w:rFonts w:hint="eastAsia" w:ascii="仿宋_GB2312" w:hAnsi="仿宋_GB2312" w:eastAsia="仿宋_GB2312" w:cs="仿宋_GB2312"/>
          <w:kern w:val="44"/>
          <w:sz w:val="32"/>
          <w:szCs w:val="32"/>
          <w:lang w:eastAsia="zh-CN"/>
        </w:rPr>
        <w:t>二级指标：项目目标（</w:t>
      </w:r>
      <w:r>
        <w:rPr>
          <w:rFonts w:hint="eastAsia" w:ascii="仿宋_GB2312" w:hAnsi="仿宋_GB2312" w:eastAsia="仿宋_GB2312" w:cs="仿宋_GB2312"/>
          <w:kern w:val="44"/>
          <w:sz w:val="32"/>
          <w:szCs w:val="32"/>
          <w:lang w:val="en-US" w:eastAsia="zh-CN"/>
        </w:rPr>
        <w:t>12分</w:t>
      </w:r>
      <w:r>
        <w:rPr>
          <w:rFonts w:hint="eastAsia" w:ascii="仿宋_GB2312" w:hAnsi="仿宋_GB2312" w:eastAsia="仿宋_GB2312" w:cs="仿宋_GB2312"/>
          <w:kern w:val="44"/>
          <w:sz w:val="32"/>
          <w:szCs w:val="32"/>
          <w:lang w:eastAsia="zh-CN"/>
        </w:rPr>
        <w:t>）</w:t>
      </w:r>
    </w:p>
    <w:p>
      <w:pPr>
        <w:ind w:firstLine="627" w:firstLineChars="196"/>
        <w:contextualSpacing/>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eastAsia="zh-CN"/>
        </w:rPr>
        <w:t>绩效目标的设定与项目发展规划相关，完整地反应预期产出和效果；</w:t>
      </w:r>
      <w:r>
        <w:rPr>
          <w:rFonts w:hint="eastAsia" w:ascii="仿宋_GB2312" w:hAnsi="仿宋_GB2312" w:eastAsia="仿宋_GB2312" w:cs="仿宋_GB2312"/>
          <w:kern w:val="44"/>
          <w:sz w:val="32"/>
          <w:szCs w:val="32"/>
        </w:rPr>
        <w:t>绩效目标与部门中长期规划、年度工作目标任务相一致；所设定的整体绩效指标将部门整体绩效目标细化分解为具体工作任务，指标值具有清晰可衡量性</w:t>
      </w:r>
      <w:r>
        <w:rPr>
          <w:rFonts w:hint="eastAsia" w:ascii="仿宋_GB2312" w:hAnsi="仿宋_GB2312" w:eastAsia="仿宋_GB2312" w:cs="仿宋_GB2312"/>
          <w:kern w:val="44"/>
          <w:sz w:val="32"/>
          <w:szCs w:val="32"/>
          <w:lang w:eastAsia="zh-CN"/>
        </w:rPr>
        <w:t>。项目</w:t>
      </w:r>
      <w:r>
        <w:rPr>
          <w:rFonts w:hint="eastAsia" w:ascii="仿宋_GB2312" w:hAnsi="仿宋_GB2312" w:eastAsia="仿宋_GB2312" w:cs="仿宋_GB2312"/>
          <w:kern w:val="44"/>
          <w:sz w:val="32"/>
          <w:szCs w:val="32"/>
        </w:rPr>
        <w:t>目标自评得分12分。</w:t>
      </w:r>
    </w:p>
    <w:p>
      <w:pPr>
        <w:ind w:firstLine="627" w:firstLineChars="196"/>
        <w:contextualSpacing/>
        <w:rPr>
          <w:rFonts w:hint="eastAsia"/>
        </w:rPr>
      </w:pPr>
      <w:r>
        <w:rPr>
          <w:rFonts w:hint="eastAsia" w:ascii="仿宋_GB2312" w:hAnsi="仿宋_GB2312" w:eastAsia="仿宋_GB2312" w:cs="仿宋_GB2312"/>
          <w:kern w:val="44"/>
          <w:sz w:val="32"/>
          <w:szCs w:val="32"/>
        </w:rPr>
        <w:t>综上分析，</w:t>
      </w:r>
      <w:r>
        <w:rPr>
          <w:rFonts w:hint="eastAsia" w:ascii="仿宋_GB2312" w:hAnsi="仿宋_GB2312" w:eastAsia="仿宋_GB2312" w:cs="仿宋_GB2312"/>
          <w:kern w:val="44"/>
          <w:sz w:val="32"/>
          <w:szCs w:val="32"/>
          <w:lang w:eastAsia="zh-CN"/>
        </w:rPr>
        <w:t>项目决策</w:t>
      </w:r>
      <w:r>
        <w:rPr>
          <w:rFonts w:hint="eastAsia" w:ascii="仿宋_GB2312" w:hAnsi="仿宋_GB2312" w:eastAsia="仿宋_GB2312" w:cs="仿宋_GB2312"/>
          <w:kern w:val="44"/>
          <w:sz w:val="32"/>
          <w:szCs w:val="32"/>
        </w:rPr>
        <w:t>自评得分20分。</w:t>
      </w:r>
    </w:p>
    <w:p>
      <w:pPr>
        <w:pStyle w:val="2"/>
        <w:numPr>
          <w:ilvl w:val="0"/>
          <w:numId w:val="5"/>
        </w:numPr>
        <w:ind w:left="0" w:leftChars="0" w:firstLine="646" w:firstLineChars="202"/>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一级指标：项目管理（20分）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项目管理</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投入管理</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财务管理</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项目实施</w:t>
      </w:r>
      <w:r>
        <w:rPr>
          <w:rFonts w:hint="eastAsia" w:ascii="仿宋_GB2312" w:hAnsi="仿宋_GB2312" w:eastAsia="仿宋_GB2312" w:cs="仿宋_GB2312"/>
          <w:kern w:val="44"/>
          <w:sz w:val="32"/>
          <w:szCs w:val="32"/>
          <w:lang w:val="en-US" w:eastAsia="zh-CN"/>
        </w:rPr>
        <w:t>3</w:t>
      </w:r>
      <w:r>
        <w:rPr>
          <w:rFonts w:hint="eastAsia" w:ascii="仿宋_GB2312" w:hAnsi="仿宋_GB2312" w:eastAsia="仿宋_GB2312" w:cs="仿宋_GB2312"/>
          <w:kern w:val="44"/>
          <w:sz w:val="32"/>
          <w:szCs w:val="32"/>
        </w:rPr>
        <w:t>个二级指标。</w:t>
      </w:r>
    </w:p>
    <w:p>
      <w:pPr>
        <w:pStyle w:val="2"/>
        <w:numPr>
          <w:ilvl w:val="0"/>
          <w:numId w:val="7"/>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二级指标：投入管理（4分）</w:t>
      </w:r>
    </w:p>
    <w:p>
      <w:pPr>
        <w:ind w:firstLine="627" w:firstLineChars="196"/>
        <w:contextualSpacing/>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预算编制充分、合理并完整反应预计的项目支出，存在预算调整时按照相关规定执行调整程序，预算执行率达95%以上。投入管理自评得分4分。</w:t>
      </w:r>
    </w:p>
    <w:p>
      <w:pPr>
        <w:pStyle w:val="2"/>
        <w:numPr>
          <w:ilvl w:val="0"/>
          <w:numId w:val="7"/>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二级指标：财务管理（6分）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rPr>
        <w:t>昆明市盘龙区住房和城乡建设局严格依据《会计法》、《政府会计制度》及《昆明市盘龙区住建局项目管理制度》，《专项资金管理办法》、《预算、决算管理制度》、《公务卡管理制度》等进行项目资金拨付。按照专项资金的管理制度执行，层层审核、专款专用，无挪用、截留、虚列项目支出等违规情况，支出手续健全，审批严谨，严格执行专项资金管理办法，制度健全，合法合规；预算资金使用全部通过零余额账户用款额度拨付，并经单位负责人审批，重大资金支出均经集体决策；预算资金的使用符合预算资金的用途；财务监控方面，严格按制度、程序执行。财务管理自评得分6分。</w:t>
      </w:r>
    </w:p>
    <w:p>
      <w:pPr>
        <w:pStyle w:val="2"/>
        <w:numPr>
          <w:ilvl w:val="0"/>
          <w:numId w:val="7"/>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二级指标：项目实施（10分）</w:t>
      </w:r>
    </w:p>
    <w:p>
      <w:pPr>
        <w:pStyle w:val="2"/>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实施单位管理制度健全，为保障项目顺利实施制订的与项目直接相关的业务管理制度健全完善且有效执行；为保障项目顺利实施，项目主管部门采取明确监管措施并认真落实；项目相关的合同执行有序并做好完整的相关台账记录。项目实施自评得分10分。</w:t>
      </w:r>
    </w:p>
    <w:p>
      <w:pPr>
        <w:pStyle w:val="2"/>
        <w:rPr>
          <w:rFonts w:hint="eastAsia" w:ascii="仿宋_GB2312" w:hAnsi="仿宋_GB2312" w:eastAsia="仿宋_GB2312" w:cs="仿宋_GB2312"/>
          <w:kern w:val="44"/>
          <w:sz w:val="32"/>
          <w:szCs w:val="32"/>
          <w:lang w:eastAsia="zh-CN"/>
        </w:rPr>
      </w:pPr>
      <w:r>
        <w:rPr>
          <w:rFonts w:hint="eastAsia" w:ascii="仿宋_GB2312" w:hAnsi="仿宋_GB2312" w:eastAsia="仿宋_GB2312" w:cs="仿宋_GB2312"/>
          <w:kern w:val="44"/>
          <w:sz w:val="32"/>
          <w:szCs w:val="32"/>
          <w:lang w:eastAsia="zh-CN"/>
        </w:rPr>
        <w:t>综上分析，项目管理自评得分20分。</w:t>
      </w:r>
    </w:p>
    <w:p>
      <w:pPr>
        <w:pStyle w:val="2"/>
        <w:numPr>
          <w:ilvl w:val="0"/>
          <w:numId w:val="0"/>
        </w:numPr>
        <w:ind w:left="584" w:leftChars="0"/>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3、一级指标：项目绩效（60分）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项目绩效</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项目产出</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项目效益</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个二级指标。</w:t>
      </w:r>
    </w:p>
    <w:p>
      <w:pPr>
        <w:pStyle w:val="2"/>
        <w:numPr>
          <w:ilvl w:val="0"/>
          <w:numId w:val="8"/>
        </w:numPr>
        <w:ind w:left="580"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项目产出（30分）</w:t>
      </w:r>
    </w:p>
    <w:p>
      <w:pPr>
        <w:pStyle w:val="2"/>
        <w:numPr>
          <w:ilvl w:val="0"/>
          <w:numId w:val="0"/>
        </w:numPr>
        <w:ind w:firstLine="640" w:firstLineChars="20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bidi="ar-SA"/>
        </w:rPr>
        <w:t>根据《城镇道路养护技术规范》、《标准》等法规及我处现管养城市道路桥梁设施现状，并结合近年来省、市、区的统一部署，全力配合我区</w:t>
      </w:r>
      <w:r>
        <w:rPr>
          <w:rFonts w:hint="default" w:ascii="仿宋_GB2312" w:hAnsi="仿宋_GB2312" w:eastAsia="仿宋_GB2312" w:cs="仿宋_GB2312"/>
          <w:kern w:val="44"/>
          <w:sz w:val="32"/>
          <w:szCs w:val="32"/>
          <w:lang w:val="en-US" w:eastAsia="zh-CN" w:bidi="ar-SA"/>
        </w:rPr>
        <w:t>“</w:t>
      </w:r>
      <w:r>
        <w:rPr>
          <w:rFonts w:hint="eastAsia" w:ascii="仿宋_GB2312" w:hAnsi="仿宋_GB2312" w:eastAsia="仿宋_GB2312" w:cs="仿宋_GB2312"/>
          <w:kern w:val="44"/>
          <w:sz w:val="32"/>
          <w:szCs w:val="32"/>
          <w:lang w:val="en-US" w:eastAsia="zh-CN" w:bidi="ar-SA"/>
        </w:rPr>
        <w:t>创文</w:t>
      </w:r>
      <w:r>
        <w:rPr>
          <w:rFonts w:hint="default" w:ascii="仿宋_GB2312" w:hAnsi="仿宋_GB2312" w:eastAsia="仿宋_GB2312" w:cs="仿宋_GB2312"/>
          <w:kern w:val="44"/>
          <w:sz w:val="32"/>
          <w:szCs w:val="32"/>
          <w:lang w:val="en-US" w:eastAsia="zh-CN" w:bidi="ar-SA"/>
        </w:rPr>
        <w:t>”</w:t>
      </w:r>
      <w:r>
        <w:rPr>
          <w:rFonts w:hint="eastAsia" w:ascii="仿宋_GB2312" w:hAnsi="仿宋_GB2312" w:eastAsia="仿宋_GB2312" w:cs="仿宋_GB2312"/>
          <w:kern w:val="44"/>
          <w:sz w:val="32"/>
          <w:szCs w:val="32"/>
          <w:lang w:val="en-US" w:eastAsia="zh-CN" w:bidi="ar-SA"/>
        </w:rPr>
        <w:t>工作、</w:t>
      </w:r>
      <w:r>
        <w:rPr>
          <w:rFonts w:hint="default" w:ascii="仿宋_GB2312" w:hAnsi="仿宋_GB2312" w:eastAsia="仿宋_GB2312" w:cs="仿宋_GB2312"/>
          <w:kern w:val="44"/>
          <w:sz w:val="32"/>
          <w:szCs w:val="32"/>
          <w:lang w:val="en-US" w:eastAsia="zh-CN" w:bidi="ar-SA"/>
        </w:rPr>
        <w:t>2022</w:t>
      </w:r>
      <w:r>
        <w:rPr>
          <w:rFonts w:hint="eastAsia" w:ascii="仿宋_GB2312" w:hAnsi="仿宋_GB2312" w:eastAsia="仿宋_GB2312" w:cs="仿宋_GB2312"/>
          <w:kern w:val="44"/>
          <w:sz w:val="32"/>
          <w:szCs w:val="32"/>
          <w:lang w:val="en-US" w:eastAsia="zh-CN" w:bidi="ar-SA"/>
        </w:rPr>
        <w:t>年</w:t>
      </w:r>
      <w:r>
        <w:rPr>
          <w:rFonts w:hint="default" w:ascii="仿宋_GB2312" w:hAnsi="仿宋_GB2312" w:eastAsia="仿宋_GB2312" w:cs="仿宋_GB2312"/>
          <w:kern w:val="44"/>
          <w:sz w:val="32"/>
          <w:szCs w:val="32"/>
          <w:lang w:val="en-US" w:eastAsia="zh-CN" w:bidi="ar-SA"/>
        </w:rPr>
        <w:t>“COP15”</w:t>
      </w:r>
      <w:r>
        <w:rPr>
          <w:rFonts w:hint="eastAsia" w:ascii="仿宋_GB2312" w:hAnsi="仿宋_GB2312" w:eastAsia="仿宋_GB2312" w:cs="仿宋_GB2312"/>
          <w:kern w:val="44"/>
          <w:sz w:val="32"/>
          <w:szCs w:val="32"/>
          <w:lang w:val="en-US" w:eastAsia="zh-CN" w:bidi="ar-SA"/>
        </w:rPr>
        <w:t>大会（第二阶段）市政基础设施的工作要求，城市井盖紧急处置、城市道路空洞检测处置、涉及职能工作的舆情处置等超出日常维护计划外的临时性工作任务具有突发性、临时性、时效性、特殊性，我处认真对标职能工作积极找短板，补漏洞，制定专项工作方案，及时消除安全隐患，确保辖区内的道路桥梁设施完好，畅通；2022年度道路及桥梁等设施维护工程项目完成率100%。项目产出自评得分30分。</w:t>
      </w:r>
    </w:p>
    <w:p>
      <w:pPr>
        <w:pStyle w:val="2"/>
        <w:numPr>
          <w:ilvl w:val="0"/>
          <w:numId w:val="8"/>
        </w:numPr>
        <w:ind w:left="580" w:leftChars="0" w:firstLine="0" w:firstLineChars="0"/>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项目效益（30分）</w:t>
      </w:r>
    </w:p>
    <w:p>
      <w:pPr>
        <w:ind w:firstLine="640" w:firstLineChars="200"/>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rPr>
        <w:t>严格保障辖区内的城市道路桥梁完好和安全运行，满足辖区内道路桥梁全产能运行所需；切实提升城市桥梁临时应急情况的处置水平，</w:t>
      </w:r>
      <w:r>
        <w:rPr>
          <w:rFonts w:hint="eastAsia" w:ascii="仿宋_GB2312" w:hAnsi="仿宋_GB2312" w:eastAsia="仿宋_GB2312" w:cs="仿宋_GB2312"/>
          <w:kern w:val="44"/>
          <w:sz w:val="32"/>
          <w:szCs w:val="32"/>
        </w:rPr>
        <w:t>项目资金专款专用，行政审批依法依规，资金按时下发，完成率100%；</w:t>
      </w:r>
      <w:r>
        <w:rPr>
          <w:rFonts w:hint="eastAsia" w:ascii="仿宋" w:hAnsi="仿宋" w:eastAsia="仿宋"/>
          <w:sz w:val="32"/>
          <w:szCs w:val="32"/>
        </w:rPr>
        <w:t>维</w:t>
      </w:r>
      <w:r>
        <w:rPr>
          <w:rFonts w:hint="eastAsia" w:ascii="仿宋" w:hAnsi="仿宋" w:eastAsia="仿宋"/>
          <w:sz w:val="32"/>
          <w:szCs w:val="32"/>
          <w:lang w:eastAsia="zh-CN"/>
        </w:rPr>
        <w:t>护</w:t>
      </w:r>
      <w:r>
        <w:rPr>
          <w:rFonts w:hint="eastAsia" w:ascii="仿宋" w:hAnsi="仿宋" w:eastAsia="仿宋"/>
          <w:sz w:val="32"/>
          <w:szCs w:val="32"/>
        </w:rPr>
        <w:t>项目质量合格率100%，道路桥梁设施、无主窨井及时修复，行政审批依法依规，完成率100%，安全文明生产制度健全。</w:t>
      </w:r>
      <w:r>
        <w:rPr>
          <w:rFonts w:hint="eastAsia" w:ascii="仿宋_GB2312" w:hAnsi="仿宋_GB2312" w:eastAsia="仿宋_GB2312" w:cs="仿宋_GB2312"/>
          <w:kern w:val="44"/>
          <w:sz w:val="32"/>
          <w:szCs w:val="32"/>
        </w:rPr>
        <w:t>年度预算内工作得以顺利完成，单位制度健全。</w:t>
      </w:r>
      <w:r>
        <w:rPr>
          <w:rFonts w:hint="eastAsia" w:ascii="仿宋_GB2312" w:hAnsi="仿宋_GB2312" w:eastAsia="仿宋_GB2312" w:cs="仿宋_GB2312"/>
          <w:kern w:val="44"/>
          <w:sz w:val="32"/>
          <w:szCs w:val="32"/>
          <w:lang w:eastAsia="zh-CN"/>
        </w:rPr>
        <w:t>项目效益</w:t>
      </w:r>
      <w:r>
        <w:rPr>
          <w:rFonts w:hint="eastAsia" w:ascii="仿宋_GB2312" w:hAnsi="仿宋_GB2312" w:eastAsia="仿宋_GB2312" w:cs="仿宋_GB2312"/>
          <w:kern w:val="44"/>
          <w:sz w:val="32"/>
          <w:szCs w:val="32"/>
        </w:rPr>
        <w:t>自评得分</w:t>
      </w:r>
      <w:r>
        <w:rPr>
          <w:rFonts w:hint="eastAsia" w:ascii="仿宋_GB2312" w:hAnsi="仿宋_GB2312" w:eastAsia="仿宋_GB2312" w:cs="仿宋_GB2312"/>
          <w:kern w:val="44"/>
          <w:sz w:val="32"/>
          <w:szCs w:val="32"/>
          <w:lang w:val="en-US" w:eastAsia="zh-CN"/>
        </w:rPr>
        <w:t>30</w:t>
      </w:r>
      <w:r>
        <w:rPr>
          <w:rFonts w:hint="eastAsia" w:ascii="仿宋_GB2312" w:hAnsi="仿宋_GB2312" w:eastAsia="仿宋_GB2312" w:cs="仿宋_GB2312"/>
          <w:kern w:val="44"/>
          <w:sz w:val="32"/>
          <w:szCs w:val="32"/>
        </w:rPr>
        <w:t>分。</w:t>
      </w:r>
    </w:p>
    <w:p>
      <w:pPr>
        <w:pStyle w:val="2"/>
        <w:numPr>
          <w:ilvl w:val="0"/>
          <w:numId w:val="0"/>
        </w:numPr>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 xml:space="preserve">    </w:t>
      </w:r>
      <w:r>
        <w:rPr>
          <w:rFonts w:hint="eastAsia" w:ascii="仿宋_GB2312" w:hAnsi="仿宋_GB2312" w:eastAsia="仿宋_GB2312" w:cs="仿宋_GB2312"/>
          <w:kern w:val="44"/>
          <w:sz w:val="32"/>
          <w:szCs w:val="32"/>
          <w:lang w:eastAsia="zh-CN"/>
        </w:rPr>
        <w:t>综上分析，项目绩效自评得分</w:t>
      </w:r>
      <w:r>
        <w:rPr>
          <w:rFonts w:hint="eastAsia" w:ascii="仿宋_GB2312" w:hAnsi="仿宋_GB2312" w:eastAsia="仿宋_GB2312" w:cs="仿宋_GB2312"/>
          <w:kern w:val="44"/>
          <w:sz w:val="32"/>
          <w:szCs w:val="32"/>
          <w:lang w:val="en-US" w:eastAsia="zh-CN"/>
        </w:rPr>
        <w:t>6</w:t>
      </w:r>
      <w:r>
        <w:rPr>
          <w:rFonts w:hint="eastAsia" w:ascii="仿宋_GB2312" w:hAnsi="仿宋_GB2312" w:eastAsia="仿宋_GB2312" w:cs="仿宋_GB2312"/>
          <w:kern w:val="44"/>
          <w:sz w:val="32"/>
          <w:szCs w:val="32"/>
          <w:lang w:eastAsia="zh-CN"/>
        </w:rPr>
        <w:t>0分</w:t>
      </w:r>
      <w:r>
        <w:rPr>
          <w:rFonts w:hint="eastAsia" w:ascii="仿宋_GB2312" w:hAnsi="仿宋_GB2312" w:eastAsia="仿宋_GB2312" w:cs="仿宋_GB2312"/>
          <w:kern w:val="44"/>
          <w:sz w:val="32"/>
          <w:szCs w:val="32"/>
        </w:rPr>
        <w:t>。</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四、成本效益分析</w:t>
      </w:r>
    </w:p>
    <w:p>
      <w:pPr>
        <w:pStyle w:val="2"/>
        <w:rPr>
          <w:rFonts w:hint="eastAsia" w:eastAsia="仿宋_GB2312"/>
          <w:lang w:eastAsia="zh-CN"/>
        </w:rPr>
      </w:pPr>
      <w:r>
        <w:rPr>
          <w:rFonts w:hint="eastAsia" w:ascii="仿宋_GB2312" w:hAnsi="仿宋_GB2312" w:eastAsia="仿宋_GB2312" w:cs="仿宋_GB2312"/>
          <w:kern w:val="44"/>
          <w:sz w:val="32"/>
          <w:szCs w:val="32"/>
          <w:lang w:eastAsia="zh-CN"/>
        </w:rPr>
        <w:t>项目根据</w:t>
      </w:r>
      <w:r>
        <w:rPr>
          <w:rFonts w:hint="eastAsia" w:ascii="仿宋_GB2312" w:hAnsi="仿宋_GB2312" w:eastAsia="仿宋_GB2312" w:cs="仿宋_GB2312"/>
          <w:kern w:val="44"/>
          <w:sz w:val="32"/>
          <w:szCs w:val="32"/>
          <w:lang w:val="en-US" w:eastAsia="zh-CN"/>
        </w:rPr>
        <w:t>《昆明市盘龙区进一步规范公建基础设施工程资金拨付的指导意见》（盘政发[2020]9号）规定及合同约定的付款方式，</w:t>
      </w:r>
      <w:r>
        <w:rPr>
          <w:rFonts w:hint="eastAsia" w:ascii="仿宋_GB2312" w:hAnsi="仿宋_GB2312" w:eastAsia="仿宋_GB2312" w:cs="仿宋_GB2312"/>
          <w:kern w:val="44"/>
          <w:sz w:val="32"/>
          <w:szCs w:val="32"/>
        </w:rPr>
        <w:t>202</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年度整体支出情况良好，各项资金使用规范，无虚列项目支出情况，无截留挤占挪用情况，无超标开支情况，无超预算情况</w:t>
      </w:r>
      <w:r>
        <w:rPr>
          <w:rFonts w:hint="eastAsia" w:ascii="仿宋_GB2312" w:hAnsi="仿宋_GB2312" w:eastAsia="仿宋_GB2312" w:cs="仿宋_GB2312"/>
          <w:kern w:val="44"/>
          <w:sz w:val="32"/>
          <w:szCs w:val="32"/>
          <w:lang w:eastAsia="zh-CN"/>
        </w:rPr>
        <w:t>。</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五、主要经验及做法、存在的问题和建议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（一）主要经验及做法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微软雅黑" w:hAnsi="微软雅黑" w:eastAsia="微软雅黑" w:cs="微软雅黑"/>
          <w:i w:val="0"/>
          <w:iCs w:val="0"/>
          <w:caps w:val="0"/>
          <w:color w:val="666666"/>
          <w:spacing w:val="0"/>
          <w:sz w:val="24"/>
          <w:szCs w:val="24"/>
        </w:rPr>
      </w:pPr>
      <w:r>
        <w:rPr>
          <w:rFonts w:hint="eastAsia" w:ascii="仿宋_GB2312" w:hAnsi="仿宋_GB2312" w:eastAsia="仿宋_GB2312" w:cs="仿宋_GB2312"/>
          <w:kern w:val="44"/>
          <w:sz w:val="32"/>
          <w:szCs w:val="32"/>
        </w:rPr>
        <w:t>由于我处自有设备不足，职工老龄化严重，且维护作业强度高，道桥管养维护面积逐年增加，在设备及人员均无法满足维护施工的情况下，我处通过公开招标确定维护单位，将社会资源和内部资源得到了充分融合。通过“三级巡查”制度对道路桥梁设施进行全面巡查，细化道路桥梁设施权责，责任到人，真正将维护工作做到实处</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细化预算工作，提高预算编制的科学性、严谨性和可控性</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加强</w:t>
      </w:r>
      <w:r>
        <w:rPr>
          <w:rFonts w:hint="eastAsia" w:ascii="仿宋_GB2312" w:hAnsi="仿宋_GB2312" w:eastAsia="仿宋_GB2312" w:cs="仿宋_GB2312"/>
          <w:kern w:val="44"/>
          <w:sz w:val="32"/>
          <w:szCs w:val="32"/>
          <w:lang w:eastAsia="zh-CN"/>
        </w:rPr>
        <w:t>项目建设资金</w:t>
      </w:r>
      <w:r>
        <w:rPr>
          <w:rFonts w:hint="eastAsia" w:ascii="仿宋_GB2312" w:hAnsi="仿宋_GB2312" w:eastAsia="仿宋_GB2312" w:cs="仿宋_GB2312"/>
          <w:kern w:val="44"/>
          <w:sz w:val="32"/>
          <w:szCs w:val="32"/>
        </w:rPr>
        <w:t>管理，严格</w:t>
      </w:r>
      <w:r>
        <w:rPr>
          <w:rFonts w:hint="eastAsia" w:ascii="仿宋_GB2312" w:hAnsi="仿宋_GB2312" w:eastAsia="仿宋_GB2312" w:cs="仿宋_GB2312"/>
          <w:kern w:val="44"/>
          <w:sz w:val="32"/>
          <w:szCs w:val="32"/>
          <w:lang w:eastAsia="zh-CN"/>
        </w:rPr>
        <w:t>资金</w:t>
      </w:r>
      <w:r>
        <w:rPr>
          <w:rFonts w:hint="eastAsia" w:ascii="仿宋_GB2312" w:hAnsi="仿宋_GB2312" w:eastAsia="仿宋_GB2312" w:cs="仿宋_GB2312"/>
          <w:kern w:val="44"/>
          <w:sz w:val="32"/>
          <w:szCs w:val="32"/>
        </w:rPr>
        <w:t>审批</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及时整理、归纳分析、绩效自评结果，积累和储备历史数据，补充完善绩效评价指标并将其作为改进预算绩效管理和安排以后年度预算的重要依据。将绩效自评整改意见的落实情况等及时报送主管部门和区财政局。并按照相关规定，及时向社会公开，接受社会监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（二）存在的问题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（1）目前主要养护模式是发现问题后再处理，虽短期看来单笔投入较少，效果较快，但长期来看，其累计投资较高，影响基础设施的使用寿命和服务水平。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rPr>
        <w:t>（2）我处在执行专项资金进度计划时，为确保质量维护工作需要避开恶劣气候、阴雨等天气条件，否则将造成维护重复、资金浪费情况，因此，雨期维护资金进度计划执行时有偏差。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（三）建议和改进措施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（1）在病害发展的初期，开展预防性养护措施，能够有效消除现存的病害，提高基础设施服务水平。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（2）加大道路桥梁巡查力度，及时发现道路桥梁病害，争取在天气条件良好的情况下加班加点完成道梁设施病害的维修养护。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both"/>
        <w:rPr>
          <w:rFonts w:hint="eastAsia" w:ascii="楷体" w:hAnsi="楷体" w:eastAsia="楷体" w:cs="Times New Roman"/>
          <w:sz w:val="32"/>
          <w:szCs w:val="32"/>
        </w:rPr>
      </w:pPr>
      <w:r>
        <w:rPr>
          <w:rFonts w:hint="eastAsia" w:ascii="仿宋_GB2312" w:hAnsi="仿宋_GB2312" w:eastAsia="仿宋_GB2312" w:cs="仿宋_GB2312"/>
          <w:kern w:val="44"/>
          <w:sz w:val="32"/>
          <w:szCs w:val="32"/>
          <w:lang w:val="en-US" w:eastAsia="zh-CN" w:bidi="ar-SA"/>
        </w:rPr>
        <w:t>（3）我处在2022年维护工作中，采取招投标方式确定维护施工单位和监理单位进行专业维护。在后续工作中，我处将继续加大道桥维护管理力度，保证维护资金的使用更趋合理化；加强维护质量的监督管理力度，确保道桥基础设施的使用寿命和服务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微软雅黑" w:eastAsia="仿宋_GB2312" w:cs="仿宋_GB2312"/>
          <w:i w:val="0"/>
          <w:iCs w:val="0"/>
          <w:caps w:val="0"/>
          <w:color w:val="666666"/>
          <w:spacing w:val="0"/>
          <w:sz w:val="30"/>
          <w:szCs w:val="3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微软雅黑" w:eastAsia="仿宋_GB2312" w:cs="仿宋_GB2312"/>
          <w:i w:val="0"/>
          <w:iCs w:val="0"/>
          <w:caps w:val="0"/>
          <w:color w:val="666666"/>
          <w:spacing w:val="0"/>
          <w:sz w:val="30"/>
          <w:szCs w:val="3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昆明市盘龙区市政基础设施建设管理处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                                    2023年4月6日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p>
    <w:p>
      <w:pPr>
        <w:pStyle w:val="2"/>
        <w:numPr>
          <w:ilvl w:val="0"/>
          <w:numId w:val="0"/>
        </w:numPr>
        <w:ind w:leftChars="250"/>
        <w:rPr>
          <w:rFonts w:hint="eastAsia"/>
        </w:rPr>
      </w:pPr>
    </w:p>
    <w:p>
      <w:pPr>
        <w:pStyle w:val="2"/>
        <w:numPr>
          <w:ilvl w:val="0"/>
          <w:numId w:val="0"/>
        </w:numPr>
        <w:ind w:leftChars="250"/>
        <w:rPr>
          <w:rFonts w:hint="eastAsia"/>
        </w:rPr>
      </w:pPr>
    </w:p>
    <w:p>
      <w:pPr>
        <w:pStyle w:val="2"/>
        <w:numPr>
          <w:ilvl w:val="0"/>
          <w:numId w:val="0"/>
        </w:numPr>
        <w:ind w:leftChars="250"/>
        <w:rPr>
          <w:rFonts w:hint="eastAsia"/>
        </w:rPr>
      </w:pPr>
    </w:p>
    <w:p>
      <w:pPr>
        <w:pStyle w:val="2"/>
        <w:numPr>
          <w:ilvl w:val="0"/>
          <w:numId w:val="0"/>
        </w:numPr>
        <w:ind w:leftChars="250"/>
        <w:rPr>
          <w:rFonts w:hint="eastAsia"/>
        </w:rPr>
      </w:pPr>
    </w:p>
    <w:p>
      <w:pPr>
        <w:pStyle w:val="2"/>
        <w:numPr>
          <w:ilvl w:val="0"/>
          <w:numId w:val="0"/>
        </w:numPr>
        <w:ind w:leftChars="250"/>
        <w:rPr>
          <w:rFonts w:hint="eastAsia"/>
        </w:rPr>
      </w:pPr>
      <w:bookmarkStart w:id="0" w:name="_GoBack"/>
      <w:bookmarkEnd w:id="0"/>
    </w:p>
    <w:p>
      <w:pPr>
        <w:spacing w:line="440" w:lineRule="exact"/>
        <w:rPr>
          <w:rFonts w:eastAsia="黑体"/>
        </w:rPr>
      </w:pPr>
    </w:p>
    <w:p>
      <w:pPr>
        <w:spacing w:line="440" w:lineRule="exact"/>
        <w:jc w:val="center"/>
        <w:rPr>
          <w:rFonts w:ascii="方正小标宋_GBK" w:eastAsia="方正小标宋_GBK"/>
        </w:rPr>
      </w:pPr>
      <w:r>
        <w:rPr>
          <w:rFonts w:hint="eastAsia" w:ascii="方正小标宋_GBK" w:eastAsia="方正小标宋_GBK"/>
        </w:rPr>
        <w:t>绩效评价报告正文后附以下佐证材料</w:t>
      </w:r>
    </w:p>
    <w:p>
      <w:pPr>
        <w:spacing w:line="440" w:lineRule="exact"/>
        <w:ind w:left="630" w:hanging="630" w:hangingChars="300"/>
        <w:jc w:val="left"/>
        <w:rPr>
          <w:rFonts w:ascii="仿宋_GB2312" w:hAnsi="仿宋" w:eastAsia="仿宋_GB2312"/>
        </w:rPr>
      </w:pPr>
      <w:r>
        <w:rPr>
          <w:rFonts w:hint="eastAsia" w:ascii="仿宋_GB2312" w:hAnsi="仿宋" w:eastAsia="仿宋_GB2312"/>
        </w:rPr>
        <w:t>1.绩效评价指标体系；</w:t>
      </w:r>
    </w:p>
    <w:p>
      <w:pPr>
        <w:spacing w:line="440" w:lineRule="exact"/>
        <w:ind w:left="630" w:hanging="630" w:hangingChars="300"/>
        <w:jc w:val="left"/>
        <w:rPr>
          <w:rFonts w:ascii="仿宋_GB2312" w:hAnsi="仿宋" w:eastAsia="仿宋_GB2312"/>
        </w:rPr>
      </w:pPr>
      <w:r>
        <w:rPr>
          <w:rFonts w:hint="eastAsia" w:ascii="仿宋_GB2312" w:hAnsi="仿宋" w:eastAsia="仿宋_GB2312"/>
        </w:rPr>
        <w:t>2.基础数据表（进行成本效益分析需采集的数据）；</w:t>
      </w:r>
    </w:p>
    <w:p>
      <w:pPr>
        <w:spacing w:line="440" w:lineRule="exact"/>
        <w:ind w:left="630" w:hanging="630" w:hangingChars="300"/>
        <w:jc w:val="left"/>
        <w:rPr>
          <w:rFonts w:ascii="仿宋_GB2312" w:hAnsi="仿宋" w:eastAsia="仿宋_GB2312"/>
        </w:rPr>
      </w:pPr>
      <w:r>
        <w:rPr>
          <w:rFonts w:hint="eastAsia" w:ascii="仿宋_GB2312" w:hAnsi="仿宋" w:eastAsia="仿宋_GB2312"/>
        </w:rPr>
        <w:t>3.访谈分析报告；</w:t>
      </w:r>
    </w:p>
    <w:p>
      <w:pPr>
        <w:spacing w:line="440" w:lineRule="exact"/>
        <w:ind w:left="630" w:hanging="630" w:hangingChars="300"/>
        <w:jc w:val="left"/>
        <w:rPr>
          <w:rFonts w:ascii="仿宋_GB2312" w:hAnsi="仿宋" w:eastAsia="仿宋_GB2312"/>
        </w:rPr>
      </w:pPr>
      <w:r>
        <w:rPr>
          <w:rFonts w:hint="eastAsia" w:ascii="仿宋_GB2312" w:hAnsi="仿宋" w:eastAsia="仿宋_GB2312"/>
        </w:rPr>
        <w:t>4.社会调查问卷分析报告；</w:t>
      </w:r>
    </w:p>
    <w:p>
      <w:r>
        <w:rPr>
          <w:rFonts w:hint="eastAsia" w:ascii="仿宋_GB2312" w:hAnsi="仿宋" w:eastAsia="仿宋_GB2312"/>
        </w:rPr>
        <w:t>5.①市政府相关规划、决策、批复；②立项申请、批复文件；③绩效目标申报表。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51A260"/>
    <w:multiLevelType w:val="singleLevel"/>
    <w:tmpl w:val="8351A260"/>
    <w:lvl w:ilvl="0" w:tentative="0">
      <w:start w:val="1"/>
      <w:numFmt w:val="decimal"/>
      <w:suff w:val="nothing"/>
      <w:lvlText w:val="%1、"/>
      <w:lvlJc w:val="left"/>
    </w:lvl>
  </w:abstractNum>
  <w:abstractNum w:abstractNumId="1">
    <w:nsid w:val="B8512D62"/>
    <w:multiLevelType w:val="singleLevel"/>
    <w:tmpl w:val="B8512D62"/>
    <w:lvl w:ilvl="0" w:tentative="0">
      <w:start w:val="2"/>
      <w:numFmt w:val="chineseCounting"/>
      <w:suff w:val="nothing"/>
      <w:lvlText w:val="（%1）"/>
      <w:lvlJc w:val="left"/>
      <w:rPr>
        <w:rFonts w:hint="eastAsia" w:ascii="楷体" w:hAnsi="楷体" w:eastAsia="楷体" w:cs="楷体"/>
        <w:sz w:val="32"/>
        <w:szCs w:val="32"/>
      </w:rPr>
    </w:lvl>
  </w:abstractNum>
  <w:abstractNum w:abstractNumId="2">
    <w:nsid w:val="E007D7AA"/>
    <w:multiLevelType w:val="singleLevel"/>
    <w:tmpl w:val="E007D7AA"/>
    <w:lvl w:ilvl="0" w:tentative="0">
      <w:start w:val="1"/>
      <w:numFmt w:val="chineseCounting"/>
      <w:suff w:val="nothing"/>
      <w:lvlText w:val="%1、"/>
      <w:lvlJc w:val="left"/>
      <w:rPr>
        <w:rFonts w:hint="eastAsia"/>
      </w:rPr>
    </w:lvl>
  </w:abstractNum>
  <w:abstractNum w:abstractNumId="3">
    <w:nsid w:val="F230076E"/>
    <w:multiLevelType w:val="singleLevel"/>
    <w:tmpl w:val="F230076E"/>
    <w:lvl w:ilvl="0" w:tentative="0">
      <w:start w:val="1"/>
      <w:numFmt w:val="decimal"/>
      <w:suff w:val="nothing"/>
      <w:lvlText w:val="（%1）"/>
      <w:lvlJc w:val="left"/>
      <w:pPr>
        <w:ind w:left="584" w:leftChars="0" w:firstLine="0" w:firstLineChars="0"/>
      </w:pPr>
    </w:lvl>
  </w:abstractNum>
  <w:abstractNum w:abstractNumId="4">
    <w:nsid w:val="0E8B28C3"/>
    <w:multiLevelType w:val="singleLevel"/>
    <w:tmpl w:val="0E8B28C3"/>
    <w:lvl w:ilvl="0" w:tentative="0">
      <w:start w:val="2"/>
      <w:numFmt w:val="chineseCounting"/>
      <w:suff w:val="nothing"/>
      <w:lvlText w:val="（%1）"/>
      <w:lvlJc w:val="left"/>
      <w:rPr>
        <w:rFonts w:hint="eastAsia"/>
      </w:rPr>
    </w:lvl>
  </w:abstractNum>
  <w:abstractNum w:abstractNumId="5">
    <w:nsid w:val="234AB5DF"/>
    <w:multiLevelType w:val="singleLevel"/>
    <w:tmpl w:val="234AB5DF"/>
    <w:lvl w:ilvl="0" w:tentative="0">
      <w:start w:val="1"/>
      <w:numFmt w:val="decimal"/>
      <w:suff w:val="nothing"/>
      <w:lvlText w:val="（%1）"/>
      <w:lvlJc w:val="left"/>
      <w:pPr>
        <w:ind w:left="580" w:leftChars="0" w:firstLine="0" w:firstLineChars="0"/>
      </w:pPr>
    </w:lvl>
  </w:abstractNum>
  <w:abstractNum w:abstractNumId="6">
    <w:nsid w:val="4ECA0961"/>
    <w:multiLevelType w:val="singleLevel"/>
    <w:tmpl w:val="4ECA0961"/>
    <w:lvl w:ilvl="0" w:tentative="0">
      <w:start w:val="1"/>
      <w:numFmt w:val="decimal"/>
      <w:suff w:val="nothing"/>
      <w:lvlText w:val="（%1）"/>
      <w:lvlJc w:val="left"/>
    </w:lvl>
  </w:abstractNum>
  <w:abstractNum w:abstractNumId="7">
    <w:nsid w:val="584C99D1"/>
    <w:multiLevelType w:val="singleLevel"/>
    <w:tmpl w:val="584C99D1"/>
    <w:lvl w:ilvl="0" w:tentative="0">
      <w:start w:val="2"/>
      <w:numFmt w:val="decimal"/>
      <w:lvlText w:val="%1."/>
      <w:lvlJc w:val="left"/>
      <w:pPr>
        <w:tabs>
          <w:tab w:val="left" w:pos="312"/>
        </w:tabs>
      </w:pPr>
    </w:lvl>
  </w:abstractNum>
  <w:num w:numId="1">
    <w:abstractNumId w:val="2"/>
  </w:num>
  <w:num w:numId="2">
    <w:abstractNumId w:val="7"/>
  </w:num>
  <w:num w:numId="3">
    <w:abstractNumId w:val="4"/>
  </w:num>
  <w:num w:numId="4">
    <w:abstractNumId w:val="1"/>
  </w:num>
  <w:num w:numId="5">
    <w:abstractNumId w:val="0"/>
  </w:num>
  <w:num w:numId="6">
    <w:abstractNumId w:val="6"/>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lMmY5Y2NhODcwNDMxODhjMDIyYTJjODVkYTNhY2UifQ=="/>
  </w:docVars>
  <w:rsids>
    <w:rsidRoot w:val="24F70FEC"/>
    <w:rsid w:val="10BE2E9B"/>
    <w:rsid w:val="11BD22C2"/>
    <w:rsid w:val="159E5049"/>
    <w:rsid w:val="1F056A87"/>
    <w:rsid w:val="21B52099"/>
    <w:rsid w:val="23C2284B"/>
    <w:rsid w:val="24F70FEC"/>
    <w:rsid w:val="285223EF"/>
    <w:rsid w:val="386F24AB"/>
    <w:rsid w:val="3B822B94"/>
    <w:rsid w:val="3EB32AE1"/>
    <w:rsid w:val="3F585BE0"/>
    <w:rsid w:val="46347CC6"/>
    <w:rsid w:val="4AC960E9"/>
    <w:rsid w:val="4D5819A6"/>
    <w:rsid w:val="62402CDD"/>
    <w:rsid w:val="72451C4A"/>
    <w:rsid w:val="792444B8"/>
    <w:rsid w:val="7E8B4F54"/>
    <w:rsid w:val="7F0A6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实施方案正文"/>
    <w:basedOn w:val="1"/>
    <w:qFormat/>
    <w:uiPriority w:val="0"/>
    <w:pPr>
      <w:ind w:firstLine="566" w:firstLineChars="202"/>
    </w:pPr>
    <w:rPr>
      <w:rFonts w:ascii="等线" w:hAnsi="等线" w:eastAsia="等线"/>
      <w:szCs w:val="2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paragraph" w:customStyle="1" w:styleId="8">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9">
    <w:name w:val="TOC 标题1"/>
    <w:basedOn w:val="3"/>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17</Pages>
  <Words>6324</Words>
  <Characters>6632</Characters>
  <Lines>0</Lines>
  <Paragraphs>0</Paragraphs>
  <TotalTime>2</TotalTime>
  <ScaleCrop>false</ScaleCrop>
  <LinksUpToDate>false</LinksUpToDate>
  <CharactersWithSpaces>6741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2023-04-03T08:28:00Z</dcterms:created>
  <dc:creator>Administrator</dc:creator>
  <cp:lastModifiedBy>user</cp:lastModifiedBy>
  <dcterms:modified xsi:type="dcterms:W3CDTF">2023-09-28T03:22:35Z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A4E839731A4C4E91B2B8839139E383EA</vt:lpwstr>
  </property>
</Properties>
</file>