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追加盘龙202号路项目（寺瓦路至盘龙200号路）东半幅道路工程建设专项资金支出绩效自评报告</w:t>
      </w:r>
    </w:p>
    <w:p>
      <w:pPr>
        <w:pStyle w:val="3"/>
        <w:bidi w:val="0"/>
        <w:ind w:firstLine="3092" w:firstLineChars="700"/>
      </w:pPr>
      <w:r>
        <w:rPr>
          <w:rFonts w:hint="eastAsia"/>
        </w:rPr>
        <w:t>（</w:t>
      </w:r>
      <w:r>
        <w:rPr>
          <w:rFonts w:hint="eastAsia"/>
          <w:lang w:val="en-US" w:eastAsia="zh-CN"/>
        </w:rPr>
        <w:t>2022</w:t>
      </w:r>
      <w:r>
        <w:rPr>
          <w:rFonts w:hint="eastAsia"/>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部门名称（公章）：昆明市盘龙区住房和城乡建设局</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rPr>
        <w:t>昆明市盘龙区住房和城乡建设局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cs="黑体"/>
          <w:b/>
          <w:bCs/>
          <w:sz w:val="28"/>
          <w:szCs w:val="28"/>
        </w:rPr>
        <w:t>昆明市盘龙区住房和城乡建设局</w:t>
      </w:r>
    </w:p>
    <w:p>
      <w:pPr>
        <w:adjustRightInd w:val="0"/>
        <w:snapToGrid w:val="0"/>
        <w:spacing w:line="360" w:lineRule="auto"/>
        <w:ind w:left="1260" w:leftChars="600"/>
        <w:jc w:val="center"/>
        <w:rPr>
          <w:rFonts w:hint="eastAsia"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项目名称：追加盘龙202号路项目（寺瓦路至盘龙200号路）东半幅道路工程</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lang w:val="en-US" w:eastAsia="zh-CN"/>
        </w:rPr>
        <w:t>2023年4月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04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pStyle w:val="12"/>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pStyle w:val="2"/>
      </w:pPr>
    </w:p>
    <w:p>
      <w:pPr>
        <w:spacing w:line="4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追加盘龙202号路项目（寺瓦路至盘龙200号路）东半幅道路工程建设专项资金支出</w:t>
      </w:r>
    </w:p>
    <w:p>
      <w:pPr>
        <w:spacing w:line="4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pPr>
        <w:spacing w:line="440" w:lineRule="exact"/>
        <w:ind w:firstLine="420" w:firstLineChars="200"/>
        <w:jc w:val="left"/>
        <w:rPr>
          <w:rFonts w:ascii="黑体" w:hAnsi="黑体" w:eastAsia="黑体"/>
          <w:szCs w:val="32"/>
        </w:rPr>
      </w:pPr>
    </w:p>
    <w:p>
      <w:pPr>
        <w:spacing w:line="440" w:lineRule="exact"/>
        <w:ind w:firstLine="640" w:firstLineChars="200"/>
        <w:jc w:val="center"/>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摘要</w:t>
      </w:r>
    </w:p>
    <w:p>
      <w:pPr>
        <w:numPr>
          <w:numId w:val="0"/>
        </w:numPr>
        <w:spacing w:line="440" w:lineRule="exact"/>
        <w:ind w:firstLine="640" w:firstLineChars="200"/>
        <w:jc w:val="left"/>
        <w:rPr>
          <w:rFonts w:hint="eastAsia" w:ascii="黑体" w:hAnsi="黑体" w:eastAsia="黑体" w:cs="黑体"/>
          <w:szCs w:val="32"/>
        </w:rPr>
      </w:pPr>
      <w:r>
        <w:rPr>
          <w:rFonts w:hint="eastAsia" w:ascii="黑体" w:hAnsi="黑体" w:eastAsia="黑体" w:cs="黑体"/>
          <w:sz w:val="32"/>
          <w:szCs w:val="32"/>
          <w:lang w:val="en-US" w:eastAsia="zh-CN"/>
        </w:rPr>
        <w:t>一、项目概况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立项背景：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为加强东部道路基础设施建设，改善该片区交通状况，形成片区路网，带动区域经济发展，完善城市基础配套设施，改善周边群众生活条件，坚持秉承服务人民开展城市建设，提升城市道路服务工作，确需实施本项目工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目的：</w:t>
      </w:r>
      <w:r>
        <w:rPr>
          <w:rFonts w:hint="eastAsia" w:ascii="仿宋_GB2312" w:hAnsi="仿宋_GB2312" w:eastAsia="仿宋_GB2312" w:cs="仿宋_GB2312"/>
          <w:kern w:val="44"/>
          <w:sz w:val="32"/>
          <w:szCs w:val="32"/>
          <w:lang w:val="en-US" w:eastAsia="zh-CN" w:bidi="ar-SA"/>
        </w:rPr>
        <w:t>加强东部道路基础设施建设，改善周边群众生活条件，坚持秉承服务人民开展城市建设，提升城市道路服务工作。</w:t>
      </w:r>
    </w:p>
    <w:p>
      <w:pPr>
        <w:numPr>
          <w:ilvl w:val="0"/>
          <w:numId w:val="0"/>
        </w:numPr>
        <w:spacing w:line="440" w:lineRule="exact"/>
        <w:ind w:firstLine="640" w:firstLineChars="200"/>
        <w:jc w:val="left"/>
        <w:rPr>
          <w:rFonts w:hint="eastAsia" w:ascii="楷体" w:hAnsi="楷体" w:eastAsia="楷体" w:cs="Times New Roman"/>
          <w:sz w:val="32"/>
          <w:szCs w:val="32"/>
          <w:lang w:val="en-US" w:eastAsia="zh-CN"/>
        </w:rPr>
      </w:pPr>
      <w:r>
        <w:rPr>
          <w:rFonts w:hint="eastAsia" w:ascii="黑体" w:hAnsi="黑体" w:eastAsia="黑体" w:cs="黑体"/>
          <w:sz w:val="32"/>
          <w:szCs w:val="32"/>
          <w:lang w:val="en-US" w:eastAsia="zh-CN"/>
        </w:rPr>
        <w:t>二、评价结论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2022年度该项目追加资金整体支出情况良好，各项资金使用规范，无虚列项目支出情况，无截留挤占挪用情况，无超标开支情况，无超预算情况，内部控制制度基本健全，管理规范，有力贯彻落实相关项目的决策部署，及时做好上传下达、学习领会、布置安排、督促落实，不存在消极抵触，推诿扯皮，弄虚作假，敷衍塞则的现象；做到定目标、定时限，定期会议推进制，积极妥善地协调解决好项目推进过程中存在的问题和困难。在工作过程中，本着“为民、务实、清廉、高效”的原则，围绕昆明市盘龙区住房和城乡建设局的中心工作和任务，认真履行职责，提高行政效能，项目工作顺利推进，年度工作目标按时按质完成，绩效目标得以实现。</w:t>
      </w:r>
    </w:p>
    <w:p>
      <w:pPr>
        <w:numPr>
          <w:ilvl w:val="0"/>
          <w:numId w:val="0"/>
        </w:numPr>
        <w:spacing w:line="44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三、经验、问题和建议</w:t>
      </w:r>
    </w:p>
    <w:p>
      <w:pPr>
        <w:spacing w:line="440" w:lineRule="exact"/>
        <w:ind w:firstLine="640" w:firstLineChars="200"/>
        <w:jc w:val="left"/>
        <w:rPr>
          <w:rFonts w:hint="eastAsia" w:ascii="楷体" w:hAnsi="楷体" w:eastAsia="楷体"/>
          <w:szCs w:val="32"/>
        </w:rPr>
      </w:pPr>
      <w:r>
        <w:rPr>
          <w:rFonts w:hint="eastAsia" w:ascii="楷体" w:hAnsi="楷体" w:eastAsia="楷体" w:cs="Times New Roman"/>
          <w:sz w:val="32"/>
          <w:szCs w:val="32"/>
          <w:lang w:val="en-US" w:eastAsia="zh-CN"/>
        </w:rPr>
        <w:t>1.主要经验及做法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我</w:t>
      </w:r>
      <w:r>
        <w:rPr>
          <w:rFonts w:hint="eastAsia" w:ascii="仿宋_GB2312" w:hAnsi="仿宋_GB2312" w:eastAsia="仿宋_GB2312" w:cs="仿宋_GB2312"/>
          <w:kern w:val="44"/>
          <w:sz w:val="32"/>
          <w:szCs w:val="32"/>
          <w:lang w:eastAsia="zh-CN"/>
        </w:rPr>
        <w:t>局</w:t>
      </w:r>
      <w:r>
        <w:rPr>
          <w:rFonts w:hint="eastAsia" w:ascii="仿宋_GB2312" w:hAnsi="仿宋_GB2312" w:eastAsia="仿宋_GB2312" w:cs="仿宋_GB2312"/>
          <w:kern w:val="44"/>
          <w:sz w:val="32"/>
          <w:szCs w:val="32"/>
        </w:rPr>
        <w:t>通过公开招标确定</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单位，将社会资源和内部资源得到了充分融合。</w:t>
      </w:r>
      <w:r>
        <w:rPr>
          <w:rFonts w:hint="eastAsia" w:ascii="仿宋_GB2312" w:hAnsi="仿宋_GB2312" w:eastAsia="仿宋_GB2312" w:cs="仿宋_GB2312"/>
          <w:kern w:val="44"/>
          <w:sz w:val="32"/>
          <w:szCs w:val="32"/>
          <w:lang w:eastAsia="zh-CN"/>
        </w:rPr>
        <w:t>安排专人负责项目管理，</w:t>
      </w:r>
      <w:r>
        <w:rPr>
          <w:rFonts w:hint="default" w:ascii="仿宋_GB2312" w:hAnsi="仿宋_GB2312" w:eastAsia="仿宋_GB2312" w:cs="仿宋_GB2312"/>
          <w:kern w:val="44"/>
          <w:sz w:val="32"/>
          <w:szCs w:val="32"/>
        </w:rPr>
        <w:t>加强盘龙202号路项目（寺瓦路至盘龙200号路）东半幅道路工程</w:t>
      </w:r>
      <w:r>
        <w:rPr>
          <w:rFonts w:hint="default" w:ascii="Times New Roman" w:hAnsi="Times New Roman" w:eastAsia="仿宋_GB2312" w:cs="Times New Roman"/>
          <w:sz w:val="32"/>
          <w:szCs w:val="32"/>
          <w:highlight w:val="none"/>
        </w:rPr>
        <w:t>建设工作的组织领导，进一步明确各方职责，全面开展工作，保障工程建设的顺利推进</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管理，严格</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审批</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及时整理、归纳分析、绩效自评结果，积累和储备历史数据，补充完善绩效评价指标并将其作为改进预算绩效管理和安排以后年度预算的重要依据。将绩效自评整改意见的落实情况等及时报送主管部门和区财政局</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并按照相关规定，及时向社会公开，接受社会监督。</w:t>
      </w:r>
    </w:p>
    <w:p>
      <w:pPr>
        <w:numPr>
          <w:ilvl w:val="0"/>
          <w:numId w:val="1"/>
        </w:numPr>
        <w:topLinePunct/>
        <w:spacing w:line="440" w:lineRule="exact"/>
        <w:ind w:firstLine="640" w:firstLineChars="200"/>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存在的问题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lang w:eastAsia="zh-CN"/>
        </w:rPr>
        <w:t>无</w:t>
      </w:r>
      <w:r>
        <w:rPr>
          <w:rFonts w:hint="eastAsia" w:ascii="仿宋_GB2312" w:hAnsi="仿宋_GB2312" w:eastAsia="仿宋_GB2312" w:cs="仿宋_GB2312"/>
          <w:kern w:val="44"/>
          <w:sz w:val="32"/>
          <w:szCs w:val="32"/>
        </w:rPr>
        <w:t>。</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lang w:val="en-US" w:eastAsia="zh-CN"/>
        </w:rPr>
        <w:t>3.</w:t>
      </w:r>
      <w:r>
        <w:rPr>
          <w:rFonts w:hint="eastAsia" w:ascii="楷体" w:hAnsi="楷体" w:eastAsia="楷体" w:cs="Times New Roman"/>
          <w:sz w:val="32"/>
          <w:szCs w:val="32"/>
        </w:rPr>
        <w:t>改进措施及建议</w:t>
      </w:r>
    </w:p>
    <w:p>
      <w:pPr>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 xml:space="preserve">    无。</w:t>
      </w:r>
    </w:p>
    <w:p>
      <w:pPr>
        <w:pStyle w:val="2"/>
        <w:numPr>
          <w:ilvl w:val="0"/>
          <w:numId w:val="0"/>
        </w:numPr>
        <w:ind w:leftChars="200"/>
      </w:pPr>
    </w:p>
    <w:p>
      <w:pPr>
        <w:spacing w:line="440" w:lineRule="exact"/>
        <w:ind w:firstLine="420" w:firstLineChars="200"/>
        <w:jc w:val="left"/>
        <w:rPr>
          <w:rFonts w:ascii="楷体" w:hAnsi="楷体" w:eastAsia="楷体"/>
          <w:szCs w:val="32"/>
        </w:rPr>
      </w:pPr>
    </w:p>
    <w:p>
      <w:pPr>
        <w:spacing w:line="440" w:lineRule="exact"/>
        <w:ind w:firstLine="880" w:firstLineChars="20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盘龙202号路项目（寺瓦路至盘龙200号路）东半幅道路工程专项资金支出绩效</w:t>
      </w:r>
    </w:p>
    <w:p>
      <w:pPr>
        <w:spacing w:line="440" w:lineRule="exact"/>
        <w:ind w:firstLine="880" w:firstLineChars="200"/>
        <w:jc w:val="center"/>
        <w:rPr>
          <w:rFonts w:ascii="黑体" w:hAnsi="黑体" w:eastAsia="黑体"/>
          <w:sz w:val="36"/>
          <w:szCs w:val="36"/>
        </w:rPr>
      </w:pPr>
      <w:r>
        <w:rPr>
          <w:rFonts w:hint="eastAsia" w:ascii="方正小标宋简体" w:hAnsi="方正小标宋简体" w:eastAsia="方正小标宋简体" w:cs="方正小标宋简体"/>
          <w:sz w:val="44"/>
          <w:szCs w:val="44"/>
        </w:rPr>
        <w:t>自评报告</w:t>
      </w:r>
    </w:p>
    <w:p>
      <w:pPr>
        <w:topLinePunct/>
        <w:spacing w:line="440" w:lineRule="exact"/>
        <w:ind w:firstLine="525" w:firstLineChars="250"/>
        <w:rPr>
          <w:rFonts w:ascii="黑体" w:eastAsia="黑体"/>
          <w:szCs w:val="32"/>
        </w:rPr>
      </w:pPr>
    </w:p>
    <w:p>
      <w:pPr>
        <w:numPr>
          <w:ilvl w:val="0"/>
          <w:numId w:val="0"/>
        </w:numPr>
        <w:spacing w:line="44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一、项目基本情况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（一）项目概况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1、立项背景及目的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为加强东部道路基础设施建设，改善该片区交通状况，形成片区路网，带动区域经济发展，完善城市基础配套设施，改善周边群众生活条件，坚持秉承服务人民开展城市建设，提升城市道路服务工作，确需实施本项目工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2、项目实施情况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eastAsia="仿宋_GB2312" w:cs="Times New Roman"/>
          <w:sz w:val="32"/>
          <w:szCs w:val="32"/>
        </w:rPr>
      </w:pPr>
      <w:r>
        <w:rPr>
          <w:rFonts w:hint="eastAsia" w:ascii="仿宋_GB2312" w:eastAsia="仿宋_GB2312" w:cs="Times New Roman"/>
          <w:sz w:val="32"/>
          <w:szCs w:val="32"/>
          <w:lang w:val="en-US" w:eastAsia="zh-CN"/>
        </w:rPr>
        <w:t>项目经盘发改投资〔2012〕106号文批准建设，我局为建设单位。根据区政府常务会议纪要（16-46期）：“为加快重点片区道路基础设施建设进度，确保盘龙200号、盘龙202号道路建设项目按期开工，会议原则同意区住建局关于拨付盘龙200号、盘龙202号道路建设项目部分建设费用的请示事项。”目前，本项目已于2021年12月完成审计工作，各项费用拨付方式执行《昆明市盘龙区进一步规范公建基础设施工程资金拨付的指导意见》（盘政发[2020]9号）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3、资金来源及使用情况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（1）资金来源：</w:t>
      </w:r>
      <w:r>
        <w:rPr>
          <w:rFonts w:hint="eastAsia" w:ascii="仿宋_GB2312" w:hAnsi="仿宋_GB2312" w:eastAsia="仿宋_GB2312" w:cs="仿宋_GB2312"/>
          <w:kern w:val="44"/>
          <w:sz w:val="32"/>
          <w:szCs w:val="32"/>
          <w:lang w:val="en-US" w:eastAsia="zh-CN" w:bidi="ar-SA"/>
        </w:rPr>
        <w:t>财政拨款</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（2）使用情况：</w:t>
      </w:r>
      <w:r>
        <w:rPr>
          <w:rFonts w:hint="eastAsia" w:ascii="仿宋_GB2312" w:hAnsi="仿宋_GB2312" w:eastAsia="仿宋_GB2312" w:cs="仿宋_GB2312"/>
          <w:kern w:val="44"/>
          <w:sz w:val="32"/>
          <w:szCs w:val="32"/>
          <w:lang w:val="en-US" w:eastAsia="zh-CN" w:bidi="ar-SA"/>
        </w:rPr>
        <w:t>2022年我局申请拨付盘龙202号路项目（寺瓦路至盘龙200号路）东半幅道路工程项目追加专项资金</w:t>
      </w:r>
      <w:r>
        <w:rPr>
          <w:rFonts w:hint="eastAsia" w:ascii="仿宋_GB2312" w:hAnsi="仿宋_GB2312" w:eastAsia="仿宋_GB2312" w:cs="仿宋_GB2312"/>
          <w:kern w:val="44"/>
          <w:sz w:val="32"/>
          <w:szCs w:val="32"/>
          <w:highlight w:val="none"/>
          <w:lang w:val="en-US" w:eastAsia="zh-CN" w:bidi="ar-SA"/>
        </w:rPr>
        <w:t>741.60</w:t>
      </w:r>
      <w:r>
        <w:rPr>
          <w:rFonts w:hint="eastAsia" w:ascii="仿宋_GB2312" w:hAnsi="仿宋_GB2312" w:eastAsia="仿宋_GB2312" w:cs="仿宋_GB2312"/>
          <w:kern w:val="44"/>
          <w:sz w:val="32"/>
          <w:szCs w:val="32"/>
          <w:lang w:val="en-US" w:eastAsia="zh-CN" w:bidi="ar-SA"/>
        </w:rPr>
        <w:t>万元，区财政批复并拨付我局</w:t>
      </w:r>
      <w:r>
        <w:rPr>
          <w:rFonts w:hint="eastAsia" w:ascii="仿宋_GB2312" w:hAnsi="仿宋_GB2312" w:eastAsia="仿宋_GB2312" w:cs="仿宋_GB2312"/>
          <w:kern w:val="44"/>
          <w:sz w:val="32"/>
          <w:szCs w:val="32"/>
          <w:highlight w:val="none"/>
          <w:lang w:val="en-US" w:eastAsia="zh-CN" w:bidi="ar-SA"/>
        </w:rPr>
        <w:t>741.60</w:t>
      </w:r>
      <w:r>
        <w:rPr>
          <w:rFonts w:hint="eastAsia" w:ascii="仿宋_GB2312" w:hAnsi="仿宋_GB2312" w:eastAsia="仿宋_GB2312" w:cs="仿宋_GB2312"/>
          <w:kern w:val="44"/>
          <w:sz w:val="32"/>
          <w:szCs w:val="32"/>
          <w:lang w:val="en-US" w:eastAsia="zh-CN" w:bidi="ar-SA"/>
        </w:rPr>
        <w:t>万元，我局已使用并拨付维护资金</w:t>
      </w:r>
      <w:r>
        <w:rPr>
          <w:rFonts w:hint="eastAsia" w:ascii="仿宋_GB2312" w:hAnsi="仿宋_GB2312" w:eastAsia="仿宋_GB2312" w:cs="仿宋_GB2312"/>
          <w:kern w:val="44"/>
          <w:sz w:val="32"/>
          <w:szCs w:val="32"/>
          <w:highlight w:val="none"/>
          <w:lang w:val="en-US" w:eastAsia="zh-CN" w:bidi="ar-SA"/>
        </w:rPr>
        <w:t>741.60</w:t>
      </w:r>
      <w:r>
        <w:rPr>
          <w:rFonts w:hint="eastAsia" w:ascii="仿宋_GB2312" w:hAnsi="仿宋_GB2312" w:eastAsia="仿宋_GB2312" w:cs="仿宋_GB2312"/>
          <w:kern w:val="44"/>
          <w:sz w:val="32"/>
          <w:szCs w:val="32"/>
          <w:lang w:val="en-US" w:eastAsia="zh-CN" w:bidi="ar-SA"/>
        </w:rPr>
        <w:t>万元。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774" w:firstLineChars="242"/>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局对盘龙202号路项目（寺瓦路至盘龙200号路）东半幅道路工程项目资金的使用管理，严格按照专项资金的管理制度执行，层层审核、专款专用，全额用于龙泉路延长线（二期）东半幅道路改扩建工作，无挪用、截留、挤占、虚列项目支出等违规情况，支出手续健全，审批严谨，并在财务核算上独立核算，严格执行专项资金管理办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4、组织及管理情况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lang w:val="en-US" w:eastAsia="zh-CN" w:bidi="ar-SA"/>
        </w:rPr>
        <w:t>2022年我局严格按照专项资金的管理制度执行工作；加强日常检查力度，制定季度、半年、年度计划，并按计划组织实施。</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（二）绩效目标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1.总目标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认真贯彻执行国家和省、市有关住房城乡建设事业的法律法规，强化制度建设，加强政策解读，构成主要领导亲自抓，分管领导具体抓；在资金保障的情况下，按照规范要求及道路的基本情况，对辖区内新建、代建、整治提升的道路进行及时养护，保障道路安全运行，消除安全隐患，维护社会稳定，为盘龙区经济发展提供强有力的硬件保障。</w:t>
      </w:r>
    </w:p>
    <w:p>
      <w:pPr>
        <w:topLinePunct/>
        <w:spacing w:line="440" w:lineRule="exact"/>
        <w:ind w:firstLine="800" w:firstLineChars="250"/>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2.年度目标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highlight w:val="none"/>
          <w:lang w:val="en-US" w:eastAsia="zh-CN" w:bidi="ar-SA"/>
        </w:rPr>
        <w:t>产出目标：</w:t>
      </w:r>
      <w:r>
        <w:rPr>
          <w:rFonts w:hint="eastAsia" w:ascii="仿宋_GB2312" w:hAnsi="仿宋_GB2312" w:eastAsia="仿宋_GB2312" w:cs="仿宋_GB2312"/>
          <w:kern w:val="44"/>
          <w:sz w:val="32"/>
          <w:szCs w:val="32"/>
          <w:lang w:val="en-US" w:eastAsia="zh-CN" w:bidi="ar-SA"/>
        </w:rPr>
        <w:t>盘龙202号路项目（寺瓦路至盘龙200号路）东半幅道路工程位于盘龙区东白沙河片区，起于寺瓦路，止于盘龙201号路。道路A线长1289.07米，道路B长1301.734米，道路红线宽度25米，双向四车道。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lang w:val="en-US" w:eastAsia="zh-CN"/>
        </w:rPr>
      </w:pPr>
      <w:r>
        <w:rPr>
          <w:rFonts w:hint="eastAsia" w:ascii="楷体" w:hAnsi="楷体" w:eastAsia="楷体" w:cs="Times New Roman"/>
          <w:kern w:val="2"/>
          <w:sz w:val="32"/>
          <w:szCs w:val="32"/>
          <w:lang w:val="en-US" w:eastAsia="zh-CN" w:bidi="ar-SA"/>
        </w:rPr>
        <w:t>效果目标：</w:t>
      </w:r>
      <w:r>
        <w:rPr>
          <w:rFonts w:hint="eastAsia" w:ascii="仿宋_GB2312" w:hAnsi="仿宋_GB2312" w:eastAsia="仿宋_GB2312" w:cs="仿宋_GB2312"/>
          <w:kern w:val="44"/>
          <w:sz w:val="32"/>
          <w:szCs w:val="32"/>
          <w:lang w:val="en-US" w:eastAsia="zh-CN" w:bidi="ar-SA"/>
        </w:rPr>
        <w:t>效益最大化的利用财政资金，及时对盘龙202号路项目（寺瓦路至盘龙200号路）东半幅道路工程基础设施进行维护，充分发挥市政基础设施的使用功能，确保市政基础设施的安全运营，消除安全隐患，给广大市民提供一个安全、快捷的出行环境。</w:t>
      </w:r>
    </w:p>
    <w:p>
      <w:pPr>
        <w:numPr>
          <w:ilvl w:val="0"/>
          <w:numId w:val="0"/>
        </w:numPr>
        <w:spacing w:line="44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二、绩效评价工作情况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（一）绩效评价目的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我局严格遵循相关技术规范开展盘龙202号路项目（寺瓦路至盘龙200号路）东半幅道路工程收尾工作，尽量根据年度工作计划完成产出目标，确保效果目标得以实现。</w:t>
      </w:r>
    </w:p>
    <w:p>
      <w:pPr>
        <w:numPr>
          <w:ilvl w:val="0"/>
          <w:numId w:val="2"/>
        </w:num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绩效评价工作方案制定过程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1、前期调研</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根据昆明市盘龙区路网建设白皮书，结合片区相关情况，制定实施计划。</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2、研究文件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建设部《城镇道路养护技术规范》（CJJ36-2016）</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建设部《城市桥梁养护技术标准》（CJJ99-2017）</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微软雅黑" w:hAnsi="微软雅黑" w:eastAsia="微软雅黑" w:cs="微软雅黑"/>
          <w:i w:val="0"/>
          <w:iCs w:val="0"/>
          <w:caps w:val="0"/>
          <w:color w:val="666666"/>
          <w:spacing w:val="0"/>
          <w:sz w:val="24"/>
          <w:szCs w:val="24"/>
        </w:rPr>
      </w:pPr>
      <w:r>
        <w:rPr>
          <w:rFonts w:hint="eastAsia" w:ascii="仿宋_GB2312" w:hAnsi="仿宋_GB2312" w:eastAsia="仿宋_GB2312" w:cs="仿宋_GB2312"/>
          <w:kern w:val="44"/>
          <w:sz w:val="32"/>
          <w:szCs w:val="32"/>
          <w:lang w:val="en-US" w:eastAsia="zh-CN" w:bidi="ar-SA"/>
        </w:rPr>
        <w:t>昆明市《城市道路管养维修办法》昆政发【2012】42号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3、绩效评价指标体系及工作方案的设计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rPr>
      </w:pPr>
      <w:r>
        <w:rPr>
          <w:rFonts w:hint="eastAsia" w:ascii="仿宋_GB2312" w:hAnsi="仿宋_GB2312" w:eastAsia="仿宋_GB2312" w:cs="仿宋_GB2312"/>
          <w:kern w:val="44"/>
          <w:sz w:val="32"/>
          <w:szCs w:val="32"/>
          <w:lang w:val="en-US" w:eastAsia="zh-CN" w:bidi="ar-SA"/>
        </w:rPr>
        <w:t>盘龙202号路项目（寺瓦路至盘龙200号路）东半幅道路工程绩效评价指标体系严格按照国家法律法规，行业规范要求，结合道路建设情况，合理使用资金，科学统筹，节约成本，认真制定工作计划达到资金效益最优化</w:t>
      </w:r>
      <w:r>
        <w:rPr>
          <w:rFonts w:hint="eastAsia" w:ascii="仿宋_GB2312" w:hAnsi="微软雅黑" w:eastAsia="仿宋_GB2312" w:cs="仿宋_GB2312"/>
          <w:i w:val="0"/>
          <w:iCs w:val="0"/>
          <w:caps w:val="0"/>
          <w:color w:val="666666"/>
          <w:spacing w:val="0"/>
          <w:sz w:val="30"/>
          <w:szCs w:val="30"/>
          <w:shd w:val="clear" w:fill="FFFFFF"/>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（三）绩效评价原则、评价方法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szCs w:val="32"/>
          <w:lang w:val="en-US" w:eastAsia="zh-CN"/>
        </w:rPr>
        <w:t xml:space="preserve">  </w:t>
      </w:r>
      <w:r>
        <w:rPr>
          <w:rFonts w:hint="eastAsia" w:ascii="楷体" w:hAnsi="楷体" w:eastAsia="楷体" w:cs="Times New Roman"/>
          <w:kern w:val="2"/>
          <w:sz w:val="32"/>
          <w:szCs w:val="32"/>
          <w:lang w:val="en-US" w:eastAsia="zh-CN" w:bidi="ar-SA"/>
        </w:rPr>
        <w:t xml:space="preserve"> </w:t>
      </w:r>
      <w:r>
        <w:rPr>
          <w:rFonts w:hint="eastAsia" w:ascii="仿宋_GB2312" w:hAnsi="仿宋_GB2312" w:eastAsia="仿宋_GB2312" w:cs="仿宋_GB2312"/>
          <w:kern w:val="44"/>
          <w:sz w:val="32"/>
          <w:szCs w:val="32"/>
          <w:lang w:val="en-US" w:eastAsia="zh-CN" w:bidi="ar-SA"/>
        </w:rPr>
        <w:t>绩效评价原则及方法遵循总体目标，年度目标，长期有效，短期合理的原则。</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（四）绩效评价实施过程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1、数据填报和采集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对建设项目的绩效跟踪、检查、分析、纠偏及考核等系列工作已被我局列为常态化工作之一，对项目执行过程中同步形成的资料及时分类、整理归档，从而形成系统的项目绩效相关材料。同时，我局严控项目执行质量，注重数据的采集与整理，以备提供佐证数据，开展绩效相关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2、社会调查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作为盘龙202号路项目（寺瓦路至盘龙200号路）东半幅道路工程责任单位，群众的改扩建意见和建议是我局做好工作不可或缺的监督与指导手段，项目执行前期及过程中，我局会在项目周边进行必要的社会调查，了解群众出行需求及对建设工作的建议和要求，尽力满足群众对出行的需求。在建设工作完成后我局积极听取大家对相关工作的评价，及时总结以提高服务大众的效率及水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3、数据分析和撰写报告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 xml:space="preserve">针对项目执行过程中收集的资料及依据，及时进行对比分析，查看项目是否按照计划执行，对于可能出现的项目偏差找出具体原因，之后进行纠偏。确保项目目标得以实现。     </w:t>
      </w:r>
      <w:r>
        <w:rPr>
          <w:rFonts w:hint="eastAsia" w:ascii="楷体" w:hAnsi="楷体" w:eastAsia="楷体" w:cs="Times New Roman"/>
          <w:kern w:val="2"/>
          <w:sz w:val="32"/>
          <w:szCs w:val="32"/>
          <w:lang w:val="en-US" w:eastAsia="zh-CN" w:bidi="ar-SA"/>
        </w:rPr>
        <w:t>（五）本次绩效评价的局限性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bidi="ar-SA"/>
        </w:rPr>
        <w:t>本次绩效评价由于工作专业性强，工作成果使用面针对性强，工作效果显现周期性长，单次绩效评价效果不明显。</w:t>
      </w:r>
    </w:p>
    <w:p>
      <w:pPr>
        <w:numPr>
          <w:ilvl w:val="0"/>
          <w:numId w:val="0"/>
        </w:numPr>
        <w:spacing w:line="44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三、评价结论和绩效分析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（一）评价结论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1、评价结果：</w:t>
      </w:r>
      <w:r>
        <w:rPr>
          <w:rFonts w:hint="eastAsia" w:ascii="仿宋_GB2312" w:hAnsi="仿宋_GB2312" w:eastAsia="仿宋_GB2312" w:cs="仿宋_GB2312"/>
          <w:kern w:val="44"/>
          <w:sz w:val="32"/>
          <w:szCs w:val="32"/>
          <w:lang w:val="en-US" w:eastAsia="zh-CN" w:bidi="ar-SA"/>
        </w:rPr>
        <w:t>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w:t>
      </w:r>
      <w:r>
        <w:rPr>
          <w:rFonts w:hint="eastAsia" w:ascii="楷体" w:hAnsi="楷体" w:eastAsia="楷体" w:cs="Times New Roman"/>
          <w:kern w:val="2"/>
          <w:sz w:val="32"/>
          <w:szCs w:val="32"/>
          <w:highlight w:val="none"/>
          <w:lang w:val="en-US" w:eastAsia="zh-CN" w:bidi="ar-SA"/>
        </w:rPr>
        <w:t>主要绩效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highlight w:val="none"/>
          <w:lang w:val="en-US" w:eastAsia="zh-CN" w:bidi="ar-SA"/>
        </w:rPr>
      </w:pPr>
      <w:r>
        <w:rPr>
          <w:rFonts w:hint="eastAsia" w:ascii="楷体" w:hAnsi="楷体" w:eastAsia="楷体" w:cs="Times New Roman"/>
          <w:kern w:val="2"/>
          <w:sz w:val="32"/>
          <w:szCs w:val="32"/>
          <w:highlight w:val="none"/>
          <w:lang w:val="en-US" w:eastAsia="zh-CN" w:bidi="ar-SA"/>
        </w:rPr>
        <w:t>主要完成工程量</w:t>
      </w:r>
      <w:r>
        <w:rPr>
          <w:rFonts w:hint="eastAsia" w:ascii="楷体" w:hAnsi="楷体" w:eastAsia="楷体" w:cs="Times New Roman"/>
          <w:kern w:val="2"/>
          <w:sz w:val="32"/>
          <w:szCs w:val="32"/>
          <w:lang w:val="en-US" w:eastAsia="zh-CN" w:bidi="ar-SA"/>
        </w:rPr>
        <w:t>：</w:t>
      </w:r>
      <w:r>
        <w:rPr>
          <w:rFonts w:hint="eastAsia" w:ascii="仿宋_GB2312" w:hAnsi="仿宋_GB2312" w:eastAsia="仿宋_GB2312" w:cs="仿宋_GB2312"/>
          <w:kern w:val="44"/>
          <w:sz w:val="32"/>
          <w:szCs w:val="32"/>
          <w:lang w:val="en-US" w:eastAsia="zh-CN" w:bidi="ar-SA"/>
        </w:rPr>
        <w:t>盘龙202号路项目（寺瓦路至盘龙200号路）东半幅道路工程位于盘龙区东白沙河片区，起于寺瓦路，止于盘龙201号路。道路A线长1289.07米，道路B长1301.734米，道路红线宽度25米，双向四车道。</w:t>
      </w:r>
    </w:p>
    <w:p>
      <w:pPr>
        <w:numPr>
          <w:ilvl w:val="0"/>
          <w:numId w:val="3"/>
        </w:numPr>
        <w:topLinePunct/>
        <w:spacing w:line="440" w:lineRule="exact"/>
        <w:ind w:firstLine="800" w:firstLineChars="250"/>
        <w:rPr>
          <w:rFonts w:hint="eastAsia" w:ascii="仿宋" w:hAnsi="仿宋" w:eastAsia="仿宋"/>
          <w:szCs w:val="32"/>
        </w:rPr>
      </w:pPr>
      <w:r>
        <w:rPr>
          <w:rFonts w:hint="eastAsia" w:ascii="楷体" w:hAnsi="楷体" w:eastAsia="楷体" w:cs="Times New Roman"/>
          <w:sz w:val="32"/>
          <w:szCs w:val="32"/>
        </w:rPr>
        <w:t>具体绩效分析</w:t>
      </w:r>
    </w:p>
    <w:p>
      <w:pPr>
        <w:pStyle w:val="2"/>
        <w:numPr>
          <w:ilvl w:val="0"/>
          <w:numId w:val="4"/>
        </w:numPr>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一级指标：项目决策（20分）</w:t>
      </w:r>
    </w:p>
    <w:p>
      <w:pPr>
        <w:ind w:firstLine="627" w:firstLineChars="196"/>
        <w:contextualSpacing/>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项目决策</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项目立项</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项目目标</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5"/>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二级指标：项目立项（8分）</w:t>
      </w:r>
    </w:p>
    <w:p>
      <w:pPr>
        <w:pStyle w:val="2"/>
        <w:numPr>
          <w:ilvl w:val="0"/>
          <w:numId w:val="0"/>
        </w:numPr>
        <w:ind w:firstLine="640" w:firstLineChars="200"/>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根据昆明市盘龙区住房和城乡建设局设定</w:t>
      </w:r>
      <w:r>
        <w:rPr>
          <w:rFonts w:hint="eastAsia" w:ascii="仿宋_GB2312" w:hAnsi="仿宋_GB2312" w:eastAsia="仿宋_GB2312" w:cs="仿宋_GB2312"/>
          <w:kern w:val="44"/>
          <w:sz w:val="32"/>
          <w:szCs w:val="32"/>
          <w:lang w:eastAsia="zh-CN"/>
        </w:rPr>
        <w:t>的</w:t>
      </w:r>
      <w:r>
        <w:rPr>
          <w:rFonts w:hint="eastAsia" w:ascii="仿宋_GB2312" w:hAnsi="仿宋_GB2312" w:eastAsia="仿宋_GB2312" w:cs="仿宋_GB2312"/>
          <w:kern w:val="44"/>
          <w:sz w:val="32"/>
          <w:szCs w:val="32"/>
        </w:rPr>
        <w:t>部门中长期规划目标，部门中长期规划目标明确且与盘龙区城市管理规划目标及部门职能相一致，能够与部门职能相适应。</w:t>
      </w:r>
      <w:r>
        <w:rPr>
          <w:rFonts w:hint="eastAsia" w:ascii="仿宋_GB2312" w:hAnsi="仿宋_GB2312" w:eastAsia="仿宋_GB2312" w:cs="仿宋_GB2312"/>
          <w:kern w:val="44"/>
          <w:sz w:val="32"/>
          <w:szCs w:val="32"/>
          <w:lang w:eastAsia="zh-CN"/>
        </w:rPr>
        <w:t>项目符合区政府相关规划、决策、批复</w:t>
      </w:r>
      <w:r>
        <w:rPr>
          <w:rFonts w:hint="eastAsia" w:ascii="仿宋_GB2312" w:hAnsi="仿宋_GB2312" w:eastAsia="仿宋_GB2312" w:cs="仿宋_GB2312"/>
          <w:kern w:val="44"/>
          <w:sz w:val="32"/>
          <w:szCs w:val="32"/>
        </w:rPr>
        <w:t>；绩效目标与部门中长期规划、年度工作目标任务相一致；</w:t>
      </w:r>
      <w:r>
        <w:rPr>
          <w:rFonts w:hint="eastAsia" w:ascii="仿宋_GB2312" w:hAnsi="仿宋_GB2312" w:eastAsia="仿宋_GB2312" w:cs="仿宋_GB2312"/>
          <w:kern w:val="44"/>
          <w:sz w:val="32"/>
          <w:szCs w:val="32"/>
          <w:lang w:eastAsia="zh-CN"/>
        </w:rPr>
        <w:t>项目立项经过前期调研，项目的申请、设立过程符合相关要求。项目立项</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8</w:t>
      </w:r>
      <w:r>
        <w:rPr>
          <w:rFonts w:hint="eastAsia" w:ascii="仿宋_GB2312" w:hAnsi="仿宋_GB2312" w:eastAsia="仿宋_GB2312" w:cs="仿宋_GB2312"/>
          <w:kern w:val="44"/>
          <w:sz w:val="32"/>
          <w:szCs w:val="32"/>
        </w:rPr>
        <w:t>分。</w:t>
      </w:r>
    </w:p>
    <w:p>
      <w:pPr>
        <w:pStyle w:val="2"/>
        <w:numPr>
          <w:ilvl w:val="0"/>
          <w:numId w:val="5"/>
        </w:numPr>
        <w:ind w:left="0" w:leftChars="0" w:firstLine="640" w:firstLineChars="200"/>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二级指标：项目目标（</w:t>
      </w:r>
      <w:r>
        <w:rPr>
          <w:rFonts w:hint="eastAsia" w:ascii="仿宋_GB2312" w:hAnsi="仿宋_GB2312" w:eastAsia="仿宋_GB2312" w:cs="仿宋_GB2312"/>
          <w:kern w:val="44"/>
          <w:sz w:val="32"/>
          <w:szCs w:val="32"/>
          <w:lang w:val="en-US" w:eastAsia="zh-CN"/>
        </w:rPr>
        <w:t>12分</w:t>
      </w:r>
      <w:r>
        <w:rPr>
          <w:rFonts w:hint="eastAsia" w:ascii="仿宋_GB2312" w:hAnsi="仿宋_GB2312" w:eastAsia="仿宋_GB2312" w:cs="仿宋_GB2312"/>
          <w:kern w:val="44"/>
          <w:sz w:val="32"/>
          <w:szCs w:val="32"/>
          <w:lang w:eastAsia="zh-CN"/>
        </w:rPr>
        <w:t>）</w:t>
      </w:r>
    </w:p>
    <w:p>
      <w:pPr>
        <w:ind w:firstLine="627" w:firstLineChars="196"/>
        <w:contextualSpacing/>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eastAsia="zh-CN"/>
        </w:rPr>
        <w:t>绩效目标的设定与项目发展规划相关，完整地反应预期产出和效果；</w:t>
      </w:r>
      <w:r>
        <w:rPr>
          <w:rFonts w:hint="eastAsia" w:ascii="仿宋_GB2312" w:hAnsi="仿宋_GB2312" w:eastAsia="仿宋_GB2312" w:cs="仿宋_GB2312"/>
          <w:kern w:val="44"/>
          <w:sz w:val="32"/>
          <w:szCs w:val="32"/>
        </w:rPr>
        <w:t>绩效目标与部门中长期规划、年度工作目标任务相一致；所设定的整体绩效指标将部门整体绩效目标细化分解为具体工作任务，指标值具有清晰可衡量性</w:t>
      </w:r>
      <w:r>
        <w:rPr>
          <w:rFonts w:hint="eastAsia" w:ascii="仿宋_GB2312" w:hAnsi="仿宋_GB2312" w:eastAsia="仿宋_GB2312" w:cs="仿宋_GB2312"/>
          <w:kern w:val="44"/>
          <w:sz w:val="32"/>
          <w:szCs w:val="32"/>
          <w:lang w:eastAsia="zh-CN"/>
        </w:rPr>
        <w:t>。项目</w:t>
      </w:r>
      <w:r>
        <w:rPr>
          <w:rFonts w:hint="eastAsia" w:ascii="仿宋_GB2312" w:hAnsi="仿宋_GB2312" w:eastAsia="仿宋_GB2312" w:cs="仿宋_GB2312"/>
          <w:kern w:val="44"/>
          <w:sz w:val="32"/>
          <w:szCs w:val="32"/>
        </w:rPr>
        <w:t>目标自评得分12分。</w:t>
      </w:r>
    </w:p>
    <w:p>
      <w:pPr>
        <w:ind w:firstLine="627" w:firstLineChars="196"/>
        <w:contextualSpacing/>
        <w:rPr>
          <w:rFonts w:hint="eastAsia"/>
        </w:rPr>
      </w:pPr>
      <w:r>
        <w:rPr>
          <w:rFonts w:hint="eastAsia" w:ascii="仿宋_GB2312" w:hAnsi="仿宋_GB2312" w:eastAsia="仿宋_GB2312" w:cs="仿宋_GB2312"/>
          <w:kern w:val="44"/>
          <w:sz w:val="32"/>
          <w:szCs w:val="32"/>
        </w:rPr>
        <w:t>综上分析，</w:t>
      </w:r>
      <w:r>
        <w:rPr>
          <w:rFonts w:hint="eastAsia" w:ascii="仿宋_GB2312" w:hAnsi="仿宋_GB2312" w:eastAsia="仿宋_GB2312" w:cs="仿宋_GB2312"/>
          <w:kern w:val="44"/>
          <w:sz w:val="32"/>
          <w:szCs w:val="32"/>
          <w:lang w:eastAsia="zh-CN"/>
        </w:rPr>
        <w:t>项目决策</w:t>
      </w:r>
      <w:r>
        <w:rPr>
          <w:rFonts w:hint="eastAsia" w:ascii="仿宋_GB2312" w:hAnsi="仿宋_GB2312" w:eastAsia="仿宋_GB2312" w:cs="仿宋_GB2312"/>
          <w:kern w:val="44"/>
          <w:sz w:val="32"/>
          <w:szCs w:val="32"/>
        </w:rPr>
        <w:t>自评得分20分。</w:t>
      </w:r>
    </w:p>
    <w:p>
      <w:pPr>
        <w:pStyle w:val="2"/>
        <w:numPr>
          <w:ilvl w:val="0"/>
          <w:numId w:val="4"/>
        </w:numPr>
        <w:ind w:left="0" w:leftChars="0" w:firstLine="646" w:firstLineChars="20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一级指标：项目管理（20分）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项目管理</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投入管理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财务管理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项目实施</w:t>
      </w:r>
      <w:r>
        <w:rPr>
          <w:rFonts w:hint="eastAsia" w:ascii="仿宋_GB2312" w:hAnsi="仿宋_GB2312" w:eastAsia="仿宋_GB2312" w:cs="仿宋_GB2312"/>
          <w:kern w:val="44"/>
          <w:sz w:val="32"/>
          <w:szCs w:val="32"/>
          <w:lang w:val="en-US" w:eastAsia="zh-CN"/>
        </w:rPr>
        <w:t>3</w:t>
      </w:r>
      <w:r>
        <w:rPr>
          <w:rFonts w:hint="eastAsia" w:ascii="仿宋_GB2312" w:hAnsi="仿宋_GB2312" w:eastAsia="仿宋_GB2312" w:cs="仿宋_GB2312"/>
          <w:kern w:val="44"/>
          <w:sz w:val="32"/>
          <w:szCs w:val="32"/>
        </w:rPr>
        <w:t>个二级指标。</w:t>
      </w:r>
    </w:p>
    <w:p>
      <w:pPr>
        <w:pStyle w:val="2"/>
        <w:numPr>
          <w:ilvl w:val="0"/>
          <w:numId w:val="6"/>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二级指标：投入管理（4分）</w:t>
      </w:r>
    </w:p>
    <w:p>
      <w:pPr>
        <w:ind w:firstLine="627" w:firstLineChars="196"/>
        <w:contextualSpacing/>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预算编制充分、合理并完整反应预计的项目支出，存在预算调整时按照相关规定执行调整程序，预算执行率达95%以上。投入管理自评得分4分。</w:t>
      </w:r>
    </w:p>
    <w:p>
      <w:pPr>
        <w:pStyle w:val="2"/>
        <w:numPr>
          <w:ilvl w:val="0"/>
          <w:numId w:val="6"/>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二级指标：财务管理（6分）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rPr>
        <w:t>昆明市盘龙区住房和城乡建设局严格依据《会计法》、《政府会计制度》及《昆明市盘龙区住建局项目管理制度》，《专项资金管理办法》、《预算、决算管理制度》等进行项目资金拨付。按照专项资金的管理制度执行，层层审核、专款专用，无挪用、截留、虚列项目支出等违规情况，支出手续健全，审批严谨，严格执行专项资金管理办法，制度健全，合法合规；预算资金使用全部通过零余额账户用款额度拨付，并经单位负责人审批，重大资金支出均经集体决策；预算资金的使用符合预算资金的用途；财务监控方面，严格按制度、程序执行。财务管理自评得分6分。</w:t>
      </w:r>
    </w:p>
    <w:p>
      <w:pPr>
        <w:pStyle w:val="2"/>
        <w:numPr>
          <w:ilvl w:val="0"/>
          <w:numId w:val="6"/>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二级指标：项目实施（10分）</w:t>
      </w:r>
    </w:p>
    <w:p>
      <w:pPr>
        <w:pStyle w:val="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实施单位管理制度健全，为保障项目顺利实施制订的与项目直接相关的业务管理制度健全完善且有效执行；为保障项目顺利实施，项目主管部门采取明确监管措施并认真落实；项目相关的合同执行有序并做好完整的相关台账记录。项目实施自评得分10分。</w:t>
      </w:r>
    </w:p>
    <w:p>
      <w:pPr>
        <w:pStyle w:val="2"/>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综上分析，项目管理自评得分20分。</w:t>
      </w:r>
    </w:p>
    <w:p>
      <w:pPr>
        <w:pStyle w:val="2"/>
        <w:numPr>
          <w:ilvl w:val="0"/>
          <w:numId w:val="0"/>
        </w:numPr>
        <w:ind w:left="584" w:left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3、一级指标：项目绩效（60分）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项目绩效</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项目产出</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7"/>
        </w:numPr>
        <w:ind w:left="580"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项目产出（30分）</w:t>
      </w:r>
    </w:p>
    <w:p>
      <w:pPr>
        <w:pStyle w:val="2"/>
        <w:numPr>
          <w:ilvl w:val="0"/>
          <w:numId w:val="0"/>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bidi="ar-SA"/>
        </w:rPr>
        <w:t>根据《城镇道路养护技术规范》、《标准》等法规及我处现管养城市道路桥梁设施现状，并结合近年来省、市、区的统一部署，全力配合我区完善市政基础设施的工作要求，我处认真对标职能工作积极找短板，补漏洞，制定专项工作方案，及时消除安全隐患，确保按质按量按时完成龙泉路延长线（二期）东半幅道路改扩建工程；龙泉路延长线（二期）东半幅道路改扩建工程项目完成率100%。项目产出自评得分30分。</w:t>
      </w:r>
    </w:p>
    <w:p>
      <w:pPr>
        <w:pStyle w:val="2"/>
        <w:numPr>
          <w:ilvl w:val="0"/>
          <w:numId w:val="7"/>
        </w:numPr>
        <w:ind w:left="580" w:leftChars="0" w:firstLine="0" w:firstLine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项目效益（30分）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严格保障</w:t>
      </w:r>
      <w:r>
        <w:rPr>
          <w:rFonts w:hint="eastAsia" w:ascii="仿宋_GB2312" w:hAnsi="仿宋_GB2312" w:eastAsia="仿宋_GB2312" w:cs="仿宋_GB2312"/>
          <w:kern w:val="44"/>
          <w:sz w:val="32"/>
          <w:szCs w:val="32"/>
          <w:lang w:val="en-US" w:eastAsia="zh-CN" w:bidi="ar-SA"/>
        </w:rPr>
        <w:t>盘龙202号路项目（寺瓦路至盘龙200号路）东半幅道路工程范围</w:t>
      </w:r>
      <w:r>
        <w:rPr>
          <w:rFonts w:hint="eastAsia" w:ascii="仿宋_GB2312" w:hAnsi="仿宋_GB2312" w:eastAsia="仿宋_GB2312" w:cs="仿宋_GB2312"/>
          <w:kern w:val="44"/>
          <w:sz w:val="32"/>
          <w:szCs w:val="32"/>
          <w:lang w:val="en-US" w:eastAsia="zh-CN"/>
        </w:rPr>
        <w:t>内城市道路桥梁等基础设施完好和安全运行，满足辖区内道路桥梁全产能运行所需；</w:t>
      </w:r>
      <w:r>
        <w:rPr>
          <w:rFonts w:hint="eastAsia" w:ascii="仿宋_GB2312" w:hAnsi="仿宋_GB2312" w:eastAsia="仿宋_GB2312" w:cs="仿宋_GB2312"/>
          <w:kern w:val="44"/>
          <w:sz w:val="32"/>
          <w:szCs w:val="32"/>
        </w:rPr>
        <w:t>项目资金专款专用，行政审批依法依规，资金按时下发，完成率100%；</w:t>
      </w:r>
      <w:r>
        <w:rPr>
          <w:rFonts w:hint="eastAsia" w:ascii="仿宋" w:hAnsi="仿宋" w:eastAsia="仿宋"/>
          <w:sz w:val="32"/>
          <w:szCs w:val="32"/>
          <w:lang w:eastAsia="zh-CN"/>
        </w:rPr>
        <w:t>提升整治</w:t>
      </w:r>
      <w:r>
        <w:rPr>
          <w:rFonts w:hint="eastAsia" w:ascii="仿宋" w:hAnsi="仿宋" w:eastAsia="仿宋"/>
          <w:sz w:val="32"/>
          <w:szCs w:val="32"/>
        </w:rPr>
        <w:t>项目质量合格率100%，行政审批依法依规，完成率100%，安全文明生产制度健全。</w:t>
      </w:r>
      <w:r>
        <w:rPr>
          <w:rFonts w:hint="eastAsia" w:ascii="仿宋_GB2312" w:hAnsi="仿宋_GB2312" w:eastAsia="仿宋_GB2312" w:cs="仿宋_GB2312"/>
          <w:kern w:val="44"/>
          <w:sz w:val="32"/>
          <w:szCs w:val="32"/>
        </w:rPr>
        <w:t>年度预算内工作得以顺利完成，单位制度健全。</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30</w:t>
      </w:r>
      <w:r>
        <w:rPr>
          <w:rFonts w:hint="eastAsia" w:ascii="仿宋_GB2312" w:hAnsi="仿宋_GB2312" w:eastAsia="仿宋_GB2312" w:cs="仿宋_GB2312"/>
          <w:kern w:val="44"/>
          <w:sz w:val="32"/>
          <w:szCs w:val="32"/>
        </w:rPr>
        <w:t>分。</w:t>
      </w:r>
    </w:p>
    <w:p>
      <w:pPr>
        <w:pStyle w:val="2"/>
        <w:numPr>
          <w:ilvl w:val="0"/>
          <w:numId w:val="0"/>
        </w:numPr>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 xml:space="preserve">    </w:t>
      </w:r>
      <w:r>
        <w:rPr>
          <w:rFonts w:hint="eastAsia" w:ascii="仿宋_GB2312" w:hAnsi="仿宋_GB2312" w:eastAsia="仿宋_GB2312" w:cs="仿宋_GB2312"/>
          <w:kern w:val="44"/>
          <w:sz w:val="32"/>
          <w:szCs w:val="32"/>
          <w:lang w:eastAsia="zh-CN"/>
        </w:rPr>
        <w:t>综上分析，项目绩效自评得分</w:t>
      </w:r>
      <w:r>
        <w:rPr>
          <w:rFonts w:hint="eastAsia" w:ascii="仿宋_GB2312" w:hAnsi="仿宋_GB2312" w:eastAsia="仿宋_GB2312" w:cs="仿宋_GB2312"/>
          <w:kern w:val="44"/>
          <w:sz w:val="32"/>
          <w:szCs w:val="32"/>
          <w:lang w:val="en-US" w:eastAsia="zh-CN"/>
        </w:rPr>
        <w:t>6</w:t>
      </w:r>
      <w:r>
        <w:rPr>
          <w:rFonts w:hint="eastAsia" w:ascii="仿宋_GB2312" w:hAnsi="仿宋_GB2312" w:eastAsia="仿宋_GB2312" w:cs="仿宋_GB2312"/>
          <w:kern w:val="44"/>
          <w:sz w:val="32"/>
          <w:szCs w:val="32"/>
          <w:lang w:eastAsia="zh-CN"/>
        </w:rPr>
        <w:t>0分</w:t>
      </w:r>
      <w:r>
        <w:rPr>
          <w:rFonts w:hint="eastAsia" w:ascii="仿宋_GB2312" w:hAnsi="仿宋_GB2312" w:eastAsia="仿宋_GB2312" w:cs="仿宋_GB2312"/>
          <w:kern w:val="44"/>
          <w:sz w:val="32"/>
          <w:szCs w:val="32"/>
        </w:rPr>
        <w:t>。</w:t>
      </w:r>
    </w:p>
    <w:p>
      <w:pPr>
        <w:numPr>
          <w:ilvl w:val="0"/>
          <w:numId w:val="0"/>
        </w:numPr>
        <w:spacing w:line="44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四、成本效益分析</w:t>
      </w:r>
    </w:p>
    <w:p>
      <w:pPr>
        <w:pStyle w:val="2"/>
        <w:rPr>
          <w:rFonts w:hint="eastAsia" w:eastAsia="仿宋_GB2312"/>
          <w:lang w:eastAsia="zh-CN"/>
        </w:rPr>
      </w:pPr>
      <w:r>
        <w:rPr>
          <w:rFonts w:hint="eastAsia" w:ascii="仿宋_GB2312" w:hAnsi="仿宋_GB2312" w:eastAsia="仿宋_GB2312" w:cs="仿宋_GB2312"/>
          <w:kern w:val="44"/>
          <w:sz w:val="32"/>
          <w:szCs w:val="32"/>
          <w:lang w:eastAsia="zh-CN"/>
        </w:rPr>
        <w:t>项目根据</w:t>
      </w:r>
      <w:r>
        <w:rPr>
          <w:rFonts w:hint="eastAsia" w:ascii="仿宋_GB2312" w:hAnsi="仿宋_GB2312" w:eastAsia="仿宋_GB2312" w:cs="仿宋_GB2312"/>
          <w:kern w:val="44"/>
          <w:sz w:val="32"/>
          <w:szCs w:val="32"/>
          <w:lang w:val="en-US" w:eastAsia="zh-CN"/>
        </w:rPr>
        <w:t>《昆明市盘龙区进一步规范公建基础设施工程资金拨付的指导意见》（盘政发[2020]9号）规定及合同约定的付款方式，</w:t>
      </w:r>
      <w:r>
        <w:rPr>
          <w:rFonts w:hint="eastAsia" w:ascii="仿宋_GB2312" w:hAnsi="仿宋_GB2312" w:eastAsia="仿宋_GB2312" w:cs="仿宋_GB2312"/>
          <w:kern w:val="44"/>
          <w:sz w:val="32"/>
          <w:szCs w:val="32"/>
        </w:rPr>
        <w:t>202</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年度整体支出情况良好，各项资金使用规范，无虚列项目支出情况，无截留挤占挪用情况，无超标开支情况，无超预算情况</w:t>
      </w:r>
      <w:r>
        <w:rPr>
          <w:rFonts w:hint="eastAsia" w:ascii="仿宋_GB2312" w:hAnsi="仿宋_GB2312" w:eastAsia="仿宋_GB2312" w:cs="仿宋_GB2312"/>
          <w:kern w:val="44"/>
          <w:sz w:val="32"/>
          <w:szCs w:val="32"/>
          <w:lang w:eastAsia="zh-CN"/>
        </w:rPr>
        <w:t>。</w:t>
      </w:r>
    </w:p>
    <w:p>
      <w:pPr>
        <w:numPr>
          <w:ilvl w:val="0"/>
          <w:numId w:val="0"/>
        </w:numPr>
        <w:spacing w:line="44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五、主要经验及做法、存在的问题和建议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（一）主要经</w:t>
      </w:r>
      <w:bookmarkStart w:id="0" w:name="_GoBack"/>
      <w:bookmarkEnd w:id="0"/>
      <w:r>
        <w:rPr>
          <w:rFonts w:hint="eastAsia" w:ascii="楷体" w:hAnsi="楷体" w:eastAsia="楷体" w:cs="Times New Roman"/>
          <w:kern w:val="2"/>
          <w:sz w:val="32"/>
          <w:szCs w:val="32"/>
          <w:lang w:val="en-US" w:eastAsia="zh-CN" w:bidi="ar-SA"/>
        </w:rPr>
        <w:t>验及做法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通过公开招标确定</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单位，将社会资源和内部资源得到了充分融合。</w:t>
      </w:r>
      <w:r>
        <w:rPr>
          <w:rFonts w:hint="eastAsia" w:ascii="仿宋_GB2312" w:hAnsi="仿宋_GB2312" w:eastAsia="仿宋_GB2312" w:cs="仿宋_GB2312"/>
          <w:kern w:val="44"/>
          <w:sz w:val="32"/>
          <w:szCs w:val="32"/>
          <w:lang w:eastAsia="zh-CN"/>
        </w:rPr>
        <w:t>安排专人负责项目管理，</w:t>
      </w:r>
      <w:r>
        <w:rPr>
          <w:rFonts w:hint="default"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val="en-US" w:eastAsia="zh-CN" w:bidi="ar-SA"/>
        </w:rPr>
        <w:t>盘龙202号路项目（寺瓦路至盘龙200号路）东半幅道路工程建</w:t>
      </w:r>
      <w:r>
        <w:rPr>
          <w:rFonts w:hint="default" w:ascii="Times New Roman" w:hAnsi="Times New Roman" w:eastAsia="仿宋_GB2312" w:cs="Times New Roman"/>
          <w:sz w:val="32"/>
          <w:szCs w:val="32"/>
          <w:highlight w:val="none"/>
        </w:rPr>
        <w:t>设工作的组织领导，进一步明确各方职责，全面开展工作，保障工程建设的顺利推进</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管理，严格</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审批</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及时整理、归纳分析、绩效自评结果，积累和储备历史数据，补充完善绩效评价指标并将其作为改进预算绩效管理和安排以后年度预算的重要依据。将绩效自评整改意见的落实情况等及时报送主管部门和区财政局。并按照相关规定，及时向社会公开，接受社会监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（二）存在的问题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lang w:eastAsia="zh-CN"/>
        </w:rPr>
        <w:t>无</w:t>
      </w:r>
      <w:r>
        <w:rPr>
          <w:rFonts w:hint="eastAsia" w:ascii="仿宋_GB2312" w:hAnsi="仿宋_GB2312" w:eastAsia="仿宋_GB2312" w:cs="仿宋_GB2312"/>
          <w:kern w:val="44"/>
          <w:sz w:val="32"/>
          <w:szCs w:val="32"/>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（三）建议和改进措施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昆明市盘龙区住房和城乡建设局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                                    2023年4月20日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p>
    <w:p>
      <w:pPr>
        <w:pStyle w:val="2"/>
        <w:numPr>
          <w:ilvl w:val="0"/>
          <w:numId w:val="0"/>
        </w:numPr>
        <w:ind w:leftChars="250"/>
        <w:rPr>
          <w:rFonts w:hint="eastAsia"/>
        </w:rPr>
      </w:pPr>
    </w:p>
    <w:p>
      <w:pPr>
        <w:pStyle w:val="2"/>
        <w:numPr>
          <w:ilvl w:val="0"/>
          <w:numId w:val="0"/>
        </w:numPr>
        <w:ind w:leftChars="250"/>
        <w:rPr>
          <w:rFonts w:hint="eastAsia"/>
        </w:rPr>
      </w:pPr>
    </w:p>
    <w:p>
      <w:pPr>
        <w:pStyle w:val="2"/>
        <w:numPr>
          <w:ilvl w:val="0"/>
          <w:numId w:val="0"/>
        </w:numPr>
        <w:ind w:leftChars="250"/>
        <w:rPr>
          <w:rFonts w:hint="eastAsia"/>
        </w:rPr>
      </w:pPr>
    </w:p>
    <w:p>
      <w:pPr>
        <w:spacing w:line="440" w:lineRule="exact"/>
        <w:rPr>
          <w:rFonts w:eastAsia="黑体"/>
        </w:rPr>
      </w:pPr>
    </w:p>
    <w:p>
      <w:pPr>
        <w:spacing w:line="440" w:lineRule="exact"/>
        <w:jc w:val="center"/>
        <w:rPr>
          <w:rFonts w:ascii="方正小标宋_GBK" w:eastAsia="方正小标宋_GBK"/>
        </w:rPr>
      </w:pPr>
      <w:r>
        <w:rPr>
          <w:rFonts w:hint="eastAsia" w:ascii="方正小标宋_GBK" w:eastAsia="方正小标宋_GBK"/>
        </w:rPr>
        <w:t>绩效评价报告正文后附以下佐证材料</w:t>
      </w:r>
    </w:p>
    <w:p>
      <w:pPr>
        <w:spacing w:line="440" w:lineRule="exact"/>
        <w:ind w:left="630" w:hanging="630" w:hangingChars="300"/>
        <w:jc w:val="left"/>
        <w:rPr>
          <w:rFonts w:ascii="仿宋_GB2312" w:hAnsi="仿宋" w:eastAsia="仿宋_GB2312"/>
        </w:rPr>
      </w:pPr>
      <w:r>
        <w:rPr>
          <w:rFonts w:hint="eastAsia" w:ascii="仿宋_GB2312" w:hAnsi="仿宋" w:eastAsia="仿宋_GB2312"/>
        </w:rPr>
        <w:t>1.绩效评价指标体系；</w:t>
      </w:r>
    </w:p>
    <w:p>
      <w:pPr>
        <w:spacing w:line="440" w:lineRule="exact"/>
        <w:ind w:left="630" w:hanging="630" w:hangingChars="300"/>
        <w:jc w:val="left"/>
        <w:rPr>
          <w:rFonts w:ascii="仿宋_GB2312" w:hAnsi="仿宋" w:eastAsia="仿宋_GB2312"/>
        </w:rPr>
      </w:pPr>
      <w:r>
        <w:rPr>
          <w:rFonts w:hint="eastAsia" w:ascii="仿宋_GB2312" w:hAnsi="仿宋" w:eastAsia="仿宋_GB2312"/>
        </w:rPr>
        <w:t>2.基础数据表（进行成本效益分析需采集的数据）；</w:t>
      </w:r>
    </w:p>
    <w:p>
      <w:pPr>
        <w:spacing w:line="440" w:lineRule="exact"/>
        <w:ind w:left="630" w:hanging="630" w:hangingChars="300"/>
        <w:jc w:val="left"/>
        <w:rPr>
          <w:rFonts w:ascii="仿宋_GB2312" w:hAnsi="仿宋" w:eastAsia="仿宋_GB2312"/>
        </w:rPr>
      </w:pPr>
      <w:r>
        <w:rPr>
          <w:rFonts w:hint="eastAsia" w:ascii="仿宋_GB2312" w:hAnsi="仿宋" w:eastAsia="仿宋_GB2312"/>
        </w:rPr>
        <w:t>3.访谈分析报告；</w:t>
      </w:r>
    </w:p>
    <w:p>
      <w:pPr>
        <w:spacing w:line="440" w:lineRule="exact"/>
        <w:ind w:left="630" w:hanging="630" w:hangingChars="300"/>
        <w:jc w:val="left"/>
        <w:rPr>
          <w:rFonts w:ascii="仿宋_GB2312" w:hAnsi="仿宋" w:eastAsia="仿宋_GB2312"/>
        </w:rPr>
      </w:pPr>
      <w:r>
        <w:rPr>
          <w:rFonts w:hint="eastAsia" w:ascii="仿宋_GB2312" w:hAnsi="仿宋" w:eastAsia="仿宋_GB2312"/>
        </w:rPr>
        <w:t>4.社会调查问卷分析报告；</w:t>
      </w:r>
    </w:p>
    <w:p>
      <w:r>
        <w:rPr>
          <w:rFonts w:hint="eastAsia" w:ascii="仿宋_GB2312" w:hAnsi="仿宋" w:eastAsia="仿宋_GB2312"/>
        </w:rPr>
        <w:t>5.①市政府相关规划、决策、批复；②立项申请、批复文件；③绩效目标申报表。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粗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51A260"/>
    <w:multiLevelType w:val="singleLevel"/>
    <w:tmpl w:val="8351A260"/>
    <w:lvl w:ilvl="0" w:tentative="0">
      <w:start w:val="1"/>
      <w:numFmt w:val="decimal"/>
      <w:suff w:val="nothing"/>
      <w:lvlText w:val="%1、"/>
      <w:lvlJc w:val="left"/>
    </w:lvl>
  </w:abstractNum>
  <w:abstractNum w:abstractNumId="1">
    <w:nsid w:val="B8512D62"/>
    <w:multiLevelType w:val="singleLevel"/>
    <w:tmpl w:val="B8512D62"/>
    <w:lvl w:ilvl="0" w:tentative="0">
      <w:start w:val="2"/>
      <w:numFmt w:val="chineseCounting"/>
      <w:suff w:val="nothing"/>
      <w:lvlText w:val="（%1）"/>
      <w:lvlJc w:val="left"/>
      <w:rPr>
        <w:rFonts w:hint="eastAsia" w:ascii="楷体" w:hAnsi="楷体" w:eastAsia="楷体" w:cs="楷体"/>
        <w:sz w:val="32"/>
        <w:szCs w:val="32"/>
      </w:rPr>
    </w:lvl>
  </w:abstractNum>
  <w:abstractNum w:abstractNumId="2">
    <w:nsid w:val="F230076E"/>
    <w:multiLevelType w:val="singleLevel"/>
    <w:tmpl w:val="F230076E"/>
    <w:lvl w:ilvl="0" w:tentative="0">
      <w:start w:val="1"/>
      <w:numFmt w:val="decimal"/>
      <w:suff w:val="nothing"/>
      <w:lvlText w:val="（%1）"/>
      <w:lvlJc w:val="left"/>
      <w:pPr>
        <w:ind w:left="584" w:leftChars="0" w:firstLine="0" w:firstLineChars="0"/>
      </w:pPr>
    </w:lvl>
  </w:abstractNum>
  <w:abstractNum w:abstractNumId="3">
    <w:nsid w:val="0E8B28C3"/>
    <w:multiLevelType w:val="singleLevel"/>
    <w:tmpl w:val="0E8B28C3"/>
    <w:lvl w:ilvl="0" w:tentative="0">
      <w:start w:val="2"/>
      <w:numFmt w:val="chineseCounting"/>
      <w:suff w:val="nothing"/>
      <w:lvlText w:val="（%1）"/>
      <w:lvlJc w:val="left"/>
      <w:rPr>
        <w:rFonts w:hint="eastAsia"/>
      </w:rPr>
    </w:lvl>
  </w:abstractNum>
  <w:abstractNum w:abstractNumId="4">
    <w:nsid w:val="234AB5DF"/>
    <w:multiLevelType w:val="singleLevel"/>
    <w:tmpl w:val="234AB5DF"/>
    <w:lvl w:ilvl="0" w:tentative="0">
      <w:start w:val="1"/>
      <w:numFmt w:val="decimal"/>
      <w:suff w:val="nothing"/>
      <w:lvlText w:val="（%1）"/>
      <w:lvlJc w:val="left"/>
      <w:pPr>
        <w:ind w:left="580" w:leftChars="0" w:firstLine="0" w:firstLineChars="0"/>
      </w:pPr>
    </w:lvl>
  </w:abstractNum>
  <w:abstractNum w:abstractNumId="5">
    <w:nsid w:val="4ECA0961"/>
    <w:multiLevelType w:val="singleLevel"/>
    <w:tmpl w:val="4ECA0961"/>
    <w:lvl w:ilvl="0" w:tentative="0">
      <w:start w:val="1"/>
      <w:numFmt w:val="decimal"/>
      <w:suff w:val="nothing"/>
      <w:lvlText w:val="（%1）"/>
      <w:lvlJc w:val="left"/>
    </w:lvl>
  </w:abstractNum>
  <w:abstractNum w:abstractNumId="6">
    <w:nsid w:val="584C99D1"/>
    <w:multiLevelType w:val="singleLevel"/>
    <w:tmpl w:val="584C99D1"/>
    <w:lvl w:ilvl="0" w:tentative="0">
      <w:start w:val="2"/>
      <w:numFmt w:val="decimal"/>
      <w:lvlText w:val="%1."/>
      <w:lvlJc w:val="left"/>
      <w:pPr>
        <w:tabs>
          <w:tab w:val="left" w:pos="312"/>
        </w:tabs>
      </w:pPr>
    </w:lvl>
  </w:abstractNum>
  <w:num w:numId="1">
    <w:abstractNumId w:val="6"/>
  </w:num>
  <w:num w:numId="2">
    <w:abstractNumId w:val="3"/>
  </w:num>
  <w:num w:numId="3">
    <w:abstractNumId w:val="1"/>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kODNmZDY5ZGY3NTY1YzI4OWUyNjU0Mjc5NGI4NDYifQ=="/>
  </w:docVars>
  <w:rsids>
    <w:rsidRoot w:val="00000000"/>
    <w:rsid w:val="4BEF648E"/>
    <w:rsid w:val="5581373A"/>
    <w:rsid w:val="65CD17EE"/>
    <w:rsid w:val="759B5485"/>
    <w:rsid w:val="7C1E7C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4">
    <w:name w:val="Body Text"/>
    <w:basedOn w:val="1"/>
    <w:unhideWhenUsed/>
    <w:qFormat/>
    <w:uiPriority w:val="99"/>
  </w:style>
  <w:style w:type="paragraph" w:styleId="5">
    <w:name w:val="Body Text Indent"/>
    <w:basedOn w:val="1"/>
    <w:qFormat/>
    <w:uiPriority w:val="0"/>
    <w:pPr>
      <w:spacing w:line="360" w:lineRule="auto"/>
      <w:ind w:right="-128" w:firstLine="570"/>
    </w:pPr>
    <w:rPr>
      <w:rFonts w:ascii="仿宋_GB2312" w:hAnsi="宋体" w:eastAsia="仿宋_GB2312"/>
      <w:kern w:val="0"/>
      <w:sz w:val="28"/>
      <w:szCs w:val="2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5"/>
    <w:qFormat/>
    <w:uiPriority w:val="0"/>
    <w:pPr>
      <w:spacing w:after="120"/>
      <w:ind w:firstLine="420"/>
    </w:pPr>
    <w:rPr>
      <w:rFonts w:ascii="Times New Roman" w:hAnsi="Times New Roman"/>
    </w:rPr>
  </w:style>
  <w:style w:type="character" w:styleId="10">
    <w:name w:val="Strong"/>
    <w:basedOn w:val="9"/>
    <w:qFormat/>
    <w:uiPriority w:val="0"/>
    <w:rPr>
      <w:b/>
    </w:rPr>
  </w:style>
  <w:style w:type="paragraph" w:customStyle="1" w:styleId="11">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2">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13</Pages>
  <Words>5013</Words>
  <Characters>5238</Characters>
  <Lines>0</Lines>
  <Paragraphs>0</Paragraphs>
  <TotalTime>3</TotalTime>
  <ScaleCrop>false</ScaleCrop>
  <LinksUpToDate>false</LinksUpToDate>
  <CharactersWithSpaces>5342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2023-04-03T16:28:00Z</dcterms:created>
  <dc:creator>Administrator</dc:creator>
  <cp:lastModifiedBy>  </cp:lastModifiedBy>
  <dcterms:modified xsi:type="dcterms:W3CDTF">2023-09-28T04:45:37Z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7E958B310F9F4E02846AC456AA465C81</vt:lpwstr>
  </property>
</Properties>
</file>