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方正小标宋简体" w:eastAsia="方正小标宋简体"/>
          <w:b/>
          <w:color w:val="FF0000"/>
          <w:spacing w:val="-20"/>
          <w:w w:val="90"/>
          <w:sz w:val="72"/>
          <w:szCs w:val="72"/>
        </w:rPr>
      </w:pPr>
      <w:r>
        <w:rPr>
          <w:rFonts w:hint="eastAsia" w:ascii="方正小标宋简体" w:hAnsi="方正小标宋简体" w:eastAsia="方正小标宋简体"/>
          <w:b/>
          <w:color w:val="FF0000"/>
          <w:spacing w:val="-20"/>
          <w:w w:val="90"/>
          <w:sz w:val="72"/>
          <w:szCs w:val="72"/>
        </w:rPr>
        <w:t>昆明市盘龙区城市更新改造局</w:t>
      </w:r>
    </w:p>
    <w:p>
      <w:pPr>
        <w:spacing w:line="400" w:lineRule="exact"/>
        <w:rPr>
          <w:rFonts w:hint="eastAsia" w:ascii="Times New Roman" w:eastAsia="楷体_GB2312"/>
          <w:color w:val="FF0000"/>
          <w:u w:val="thick"/>
        </w:rPr>
      </w:pPr>
    </w:p>
    <w:p>
      <w:pPr>
        <w:spacing w:line="400" w:lineRule="exact"/>
        <w:rPr>
          <w:rFonts w:eastAsia="楷体_GB2312"/>
          <w:color w:val="FF0000"/>
          <w:u w:val="thick"/>
        </w:rPr>
      </w:pPr>
      <w:r>
        <w:rPr>
          <w:rFonts w:eastAsia="楷体_GB2312"/>
          <w:color w:val="FF0000"/>
          <w:u w:val="thick"/>
        </w:rPr>
        <w:t xml:space="preserve">                                             </w:t>
      </w:r>
      <w:r>
        <w:rPr>
          <w:rFonts w:hint="eastAsia" w:eastAsia="楷体_GB2312"/>
          <w:color w:val="FF0000"/>
          <w:u w:val="thick"/>
          <w:lang w:val="en-US" w:eastAsia="zh-CN"/>
        </w:rPr>
        <w:t xml:space="preserve">                            </w:t>
      </w:r>
      <w:r>
        <w:rPr>
          <w:rFonts w:eastAsia="楷体_GB2312"/>
          <w:color w:val="FF0000"/>
          <w:u w:val="thick"/>
        </w:rPr>
        <w:t xml:space="preserve">           </w:t>
      </w:r>
    </w:p>
    <w:p>
      <w:pPr>
        <w:spacing w:line="520" w:lineRule="exact"/>
        <w:ind w:left="31680" w:hanging="840" w:hangingChars="300"/>
        <w:jc w:val="left"/>
        <w:rPr>
          <w:rFonts w:hint="eastAsia" w:ascii="方正小标宋_GBK" w:eastAsia="方正小标宋_GBK"/>
          <w:sz w:val="28"/>
          <w:szCs w:val="28"/>
        </w:rPr>
      </w:pPr>
    </w:p>
    <w:p>
      <w:pPr>
        <w:spacing w:line="520" w:lineRule="exact"/>
        <w:ind w:left="31680" w:hanging="840" w:hangingChars="300"/>
        <w:jc w:val="left"/>
        <w:rPr>
          <w:rFonts w:ascii="方正小标宋_GBK" w:eastAsia="方正小标宋_GBK"/>
          <w:sz w:val="28"/>
          <w:szCs w:val="28"/>
        </w:rPr>
      </w:pPr>
      <w:r>
        <w:rPr>
          <w:rFonts w:hint="eastAsia" w:ascii="方正小标宋_GBK" w:eastAsia="方正小标宋_GBK"/>
          <w:sz w:val="28"/>
          <w:szCs w:val="28"/>
        </w:rPr>
        <w:t>附件</w:t>
      </w:r>
      <w:r>
        <w:rPr>
          <w:rFonts w:ascii="方正小标宋_GBK" w:eastAsia="方正小标宋_GBK"/>
          <w:sz w:val="28"/>
          <w:szCs w:val="28"/>
        </w:rPr>
        <w:t>5</w:t>
      </w:r>
      <w:r>
        <w:rPr>
          <w:rFonts w:hint="eastAsia" w:ascii="方正小标宋_GBK" w:eastAsia="方正小标宋_GBK"/>
          <w:sz w:val="28"/>
          <w:szCs w:val="28"/>
        </w:rPr>
        <w:t>：项目支出绩效评价报告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val="en-US" w:eastAsia="zh-CN"/>
        </w:rPr>
        <w:t xml:space="preserve"> 2022年度城中村及旧城改造项目土地征收工作经费</w:t>
      </w:r>
      <w:r>
        <w:rPr>
          <w:rFonts w:hint="eastAsia" w:ascii="黑体" w:hAnsi="黑体" w:eastAsia="黑体" w:cs="黑体"/>
          <w:bCs/>
          <w:sz w:val="52"/>
          <w:szCs w:val="52"/>
        </w:rPr>
        <w:t>绩效自评报告</w:t>
      </w:r>
    </w:p>
    <w:p>
      <w:pPr>
        <w:jc w:val="center"/>
        <w:rPr>
          <w:rFonts w:hint="eastAsia" w:ascii="黑体" w:hAnsi="黑体" w:eastAsia="黑体" w:cs="黑体"/>
          <w:bCs/>
          <w:sz w:val="52"/>
          <w:szCs w:val="52"/>
        </w:rPr>
      </w:pP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pStyle w:val="2"/>
        <w:rPr>
          <w:rFonts w:ascii="Times New Roman" w:hAnsi="Times New Roman"/>
          <w:b/>
          <w:bCs/>
          <w:sz w:val="44"/>
          <w:szCs w:val="44"/>
        </w:rPr>
      </w:pPr>
    </w:p>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leftChars="0" w:right="0" w:rightChars="0" w:firstLine="2811" w:firstLineChars="1000"/>
        <w:jc w:val="both"/>
        <w:textAlignment w:val="auto"/>
        <w:outlineLvl w:val="9"/>
        <w:rPr>
          <w:rFonts w:hint="eastAsia" w:ascii="Times New Roman" w:hAnsi="Times New Roman" w:eastAsia="黑体" w:cs="黑体"/>
          <w:b/>
          <w:bCs/>
          <w:sz w:val="28"/>
          <w:szCs w:val="28"/>
        </w:rPr>
      </w:pPr>
      <w:r>
        <w:rPr>
          <w:rFonts w:hint="eastAsia" w:ascii="Times New Roman" w:hAnsi="Times New Roman" w:eastAsia="黑体" w:cs="黑体"/>
          <w:b/>
          <w:bCs/>
          <w:sz w:val="28"/>
          <w:szCs w:val="28"/>
        </w:rPr>
        <w:t>部门名称（公章）：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leftChars="0" w:right="0" w:rightChars="0" w:firstLine="2811" w:firstLineChars="1000"/>
        <w:jc w:val="both"/>
        <w:textAlignment w:val="auto"/>
        <w:outlineLvl w:val="9"/>
        <w:rPr>
          <w:rFonts w:hint="default" w:ascii="Times New Roman" w:hAnsi="Times New Roman" w:eastAsia="黑体" w:cs="黑体"/>
          <w:b/>
          <w:bCs/>
          <w:sz w:val="28"/>
          <w:szCs w:val="28"/>
          <w:u w:val="single"/>
          <w:lang w:val="en-US" w:eastAsia="zh-CN"/>
        </w:rPr>
      </w:pP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u w:val="single"/>
          <w:lang w:eastAsia="zh-CN"/>
        </w:rPr>
        <w:t>昆明市盘龙区城市更新改造局</w:t>
      </w:r>
      <w:r>
        <w:rPr>
          <w:rFonts w:hint="eastAsia" w:ascii="Times New Roman" w:hAnsi="Times New Roman" w:eastAsia="黑体" w:cs="黑体"/>
          <w:b/>
          <w:bCs/>
          <w:sz w:val="28"/>
          <w:szCs w:val="28"/>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leftChars="0" w:right="0" w:rightChars="0" w:firstLine="2811" w:firstLineChars="1000"/>
        <w:jc w:val="both"/>
        <w:textAlignment w:val="auto"/>
        <w:outlineLvl w:val="9"/>
        <w:rPr>
          <w:rFonts w:hint="default" w:ascii="Times New Roman" w:hAnsi="Times New Roman" w:eastAsia="黑体" w:cs="黑体"/>
          <w:b/>
          <w:bCs/>
          <w:sz w:val="28"/>
          <w:szCs w:val="28"/>
          <w:u w:val="single"/>
          <w:lang w:val="en-US" w:eastAsia="zh-CN"/>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lang w:eastAsia="zh-CN"/>
        </w:rPr>
        <w:t>昆明市盘龙区城市更新改造局</w:t>
      </w:r>
      <w:r>
        <w:rPr>
          <w:rFonts w:hint="eastAsia" w:ascii="Times New Roman" w:hAnsi="Times New Roman" w:eastAsia="黑体" w:cs="黑体"/>
          <w:b/>
          <w:bCs/>
          <w:sz w:val="28"/>
          <w:szCs w:val="28"/>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spacing w:line="640" w:lineRule="exact"/>
        <w:ind w:left="4198" w:leftChars="1330" w:right="0" w:rightChars="0" w:hanging="1405" w:hangingChars="500"/>
        <w:jc w:val="both"/>
        <w:textAlignment w:val="auto"/>
        <w:outlineLvl w:val="9"/>
        <w:rPr>
          <w:rFonts w:hint="eastAsia" w:ascii="Times New Roman" w:hAnsi="Times New Roman" w:eastAsia="黑体" w:cs="黑体"/>
          <w:b/>
          <w:bCs/>
          <w:sz w:val="28"/>
          <w:szCs w:val="28"/>
          <w:u w:val="single"/>
          <w:lang w:eastAsia="zh-CN"/>
        </w:rPr>
      </w:pPr>
      <w:r>
        <w:rPr>
          <w:rFonts w:hint="eastAsia" w:ascii="Times New Roman" w:hAnsi="Times New Roman" w:eastAsia="黑体" w:cs="黑体"/>
          <w:b/>
          <w:bCs/>
          <w:sz w:val="28"/>
          <w:szCs w:val="28"/>
          <w:lang w:eastAsia="zh-CN"/>
        </w:rPr>
        <w:t>项目名称：</w:t>
      </w:r>
      <w:r>
        <w:rPr>
          <w:rFonts w:hint="eastAsia" w:ascii="Times New Roman" w:hAnsi="Times New Roman" w:eastAsia="黑体" w:cs="黑体"/>
          <w:b/>
          <w:bCs/>
          <w:sz w:val="28"/>
          <w:szCs w:val="28"/>
          <w:u w:val="single"/>
          <w:lang w:val="en-US" w:eastAsia="zh-CN"/>
        </w:rPr>
        <w:t>2022年城中村及旧城改造项目土地工作经费</w:t>
      </w:r>
      <w:r>
        <w:rPr>
          <w:rFonts w:hint="eastAsia" w:ascii="Times New Roman" w:hAnsi="Times New Roman" w:eastAsia="黑体" w:cs="黑体"/>
          <w:b/>
          <w:bCs/>
          <w:sz w:val="28"/>
          <w:szCs w:val="28"/>
          <w:u w:val="single"/>
          <w:lang w:eastAsia="zh-CN"/>
        </w:rPr>
        <w:t>支出绩效自评报告</w:t>
      </w:r>
      <w:r>
        <w:rPr>
          <w:rFonts w:hint="eastAsia" w:ascii="Times New Roman" w:hAnsi="Times New Roman" w:eastAsia="黑体" w:cs="黑体"/>
          <w:b/>
          <w:bCs/>
          <w:sz w:val="28"/>
          <w:szCs w:val="28"/>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right="0" w:rightChars="0" w:firstLine="2811" w:firstLineChars="1000"/>
        <w:jc w:val="both"/>
        <w:textAlignment w:val="auto"/>
        <w:outlineLvl w:val="9"/>
        <w:rPr>
          <w:rFonts w:hint="eastAsia" w:ascii="Times New Roman" w:hAnsi="Times New Roman" w:eastAsia="黑体" w:cs="黑体"/>
          <w:b/>
          <w:bCs/>
          <w:sz w:val="28"/>
          <w:szCs w:val="28"/>
          <w:u w:val="single"/>
          <w:lang w:val="en-US" w:eastAsia="zh-CN"/>
        </w:rPr>
      </w:pPr>
      <w:r>
        <w:rPr>
          <w:rFonts w:hint="eastAsia" w:ascii="Times New Roman" w:hAnsi="Times New Roman" w:eastAsia="黑体" w:cs="黑体"/>
          <w:b/>
          <w:bCs/>
          <w:sz w:val="28"/>
          <w:szCs w:val="28"/>
        </w:rPr>
        <w:t>绩效自评</w:t>
      </w:r>
      <w:r>
        <w:rPr>
          <w:rFonts w:hint="eastAsia" w:ascii="Times New Roman" w:hAnsi="Times New Roman" w:eastAsia="黑体" w:cs="黑体"/>
          <w:b/>
          <w:bCs/>
          <w:sz w:val="28"/>
          <w:szCs w:val="28"/>
          <w:lang w:eastAsia="zh-CN"/>
        </w:rPr>
        <w:t>日期：</w:t>
      </w:r>
      <w:r>
        <w:rPr>
          <w:rFonts w:hint="eastAsia" w:ascii="Times New Roman" w:hAnsi="Times New Roman" w:eastAsia="黑体" w:cs="黑体"/>
          <w:b/>
          <w:bCs/>
          <w:sz w:val="28"/>
          <w:szCs w:val="28"/>
          <w:u w:val="single"/>
          <w:lang w:val="en-US" w:eastAsia="zh-CN"/>
        </w:rPr>
        <w:t xml:space="preserve">2023年6月6日           </w:t>
      </w:r>
    </w:p>
    <w:p>
      <w:pPr>
        <w:spacing w:line="520" w:lineRule="exact"/>
        <w:ind w:left="31680" w:hanging="840" w:hangingChars="300"/>
        <w:jc w:val="left"/>
        <w:rPr>
          <w:rFonts w:hint="eastAsia" w:ascii="方正小标宋_GBK" w:eastAsia="方正小标宋_GBK"/>
          <w:sz w:val="28"/>
          <w:szCs w:val="28"/>
        </w:rPr>
      </w:pPr>
    </w:p>
    <w:p>
      <w:pPr>
        <w:pStyle w:val="7"/>
        <w:widowControl w:val="0"/>
        <w:spacing w:after="0" w:line="360" w:lineRule="auto"/>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4"/>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职称</w:t>
            </w:r>
          </w:p>
        </w:tc>
        <w:tc>
          <w:tcPr>
            <w:tcW w:w="162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处室</w:t>
            </w:r>
          </w:p>
        </w:tc>
        <w:tc>
          <w:tcPr>
            <w:tcW w:w="162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20" w:type="dxa"/>
            <w:noWrap w:val="0"/>
            <w:vAlign w:val="center"/>
          </w:tcPr>
          <w:p>
            <w:pPr>
              <w:pStyle w:val="7"/>
              <w:widowControl w:val="0"/>
              <w:spacing w:after="0" w:afterLines="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长</w:t>
            </w:r>
          </w:p>
        </w:tc>
        <w:tc>
          <w:tcPr>
            <w:tcW w:w="1620" w:type="dxa"/>
            <w:noWrap w:val="0"/>
            <w:vAlign w:val="center"/>
          </w:tcPr>
          <w:p>
            <w:pPr>
              <w:pStyle w:val="7"/>
              <w:widowControl w:val="0"/>
              <w:spacing w:after="0" w:line="24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刘弋华</w:t>
            </w:r>
          </w:p>
        </w:tc>
        <w:tc>
          <w:tcPr>
            <w:tcW w:w="1620" w:type="dxa"/>
            <w:noWrap w:val="0"/>
            <w:vAlign w:val="center"/>
          </w:tcPr>
          <w:p>
            <w:pPr>
              <w:pStyle w:val="7"/>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书</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记</w:t>
            </w:r>
          </w:p>
        </w:tc>
        <w:tc>
          <w:tcPr>
            <w:tcW w:w="162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621" w:type="dxa"/>
            <w:noWrap w:val="0"/>
            <w:vAlign w:val="top"/>
          </w:tcPr>
          <w:p>
            <w:pPr>
              <w:pStyle w:val="7"/>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pStyle w:val="7"/>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周</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俊</w:t>
            </w:r>
          </w:p>
        </w:tc>
        <w:tc>
          <w:tcPr>
            <w:tcW w:w="1620"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局</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长</w:t>
            </w:r>
          </w:p>
        </w:tc>
        <w:tc>
          <w:tcPr>
            <w:tcW w:w="1621" w:type="dxa"/>
            <w:noWrap w:val="0"/>
            <w:vAlign w:val="center"/>
          </w:tcPr>
          <w:p>
            <w:pPr>
              <w:pStyle w:val="7"/>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赵东红</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处  长</w:t>
            </w:r>
          </w:p>
        </w:tc>
        <w:tc>
          <w:tcPr>
            <w:tcW w:w="1621"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邓</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琳</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621"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陈</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莅</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621"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区城改局</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李春梅</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主</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任</w:t>
            </w:r>
          </w:p>
        </w:tc>
        <w:tc>
          <w:tcPr>
            <w:tcW w:w="1621"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7"/>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舒冰洁</w:t>
            </w:r>
          </w:p>
        </w:tc>
        <w:tc>
          <w:tcPr>
            <w:tcW w:w="1620" w:type="dxa"/>
            <w:noWrap w:val="0"/>
            <w:vAlign w:val="center"/>
          </w:tcPr>
          <w:p>
            <w:pPr>
              <w:pStyle w:val="7"/>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副主任</w:t>
            </w:r>
          </w:p>
        </w:tc>
        <w:tc>
          <w:tcPr>
            <w:tcW w:w="1621" w:type="dxa"/>
            <w:noWrap w:val="0"/>
            <w:vAlign w:val="center"/>
          </w:tcPr>
          <w:p>
            <w:pPr>
              <w:pStyle w:val="7"/>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土储中心</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保春红</w:t>
            </w:r>
          </w:p>
        </w:tc>
        <w:tc>
          <w:tcPr>
            <w:tcW w:w="1620"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1621" w:type="dxa"/>
            <w:noWrap w:val="0"/>
            <w:vAlign w:val="center"/>
          </w:tcPr>
          <w:p>
            <w:pPr>
              <w:pStyle w:val="7"/>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土储中心</w:t>
            </w:r>
          </w:p>
        </w:tc>
        <w:tc>
          <w:tcPr>
            <w:tcW w:w="1621" w:type="dxa"/>
            <w:noWrap w:val="0"/>
            <w:vAlign w:val="top"/>
          </w:tcPr>
          <w:p>
            <w:pPr>
              <w:pStyle w:val="7"/>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2"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7"/>
              <w:widowControl w:val="0"/>
              <w:spacing w:after="0" w:line="36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 xml:space="preserve">           </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0" w:hRule="atLeast"/>
        </w:trPr>
        <w:tc>
          <w:tcPr>
            <w:tcW w:w="8102" w:type="dxa"/>
            <w:gridSpan w:val="5"/>
            <w:noWrap w:val="0"/>
            <w:vAlign w:val="top"/>
          </w:tcPr>
          <w:p>
            <w:pPr>
              <w:pStyle w:val="7"/>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spacing w:after="0" w:line="360" w:lineRule="auto"/>
              <w:jc w:val="both"/>
              <w:rPr>
                <w:rFonts w:ascii="Times New Roman" w:hAnsi="Times New Roman" w:eastAsia="黑体" w:cs="黑体"/>
                <w:kern w:val="2"/>
                <w:sz w:val="24"/>
                <w:szCs w:val="24"/>
                <w:lang w:val="zh-TW"/>
              </w:rPr>
            </w:pPr>
          </w:p>
          <w:p>
            <w:pPr>
              <w:pStyle w:val="7"/>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bl>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autoSpaceDE/>
        <w:autoSpaceDN/>
        <w:bidi w:val="0"/>
        <w:adjustRightInd/>
        <w:snapToGrid/>
        <w:spacing w:line="360" w:lineRule="auto"/>
        <w:ind w:firstLine="4320" w:firstLineChars="1200"/>
        <w:jc w:val="left"/>
        <w:textAlignment w:val="auto"/>
        <w:rPr>
          <w:rFonts w:hint="eastAsia"/>
          <w:lang w:val="en-US" w:eastAsia="zh-CN"/>
        </w:rPr>
      </w:pPr>
      <w:r>
        <w:rPr>
          <w:rFonts w:hint="eastAsia" w:ascii="楷体" w:hAnsi="楷体" w:eastAsia="楷体" w:cs="楷体"/>
          <w:sz w:val="36"/>
          <w:szCs w:val="36"/>
          <w:lang w:val="zh-CN" w:eastAsia="zh-CN"/>
        </w:rPr>
        <w:t>目录</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 项目情况</w:t>
      </w:r>
      <w:r>
        <w:rPr>
          <w:rFonts w:hint="eastAsia" w:ascii="楷体" w:hAnsi="楷体" w:eastAsia="楷体" w:cs="楷体"/>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（一）项目基本情况</w:t>
      </w:r>
      <w:r>
        <w:rPr>
          <w:rFonts w:hint="eastAsia" w:ascii="楷体" w:hAnsi="楷体" w:eastAsia="楷体" w:cs="楷体"/>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 xml:space="preserve">（二）项目实施情况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（三）资金收支及使用情况</w:t>
      </w:r>
      <w:r>
        <w:rPr>
          <w:rFonts w:hint="eastAsia" w:ascii="楷体" w:hAnsi="楷体" w:eastAsia="楷体" w:cs="楷体"/>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二、绩效评价</w:t>
      </w:r>
      <w:r>
        <w:rPr>
          <w:rFonts w:hint="eastAsia" w:ascii="楷体" w:hAnsi="楷体" w:eastAsia="楷体" w:cs="楷体"/>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(一)绩效目标</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(二)绩效评价工作情况</w:t>
      </w:r>
      <w:r>
        <w:rPr>
          <w:rFonts w:hint="eastAsia" w:ascii="楷体" w:hAnsi="楷体" w:eastAsia="楷体" w:cs="楷体"/>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(三)评价的目的和依据</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 xml:space="preserve">三、项目主要经验及做法、存在的问题和建议 </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r>
        <w:rPr>
          <w:rFonts w:ascii="黑体" w:hAnsi="黑体" w:eastAsia="黑体"/>
          <w:szCs w:val="32"/>
        </w:rPr>
        <w:tab/>
      </w:r>
    </w:p>
    <w:p>
      <w:pPr>
        <w:spacing w:line="540" w:lineRule="exact"/>
        <w:rPr>
          <w:rFonts w:ascii="方正小标宋_GBK" w:hAnsi="黑体" w:eastAsia="方正小标宋_GBK"/>
          <w:szCs w:val="32"/>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spacing w:line="440" w:lineRule="exact"/>
        <w:jc w:val="center"/>
        <w:rPr>
          <w:rFonts w:hint="eastAsia" w:ascii="方正小标宋_GBK" w:eastAsia="方正小标宋_GBK"/>
          <w:sz w:val="28"/>
          <w:szCs w:val="28"/>
        </w:rPr>
      </w:pPr>
    </w:p>
    <w:p>
      <w:pP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pPr>
        <w:keepNext w:val="0"/>
        <w:keepLines w:val="0"/>
        <w:pageBreakBefore w:val="0"/>
        <w:widowControl w:val="0"/>
        <w:kinsoku/>
        <w:wordWrap/>
        <w:overflowPunct/>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城中村及旧城改造项目土地征收</w:t>
      </w:r>
    </w:p>
    <w:p>
      <w:pPr>
        <w:keepNext w:val="0"/>
        <w:keepLines w:val="0"/>
        <w:pageBreakBefore w:val="0"/>
        <w:widowControl w:val="0"/>
        <w:kinsoku/>
        <w:wordWrap/>
        <w:overflowPunct/>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工作及业务工作经费支出绩效自评报告</w:t>
      </w:r>
    </w:p>
    <w:p>
      <w:pPr>
        <w:keepNext w:val="0"/>
        <w:keepLines w:val="0"/>
        <w:pageBreakBefore w:val="0"/>
        <w:widowControl w:val="0"/>
        <w:kinsoku/>
        <w:wordWrap/>
        <w:overflowPunct/>
        <w:topLinePunct/>
        <w:autoSpaceDE/>
        <w:autoSpaceDN/>
        <w:bidi w:val="0"/>
        <w:adjustRightInd/>
        <w:snapToGrid/>
        <w:spacing w:line="360" w:lineRule="auto"/>
        <w:textAlignment w:val="auto"/>
        <w:rPr>
          <w:rFonts w:ascii="黑体" w:eastAsia="黑体"/>
          <w:b/>
          <w:bCs/>
          <w:szCs w:val="32"/>
        </w:rPr>
      </w:pPr>
    </w:p>
    <w:p>
      <w:pPr>
        <w:keepNext w:val="0"/>
        <w:keepLines w:val="0"/>
        <w:pageBreakBefore w:val="0"/>
        <w:widowControl w:val="0"/>
        <w:numPr>
          <w:ilvl w:val="0"/>
          <w:numId w:val="1"/>
        </w:numPr>
        <w:kinsoku/>
        <w:wordWrap/>
        <w:overflowPunct/>
        <w:topLinePunct/>
        <w:autoSpaceDE/>
        <w:autoSpaceDN/>
        <w:bidi w:val="0"/>
        <w:adjustRightInd/>
        <w:snapToGrid/>
        <w:spacing w:line="360" w:lineRule="auto"/>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项目情况</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textAlignment w:val="auto"/>
        <w:rPr>
          <w:rFonts w:hint="eastAsia" w:ascii="仿宋" w:hAnsi="仿宋" w:eastAsia="仿宋" w:cs="Arial"/>
          <w:kern w:val="0"/>
          <w:sz w:val="32"/>
          <w:szCs w:val="32"/>
          <w:lang w:val="en-US" w:eastAsia="zh-CN"/>
        </w:rPr>
      </w:pPr>
      <w:r>
        <w:rPr>
          <w:rFonts w:hint="eastAsia" w:ascii="仿宋" w:hAnsi="仿宋" w:eastAsia="仿宋" w:cs="Arial"/>
          <w:kern w:val="0"/>
          <w:sz w:val="32"/>
          <w:szCs w:val="32"/>
          <w:lang w:val="en-US" w:eastAsia="zh-CN"/>
        </w:rPr>
        <w:t>1、盘财〔2022〕1号城中村及旧城改造项目土地征收工作经费20万元。</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textAlignment w:val="auto"/>
        <w:rPr>
          <w:rFonts w:hint="eastAsia" w:ascii="仿宋" w:hAnsi="仿宋" w:eastAsia="仿宋" w:cs="Arial"/>
          <w:kern w:val="0"/>
          <w:sz w:val="32"/>
          <w:szCs w:val="32"/>
          <w:lang w:val="en-US" w:eastAsia="zh-CN"/>
        </w:rPr>
      </w:pPr>
      <w:r>
        <w:rPr>
          <w:rFonts w:hint="eastAsia" w:ascii="仿宋" w:hAnsi="仿宋" w:eastAsia="仿宋" w:cs="Arial"/>
          <w:kern w:val="0"/>
          <w:sz w:val="32"/>
          <w:szCs w:val="32"/>
          <w:lang w:val="en-US" w:eastAsia="zh-CN"/>
        </w:rPr>
        <w:t>2、盘财〔2022)1号,业务工作经费20万元。</w:t>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（一）项目基本情况</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黑体" w:hAnsi="黑体" w:eastAsia="黑体" w:cs="黑体"/>
          <w:b w:val="0"/>
          <w:bCs w:val="0"/>
          <w:sz w:val="32"/>
          <w:szCs w:val="32"/>
          <w:lang w:val="en-US" w:eastAsia="zh-CN"/>
        </w:rPr>
      </w:pPr>
      <w:r>
        <w:rPr>
          <w:rFonts w:hint="eastAsia" w:ascii="仿宋" w:hAnsi="仿宋" w:eastAsia="仿宋" w:cs="Arial"/>
          <w:kern w:val="0"/>
          <w:sz w:val="32"/>
          <w:szCs w:val="32"/>
          <w:lang w:val="en-US" w:eastAsia="zh-CN"/>
        </w:rPr>
        <w:t>按照2022年度预算指标及2022年度城改局工作任务计划，</w:t>
      </w:r>
      <w:r>
        <w:rPr>
          <w:rFonts w:hint="eastAsia" w:ascii="仿宋" w:hAnsi="仿宋" w:eastAsia="仿宋" w:cs="Arial"/>
          <w:kern w:val="0"/>
          <w:sz w:val="32"/>
          <w:szCs w:val="32"/>
          <w:lang w:eastAsia="zh-CN"/>
        </w:rPr>
        <w:t>区财政年初预算拨入我局</w:t>
      </w:r>
      <w:r>
        <w:rPr>
          <w:rFonts w:hint="eastAsia" w:ascii="仿宋" w:hAnsi="仿宋" w:eastAsia="仿宋" w:cs="Arial"/>
          <w:kern w:val="0"/>
          <w:sz w:val="32"/>
          <w:szCs w:val="32"/>
        </w:rPr>
        <w:t>用于</w:t>
      </w:r>
      <w:r>
        <w:rPr>
          <w:rFonts w:hint="eastAsia" w:ascii="仿宋" w:hAnsi="仿宋" w:eastAsia="仿宋" w:cs="Arial"/>
          <w:kern w:val="0"/>
          <w:sz w:val="32"/>
          <w:szCs w:val="32"/>
          <w:lang w:val="en-US" w:eastAsia="zh-CN"/>
        </w:rPr>
        <w:t>城中村及旧城改造项目土地征收工作及</w:t>
      </w:r>
      <w:r>
        <w:rPr>
          <w:rFonts w:hint="eastAsia" w:ascii="仿宋" w:hAnsi="仿宋" w:eastAsia="仿宋" w:cs="Arial"/>
          <w:kern w:val="0"/>
          <w:sz w:val="32"/>
          <w:szCs w:val="32"/>
        </w:rPr>
        <w:t>业务工作经费</w:t>
      </w:r>
      <w:r>
        <w:rPr>
          <w:rFonts w:hint="eastAsia" w:ascii="仿宋" w:hAnsi="仿宋" w:eastAsia="仿宋" w:cs="Arial"/>
          <w:kern w:val="0"/>
          <w:sz w:val="32"/>
          <w:szCs w:val="32"/>
          <w:lang w:eastAsia="zh-CN"/>
        </w:rPr>
        <w:t>合计</w:t>
      </w:r>
      <w:r>
        <w:rPr>
          <w:rFonts w:hint="eastAsia" w:ascii="仿宋" w:hAnsi="仿宋" w:eastAsia="仿宋"/>
          <w:sz w:val="32"/>
          <w:szCs w:val="32"/>
          <w:lang w:val="en-US" w:eastAsia="zh-CN"/>
        </w:rPr>
        <w:t>20</w:t>
      </w:r>
      <w:r>
        <w:rPr>
          <w:rFonts w:hint="eastAsia" w:ascii="仿宋" w:hAnsi="仿宋" w:eastAsia="仿宋" w:cs="Arial"/>
          <w:kern w:val="0"/>
          <w:sz w:val="32"/>
          <w:szCs w:val="32"/>
        </w:rPr>
        <w:t>万元，</w:t>
      </w:r>
      <w:r>
        <w:rPr>
          <w:rFonts w:hint="eastAsia" w:ascii="仿宋" w:hAnsi="仿宋" w:eastAsia="仿宋" w:cs="Arial"/>
          <w:kern w:val="0"/>
          <w:sz w:val="32"/>
          <w:szCs w:val="32"/>
          <w:lang w:eastAsia="zh-CN"/>
        </w:rPr>
        <w:t>主要用于盘龙区</w:t>
      </w:r>
      <w:r>
        <w:rPr>
          <w:rFonts w:hint="eastAsia" w:ascii="仿宋" w:hAnsi="仿宋" w:eastAsia="仿宋"/>
          <w:sz w:val="32"/>
          <w:szCs w:val="32"/>
          <w:lang w:eastAsia="zh-CN"/>
        </w:rPr>
        <w:t>城中村及旧城改造项目</w:t>
      </w:r>
      <w:r>
        <w:rPr>
          <w:rFonts w:hint="eastAsia" w:ascii="仿宋" w:hAnsi="仿宋" w:eastAsia="仿宋"/>
          <w:sz w:val="32"/>
          <w:szCs w:val="32"/>
        </w:rPr>
        <w:t>前期</w:t>
      </w:r>
      <w:r>
        <w:rPr>
          <w:rFonts w:hint="eastAsia" w:ascii="仿宋" w:hAnsi="仿宋" w:eastAsia="仿宋"/>
          <w:sz w:val="32"/>
          <w:szCs w:val="32"/>
          <w:lang w:eastAsia="zh-CN"/>
        </w:rPr>
        <w:t>启动</w:t>
      </w:r>
      <w:r>
        <w:rPr>
          <w:rFonts w:hint="eastAsia" w:ascii="仿宋" w:hAnsi="仿宋" w:eastAsia="仿宋"/>
          <w:sz w:val="32"/>
          <w:szCs w:val="32"/>
        </w:rPr>
        <w:t>工作支出</w:t>
      </w:r>
      <w:r>
        <w:rPr>
          <w:rFonts w:hint="eastAsia" w:ascii="仿宋" w:hAnsi="仿宋" w:eastAsia="仿宋"/>
          <w:sz w:val="32"/>
          <w:szCs w:val="32"/>
          <w:lang w:eastAsia="zh-CN"/>
        </w:rPr>
        <w:t>业务经费。</w:t>
      </w:r>
    </w:p>
    <w:p>
      <w:pPr>
        <w:keepNext w:val="0"/>
        <w:keepLines w:val="0"/>
        <w:pageBreakBefore w:val="0"/>
        <w:widowControl w:val="0"/>
        <w:numPr>
          <w:ilvl w:val="0"/>
          <w:numId w:val="2"/>
        </w:numPr>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项目实施情况</w:t>
      </w:r>
    </w:p>
    <w:p>
      <w:pPr>
        <w:pStyle w:val="9"/>
        <w:keepNext w:val="0"/>
        <w:keepLines w:val="0"/>
        <w:pageBreakBefore w:val="0"/>
        <w:kinsoku/>
        <w:wordWrap/>
        <w:overflowPunct/>
        <w:topLinePunct w:val="0"/>
        <w:bidi w:val="0"/>
        <w:spacing w:line="560" w:lineRule="exact"/>
        <w:ind w:firstLine="640" w:firstLineChars="200"/>
        <w:jc w:val="left"/>
        <w:rPr>
          <w:rFonts w:hint="default" w:ascii="Times New Roman" w:hAnsi="Times New Roman" w:eastAsia="楷体_GB2312" w:cs="Times New Roman"/>
          <w:b w:val="0"/>
          <w:bCs w:val="0"/>
          <w:color w:val="auto"/>
          <w:sz w:val="32"/>
          <w:szCs w:val="32"/>
          <w:lang w:val="zh-CN" w:eastAsia="zh-CN"/>
        </w:rPr>
      </w:pPr>
      <w:r>
        <w:rPr>
          <w:rFonts w:hint="default" w:ascii="Times New Roman" w:hAnsi="Times New Roman" w:eastAsia="楷体_GB2312" w:cs="Times New Roman"/>
          <w:b w:val="0"/>
          <w:bCs w:val="0"/>
          <w:color w:val="auto"/>
          <w:sz w:val="32"/>
          <w:szCs w:val="32"/>
          <w:lang w:val="en-US" w:eastAsia="zh-CN"/>
        </w:rPr>
        <w:t>（一）改造范围划定及</w:t>
      </w:r>
      <w:r>
        <w:rPr>
          <w:rFonts w:hint="default" w:ascii="Times New Roman" w:hAnsi="Times New Roman" w:eastAsia="楷体_GB2312" w:cs="Times New Roman"/>
          <w:b w:val="0"/>
          <w:bCs w:val="0"/>
          <w:color w:val="auto"/>
          <w:sz w:val="32"/>
          <w:szCs w:val="32"/>
          <w:lang w:val="zh-CN" w:eastAsia="zh-CN"/>
        </w:rPr>
        <w:t>规划编制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完成茨坝昆机片区三旧连片改造项目改造范围划定及科创三期、麦溪村范围调整改造范围调整工作；正在进行灵光片区、郭家凹村、刘家营村三期等3个项目范围划定前期工作。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完成马家营、青龙山片区（金殿分区）、昆纺旧城改造项目、小窑村、5号线世博车辆段上盖物业、地铁汽车北站及上盖物业项目等6个项目控制性详细规划方案修改并取得了市政府的批复</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开展伍家庄大东新村、东华北区二三期、任旗营金汁河以西、小庄村、兴龙片区（落索坡村、雨树村二期）、茨坝昆机片区、刘家营村三期、双龙九龙湾片区、理工大学新迎校区、麦溪村、白龙寺村、昙华片区、醋酸纤维厂片区、西北绕城线以北片区等14个项目控规调整方案及修规方案编制和报批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其中双龙九龙湾片区和</w:t>
      </w:r>
      <w:r>
        <w:rPr>
          <w:rFonts w:hint="default" w:ascii="Times New Roman" w:hAnsi="Times New Roman" w:eastAsia="仿宋_GB2312" w:cs="Times New Roman"/>
          <w:b w:val="0"/>
          <w:bCs w:val="0"/>
          <w:color w:val="auto"/>
          <w:sz w:val="32"/>
          <w:szCs w:val="32"/>
          <w:lang w:val="zh-CN" w:eastAsia="zh-CN"/>
        </w:rPr>
        <w:t>任旗营等</w:t>
      </w:r>
      <w:r>
        <w:rPr>
          <w:rFonts w:hint="default" w:ascii="Times New Roman" w:hAnsi="Times New Roman" w:eastAsia="仿宋_GB2312" w:cs="Times New Roman"/>
          <w:b w:val="0"/>
          <w:bCs w:val="0"/>
          <w:color w:val="auto"/>
          <w:sz w:val="32"/>
          <w:szCs w:val="32"/>
          <w:lang w:val="en-US" w:eastAsia="zh-CN"/>
        </w:rPr>
        <w:t>2个</w:t>
      </w:r>
      <w:r>
        <w:rPr>
          <w:rFonts w:hint="default" w:ascii="Times New Roman" w:hAnsi="Times New Roman" w:eastAsia="仿宋_GB2312" w:cs="Times New Roman"/>
          <w:b w:val="0"/>
          <w:bCs w:val="0"/>
          <w:color w:val="auto"/>
          <w:sz w:val="32"/>
          <w:szCs w:val="32"/>
          <w:lang w:val="zh-CN" w:eastAsia="zh-CN"/>
        </w:rPr>
        <w:t>项目控规调整方案已经市规委会审议通过；</w:t>
      </w:r>
      <w:r>
        <w:rPr>
          <w:rFonts w:hint="default" w:ascii="Times New Roman" w:hAnsi="Times New Roman" w:eastAsia="仿宋_GB2312" w:cs="Times New Roman"/>
          <w:color w:val="auto"/>
          <w:sz w:val="32"/>
          <w:szCs w:val="32"/>
          <w:lang w:val="en-US" w:eastAsia="zh-CN"/>
        </w:rPr>
        <w:t>理工大学新迎校区、麦溪村、白龙寺村、西北绕城线以北片区、东华北区二三期等5个项目已上报市自规局待审查；兴龙片区、东白沙河片区、昙华片区、伍家庄大东新村片区、小庄村、醋酸纤维厂片区、刘家营三期等7个项目正在进行项目控规方案修改完善工作。</w:t>
      </w:r>
    </w:p>
    <w:p>
      <w:pPr>
        <w:pStyle w:val="9"/>
        <w:keepNext w:val="0"/>
        <w:keepLines w:val="0"/>
        <w:pageBreakBefore w:val="0"/>
        <w:numPr>
          <w:ilvl w:val="0"/>
          <w:numId w:val="3"/>
        </w:numPr>
        <w:kinsoku/>
        <w:wordWrap/>
        <w:overflowPunct/>
        <w:topLinePunct w:val="0"/>
        <w:bidi w:val="0"/>
        <w:spacing w:line="560" w:lineRule="exact"/>
        <w:ind w:firstLine="640" w:firstLineChars="200"/>
        <w:jc w:val="left"/>
        <w:rPr>
          <w:rFonts w:hint="default" w:ascii="Times New Roman" w:hAnsi="Times New Roman" w:eastAsia="楷体_GB2312" w:cs="Times New Roman"/>
          <w:b w:val="0"/>
          <w:bCs w:val="0"/>
          <w:color w:val="auto"/>
          <w:sz w:val="32"/>
          <w:szCs w:val="32"/>
          <w:lang w:val="zh-CN" w:eastAsia="zh-CN"/>
        </w:rPr>
      </w:pPr>
      <w:r>
        <w:rPr>
          <w:rFonts w:hint="eastAsia" w:ascii="Times New Roman" w:hAnsi="Times New Roman" w:eastAsia="楷体_GB2312" w:cs="Times New Roman"/>
          <w:b w:val="0"/>
          <w:bCs w:val="0"/>
          <w:color w:val="auto"/>
          <w:sz w:val="32"/>
          <w:szCs w:val="32"/>
          <w:lang w:val="zh-CN" w:eastAsia="zh-CN"/>
        </w:rPr>
        <w:t>城中村及旧城改造项目</w:t>
      </w:r>
      <w:r>
        <w:rPr>
          <w:rFonts w:hint="default" w:ascii="Times New Roman" w:hAnsi="Times New Roman" w:eastAsia="楷体_GB2312" w:cs="Times New Roman"/>
          <w:b w:val="0"/>
          <w:bCs w:val="0"/>
          <w:color w:val="auto"/>
          <w:sz w:val="32"/>
          <w:szCs w:val="32"/>
          <w:lang w:val="zh-CN" w:eastAsia="zh-CN"/>
        </w:rPr>
        <w:t>征地拆迁</w:t>
      </w:r>
    </w:p>
    <w:p>
      <w:pPr>
        <w:pStyle w:val="9"/>
        <w:keepNext w:val="0"/>
        <w:keepLines w:val="0"/>
        <w:pageBreakBefore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highlight w:val="none"/>
          <w:lang w:val="en-US" w:eastAsia="zh-CN"/>
        </w:rPr>
        <w:t>实质性启动大波村二期、苏家村东站新村等38个项目征迁工作，涉及改造面积约633.6万平方米，目前累计已拆面积约387万平方米，总户数8895户，已签户数6153户，未签约户数2735户，签约率76.5%</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sz w:val="32"/>
          <w:szCs w:val="32"/>
        </w:rPr>
        <w:t>发布</w:t>
      </w:r>
      <w:r>
        <w:rPr>
          <w:rFonts w:hint="default" w:ascii="Times New Roman" w:hAnsi="Times New Roman" w:eastAsia="仿宋_GB2312" w:cs="Times New Roman"/>
          <w:color w:val="auto"/>
          <w:sz w:val="32"/>
          <w:szCs w:val="32"/>
          <w:highlight w:val="none"/>
          <w:lang w:val="en-US" w:eastAsia="zh-CN"/>
        </w:rPr>
        <w:t>白水泥厂（四期）、盘龙小学、栗树头二期</w:t>
      </w:r>
      <w:r>
        <w:rPr>
          <w:rFonts w:hint="eastAsia" w:ascii="Times New Roman" w:hAnsi="Times New Roman" w:eastAsia="仿宋_GB2312" w:cs="Times New Roman"/>
          <w:color w:val="auto"/>
          <w:sz w:val="32"/>
          <w:szCs w:val="32"/>
          <w:highlight w:val="none"/>
          <w:lang w:val="en-US" w:eastAsia="zh-CN"/>
        </w:rPr>
        <w:t>等3个项目</w:t>
      </w:r>
      <w:r>
        <w:rPr>
          <w:rFonts w:hint="default" w:ascii="Times New Roman" w:hAnsi="Times New Roman" w:eastAsia="仿宋_GB2312" w:cs="Times New Roman"/>
          <w:sz w:val="32"/>
          <w:szCs w:val="32"/>
        </w:rPr>
        <w:t>房屋征收决定及补偿安置公告</w:t>
      </w:r>
      <w:r>
        <w:rPr>
          <w:rFonts w:hint="default" w:ascii="Times New Roman" w:hAnsi="Times New Roman" w:eastAsia="仿宋_GB2312" w:cs="Times New Roman"/>
          <w:sz w:val="32"/>
          <w:szCs w:val="32"/>
          <w:lang w:eastAsia="zh-CN"/>
        </w:rPr>
        <w:t>。</w:t>
      </w:r>
    </w:p>
    <w:p>
      <w:pPr>
        <w:pStyle w:val="9"/>
        <w:keepNext w:val="0"/>
        <w:keepLines w:val="0"/>
        <w:pageBreakBefore w:val="0"/>
        <w:numPr>
          <w:ilvl w:val="0"/>
          <w:numId w:val="4"/>
        </w:numPr>
        <w:kinsoku/>
        <w:wordWrap/>
        <w:overflowPunct/>
        <w:topLinePunct w:val="0"/>
        <w:bidi w:val="0"/>
        <w:spacing w:line="560" w:lineRule="exact"/>
        <w:ind w:left="-10" w:leftChars="0" w:firstLine="640" w:firstLineChars="0"/>
        <w:jc w:val="left"/>
        <w:rPr>
          <w:rFonts w:hint="default" w:ascii="Times New Roman" w:hAnsi="Times New Roman" w:eastAsia="楷体_GB2312" w:cs="Times New Roman"/>
          <w:b w:val="0"/>
          <w:bCs w:val="0"/>
          <w:color w:val="auto"/>
          <w:sz w:val="32"/>
          <w:szCs w:val="32"/>
          <w:lang w:val="zh-CN" w:eastAsia="zh-CN"/>
        </w:rPr>
      </w:pPr>
      <w:r>
        <w:rPr>
          <w:rFonts w:hint="default" w:ascii="Times New Roman" w:hAnsi="Times New Roman" w:eastAsia="楷体_GB2312" w:cs="Times New Roman"/>
          <w:b w:val="0"/>
          <w:bCs w:val="0"/>
          <w:color w:val="auto"/>
          <w:sz w:val="32"/>
          <w:szCs w:val="32"/>
          <w:lang w:val="zh-CN" w:eastAsia="zh-CN"/>
        </w:rPr>
        <w:t>土地供应</w:t>
      </w:r>
    </w:p>
    <w:p>
      <w:pPr>
        <w:pStyle w:val="9"/>
        <w:keepNext w:val="0"/>
        <w:keepLines w:val="0"/>
        <w:pageBreakBefore w:val="0"/>
        <w:numPr>
          <w:ilvl w:val="0"/>
          <w:numId w:val="0"/>
        </w:numPr>
        <w:kinsoku/>
        <w:wordWrap/>
        <w:overflowPunct/>
        <w:topLinePunct w:val="0"/>
        <w:bidi w:val="0"/>
        <w:spacing w:line="56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2022年盘龙年度计划收储2000亩，截至目前，实际收储2089.22亩，完成比例为104.46%。</w:t>
      </w:r>
      <w:r>
        <w:rPr>
          <w:rFonts w:hint="default" w:ascii="Times New Roman" w:hAnsi="Times New Roman" w:eastAsia="仿宋_GB2312" w:cs="Times New Roman"/>
          <w:color w:val="auto"/>
          <w:sz w:val="32"/>
          <w:szCs w:val="32"/>
        </w:rPr>
        <w:t>完成土地供应</w:t>
      </w:r>
      <w:r>
        <w:rPr>
          <w:rFonts w:hint="default" w:ascii="Times New Roman" w:hAnsi="Times New Roman" w:eastAsia="仿宋_GB2312" w:cs="Times New Roman"/>
          <w:color w:val="auto"/>
          <w:sz w:val="32"/>
          <w:szCs w:val="32"/>
          <w:lang w:val="en-US" w:eastAsia="zh-CN"/>
        </w:rPr>
        <w:t>21</w:t>
      </w:r>
      <w:r>
        <w:rPr>
          <w:rFonts w:hint="default" w:ascii="Times New Roman" w:hAnsi="Times New Roman" w:eastAsia="仿宋_GB2312" w:cs="Times New Roman"/>
          <w:color w:val="auto"/>
          <w:sz w:val="32"/>
          <w:szCs w:val="32"/>
        </w:rPr>
        <w:t>宗，面积</w:t>
      </w:r>
      <w:r>
        <w:rPr>
          <w:rFonts w:hint="default" w:ascii="Times New Roman" w:hAnsi="Times New Roman" w:eastAsia="仿宋_GB2312" w:cs="Times New Roman"/>
          <w:color w:val="auto"/>
          <w:sz w:val="32"/>
          <w:szCs w:val="32"/>
          <w:lang w:eastAsia="zh-CN"/>
        </w:rPr>
        <w:t>共计</w:t>
      </w:r>
      <w:r>
        <w:rPr>
          <w:rFonts w:hint="default" w:ascii="Times New Roman" w:hAnsi="Times New Roman" w:eastAsia="仿宋_GB2312" w:cs="Times New Roman"/>
          <w:color w:val="auto"/>
          <w:sz w:val="32"/>
          <w:szCs w:val="32"/>
          <w:lang w:val="en-US" w:eastAsia="zh-CN"/>
        </w:rPr>
        <w:t>3099.73</w:t>
      </w:r>
      <w:r>
        <w:rPr>
          <w:rFonts w:hint="default" w:ascii="Times New Roman" w:hAnsi="Times New Roman" w:eastAsia="仿宋_GB2312" w:cs="Times New Roman"/>
          <w:color w:val="auto"/>
          <w:sz w:val="32"/>
          <w:szCs w:val="32"/>
        </w:rPr>
        <w:t>亩，价款合计</w:t>
      </w:r>
      <w:r>
        <w:rPr>
          <w:rFonts w:hint="default" w:ascii="Times New Roman" w:hAnsi="Times New Roman" w:eastAsia="仿宋_GB2312" w:cs="Times New Roman"/>
          <w:color w:val="auto"/>
          <w:sz w:val="32"/>
          <w:szCs w:val="32"/>
          <w:lang w:val="en-US" w:eastAsia="zh-CN"/>
        </w:rPr>
        <w:t>379993.6051</w:t>
      </w:r>
      <w:r>
        <w:rPr>
          <w:rFonts w:hint="default" w:ascii="Times New Roman" w:hAnsi="Times New Roman" w:eastAsia="仿宋_GB2312" w:cs="Times New Roman"/>
          <w:color w:val="auto"/>
          <w:sz w:val="32"/>
          <w:szCs w:val="32"/>
        </w:rPr>
        <w:t>万元。其中出让</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宗（红星美凯龙</w:t>
      </w:r>
      <w:r>
        <w:rPr>
          <w:rFonts w:hint="default" w:ascii="Times New Roman" w:hAnsi="Times New Roman" w:eastAsia="仿宋_GB2312" w:cs="Times New Roman"/>
          <w:color w:val="auto"/>
          <w:sz w:val="32"/>
          <w:szCs w:val="32"/>
          <w:lang w:eastAsia="zh-CN"/>
        </w:rPr>
        <w:t>旁</w:t>
      </w:r>
      <w:r>
        <w:rPr>
          <w:rFonts w:hint="default" w:ascii="Times New Roman" w:hAnsi="Times New Roman" w:eastAsia="仿宋_GB2312" w:cs="Times New Roman"/>
          <w:color w:val="auto"/>
          <w:sz w:val="32"/>
          <w:szCs w:val="32"/>
        </w:rPr>
        <w:t>加油站KCPL2019-2号地块</w:t>
      </w:r>
      <w:r>
        <w:rPr>
          <w:rFonts w:hint="default" w:ascii="Times New Roman" w:hAnsi="Times New Roman" w:eastAsia="仿宋_GB2312" w:cs="Times New Roman"/>
          <w:color w:val="auto"/>
          <w:sz w:val="32"/>
          <w:szCs w:val="32"/>
          <w:lang w:eastAsia="zh-CN"/>
        </w:rPr>
        <w:t>，面积为</w:t>
      </w:r>
      <w:r>
        <w:rPr>
          <w:rFonts w:hint="default" w:ascii="Times New Roman" w:hAnsi="Times New Roman" w:eastAsia="仿宋_GB2312" w:cs="Times New Roman"/>
          <w:color w:val="auto"/>
          <w:sz w:val="32"/>
          <w:szCs w:val="32"/>
          <w:lang w:val="en-US" w:eastAsia="zh-CN"/>
        </w:rPr>
        <w:t>3.60亩；</w:t>
      </w:r>
      <w:r>
        <w:rPr>
          <w:rFonts w:hint="default" w:ascii="Times New Roman" w:hAnsi="Times New Roman" w:eastAsia="仿宋_GB2312" w:cs="Times New Roman"/>
          <w:color w:val="auto"/>
          <w:sz w:val="32"/>
          <w:szCs w:val="32"/>
          <w:lang w:eastAsia="zh-CN"/>
        </w:rPr>
        <w:t>盘龙区阳光俊园KCPL2021-DH-002-A1号地块零星整合用地二用地项目，面积为</w:t>
      </w:r>
      <w:r>
        <w:rPr>
          <w:rFonts w:hint="default" w:ascii="Times New Roman" w:hAnsi="Times New Roman" w:eastAsia="仿宋_GB2312" w:cs="Times New Roman"/>
          <w:color w:val="auto"/>
          <w:sz w:val="32"/>
          <w:szCs w:val="32"/>
          <w:lang w:val="en-US" w:eastAsia="zh-CN"/>
        </w:rPr>
        <w:t>0.003亩</w:t>
      </w:r>
      <w:r>
        <w:rPr>
          <w:rFonts w:hint="default" w:ascii="Times New Roman" w:hAnsi="Times New Roman" w:eastAsia="仿宋_GB2312" w:cs="Times New Roman"/>
          <w:color w:val="auto"/>
          <w:sz w:val="32"/>
          <w:szCs w:val="32"/>
        </w:rPr>
        <w:t>），出让价款</w:t>
      </w:r>
      <w:r>
        <w:rPr>
          <w:rFonts w:hint="default" w:ascii="Times New Roman" w:hAnsi="Times New Roman" w:eastAsia="仿宋_GB2312" w:cs="Times New Roman"/>
          <w:color w:val="auto"/>
          <w:sz w:val="32"/>
          <w:szCs w:val="32"/>
          <w:lang w:val="en-US" w:eastAsia="zh-CN"/>
        </w:rPr>
        <w:t>2839.28</w:t>
      </w:r>
      <w:r>
        <w:rPr>
          <w:rFonts w:hint="default" w:ascii="Times New Roman" w:hAnsi="Times New Roman" w:eastAsia="仿宋_GB2312" w:cs="Times New Roman"/>
          <w:color w:val="auto"/>
          <w:sz w:val="32"/>
          <w:szCs w:val="32"/>
        </w:rPr>
        <w:t>万元；划拨</w:t>
      </w:r>
      <w:r>
        <w:rPr>
          <w:rFonts w:hint="default" w:ascii="Times New Roman" w:hAnsi="Times New Roman" w:eastAsia="仿宋_GB2312" w:cs="Times New Roman"/>
          <w:color w:val="auto"/>
          <w:sz w:val="32"/>
          <w:szCs w:val="32"/>
          <w:lang w:val="en-US" w:eastAsia="zh-CN"/>
        </w:rPr>
        <w:t>19</w:t>
      </w:r>
      <w:r>
        <w:rPr>
          <w:rFonts w:hint="default" w:ascii="Times New Roman" w:hAnsi="Times New Roman" w:eastAsia="仿宋_GB2312" w:cs="Times New Roman"/>
          <w:color w:val="auto"/>
          <w:sz w:val="32"/>
          <w:szCs w:val="32"/>
        </w:rPr>
        <w:t>宗，划拨价款</w:t>
      </w:r>
      <w:r>
        <w:rPr>
          <w:rFonts w:hint="default" w:ascii="Times New Roman" w:hAnsi="Times New Roman" w:eastAsia="仿宋_GB2312" w:cs="Times New Roman"/>
          <w:color w:val="auto"/>
          <w:sz w:val="32"/>
          <w:szCs w:val="32"/>
          <w:lang w:val="en-US" w:eastAsia="zh-CN"/>
        </w:rPr>
        <w:t>377154.3251</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除220千伏雨树（龙泉）输变电工程，其余项目</w:t>
      </w:r>
      <w:r>
        <w:rPr>
          <w:rFonts w:hint="default" w:ascii="Times New Roman" w:hAnsi="Times New Roman" w:eastAsia="仿宋_GB2312" w:cs="Times New Roman"/>
          <w:color w:val="auto"/>
          <w:sz w:val="32"/>
          <w:szCs w:val="32"/>
          <w:lang w:val="en-US" w:eastAsia="zh-CN"/>
        </w:rPr>
        <w:t>376104.6961</w:t>
      </w:r>
      <w:r>
        <w:rPr>
          <w:rFonts w:hint="default" w:ascii="Times New Roman" w:hAnsi="Times New Roman" w:eastAsia="仿宋_GB2312" w:cs="Times New Roman"/>
          <w:color w:val="auto"/>
          <w:sz w:val="32"/>
          <w:szCs w:val="32"/>
        </w:rPr>
        <w:t>万元无需缴纳</w:t>
      </w:r>
      <w:r>
        <w:rPr>
          <w:rFonts w:hint="default" w:ascii="Times New Roman" w:hAnsi="Times New Roman" w:eastAsia="仿宋_GB2312" w:cs="Times New Roman"/>
          <w:color w:val="auto"/>
          <w:sz w:val="32"/>
          <w:szCs w:val="32"/>
          <w:lang w:eastAsia="zh-CN"/>
        </w:rPr>
        <w:t>划拨价款</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正在公示</w:t>
      </w:r>
      <w:r>
        <w:rPr>
          <w:rFonts w:hint="default" w:ascii="Times New Roman" w:hAnsi="Times New Roman" w:eastAsia="仿宋_GB2312" w:cs="Times New Roman"/>
          <w:color w:val="auto"/>
          <w:sz w:val="32"/>
          <w:szCs w:val="32"/>
        </w:rPr>
        <w:t>1宗（盘龙区KCPL2019-3号地块地上、地下空间项目），面积</w:t>
      </w:r>
      <w:r>
        <w:rPr>
          <w:rFonts w:hint="default" w:ascii="Times New Roman" w:hAnsi="Times New Roman" w:eastAsia="仿宋_GB2312" w:cs="Times New Roman"/>
          <w:color w:val="auto"/>
          <w:sz w:val="32"/>
          <w:szCs w:val="32"/>
          <w:lang w:val="en-US" w:eastAsia="zh-CN"/>
        </w:rPr>
        <w:t>3.327</w:t>
      </w:r>
      <w:r>
        <w:rPr>
          <w:rFonts w:hint="default" w:ascii="Times New Roman" w:hAnsi="Times New Roman" w:eastAsia="仿宋_GB2312" w:cs="Times New Roman"/>
          <w:color w:val="auto"/>
          <w:sz w:val="32"/>
          <w:szCs w:val="32"/>
        </w:rPr>
        <w:t>亩，交易起价</w:t>
      </w:r>
      <w:r>
        <w:rPr>
          <w:rFonts w:hint="default" w:ascii="Times New Roman" w:hAnsi="Times New Roman" w:eastAsia="仿宋_GB2312" w:cs="Times New Roman"/>
          <w:color w:val="auto"/>
          <w:sz w:val="32"/>
          <w:szCs w:val="32"/>
          <w:lang w:val="en-US" w:eastAsia="zh-CN"/>
        </w:rPr>
        <w:t>748.1021</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val="en-US" w:eastAsia="zh-CN"/>
        </w:rPr>
        <w:t>2022年10月28日</w:t>
      </w:r>
      <w:r>
        <w:rPr>
          <w:rFonts w:hint="default" w:ascii="Times New Roman" w:hAnsi="Times New Roman" w:eastAsia="仿宋_GB2312" w:cs="Times New Roman"/>
          <w:color w:val="auto"/>
          <w:sz w:val="32"/>
          <w:szCs w:val="32"/>
        </w:rPr>
        <w:t>已发布交易公告，</w:t>
      </w:r>
      <w:r>
        <w:rPr>
          <w:rFonts w:hint="default" w:ascii="Times New Roman" w:hAnsi="Times New Roman" w:eastAsia="仿宋_GB2312" w:cs="Times New Roman"/>
          <w:color w:val="auto"/>
          <w:sz w:val="32"/>
          <w:szCs w:val="32"/>
          <w:lang w:eastAsia="zh-CN"/>
        </w:rPr>
        <w:t>计划</w:t>
      </w:r>
      <w:r>
        <w:rPr>
          <w:rFonts w:hint="default" w:ascii="Times New Roman" w:hAnsi="Times New Roman" w:eastAsia="仿宋_GB2312" w:cs="Times New Roman"/>
          <w:color w:val="auto"/>
          <w:sz w:val="32"/>
          <w:szCs w:val="32"/>
        </w:rPr>
        <w:t>于</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28</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auto"/>
          <w:sz w:val="32"/>
          <w:szCs w:val="32"/>
          <w:lang w:eastAsia="zh-CN"/>
        </w:rPr>
        <w:t>完成土地供应</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2022年年内</w:t>
      </w:r>
      <w:r>
        <w:rPr>
          <w:rFonts w:hint="default" w:ascii="Times New Roman" w:hAnsi="Times New Roman" w:eastAsia="仿宋_GB2312" w:cs="Times New Roman"/>
          <w:color w:val="auto"/>
          <w:sz w:val="32"/>
          <w:szCs w:val="32"/>
          <w:lang w:eastAsia="zh-CN"/>
        </w:rPr>
        <w:t>拟交易盘龙区苏家村及东站新村片区旧城改建项目A2-2地块（KCPL2022-3号地块及零星整合地块），面积</w:t>
      </w:r>
      <w:r>
        <w:rPr>
          <w:rFonts w:hint="default" w:ascii="Times New Roman" w:hAnsi="Times New Roman" w:eastAsia="仿宋_GB2312" w:cs="Times New Roman"/>
          <w:color w:val="auto"/>
          <w:sz w:val="32"/>
          <w:szCs w:val="32"/>
          <w:lang w:val="en-US" w:eastAsia="zh-CN"/>
        </w:rPr>
        <w:t>9.02亩，拟交易起价约2.2亿元（以实际交易金额为准）。若</w:t>
      </w:r>
      <w:r>
        <w:rPr>
          <w:rFonts w:hint="default" w:ascii="Times New Roman" w:hAnsi="Times New Roman" w:eastAsia="仿宋_GB2312" w:cs="Times New Roman"/>
          <w:color w:val="auto"/>
          <w:sz w:val="32"/>
          <w:szCs w:val="32"/>
          <w:lang w:eastAsia="zh-CN"/>
        </w:rPr>
        <w:t>盘龙区苏家村及东站新村片区旧城改建项目A2-2地块（KCPL2022-3号地块及零星整合地块）</w:t>
      </w:r>
      <w:r>
        <w:rPr>
          <w:rFonts w:hint="default" w:ascii="Times New Roman" w:hAnsi="Times New Roman" w:eastAsia="仿宋_GB2312" w:cs="Times New Roman"/>
          <w:color w:val="auto"/>
          <w:sz w:val="32"/>
          <w:szCs w:val="32"/>
          <w:lang w:val="en-US" w:eastAsia="zh-CN"/>
        </w:rPr>
        <w:t>交易完成，盘龙区拟可以完成3112.077</w:t>
      </w:r>
      <w:r>
        <w:rPr>
          <w:rFonts w:hint="default" w:ascii="Times New Roman" w:hAnsi="Times New Roman" w:eastAsia="仿宋_GB2312" w:cs="Times New Roman"/>
          <w:color w:val="auto"/>
          <w:sz w:val="32"/>
          <w:szCs w:val="32"/>
        </w:rPr>
        <w:t>亩土地供应，价款合计</w:t>
      </w:r>
      <w:r>
        <w:rPr>
          <w:rFonts w:hint="default" w:ascii="Times New Roman" w:hAnsi="Times New Roman" w:eastAsia="仿宋_GB2312" w:cs="Times New Roman"/>
          <w:color w:val="auto"/>
          <w:sz w:val="32"/>
          <w:szCs w:val="32"/>
          <w:lang w:eastAsia="zh-CN"/>
        </w:rPr>
        <w:t>约</w:t>
      </w:r>
      <w:r>
        <w:rPr>
          <w:rFonts w:hint="default" w:ascii="Times New Roman" w:hAnsi="Times New Roman" w:eastAsia="仿宋_GB2312" w:cs="Times New Roman"/>
          <w:color w:val="auto"/>
          <w:sz w:val="32"/>
          <w:szCs w:val="32"/>
          <w:lang w:val="en-US" w:eastAsia="zh-CN"/>
        </w:rPr>
        <w:t>402741.7072</w:t>
      </w:r>
      <w:r>
        <w:rPr>
          <w:rFonts w:hint="default" w:ascii="Times New Roman" w:hAnsi="Times New Roman" w:eastAsia="仿宋_GB2312" w:cs="Times New Roman"/>
          <w:color w:val="auto"/>
          <w:sz w:val="32"/>
          <w:szCs w:val="32"/>
        </w:rPr>
        <w:t>万元。</w:t>
      </w:r>
    </w:p>
    <w:p>
      <w:pPr>
        <w:pStyle w:val="9"/>
        <w:keepNext w:val="0"/>
        <w:keepLines w:val="0"/>
        <w:pageBreakBefore w:val="0"/>
        <w:kinsoku/>
        <w:wordWrap/>
        <w:overflowPunct/>
        <w:topLinePunct w:val="0"/>
        <w:bidi w:val="0"/>
        <w:spacing w:line="560" w:lineRule="exact"/>
        <w:ind w:firstLine="640" w:firstLineChars="200"/>
        <w:jc w:val="left"/>
        <w:rPr>
          <w:rFonts w:hint="default" w:ascii="Times New Roman" w:hAnsi="Times New Roman" w:eastAsia="楷体_GB2312" w:cs="Times New Roman"/>
          <w:b w:val="0"/>
          <w:bCs w:val="0"/>
          <w:color w:val="auto"/>
          <w:sz w:val="32"/>
          <w:szCs w:val="32"/>
          <w:lang w:val="zh-CN" w:eastAsia="zh-CN"/>
        </w:rPr>
      </w:pPr>
      <w:r>
        <w:rPr>
          <w:rFonts w:hint="default" w:ascii="Times New Roman" w:hAnsi="Times New Roman" w:eastAsia="楷体_GB2312" w:cs="Times New Roman"/>
          <w:b w:val="0"/>
          <w:bCs w:val="0"/>
          <w:color w:val="auto"/>
          <w:sz w:val="32"/>
          <w:szCs w:val="32"/>
          <w:lang w:val="en-US" w:eastAsia="zh-CN"/>
        </w:rPr>
        <w:t>（四）</w:t>
      </w:r>
      <w:r>
        <w:rPr>
          <w:rFonts w:hint="default" w:ascii="Times New Roman" w:hAnsi="Times New Roman" w:eastAsia="楷体_GB2312" w:cs="Times New Roman"/>
          <w:b w:val="0"/>
          <w:bCs w:val="0"/>
          <w:color w:val="auto"/>
          <w:sz w:val="32"/>
          <w:szCs w:val="32"/>
          <w:lang w:val="zh-CN" w:eastAsia="zh-CN"/>
        </w:rPr>
        <w:t>棚改及安置房建设及交付工作</w:t>
      </w:r>
    </w:p>
    <w:p>
      <w:pPr>
        <w:pStyle w:val="3"/>
        <w:keepNext w:val="0"/>
        <w:keepLines w:val="0"/>
        <w:pageBreakBefore w:val="0"/>
        <w:widowControl w:val="0"/>
        <w:suppressLineNumbers w:val="0"/>
        <w:kinsoku/>
        <w:wordWrap/>
        <w:overflowPunct/>
        <w:topLinePunct w:val="0"/>
        <w:autoSpaceDE w:val="0"/>
        <w:autoSpaceDN w:val="0"/>
        <w:bidi w:val="0"/>
        <w:adjustRightInd w:val="0"/>
        <w:snapToGrid w:val="0"/>
        <w:spacing w:line="560" w:lineRule="exact"/>
        <w:ind w:left="0" w:firstLine="640" w:firstLineChars="200"/>
        <w:rPr>
          <w:rFonts w:hint="default" w:ascii="Times New Roman" w:hAnsi="Times New Roman" w:eastAsia="仿宋_GB2312" w:cs="Times New Roman"/>
          <w:color w:val="000000"/>
          <w:kern w:val="2"/>
          <w:sz w:val="32"/>
          <w:szCs w:val="32"/>
        </w:rPr>
      </w:pPr>
      <w:r>
        <w:rPr>
          <w:rFonts w:hint="eastAsia" w:eastAsia="仿宋_GB2312" w:cs="Times New Roman"/>
          <w:color w:val="auto"/>
          <w:kern w:val="2"/>
          <w:sz w:val="32"/>
          <w:szCs w:val="32"/>
          <w:u w:val="none"/>
          <w:lang w:eastAsia="zh-CN"/>
        </w:rPr>
        <w:t>交付虹桥村、</w:t>
      </w:r>
      <w:r>
        <w:rPr>
          <w:rFonts w:hint="default" w:ascii="Times New Roman" w:hAnsi="Times New Roman" w:eastAsia="仿宋_GB2312" w:cs="Times New Roman"/>
          <w:color w:val="auto"/>
          <w:kern w:val="2"/>
          <w:sz w:val="32"/>
          <w:szCs w:val="32"/>
          <w:u w:val="none"/>
        </w:rPr>
        <w:t>金刀营村</w:t>
      </w:r>
      <w:r>
        <w:rPr>
          <w:rFonts w:hint="eastAsia" w:eastAsia="仿宋_GB2312" w:cs="Times New Roman"/>
          <w:color w:val="auto"/>
          <w:kern w:val="2"/>
          <w:sz w:val="32"/>
          <w:szCs w:val="32"/>
          <w:u w:val="none"/>
          <w:lang w:eastAsia="zh-CN"/>
        </w:rPr>
        <w:t>（</w:t>
      </w:r>
      <w:r>
        <w:rPr>
          <w:rFonts w:hint="eastAsia" w:eastAsia="仿宋_GB2312" w:cs="Times New Roman"/>
          <w:color w:val="auto"/>
          <w:kern w:val="2"/>
          <w:sz w:val="32"/>
          <w:szCs w:val="32"/>
          <w:u w:val="none"/>
          <w:lang w:val="en-US" w:eastAsia="zh-CN"/>
        </w:rPr>
        <w:t>A4地块</w:t>
      </w:r>
      <w:r>
        <w:rPr>
          <w:rFonts w:hint="eastAsia" w:eastAsia="仿宋_GB2312" w:cs="Times New Roman"/>
          <w:color w:val="auto"/>
          <w:kern w:val="2"/>
          <w:sz w:val="32"/>
          <w:szCs w:val="32"/>
          <w:u w:val="none"/>
          <w:lang w:eastAsia="zh-CN"/>
        </w:rPr>
        <w:t>）</w:t>
      </w:r>
      <w:r>
        <w:rPr>
          <w:rFonts w:hint="eastAsia" w:eastAsia="仿宋_GB2312" w:cs="Times New Roman"/>
          <w:color w:val="auto"/>
          <w:kern w:val="2"/>
          <w:sz w:val="32"/>
          <w:szCs w:val="32"/>
          <w:u w:val="none"/>
          <w:lang w:val="en-US" w:eastAsia="zh-CN"/>
        </w:rPr>
        <w:t>2个项目</w:t>
      </w:r>
      <w:r>
        <w:rPr>
          <w:rFonts w:hint="eastAsia" w:eastAsia="仿宋_GB2312" w:cs="Times New Roman"/>
          <w:color w:val="auto"/>
          <w:kern w:val="2"/>
          <w:sz w:val="32"/>
          <w:szCs w:val="32"/>
          <w:u w:val="none"/>
          <w:lang w:eastAsia="zh-CN"/>
        </w:rPr>
        <w:t>回迁</w:t>
      </w:r>
      <w:r>
        <w:rPr>
          <w:rFonts w:hint="default" w:ascii="Times New Roman" w:hAnsi="Times New Roman" w:eastAsia="仿宋_GB2312" w:cs="Times New Roman"/>
          <w:color w:val="auto"/>
          <w:kern w:val="2"/>
          <w:sz w:val="32"/>
          <w:szCs w:val="32"/>
          <w:u w:val="none"/>
        </w:rPr>
        <w:t>安置房</w:t>
      </w:r>
      <w:r>
        <w:rPr>
          <w:rFonts w:hint="eastAsia" w:eastAsia="仿宋_GB2312" w:cs="Times New Roman"/>
          <w:color w:val="auto"/>
          <w:kern w:val="2"/>
          <w:sz w:val="32"/>
          <w:szCs w:val="32"/>
          <w:u w:val="none"/>
          <w:lang w:eastAsia="zh-CN"/>
        </w:rPr>
        <w:t>，任旗营金汁河以西南地块</w:t>
      </w:r>
      <w:r>
        <w:rPr>
          <w:rFonts w:hint="eastAsia" w:eastAsia="仿宋_GB2312" w:cs="Times New Roman"/>
          <w:color w:val="auto"/>
          <w:kern w:val="2"/>
          <w:sz w:val="32"/>
          <w:szCs w:val="32"/>
          <w:u w:val="none"/>
          <w:lang w:val="en-US" w:eastAsia="zh-CN"/>
        </w:rPr>
        <w:t>回迁安置房计划12月底前交付</w:t>
      </w:r>
      <w:r>
        <w:rPr>
          <w:rFonts w:hint="default" w:ascii="Times New Roman" w:hAnsi="Times New Roman" w:eastAsia="仿宋_GB2312" w:cs="Times New Roman"/>
          <w:color w:val="auto"/>
          <w:kern w:val="2"/>
          <w:sz w:val="32"/>
          <w:szCs w:val="32"/>
          <w:u w:val="none"/>
        </w:rPr>
        <w:t>。</w:t>
      </w:r>
      <w:r>
        <w:rPr>
          <w:rFonts w:hint="eastAsia" w:eastAsia="仿宋_GB2312" w:cs="Times New Roman"/>
          <w:color w:val="000000"/>
          <w:kern w:val="2"/>
          <w:sz w:val="32"/>
          <w:szCs w:val="32"/>
          <w:lang w:eastAsia="zh-CN"/>
        </w:rPr>
        <w:t>推进</w:t>
      </w:r>
      <w:r>
        <w:rPr>
          <w:rFonts w:hint="default" w:ascii="Times New Roman" w:hAnsi="Times New Roman" w:eastAsia="仿宋_GB2312" w:cs="Times New Roman"/>
          <w:color w:val="000000"/>
          <w:kern w:val="2"/>
          <w:sz w:val="32"/>
          <w:szCs w:val="32"/>
        </w:rPr>
        <w:t>长地梗村一期</w:t>
      </w:r>
      <w:r>
        <w:rPr>
          <w:rFonts w:hint="eastAsia"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茨坝村一期主体工程建设</w:t>
      </w:r>
      <w:r>
        <w:rPr>
          <w:rFonts w:hint="eastAsia" w:eastAsia="仿宋_GB2312" w:cs="Times New Roman"/>
          <w:color w:val="000000"/>
          <w:kern w:val="2"/>
          <w:sz w:val="32"/>
          <w:szCs w:val="32"/>
          <w:lang w:eastAsia="zh-CN"/>
        </w:rPr>
        <w:t>；</w:t>
      </w:r>
      <w:r>
        <w:rPr>
          <w:rFonts w:hint="default" w:ascii="Times New Roman" w:hAnsi="Times New Roman" w:eastAsia="仿宋_GB2312" w:cs="Times New Roman"/>
          <w:color w:val="000000"/>
          <w:kern w:val="2"/>
          <w:sz w:val="32"/>
          <w:szCs w:val="32"/>
        </w:rPr>
        <w:t>马家营村、羊肠大村一期等</w:t>
      </w:r>
      <w:r>
        <w:rPr>
          <w:rFonts w:hint="eastAsia" w:eastAsia="仿宋_GB2312" w:cs="Times New Roman"/>
          <w:color w:val="000000"/>
          <w:kern w:val="2"/>
          <w:sz w:val="32"/>
          <w:szCs w:val="32"/>
          <w:lang w:val="en-US" w:eastAsia="zh-CN"/>
        </w:rPr>
        <w:t>2</w:t>
      </w:r>
      <w:r>
        <w:rPr>
          <w:rFonts w:hint="default" w:ascii="Times New Roman" w:hAnsi="Times New Roman" w:eastAsia="仿宋_GB2312" w:cs="Times New Roman"/>
          <w:color w:val="000000"/>
          <w:kern w:val="2"/>
          <w:sz w:val="32"/>
          <w:szCs w:val="32"/>
        </w:rPr>
        <w:t>个项目正在进行室内外</w:t>
      </w:r>
      <w:r>
        <w:rPr>
          <w:rFonts w:hint="eastAsia" w:eastAsia="仿宋_GB2312" w:cs="Times New Roman"/>
          <w:color w:val="000000"/>
          <w:kern w:val="2"/>
          <w:sz w:val="32"/>
          <w:szCs w:val="32"/>
          <w:lang w:eastAsia="zh-CN"/>
        </w:rPr>
        <w:t>装饰</w:t>
      </w:r>
      <w:r>
        <w:rPr>
          <w:rFonts w:hint="default" w:ascii="Times New Roman" w:hAnsi="Times New Roman" w:eastAsia="仿宋_GB2312" w:cs="Times New Roman"/>
          <w:color w:val="000000"/>
          <w:kern w:val="2"/>
          <w:sz w:val="32"/>
          <w:szCs w:val="32"/>
          <w:lang w:eastAsia="zh-CN"/>
        </w:rPr>
        <w:t>。</w:t>
      </w:r>
    </w:p>
    <w:p>
      <w:pPr>
        <w:pStyle w:val="9"/>
        <w:keepNext w:val="0"/>
        <w:keepLines w:val="0"/>
        <w:pageBreakBefore w:val="0"/>
        <w:kinsoku/>
        <w:wordWrap/>
        <w:overflowPunct/>
        <w:topLinePunct w:val="0"/>
        <w:bidi w:val="0"/>
        <w:spacing w:line="560" w:lineRule="exact"/>
        <w:ind w:firstLine="640" w:firstLineChars="200"/>
        <w:jc w:val="left"/>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（五）</w:t>
      </w:r>
      <w:r>
        <w:rPr>
          <w:rFonts w:hint="default" w:ascii="Times New Roman" w:hAnsi="Times New Roman" w:eastAsia="楷体_GB2312" w:cs="Times New Roman"/>
          <w:b w:val="0"/>
          <w:bCs w:val="0"/>
          <w:color w:val="auto"/>
          <w:sz w:val="32"/>
          <w:szCs w:val="32"/>
          <w:lang w:val="zh-CN" w:eastAsia="zh-CN"/>
        </w:rPr>
        <w:t>公建配套建设及交付工作</w:t>
      </w:r>
    </w:p>
    <w:p>
      <w:pPr>
        <w:keepNext w:val="0"/>
        <w:keepLines w:val="0"/>
        <w:pageBreakBefore w:val="0"/>
        <w:widowControl w:val="0"/>
        <w:suppressLineNumbers w:val="0"/>
        <w:kinsoku/>
        <w:wordWrap/>
        <w:overflowPunct/>
        <w:topLinePunct w:val="0"/>
        <w:autoSpaceDE w:val="0"/>
        <w:autoSpaceDN/>
        <w:bidi w:val="0"/>
        <w:spacing w:before="0" w:beforeAutospacing="0" w:after="0" w:afterAutospacing="0" w:line="560" w:lineRule="exact"/>
        <w:ind w:left="0" w:leftChars="0" w:right="0" w:rightChars="0" w:firstLine="640" w:firstLineChars="200"/>
        <w:jc w:val="both"/>
        <w:rPr>
          <w:rFonts w:hint="default" w:ascii="Times New Roman" w:hAnsi="Times New Roman" w:eastAsia="楷体_GB2312" w:cs="Times New Roman"/>
          <w:b w:val="0"/>
          <w:bCs w:val="0"/>
          <w:color w:val="000000"/>
          <w:sz w:val="32"/>
          <w:szCs w:val="32"/>
          <w:u w:val="none"/>
          <w:lang w:val="en-US" w:eastAsia="zh-CN"/>
        </w:rPr>
      </w:pPr>
      <w:r>
        <w:rPr>
          <w:rFonts w:hint="default" w:ascii="Times New Roman" w:hAnsi="Times New Roman" w:eastAsia="仿宋_GB2312" w:cs="Times New Roman"/>
          <w:color w:val="000000"/>
          <w:kern w:val="2"/>
          <w:sz w:val="32"/>
          <w:szCs w:val="32"/>
          <w:lang w:val="en-US" w:eastAsia="zh-CN" w:bidi="ar"/>
        </w:rPr>
        <w:t>金刀营村9班、12班幼儿园已封顶断水，正在进行室内外装修。</w:t>
      </w:r>
      <w:r>
        <w:rPr>
          <w:rFonts w:hint="eastAsia" w:ascii="Times New Roman" w:hAnsi="Times New Roman" w:eastAsia="仿宋_GB2312" w:cs="Times New Roman"/>
          <w:color w:val="000000"/>
          <w:kern w:val="2"/>
          <w:sz w:val="32"/>
          <w:szCs w:val="32"/>
          <w:u w:val="none"/>
          <w:lang w:val="en-US" w:eastAsia="zh-CN" w:bidi="ar"/>
        </w:rPr>
        <w:t>金刀营村、虹桥村</w:t>
      </w:r>
      <w:r>
        <w:rPr>
          <w:rFonts w:hint="default" w:ascii="Times New Roman" w:hAnsi="Times New Roman" w:eastAsia="仿宋_GB2312" w:cs="Times New Roman"/>
          <w:color w:val="000000"/>
          <w:kern w:val="2"/>
          <w:sz w:val="32"/>
          <w:szCs w:val="32"/>
          <w:u w:val="none"/>
          <w:lang w:val="en-US" w:eastAsia="zh-CN" w:bidi="ar"/>
        </w:rPr>
        <w:t>建成社区用房4个、医疗卫生站2个、</w:t>
      </w:r>
      <w:r>
        <w:rPr>
          <w:rFonts w:hint="eastAsia" w:ascii="Times New Roman" w:hAnsi="Times New Roman" w:eastAsia="仿宋_GB2312" w:cs="Times New Roman"/>
          <w:color w:val="000000"/>
          <w:kern w:val="2"/>
          <w:sz w:val="32"/>
          <w:szCs w:val="32"/>
          <w:u w:val="none"/>
          <w:lang w:val="en-US" w:eastAsia="zh-CN" w:bidi="ar"/>
        </w:rPr>
        <w:t>派出所1个、</w:t>
      </w:r>
      <w:r>
        <w:rPr>
          <w:rFonts w:hint="default" w:ascii="Times New Roman" w:hAnsi="Times New Roman" w:eastAsia="仿宋_GB2312" w:cs="Times New Roman"/>
          <w:color w:val="000000"/>
          <w:kern w:val="2"/>
          <w:sz w:val="32"/>
          <w:szCs w:val="32"/>
          <w:u w:val="none"/>
          <w:lang w:val="en-US" w:eastAsia="zh-CN" w:bidi="ar"/>
        </w:rPr>
        <w:t>绿地2万平方米、道路2万平方米。</w:t>
      </w:r>
    </w:p>
    <w:p>
      <w:pPr>
        <w:pStyle w:val="9"/>
        <w:keepNext w:val="0"/>
        <w:keepLines w:val="0"/>
        <w:pageBreakBefore w:val="0"/>
        <w:kinsoku/>
        <w:wordWrap/>
        <w:overflowPunct/>
        <w:topLinePunct w:val="0"/>
        <w:bidi w:val="0"/>
        <w:spacing w:line="560" w:lineRule="exact"/>
        <w:ind w:firstLine="640" w:firstLineChars="200"/>
        <w:jc w:val="left"/>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（六）老旧小区改造工作</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1.一期工程、四期工程审计工作情况</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完成项目一期工程拓东街道白塔路201号院、拓东街道东风路47号院、鼓楼街道穿金路1、3号院、茨坝街道和园小区、联盟街道金康园小区、联盟街道万发里小区，四期工程青云街道铸管厂职工宿舍、橡胶管带厂职工宿舍，联盟街道颐园里小区、颐欣里小区等10个项目审计工作。</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2.五期工程改造情况</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统筹推进盘龙区老旧小区改造五期工程，启动麻线营小区、龙泉花园三院，席子营二期、煤机新村、云南化建公司职工宿舍、空间金属结构厂职工宿舍小区等6个老旧小区改造项目，</w:t>
      </w:r>
      <w:r>
        <w:rPr>
          <w:rFonts w:hint="default" w:ascii="Times New Roman" w:hAnsi="Times New Roman" w:eastAsia="仿宋_GB2312" w:cs="Times New Roman"/>
          <w:color w:val="auto"/>
          <w:kern w:val="2"/>
          <w:sz w:val="32"/>
          <w:szCs w:val="32"/>
          <w:u w:val="none" w:color="auto"/>
          <w:lang w:val="en-US" w:eastAsia="zh-CN" w:bidi="ar-SA"/>
        </w:rPr>
        <w:t>改造面积31万平方米，5025户，98栋楼，现</w:t>
      </w:r>
      <w:r>
        <w:rPr>
          <w:rFonts w:hint="default" w:ascii="Times New Roman" w:hAnsi="Times New Roman" w:eastAsia="仿宋_GB2312" w:cs="Times New Roman"/>
          <w:color w:val="auto"/>
          <w:sz w:val="32"/>
          <w:szCs w:val="32"/>
          <w:lang w:val="en-US" w:eastAsia="zh-CN"/>
        </w:rPr>
        <w:t>全面开工建设，预计年内完工。</w:t>
      </w:r>
    </w:p>
    <w:p>
      <w:pPr>
        <w:pStyle w:val="9"/>
        <w:keepNext w:val="0"/>
        <w:keepLines w:val="0"/>
        <w:pageBreakBefore w:val="0"/>
        <w:kinsoku/>
        <w:wordWrap/>
        <w:overflowPunct/>
        <w:topLinePunct w:val="0"/>
        <w:bidi w:val="0"/>
        <w:spacing w:line="560" w:lineRule="exact"/>
        <w:ind w:firstLine="640" w:firstLineChars="200"/>
        <w:jc w:val="left"/>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楷体_GB2312" w:cs="Times New Roman"/>
          <w:b w:val="0"/>
          <w:bCs w:val="0"/>
          <w:color w:val="auto"/>
          <w:sz w:val="32"/>
          <w:szCs w:val="32"/>
          <w:lang w:val="en-US" w:eastAsia="zh-CN"/>
        </w:rPr>
        <w:t>（七）烂尾楼及历史遗留问题处置工作</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盘龙区贯彻执行省委省政府关于烂尾楼“清零”的批示指示精神，围绕“保交楼、保民生、保稳定”的目标，分类化解、精准施策、全力推进列入省、市化解计划16个烂尾楼项目的清理整治工作。经过不懈努力，2022年完成汇都国际三期、南亚之门、置地广场、农垦大厦、天宇澜山、玉器城项目6个项目化解工作，全面达到省住建厅烂尾楼化解标准及要求，化解率100%。</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是加强府院联动，对具备破产重整价值的项目，如桃园村、置地广场、昆明玉器城等项目，在法院支持下，依法开展破产重整工作。同时引入破产重整投资人，撬动项目复工续建，提高烂尾项目清偿价值，在法律框架下公平、公正、客观的平衡各方债权人、回迁户、购房人利益，解决市场稳定和继续经营的问题，有效化解购房者和被拆迁人民生保障；</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是通过深入分析、经济测算、债权债务梳理，对仍具备继续开发价值的，如马家营、羊肠小村等项目充分发挥党委、政府桥梁作用，引入社会投资人，采用市场重组方式接续开发；引入资方投资约6亿元，推动农垦大厦项目复工续建、开发盘活</w:t>
      </w:r>
      <w:r>
        <w:rPr>
          <w:rFonts w:hint="eastAsia" w:ascii="Times New Roman" w:hAnsi="Times New Roman" w:eastAsia="仿宋_GB2312" w:cs="Times New Roman"/>
          <w:color w:val="auto"/>
          <w:sz w:val="32"/>
          <w:szCs w:val="32"/>
          <w:lang w:val="en-US" w:eastAsia="zh-CN"/>
        </w:rPr>
        <w:t>；</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是灵活应用政策杠杆、经济手段，帮扶烂尾项目盘活，区政府支持投入天宇澜山项目和南亚之门项目共益债权借款，用于完成消防人防复工续建及验收办证。实现栗树头一期、蒋家营、清泉村、羊肠小村、刘家营、云润天阳、小厂村、下河埂村、南亚之门、桃园村、昆明玉器城等11个项目8408套回迁安置房及17282套商品房；</w:t>
      </w:r>
    </w:p>
    <w:p>
      <w:pPr>
        <w:pStyle w:val="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 w:cs="Arial"/>
          <w:kern w:val="0"/>
          <w:sz w:val="32"/>
          <w:szCs w:val="32"/>
          <w:lang w:val="en-US" w:eastAsia="zh-CN"/>
        </w:rPr>
      </w:pPr>
      <w:r>
        <w:rPr>
          <w:rFonts w:hint="default" w:ascii="Times New Roman" w:hAnsi="Times New Roman" w:eastAsia="仿宋_GB2312" w:cs="Times New Roman"/>
          <w:color w:val="auto"/>
          <w:sz w:val="32"/>
          <w:szCs w:val="32"/>
          <w:lang w:val="en-US" w:eastAsia="zh-CN"/>
        </w:rPr>
        <w:t>四是保障民生，优先启动不动产权证办理工作。栗树头一期、小厂村、下河埂村、清泉村、羊肠小村、桃园村、昆明玉器城、融通中心等8个项目已办理不动产权证10670套</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eastAsia="zh-CN"/>
        </w:rPr>
        <w:t>（三）资金收支及使用情况</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黑体" w:hAnsi="黑体" w:eastAsia="黑体" w:cs="黑体"/>
          <w:b w:val="0"/>
          <w:bCs w:val="0"/>
          <w:sz w:val="32"/>
          <w:szCs w:val="32"/>
          <w:lang w:eastAsia="zh-CN"/>
        </w:rPr>
      </w:pPr>
      <w:r>
        <w:rPr>
          <w:rFonts w:hint="eastAsia" w:ascii="仿宋" w:hAnsi="仿宋" w:eastAsia="仿宋" w:cs="仿宋"/>
          <w:sz w:val="32"/>
          <w:szCs w:val="32"/>
          <w:lang w:val="en-US" w:eastAsia="zh-CN"/>
        </w:rPr>
        <w:t>截至2019年12月31日，区城改局收到区财政局拨付城中村及旧城改造项目土地征收工作经费总计20万元，共计支出20万元（主要用于征收工作中产生的办公支出、</w:t>
      </w:r>
      <w:r>
        <w:rPr>
          <w:rFonts w:hint="eastAsia" w:ascii="仿宋" w:hAnsi="仿宋" w:eastAsia="仿宋"/>
          <w:sz w:val="32"/>
          <w:szCs w:val="32"/>
        </w:rPr>
        <w:t>宣传展板制作费</w:t>
      </w:r>
      <w:r>
        <w:rPr>
          <w:rFonts w:hint="eastAsia" w:ascii="仿宋" w:hAnsi="仿宋" w:eastAsia="仿宋"/>
          <w:sz w:val="32"/>
          <w:szCs w:val="32"/>
          <w:lang w:val="en-US" w:eastAsia="zh-CN"/>
        </w:rPr>
        <w:t xml:space="preserve"> </w:t>
      </w:r>
      <w:r>
        <w:rPr>
          <w:rFonts w:hint="eastAsia" w:ascii="仿宋" w:hAnsi="仿宋" w:eastAsia="仿宋"/>
          <w:sz w:val="32"/>
          <w:szCs w:val="32"/>
        </w:rPr>
        <w:t>、</w:t>
      </w:r>
      <w:r>
        <w:rPr>
          <w:rFonts w:hint="eastAsia" w:ascii="仿宋" w:hAnsi="仿宋" w:eastAsia="仿宋"/>
          <w:sz w:val="32"/>
          <w:szCs w:val="32"/>
          <w:lang w:val="en-US" w:eastAsia="zh-CN"/>
        </w:rPr>
        <w:t xml:space="preserve"> 城中村项目</w:t>
      </w:r>
      <w:r>
        <w:rPr>
          <w:rFonts w:hint="eastAsia" w:ascii="仿宋" w:hAnsi="仿宋" w:eastAsia="仿宋"/>
          <w:sz w:val="32"/>
          <w:szCs w:val="32"/>
        </w:rPr>
        <w:t>临时人员劳务费</w:t>
      </w:r>
      <w:r>
        <w:rPr>
          <w:rFonts w:hint="eastAsia" w:ascii="仿宋" w:hAnsi="仿宋" w:eastAsia="仿宋"/>
          <w:sz w:val="32"/>
          <w:szCs w:val="32"/>
          <w:lang w:eastAsia="zh-CN"/>
        </w:rPr>
        <w:t>等</w:t>
      </w:r>
      <w:r>
        <w:rPr>
          <w:rFonts w:hint="eastAsia" w:ascii="仿宋" w:hAnsi="仿宋" w:eastAsia="仿宋" w:cs="仿宋"/>
          <w:sz w:val="32"/>
          <w:szCs w:val="32"/>
          <w:lang w:val="en-US" w:eastAsia="zh-CN"/>
        </w:rPr>
        <w:t>）年末结余0元。</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二、绩效评价</w:t>
      </w:r>
    </w:p>
    <w:p>
      <w:pPr>
        <w:keepNext w:val="0"/>
        <w:keepLines w:val="0"/>
        <w:pageBreakBefore w:val="0"/>
        <w:widowControl w:val="0"/>
        <w:numPr>
          <w:ilvl w:val="0"/>
          <w:numId w:val="0"/>
        </w:numPr>
        <w:kinsoku/>
        <w:wordWrap/>
        <w:overflowPunct/>
        <w:topLinePunct/>
        <w:autoSpaceDE/>
        <w:autoSpaceDN/>
        <w:bidi w:val="0"/>
        <w:adjustRightInd/>
        <w:snapToGrid/>
        <w:spacing w:line="360" w:lineRule="auto"/>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 w:hAnsi="楷体" w:eastAsia="楷体" w:cs="楷体"/>
          <w:b w:val="0"/>
          <w:bCs w:val="0"/>
          <w:sz w:val="32"/>
          <w:szCs w:val="32"/>
          <w:lang w:val="en-US" w:eastAsia="zh-CN"/>
        </w:rPr>
        <w:t>（一）绩效目标</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default"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按照2022年度工作计划，定时完成预算绩效支出。</w:t>
      </w:r>
    </w:p>
    <w:p>
      <w:pPr>
        <w:keepNext w:val="0"/>
        <w:keepLines w:val="0"/>
        <w:pageBreakBefore w:val="0"/>
        <w:widowControl w:val="0"/>
        <w:numPr>
          <w:ilvl w:val="0"/>
          <w:numId w:val="0"/>
        </w:numPr>
        <w:kinsoku/>
        <w:wordWrap/>
        <w:overflowPunct/>
        <w:topLinePunct/>
        <w:autoSpaceDE/>
        <w:autoSpaceDN/>
        <w:bidi w:val="0"/>
        <w:adjustRightInd/>
        <w:snapToGrid/>
        <w:spacing w:line="360" w:lineRule="auto"/>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 w:hAnsi="楷体" w:eastAsia="楷体" w:cs="楷体"/>
          <w:b w:val="0"/>
          <w:bCs w:val="0"/>
          <w:sz w:val="32"/>
          <w:szCs w:val="32"/>
          <w:lang w:val="en-US" w:eastAsia="zh-CN"/>
        </w:rPr>
        <w:t>（二）绩效评价工作情况：优</w:t>
      </w:r>
    </w:p>
    <w:p>
      <w:pPr>
        <w:keepNext w:val="0"/>
        <w:keepLines w:val="0"/>
        <w:pageBreakBefore w:val="0"/>
        <w:widowControl w:val="0"/>
        <w:numPr>
          <w:ilvl w:val="0"/>
          <w:numId w:val="0"/>
        </w:numPr>
        <w:kinsoku/>
        <w:wordWrap/>
        <w:overflowPunct/>
        <w:topLinePunct/>
        <w:autoSpaceDE/>
        <w:autoSpaceDN/>
        <w:bidi w:val="0"/>
        <w:adjustRightInd/>
        <w:snapToGrid/>
        <w:spacing w:line="360" w:lineRule="auto"/>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楷体" w:hAnsi="楷体" w:eastAsia="楷体" w:cs="楷体"/>
          <w:b w:val="0"/>
          <w:bCs w:val="0"/>
          <w:sz w:val="32"/>
          <w:szCs w:val="32"/>
          <w:lang w:val="en-US" w:eastAsia="zh-CN"/>
        </w:rPr>
        <w:t>（三）评价的目的和依据</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1、绩效评价工作方案制定过程：单位自行评价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2、绩效评价原则、评价方法等：单位自行评价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3、绩效评价实施过程：单位自行评价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4、绩效评价的局限性：单位自行评价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黑体" w:hAnsi="黑体" w:eastAsia="黑体" w:cs="黑体"/>
          <w:b w:val="0"/>
          <w:bCs w:val="0"/>
          <w:sz w:val="32"/>
          <w:szCs w:val="32"/>
          <w:lang w:eastAsia="zh-CN"/>
        </w:rPr>
        <w:t>三、项目主要经验及做法、存在的问题和建议</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80" w:lineRule="exact"/>
        <w:ind w:left="0" w:leftChars="0" w:right="0" w:rightChars="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主要经验及做法：</w:t>
      </w:r>
    </w:p>
    <w:p>
      <w:pPr>
        <w:keepNext w:val="0"/>
        <w:keepLines w:val="0"/>
        <w:pageBreakBefore w:val="0"/>
        <w:widowControl w:val="0"/>
        <w:tabs>
          <w:tab w:val="left" w:pos="7020"/>
        </w:tabs>
        <w:kinsoku/>
        <w:wordWrap/>
        <w:overflowPunct/>
        <w:topLinePunct w:val="0"/>
        <w:autoSpaceDE w:val="0"/>
        <w:autoSpaceDN w:val="0"/>
        <w:bidi w:val="0"/>
        <w:adjustRightInd w:val="0"/>
        <w:snapToGrid/>
        <w:spacing w:line="580" w:lineRule="exact"/>
        <w:ind w:left="0" w:leftChars="0" w:right="0" w:rightChars="0" w:firstLine="640" w:firstLineChars="200"/>
        <w:jc w:val="both"/>
        <w:textAlignment w:val="auto"/>
        <w:rPr>
          <w:rFonts w:hint="eastAsia" w:ascii="仿宋" w:hAnsi="仿宋" w:eastAsia="仿宋" w:cs="仿宋"/>
          <w:sz w:val="32"/>
          <w:szCs w:val="32"/>
          <w:lang w:eastAsia="zh-CN"/>
        </w:rPr>
      </w:pPr>
      <w:r>
        <w:rPr>
          <w:rFonts w:hint="eastAsia" w:ascii="仿宋_GB2312" w:hAnsi="仿宋_GB2312" w:eastAsia="仿宋_GB2312" w:cs="仿宋_GB2312"/>
          <w:color w:val="auto"/>
          <w:sz w:val="32"/>
          <w:szCs w:val="32"/>
          <w:lang w:eastAsia="zh-CN"/>
        </w:rPr>
        <w:t>紧紧围绕区委、区政府的中心工作任务，局领导班子坚持把做好城市更新改造工作摆在突出位置，提上重要议事日程，科学制定《</w:t>
      </w:r>
      <w:r>
        <w:rPr>
          <w:rFonts w:hint="eastAsia" w:ascii="仿宋_GB2312" w:hAnsi="仿宋_GB2312" w:eastAsia="仿宋_GB2312" w:cs="仿宋_GB2312"/>
          <w:color w:val="auto"/>
          <w:sz w:val="32"/>
          <w:szCs w:val="32"/>
          <w:lang w:val="en-US" w:eastAsia="zh-CN"/>
        </w:rPr>
        <w:t>2022盘龙区城市更新改造工作计划</w:t>
      </w:r>
      <w:r>
        <w:rPr>
          <w:rFonts w:hint="eastAsia" w:ascii="仿宋_GB2312" w:hAnsi="仿宋_GB2312" w:eastAsia="仿宋_GB2312" w:cs="仿宋_GB2312"/>
          <w:color w:val="auto"/>
          <w:sz w:val="32"/>
          <w:szCs w:val="32"/>
          <w:lang w:eastAsia="zh-CN"/>
        </w:rPr>
        <w:t>》，压实城市更新改造各成员单位责任，细化工作任务，明确责任部门、责任人和完成时限，将各项工作落到实处。</w:t>
      </w:r>
      <w:r>
        <w:rPr>
          <w:rFonts w:hint="eastAsia" w:eastAsia="仿宋_GB2312"/>
          <w:color w:val="auto"/>
          <w:sz w:val="32"/>
          <w:szCs w:val="32"/>
        </w:rPr>
        <w:t>领导班子</w:t>
      </w:r>
      <w:r>
        <w:rPr>
          <w:rFonts w:hint="eastAsia" w:eastAsia="仿宋_GB2312"/>
          <w:color w:val="auto"/>
          <w:sz w:val="32"/>
          <w:szCs w:val="32"/>
          <w:lang w:eastAsia="zh-CN"/>
        </w:rPr>
        <w:t>成员</w:t>
      </w:r>
      <w:r>
        <w:rPr>
          <w:rFonts w:hint="eastAsia" w:eastAsia="仿宋_GB2312"/>
          <w:color w:val="auto"/>
          <w:sz w:val="32"/>
          <w:szCs w:val="32"/>
        </w:rPr>
        <w:t>带头</w:t>
      </w:r>
      <w:r>
        <w:rPr>
          <w:rFonts w:hint="eastAsia" w:eastAsia="仿宋_GB2312"/>
          <w:color w:val="auto"/>
          <w:sz w:val="32"/>
          <w:szCs w:val="32"/>
          <w:lang w:eastAsia="zh-CN"/>
        </w:rPr>
        <w:t>深入项目</w:t>
      </w:r>
      <w:r>
        <w:rPr>
          <w:rFonts w:hint="eastAsia" w:eastAsia="仿宋_GB2312"/>
          <w:color w:val="auto"/>
          <w:sz w:val="32"/>
          <w:szCs w:val="32"/>
        </w:rPr>
        <w:t>一线，</w:t>
      </w:r>
      <w:r>
        <w:rPr>
          <w:rFonts w:hint="eastAsia" w:eastAsia="仿宋_GB2312"/>
          <w:color w:val="auto"/>
          <w:sz w:val="32"/>
          <w:szCs w:val="32"/>
          <w:lang w:eastAsia="zh-CN"/>
        </w:rPr>
        <w:t>注重</w:t>
      </w:r>
      <w:r>
        <w:rPr>
          <w:rFonts w:hint="eastAsia" w:eastAsia="仿宋_GB2312"/>
          <w:color w:val="auto"/>
          <w:sz w:val="32"/>
          <w:szCs w:val="32"/>
        </w:rPr>
        <w:t>在一线发现问题</w:t>
      </w:r>
      <w:r>
        <w:rPr>
          <w:rFonts w:hint="eastAsia" w:eastAsia="仿宋_GB2312"/>
          <w:color w:val="auto"/>
          <w:sz w:val="32"/>
          <w:szCs w:val="32"/>
          <w:lang w:eastAsia="zh-CN"/>
        </w:rPr>
        <w:t>、</w:t>
      </w:r>
      <w:r>
        <w:rPr>
          <w:rFonts w:hint="eastAsia" w:eastAsia="仿宋_GB2312"/>
          <w:color w:val="auto"/>
          <w:sz w:val="32"/>
          <w:szCs w:val="32"/>
        </w:rPr>
        <w:t>解决困难</w:t>
      </w:r>
      <w:r>
        <w:rPr>
          <w:rFonts w:hint="eastAsia" w:eastAsia="仿宋_GB2312"/>
          <w:color w:val="auto"/>
          <w:sz w:val="32"/>
          <w:szCs w:val="32"/>
          <w:lang w:eastAsia="zh-CN"/>
        </w:rPr>
        <w:t>、</w:t>
      </w:r>
      <w:r>
        <w:rPr>
          <w:rFonts w:hint="eastAsia" w:eastAsia="仿宋_GB2312"/>
          <w:color w:val="auto"/>
          <w:sz w:val="32"/>
          <w:szCs w:val="32"/>
        </w:rPr>
        <w:t>推动工作，</w:t>
      </w:r>
      <w:r>
        <w:rPr>
          <w:rFonts w:hint="eastAsia" w:ascii="仿宋_GB2312" w:hAnsi="仿宋_GB2312" w:eastAsia="仿宋_GB2312" w:cs="仿宋_GB2312"/>
          <w:color w:val="auto"/>
          <w:sz w:val="32"/>
          <w:szCs w:val="32"/>
          <w:lang w:eastAsia="zh-CN"/>
        </w:rPr>
        <w:t>形成了工作推进有主体、解决问题有抓手、开展工作有联动的工作局面</w:t>
      </w:r>
      <w:r>
        <w:rPr>
          <w:rFonts w:hint="eastAsia" w:ascii="仿宋" w:hAnsi="仿宋" w:eastAsia="仿宋" w:cs="仿宋"/>
          <w:sz w:val="32"/>
          <w:szCs w:val="32"/>
          <w:lang w:eastAsia="zh-CN"/>
        </w:rPr>
        <w:t>。</w:t>
      </w:r>
    </w:p>
    <w:p>
      <w:pPr>
        <w:keepNext w:val="0"/>
        <w:keepLines w:val="0"/>
        <w:pageBreakBefore w:val="0"/>
        <w:widowControl w:val="0"/>
        <w:numPr>
          <w:ilvl w:val="0"/>
          <w:numId w:val="5"/>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城改项目从编制规划到建设完成，时间周期长，尤其是在征地拆迁和土地交易期间，需要处理问题较多，在此期间如遇到政策的调整，具体政策的迟滞和不明朗给项目的进一步推进带来了困扰和风险。</w:t>
      </w:r>
    </w:p>
    <w:p>
      <w:pPr>
        <w:keepNext w:val="0"/>
        <w:keepLines w:val="0"/>
        <w:pageBreakBefore w:val="0"/>
        <w:widowControl w:val="0"/>
        <w:numPr>
          <w:ilvl w:val="0"/>
          <w:numId w:val="5"/>
        </w:numPr>
        <w:kinsoku/>
        <w:wordWrap/>
        <w:overflowPunct/>
        <w:topLinePunct/>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建议和改进措施：</w:t>
      </w:r>
    </w:p>
    <w:p>
      <w:pPr>
        <w:keepNext w:val="0"/>
        <w:keepLines w:val="0"/>
        <w:pageBreakBefore w:val="0"/>
        <w:widowControl w:val="0"/>
        <w:numPr>
          <w:ilvl w:val="0"/>
          <w:numId w:val="0"/>
        </w:numPr>
        <w:kinsoku/>
        <w:wordWrap/>
        <w:overflowPunct/>
        <w:topLinePunct/>
        <w:autoSpaceDE/>
        <w:autoSpaceDN/>
        <w:bidi w:val="0"/>
        <w:adjustRightInd/>
        <w:snapToGrid/>
        <w:spacing w:line="360" w:lineRule="auto"/>
        <w:textAlignment w:val="auto"/>
        <w:rPr>
          <w:rFonts w:hint="eastAsia" w:ascii="仿宋_GB2312" w:hAnsi="仿宋_GB2312" w:eastAsia="仿宋_GB2312" w:cs="仿宋_GB2312"/>
          <w:color w:val="auto"/>
          <w:sz w:val="32"/>
          <w:szCs w:val="32"/>
          <w:lang w:eastAsia="zh-CN"/>
        </w:rPr>
      </w:pPr>
      <w:r>
        <w:rPr>
          <w:rFonts w:hint="eastAsia" w:ascii="仿宋" w:hAnsi="仿宋" w:eastAsia="仿宋" w:cs="仿宋"/>
          <w:sz w:val="32"/>
          <w:szCs w:val="32"/>
          <w:lang w:val="en-US" w:eastAsia="zh-CN"/>
        </w:rPr>
        <w:t xml:space="preserve">    </w:t>
      </w:r>
      <w:r>
        <w:rPr>
          <w:rFonts w:hint="default" w:ascii="Times New Roman" w:hAnsi="Times New Roman" w:eastAsia="仿宋_GB2312" w:cs="Times New Roman"/>
          <w:bCs/>
          <w:sz w:val="32"/>
          <w:szCs w:val="32"/>
          <w:lang w:val="zh-CN" w:eastAsia="zh-CN"/>
        </w:rPr>
        <w:t>城市更新改造历史项目遗留问题化解</w:t>
      </w:r>
      <w:r>
        <w:rPr>
          <w:rFonts w:hint="eastAsia" w:eastAsia="仿宋_GB2312" w:cs="Times New Roman"/>
          <w:bCs/>
          <w:sz w:val="32"/>
          <w:szCs w:val="32"/>
          <w:lang w:val="zh-CN" w:eastAsia="zh-CN"/>
        </w:rPr>
        <w:t>，</w:t>
      </w:r>
      <w:r>
        <w:rPr>
          <w:rFonts w:hint="default" w:ascii="Times New Roman" w:hAnsi="Times New Roman" w:eastAsia="仿宋_GB2312" w:cs="Times New Roman"/>
          <w:bCs/>
          <w:sz w:val="32"/>
          <w:szCs w:val="32"/>
          <w:lang w:val="zh-CN" w:eastAsia="zh-CN"/>
        </w:rPr>
        <w:t>保障被拆迁群众合法利益，维护社会稳定是盘龙区各级领导干部共同的呼声，</w:t>
      </w:r>
      <w:r>
        <w:rPr>
          <w:rFonts w:hint="default" w:ascii="Times New Roman" w:hAnsi="Times New Roman" w:eastAsia="仿宋_GB2312" w:cs="Times New Roman"/>
          <w:sz w:val="32"/>
          <w:szCs w:val="32"/>
        </w:rPr>
        <w:t>区政府将进一步坚定信心、决心，以更大的气魄，下更大的力气，持续发力，</w:t>
      </w:r>
      <w:r>
        <w:rPr>
          <w:rFonts w:hint="default" w:ascii="Times New Roman" w:hAnsi="Times New Roman" w:eastAsia="仿宋_GB2312" w:cs="Times New Roman"/>
          <w:sz w:val="32"/>
          <w:szCs w:val="32"/>
          <w:lang w:eastAsia="zh-CN"/>
        </w:rPr>
        <w:t>团结各方力量，继续推进</w:t>
      </w:r>
      <w:r>
        <w:rPr>
          <w:rFonts w:hint="default" w:ascii="Times New Roman" w:hAnsi="Times New Roman" w:eastAsia="仿宋_GB2312" w:cs="Times New Roman"/>
          <w:sz w:val="32"/>
          <w:szCs w:val="32"/>
        </w:rPr>
        <w:t>项目历史遗留问题化解。</w:t>
      </w:r>
      <w:r>
        <w:rPr>
          <w:rFonts w:hint="default" w:ascii="Times New Roman" w:hAnsi="Times New Roman" w:eastAsia="仿宋_GB2312" w:cs="Times New Roman"/>
          <w:sz w:val="32"/>
          <w:szCs w:val="32"/>
          <w:lang w:eastAsia="zh-CN"/>
        </w:rPr>
        <w:t>我们将在前期专项工作小组深入研判分析基础上，重点抓好任旗营、栗树头、马家营项目</w:t>
      </w:r>
      <w:r>
        <w:rPr>
          <w:rFonts w:hint="eastAsia" w:eastAsia="仿宋_GB2312" w:cs="Times New Roman"/>
          <w:sz w:val="32"/>
          <w:szCs w:val="32"/>
          <w:lang w:eastAsia="zh-CN"/>
        </w:rPr>
        <w:t>破产重整、引入合作伙伴等工作</w:t>
      </w:r>
      <w:r>
        <w:rPr>
          <w:rFonts w:hint="default" w:ascii="Times New Roman" w:hAnsi="Times New Roman" w:eastAsia="仿宋_GB2312" w:cs="Times New Roman"/>
          <w:sz w:val="32"/>
          <w:szCs w:val="32"/>
          <w:lang w:eastAsia="zh-CN"/>
        </w:rPr>
        <w:t>，力争</w:t>
      </w:r>
      <w:r>
        <w:rPr>
          <w:rFonts w:hint="eastAsia" w:eastAsia="仿宋_GB2312" w:cs="Times New Roman"/>
          <w:sz w:val="32"/>
          <w:szCs w:val="32"/>
          <w:lang w:eastAsia="zh-CN"/>
        </w:rPr>
        <w:t>各项目</w:t>
      </w:r>
      <w:r>
        <w:rPr>
          <w:rFonts w:hint="default" w:ascii="Times New Roman" w:hAnsi="Times New Roman" w:eastAsia="仿宋_GB2312" w:cs="Times New Roman"/>
          <w:sz w:val="32"/>
          <w:szCs w:val="32"/>
          <w:lang w:eastAsia="zh-CN"/>
        </w:rPr>
        <w:t>年内</w:t>
      </w:r>
      <w:r>
        <w:rPr>
          <w:rFonts w:hint="eastAsia" w:eastAsia="仿宋_GB2312" w:cs="Times New Roman"/>
          <w:sz w:val="32"/>
          <w:szCs w:val="32"/>
          <w:lang w:eastAsia="zh-CN"/>
        </w:rPr>
        <w:t>取得实质性进展</w:t>
      </w:r>
      <w:r>
        <w:rPr>
          <w:rFonts w:hint="default" w:ascii="Times New Roman" w:hAnsi="Times New Roman" w:eastAsia="仿宋_GB2312" w:cs="Times New Roman"/>
          <w:sz w:val="32"/>
          <w:szCs w:val="32"/>
          <w:lang w:eastAsia="zh-CN"/>
        </w:rPr>
        <w:t>。</w:t>
      </w:r>
    </w:p>
    <w:p>
      <w:pPr>
        <w:topLinePunct/>
        <w:spacing w:line="440" w:lineRule="exact"/>
        <w:rPr>
          <w:rFonts w:hint="eastAsia" w:ascii="方正小标宋_GBK" w:hAnsi="宋体" w:eastAsia="方正小标宋_GBK" w:cs="宋体"/>
          <w:kern w:val="0"/>
          <w:sz w:val="24"/>
          <w:szCs w:val="24"/>
        </w:rPr>
      </w:pPr>
    </w:p>
    <w:p>
      <w:pPr>
        <w:topLinePunct/>
        <w:spacing w:line="440" w:lineRule="exact"/>
        <w:rPr>
          <w:rFonts w:hint="eastAsia" w:ascii="方正小标宋_GBK" w:hAnsi="宋体" w:eastAsia="方正小标宋_GBK" w:cs="宋体"/>
          <w:kern w:val="0"/>
          <w:sz w:val="24"/>
          <w:szCs w:val="24"/>
        </w:rPr>
      </w:pPr>
    </w:p>
    <w:p>
      <w:pPr>
        <w:topLinePunct/>
        <w:spacing w:line="440" w:lineRule="exact"/>
        <w:rPr>
          <w:rFonts w:hint="eastAsia" w:ascii="方正小标宋_GBK" w:hAnsi="宋体" w:eastAsia="方正小标宋_GBK" w:cs="宋体"/>
          <w:kern w:val="0"/>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falt">
    <w:altName w:val="MingLiU"/>
    <w:panose1 w:val="00000000000000000000"/>
    <w:charset w:val="88"/>
    <w:family w:val="roman"/>
    <w:pitch w:val="default"/>
    <w:sig w:usb0="00000000" w:usb1="00000000" w:usb2="00000010" w:usb3="00000000" w:csb0="00100000" w:csb1="00000000"/>
  </w:font>
  <w:font w:name="MingLiU">
    <w:panose1 w:val="02020509000000000000"/>
    <w:charset w:val="88"/>
    <w:family w:val="auto"/>
    <w:pitch w:val="default"/>
    <w:sig w:usb0="A00002FF" w:usb1="28CFFCFA" w:usb2="00000016" w:usb3="00000000" w:csb0="00100001"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3CD458"/>
    <w:multiLevelType w:val="singleLevel"/>
    <w:tmpl w:val="D53CD458"/>
    <w:lvl w:ilvl="0" w:tentative="0">
      <w:start w:val="2"/>
      <w:numFmt w:val="chineseCounting"/>
      <w:suff w:val="nothing"/>
      <w:lvlText w:val="（%1）"/>
      <w:lvlJc w:val="left"/>
      <w:rPr>
        <w:rFonts w:hint="eastAsia"/>
      </w:rPr>
    </w:lvl>
  </w:abstractNum>
  <w:abstractNum w:abstractNumId="1">
    <w:nsid w:val="2AE55831"/>
    <w:multiLevelType w:val="singleLevel"/>
    <w:tmpl w:val="2AE55831"/>
    <w:lvl w:ilvl="0" w:tentative="0">
      <w:start w:val="3"/>
      <w:numFmt w:val="chineseCounting"/>
      <w:suff w:val="nothing"/>
      <w:lvlText w:val="（%1）"/>
      <w:lvlJc w:val="left"/>
      <w:pPr>
        <w:ind w:left="-10"/>
      </w:pPr>
      <w:rPr>
        <w:rFonts w:hint="eastAsia"/>
      </w:rPr>
    </w:lvl>
  </w:abstractNum>
  <w:abstractNum w:abstractNumId="2">
    <w:nsid w:val="5EAFD537"/>
    <w:multiLevelType w:val="singleLevel"/>
    <w:tmpl w:val="5EAFD537"/>
    <w:lvl w:ilvl="0" w:tentative="0">
      <w:start w:val="1"/>
      <w:numFmt w:val="chineseCounting"/>
      <w:suff w:val="nothing"/>
      <w:lvlText w:val="%1、"/>
      <w:lvlJc w:val="left"/>
    </w:lvl>
  </w:abstractNum>
  <w:abstractNum w:abstractNumId="3">
    <w:nsid w:val="5EAFD62B"/>
    <w:multiLevelType w:val="singleLevel"/>
    <w:tmpl w:val="5EAFD62B"/>
    <w:lvl w:ilvl="0" w:tentative="0">
      <w:start w:val="2"/>
      <w:numFmt w:val="chineseCounting"/>
      <w:suff w:val="nothing"/>
      <w:lvlText w:val="（%1）"/>
      <w:lvlJc w:val="left"/>
    </w:lvl>
  </w:abstractNum>
  <w:abstractNum w:abstractNumId="4">
    <w:nsid w:val="5EAFDEEA"/>
    <w:multiLevelType w:val="singleLevel"/>
    <w:tmpl w:val="5EAFDEEA"/>
    <w:lvl w:ilvl="0" w:tentative="0">
      <w:start w:val="2"/>
      <w:numFmt w:val="decimal"/>
      <w:suff w:val="nothing"/>
      <w:lvlText w:val="%1、"/>
      <w:lvlJc w:val="left"/>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E56"/>
    <w:rsid w:val="00163DB4"/>
    <w:rsid w:val="0029560C"/>
    <w:rsid w:val="0066549A"/>
    <w:rsid w:val="008A6E56"/>
    <w:rsid w:val="009C3149"/>
    <w:rsid w:val="0AA10BAF"/>
    <w:rsid w:val="0DA56500"/>
    <w:rsid w:val="18691B94"/>
    <w:rsid w:val="1E442BF3"/>
    <w:rsid w:val="21121E61"/>
    <w:rsid w:val="231E27E6"/>
    <w:rsid w:val="247114E1"/>
    <w:rsid w:val="26B70E20"/>
    <w:rsid w:val="27C02362"/>
    <w:rsid w:val="2AC902AD"/>
    <w:rsid w:val="385207AA"/>
    <w:rsid w:val="3F57026E"/>
    <w:rsid w:val="4D904BD8"/>
    <w:rsid w:val="54A0416C"/>
    <w:rsid w:val="5B39718C"/>
    <w:rsid w:val="61EA2A07"/>
    <w:rsid w:val="6347235C"/>
    <w:rsid w:val="694A62A0"/>
    <w:rsid w:val="69D90536"/>
    <w:rsid w:val="737D0D4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6"/>
    <w:qFormat/>
    <w:uiPriority w:val="99"/>
    <w:pPr>
      <w:keepNext/>
      <w:keepLines/>
      <w:spacing w:before="340" w:after="330" w:line="578" w:lineRule="auto"/>
      <w:outlineLvl w:val="0"/>
    </w:pPr>
    <w:rPr>
      <w:b/>
      <w:bCs/>
      <w:kern w:val="44"/>
      <w:sz w:val="44"/>
      <w:szCs w:val="44"/>
    </w:rPr>
  </w:style>
  <w:style w:type="character" w:default="1" w:styleId="5">
    <w:name w:val="Default Paragraph Font"/>
    <w:semiHidden/>
    <w:qFormat/>
    <w:uiPriority w:val="99"/>
  </w:style>
  <w:style w:type="table" w:default="1" w:styleId="4">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Times New Roman" w:hAnsi="Times New Roman" w:eastAsia="宋体" w:cs="Times New Roman"/>
      <w:kern w:val="2"/>
      <w:sz w:val="21"/>
      <w:szCs w:val="21"/>
      <w:lang w:val="en-US" w:eastAsia="zh-CN" w:bidi="ar"/>
    </w:rPr>
  </w:style>
  <w:style w:type="character" w:customStyle="1" w:styleId="6">
    <w:name w:val="Heading 1 Char"/>
    <w:basedOn w:val="5"/>
    <w:link w:val="2"/>
    <w:qFormat/>
    <w:uiPriority w:val="9"/>
    <w:rPr>
      <w:b/>
      <w:bCs/>
      <w:kern w:val="44"/>
      <w:sz w:val="44"/>
      <w:szCs w:val="44"/>
    </w:rPr>
  </w:style>
  <w:style w:type="paragraph" w:customStyle="1" w:styleId="7">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9">
    <w:name w:val="实施方案正文"/>
    <w:basedOn w:val="1"/>
    <w:qFormat/>
    <w:uiPriority w:val="0"/>
    <w:pPr>
      <w:ind w:firstLine="566" w:firstLineChars="202"/>
    </w:pPr>
    <w:rPr>
      <w:rFonts w:ascii="等线" w:hAnsi="等线" w:eastAsia="等线"/>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9</Pages>
  <Words>291</Words>
  <Characters>1664</Characters>
  <Lines>0</Lines>
  <Paragraphs>0</Paragraphs>
  <TotalTime>2</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dell</cp:lastModifiedBy>
  <dcterms:modified xsi:type="dcterms:W3CDTF">2023-09-27T13:50:34Z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36FA3985F14D41B3B12A2053AFDAF9BD</vt:lpwstr>
  </property>
</Properties>
</file>