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jc w:val="center"/>
        <w:rPr>
          <w:rFonts w:ascii="方正小标宋简体" w:eastAsia="方正小标宋简体"/>
          <w:b/>
          <w:color w:val="FF0000"/>
          <w:spacing w:val="-20"/>
          <w:w w:val="90"/>
          <w:sz w:val="72"/>
          <w:szCs w:val="72"/>
        </w:rPr>
      </w:pPr>
      <w:r>
        <w:rPr>
          <w:rFonts w:hint="eastAsia" w:ascii="方正小标宋简体" w:hAnsi="方正小标宋简体" w:eastAsia="方正小标宋简体"/>
          <w:b/>
          <w:color w:val="FF0000"/>
          <w:spacing w:val="-20"/>
          <w:w w:val="90"/>
          <w:sz w:val="72"/>
          <w:szCs w:val="72"/>
        </w:rPr>
        <w:t>昆明市盘龙区城市更新改造局</w:t>
      </w:r>
    </w:p>
    <w:p>
      <w:pPr>
        <w:spacing w:line="400" w:lineRule="exact"/>
        <w:rPr>
          <w:rFonts w:hint="eastAsia" w:ascii="Times New Roman" w:eastAsia="楷体_GB2312"/>
          <w:color w:val="FF0000"/>
          <w:u w:val="thick"/>
        </w:rPr>
      </w:pPr>
    </w:p>
    <w:p>
      <w:pPr>
        <w:spacing w:line="400" w:lineRule="exact"/>
        <w:rPr>
          <w:rFonts w:eastAsia="楷体_GB2312"/>
          <w:color w:val="FF0000"/>
          <w:u w:val="thick"/>
        </w:rPr>
      </w:pPr>
      <w:r>
        <w:rPr>
          <w:rFonts w:eastAsia="楷体_GB2312"/>
          <w:color w:val="FF0000"/>
          <w:u w:val="thick"/>
        </w:rPr>
        <w:t xml:space="preserve">                                        </w:t>
      </w:r>
      <w:r>
        <w:rPr>
          <w:rFonts w:hint="eastAsia" w:eastAsia="楷体_GB2312"/>
          <w:color w:val="FF0000"/>
          <w:u w:val="thick"/>
          <w:lang w:val="en-US" w:eastAsia="zh-CN"/>
        </w:rPr>
        <w:t xml:space="preserve">                          </w:t>
      </w:r>
      <w:r>
        <w:rPr>
          <w:rFonts w:eastAsia="楷体_GB2312"/>
          <w:color w:val="FF0000"/>
          <w:u w:val="thick"/>
        </w:rPr>
        <w:t xml:space="preserve">                </w:t>
      </w:r>
    </w:p>
    <w:p>
      <w:pPr>
        <w:spacing w:line="520" w:lineRule="exact"/>
        <w:ind w:left="31680" w:hanging="840" w:hangingChars="300"/>
        <w:jc w:val="left"/>
        <w:rPr>
          <w:rFonts w:hint="eastAsia" w:ascii="方正小标宋_GBK" w:eastAsia="方正小标宋_GBK"/>
          <w:sz w:val="28"/>
          <w:szCs w:val="28"/>
        </w:rPr>
      </w:pPr>
    </w:p>
    <w:p>
      <w:pPr>
        <w:spacing w:before="120" w:after="120" w:line="480" w:lineRule="auto"/>
        <w:jc w:val="center"/>
        <w:rPr>
          <w:rFonts w:ascii="Times New Roman" w:hAnsi="Times New Roman" w:eastAsia="黑体"/>
          <w:b/>
          <w:bCs/>
          <w:sz w:val="52"/>
          <w:szCs w:val="52"/>
        </w:rPr>
      </w:pPr>
    </w:p>
    <w:p>
      <w:pPr>
        <w:jc w:val="center"/>
        <w:rPr>
          <w:rFonts w:hint="eastAsia" w:ascii="黑体" w:hAnsi="黑体" w:eastAsia="黑体" w:cs="黑体"/>
          <w:bCs/>
          <w:sz w:val="52"/>
          <w:szCs w:val="52"/>
          <w:lang w:val="en-US" w:eastAsia="zh-CN"/>
        </w:rPr>
      </w:pPr>
      <w:bookmarkStart w:id="0" w:name="_GoBack"/>
      <w:r>
        <w:rPr>
          <w:rFonts w:hint="eastAsia" w:ascii="黑体" w:hAnsi="黑体" w:eastAsia="黑体" w:cs="黑体"/>
          <w:bCs/>
          <w:sz w:val="52"/>
          <w:szCs w:val="52"/>
          <w:lang w:val="en-US" w:eastAsia="zh-CN"/>
        </w:rPr>
        <w:t>盘龙区老旧小区改造工程</w:t>
      </w:r>
    </w:p>
    <w:p>
      <w:pPr>
        <w:jc w:val="center"/>
        <w:rPr>
          <w:rFonts w:ascii="黑体" w:hAnsi="黑体" w:eastAsia="黑体" w:cs="黑体"/>
          <w:bCs/>
          <w:sz w:val="52"/>
          <w:szCs w:val="52"/>
        </w:rPr>
      </w:pPr>
      <w:r>
        <w:rPr>
          <w:rFonts w:hint="eastAsia" w:ascii="黑体" w:hAnsi="黑体" w:eastAsia="黑体" w:cs="黑体"/>
          <w:bCs/>
          <w:sz w:val="52"/>
          <w:szCs w:val="52"/>
          <w:lang w:val="en-US" w:eastAsia="zh-CN"/>
        </w:rPr>
        <w:t>专项资金</w:t>
      </w:r>
      <w:r>
        <w:rPr>
          <w:rFonts w:hint="eastAsia" w:ascii="黑体" w:hAnsi="黑体" w:eastAsia="黑体" w:cs="黑体"/>
          <w:bCs/>
          <w:sz w:val="52"/>
          <w:szCs w:val="52"/>
        </w:rPr>
        <w:t>支出绩效自评报告</w:t>
      </w:r>
      <w:bookmarkEnd w:id="0"/>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both"/>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numPr>
          <w:ilvl w:val="0"/>
          <w:numId w:val="0"/>
        </w:numPr>
        <w:spacing w:before="120" w:after="120" w:line="480" w:lineRule="auto"/>
        <w:ind w:firstLine="2811" w:firstLineChars="1000"/>
        <w:jc w:val="left"/>
        <w:rPr>
          <w:rFonts w:ascii="Times New Roman" w:hAnsi="Times New Roman" w:eastAsia="黑体"/>
          <w:b/>
          <w:bCs/>
          <w:sz w:val="44"/>
          <w:szCs w:val="44"/>
        </w:rPr>
      </w:pPr>
      <w:r>
        <w:rPr>
          <w:rFonts w:hint="eastAsia" w:ascii="Times New Roman" w:hAnsi="Times New Roman" w:eastAsia="黑体" w:cs="黑体"/>
          <w:b/>
          <w:bCs/>
          <w:sz w:val="28"/>
          <w:szCs w:val="28"/>
        </w:rPr>
        <w:t>部门名称（公章）：</w:t>
      </w:r>
    </w:p>
    <w:p>
      <w:pPr>
        <w:numPr>
          <w:ilvl w:val="0"/>
          <w:numId w:val="0"/>
        </w:numPr>
        <w:adjustRightInd w:val="0"/>
        <w:snapToGrid w:val="0"/>
        <w:spacing w:line="360" w:lineRule="auto"/>
        <w:ind w:firstLine="2811" w:firstLineChars="1000"/>
        <w:jc w:val="left"/>
        <w:rPr>
          <w:rFonts w:ascii="Times New Roman" w:hAnsi="Times New Roman" w:eastAsia="黑体" w:cs="黑体"/>
          <w:b/>
          <w:bCs/>
          <w:sz w:val="28"/>
          <w:szCs w:val="28"/>
          <w:u w:val="single"/>
        </w:rPr>
      </w:pPr>
      <w:r>
        <w:rPr>
          <w:rFonts w:hint="eastAsia" w:ascii="Times New Roman" w:hAnsi="Times New Roman" w:eastAsia="黑体" w:cs="黑体"/>
          <w:b/>
          <w:bCs/>
          <w:sz w:val="28"/>
          <w:szCs w:val="28"/>
        </w:rPr>
        <w:t>项目单位：</w:t>
      </w:r>
      <w:r>
        <w:rPr>
          <w:rFonts w:ascii="Times New Roman" w:hAnsi="Times New Roman" w:eastAsia="黑体" w:cs="黑体"/>
          <w:b/>
          <w:bCs/>
          <w:sz w:val="28"/>
          <w:szCs w:val="28"/>
          <w:u w:val="single"/>
        </w:rPr>
        <w:t>昆明市盘龙区城市更新改造局</w:t>
      </w:r>
      <w:r>
        <w:rPr>
          <w:rFonts w:hint="eastAsia" w:ascii="Times New Roman" w:hAnsi="Times New Roman" w:eastAsia="黑体" w:cs="黑体"/>
          <w:b/>
          <w:bCs/>
          <w:sz w:val="28"/>
          <w:szCs w:val="28"/>
          <w:u w:val="single"/>
          <w:lang w:val="en-US" w:eastAsia="zh-CN"/>
        </w:rPr>
        <w:t xml:space="preserve">  </w:t>
      </w:r>
    </w:p>
    <w:p>
      <w:pPr>
        <w:numPr>
          <w:ilvl w:val="0"/>
          <w:numId w:val="0"/>
        </w:numPr>
        <w:adjustRightInd w:val="0"/>
        <w:snapToGrid w:val="0"/>
        <w:spacing w:line="360" w:lineRule="auto"/>
        <w:ind w:firstLine="2811" w:firstLineChars="1000"/>
        <w:jc w:val="left"/>
        <w:rPr>
          <w:rFonts w:hint="eastAsia" w:ascii="Times New Roman" w:hAnsi="Times New Roman" w:eastAsia="黑体" w:cs="黑体"/>
          <w:b/>
          <w:bCs/>
          <w:i w:val="0"/>
          <w:iCs w:val="0"/>
          <w:sz w:val="28"/>
          <w:szCs w:val="28"/>
          <w:lang w:val="en-US" w:eastAsia="zh-CN"/>
        </w:rPr>
      </w:pPr>
      <w:r>
        <w:rPr>
          <w:rFonts w:hint="eastAsia" w:ascii="Times New Roman" w:hAnsi="Times New Roman" w:eastAsia="黑体" w:cs="黑体"/>
          <w:b/>
          <w:bCs/>
          <w:sz w:val="28"/>
          <w:szCs w:val="28"/>
        </w:rPr>
        <w:t>主管部门：</w:t>
      </w:r>
      <w:r>
        <w:rPr>
          <w:rFonts w:hint="eastAsia" w:ascii="Times New Roman" w:hAnsi="Times New Roman" w:eastAsia="黑体" w:cs="黑体"/>
          <w:b/>
          <w:bCs/>
          <w:sz w:val="28"/>
          <w:szCs w:val="28"/>
          <w:u w:val="single"/>
          <w:lang w:val="en-US" w:eastAsia="zh-CN"/>
        </w:rPr>
        <w:t xml:space="preserve">                            </w:t>
      </w:r>
    </w:p>
    <w:p>
      <w:pPr>
        <w:numPr>
          <w:ilvl w:val="0"/>
          <w:numId w:val="0"/>
        </w:numPr>
        <w:adjustRightInd w:val="0"/>
        <w:snapToGrid w:val="0"/>
        <w:spacing w:line="360" w:lineRule="auto"/>
        <w:ind w:left="4198" w:leftChars="1330" w:hanging="1405" w:hangingChars="500"/>
        <w:jc w:val="left"/>
        <w:rPr>
          <w:rFonts w:hint="eastAsia" w:ascii="Times New Roman" w:hAnsi="Times New Roman" w:eastAsia="黑体" w:cs="黑体"/>
          <w:b/>
          <w:bCs/>
          <w:sz w:val="28"/>
          <w:szCs w:val="28"/>
          <w:u w:val="single"/>
          <w:lang w:val="en-US" w:eastAsia="zh-CN"/>
        </w:rPr>
      </w:pPr>
      <w:r>
        <w:rPr>
          <w:rFonts w:hint="eastAsia" w:ascii="Times New Roman" w:hAnsi="Times New Roman" w:eastAsia="黑体" w:cs="黑体"/>
          <w:b/>
          <w:bCs/>
          <w:sz w:val="28"/>
          <w:szCs w:val="28"/>
          <w:lang w:eastAsia="zh-CN"/>
        </w:rPr>
        <w:t>项目名称：</w:t>
      </w:r>
      <w:r>
        <w:rPr>
          <w:rFonts w:hint="eastAsia" w:ascii="Times New Roman" w:hAnsi="Times New Roman" w:eastAsia="黑体" w:cs="黑体"/>
          <w:b/>
          <w:bCs/>
          <w:sz w:val="28"/>
          <w:szCs w:val="28"/>
          <w:u w:val="single"/>
          <w:lang w:val="en-US" w:eastAsia="zh-CN"/>
        </w:rPr>
        <w:t>盘龙区老旧小区改造工程专项资金</w:t>
      </w:r>
      <w:r>
        <w:rPr>
          <w:rFonts w:hint="eastAsia" w:ascii="Times New Roman" w:hAnsi="Times New Roman" w:eastAsia="黑体" w:cs="黑体"/>
          <w:b/>
          <w:bCs/>
          <w:sz w:val="28"/>
          <w:szCs w:val="28"/>
          <w:u w:val="single"/>
        </w:rPr>
        <w:t>支出绩效报告</w:t>
      </w:r>
      <w:r>
        <w:rPr>
          <w:rFonts w:hint="eastAsia" w:ascii="Times New Roman" w:hAnsi="Times New Roman" w:eastAsia="黑体" w:cs="黑体"/>
          <w:b/>
          <w:bCs/>
          <w:sz w:val="28"/>
          <w:szCs w:val="28"/>
          <w:u w:val="single"/>
          <w:lang w:val="en-US" w:eastAsia="zh-CN"/>
        </w:rPr>
        <w:t xml:space="preserve">               </w:t>
      </w:r>
      <w: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自选图形 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6" o:spid="_x0000_s1026" o:spt="32" type="#_x0000_t32" style="position:absolute;left:0pt;margin-left:135pt;margin-top:14.25pt;height:0pt;width:196.5pt;z-index:25165926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CC/u9cAAAAJAQAADwAAAAAAAAABACAAAAAiAAAAZHJzL2Rvd25yZXYueG1s&#10;UEsBAhQAFAAAAAgAh07iQHJ/gYv5AQAA8Q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u w:val="single"/>
          <w:lang w:val="en-US" w:eastAsia="zh-CN"/>
        </w:rPr>
        <w:t xml:space="preserve"> </w:t>
      </w:r>
    </w:p>
    <w:p>
      <w:pPr>
        <w:pageBreakBefore w:val="0"/>
        <w:kinsoku/>
        <w:overflowPunct/>
        <w:topLinePunct w:val="0"/>
        <w:bidi w:val="0"/>
        <w:spacing w:line="560" w:lineRule="exact"/>
        <w:ind w:right="0" w:rightChars="0" w:firstLine="562" w:firstLineChars="200"/>
        <w:jc w:val="center"/>
        <w:textAlignment w:val="auto"/>
        <w:rPr>
          <w:rFonts w:ascii="Times New Roman" w:hAnsi="Times New Roman" w:eastAsia="黑体"/>
          <w:b/>
          <w:bCs/>
          <w:sz w:val="28"/>
          <w:szCs w:val="28"/>
        </w:rPr>
      </w:pPr>
    </w:p>
    <w:p>
      <w:pPr>
        <w:pageBreakBefore w:val="0"/>
        <w:kinsoku/>
        <w:overflowPunct/>
        <w:topLinePunct w:val="0"/>
        <w:bidi w:val="0"/>
        <w:spacing w:line="560" w:lineRule="exact"/>
        <w:ind w:right="0" w:rightChars="0" w:firstLine="562" w:firstLineChars="200"/>
        <w:jc w:val="center"/>
        <w:textAlignment w:val="auto"/>
        <w:rPr>
          <w:rFonts w:ascii="Times New Roman" w:hAnsi="Times New Roman" w:eastAsia="黑体"/>
          <w:b/>
          <w:bCs/>
          <w:sz w:val="28"/>
          <w:szCs w:val="28"/>
        </w:rPr>
      </w:pPr>
    </w:p>
    <w:p>
      <w:pPr>
        <w:pageBreakBefore w:val="0"/>
        <w:kinsoku/>
        <w:overflowPunct/>
        <w:topLinePunct w:val="0"/>
        <w:bidi w:val="0"/>
        <w:spacing w:line="560" w:lineRule="exact"/>
        <w:ind w:right="0" w:rightChars="0" w:firstLine="562" w:firstLineChars="200"/>
        <w:jc w:val="center"/>
        <w:textAlignment w:val="auto"/>
        <w:rPr>
          <w:rFonts w:hint="eastAsia"/>
          <w:lang w:val="en-US" w:eastAsia="zh-CN"/>
        </w:rPr>
      </w:pPr>
      <w:r>
        <w:rPr>
          <w:rFonts w:hint="eastAsia" w:ascii="Times New Roman" w:hAnsi="Times New Roman" w:eastAsia="黑体"/>
          <w:b/>
          <w:bCs/>
          <w:sz w:val="28"/>
          <w:szCs w:val="28"/>
          <w:lang w:val="en-US" w:eastAsia="zh-CN"/>
        </w:rPr>
        <w:t xml:space="preserve">                        </w:t>
      </w: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23</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6</w:t>
      </w:r>
      <w:r>
        <w:rPr>
          <w:rFonts w:hint="eastAsia" w:ascii="Times New Roman" w:hAnsi="Times New Roman" w:eastAsia="黑体" w:cs="黑体"/>
          <w:b/>
          <w:bCs/>
          <w:sz w:val="28"/>
          <w:szCs w:val="28"/>
        </w:rPr>
        <w:t>月</w:t>
      </w:r>
      <w:r>
        <w:rPr>
          <w:rFonts w:hint="eastAsia" w:ascii="Times New Roman" w:hAnsi="Times New Roman" w:eastAsia="黑体" w:cs="黑体"/>
          <w:b/>
          <w:bCs/>
          <w:sz w:val="28"/>
          <w:szCs w:val="28"/>
          <w:lang w:val="en-US" w:eastAsia="zh-CN"/>
        </w:rPr>
        <w:t>6日</w:t>
      </w:r>
    </w:p>
    <w:p>
      <w:pPr>
        <w:pStyle w:val="8"/>
        <w:widowControl w:val="0"/>
        <w:spacing w:after="0" w:line="360" w:lineRule="auto"/>
        <w:jc w:val="both"/>
        <w:rPr>
          <w:rFonts w:hint="eastAsia" w:ascii="Times New Roman" w:hAnsi="Times New Roman" w:eastAsia="黑体" w:cs="黑体"/>
          <w:kern w:val="2"/>
          <w:sz w:val="24"/>
          <w:szCs w:val="24"/>
          <w:lang w:val="zh-TW" w:eastAsia="zh-TW"/>
        </w:rPr>
      </w:pPr>
    </w:p>
    <w:p>
      <w:pPr>
        <w:pStyle w:val="8"/>
        <w:widowControl w:val="0"/>
        <w:spacing w:after="0" w:line="360" w:lineRule="auto"/>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869"/>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620" w:type="dxa"/>
            <w:vAlign w:val="center"/>
          </w:tcPr>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1620" w:type="dxa"/>
            <w:vAlign w:val="center"/>
          </w:tcPr>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1620" w:type="dxa"/>
            <w:vAlign w:val="center"/>
          </w:tcPr>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w:t>
            </w:r>
            <w:r>
              <w:rPr>
                <w:rFonts w:ascii="Times New Roman" w:hAnsi="Times New Roman" w:eastAsia="黑体" w:cs="黑体"/>
                <w:kern w:val="2"/>
                <w:sz w:val="24"/>
                <w:szCs w:val="24"/>
                <w:lang w:val="zh-TW"/>
              </w:rPr>
              <w:t>/</w:t>
            </w:r>
            <w:r>
              <w:rPr>
                <w:rFonts w:hint="eastAsia" w:ascii="Times New Roman" w:hAnsi="Times New Roman" w:eastAsia="黑体" w:cs="黑体"/>
                <w:kern w:val="2"/>
                <w:sz w:val="24"/>
                <w:szCs w:val="24"/>
                <w:lang w:val="zh-TW"/>
              </w:rPr>
              <w:t>职称</w:t>
            </w:r>
          </w:p>
        </w:tc>
        <w:tc>
          <w:tcPr>
            <w:tcW w:w="1869" w:type="dxa"/>
            <w:vAlign w:val="center"/>
          </w:tcPr>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w:t>
            </w:r>
            <w:r>
              <w:rPr>
                <w:rFonts w:ascii="Times New Roman" w:hAnsi="Times New Roman" w:eastAsia="黑体" w:cs="黑体"/>
                <w:kern w:val="2"/>
                <w:sz w:val="24"/>
                <w:szCs w:val="24"/>
                <w:lang w:val="zh-TW"/>
              </w:rPr>
              <w:t>/</w:t>
            </w:r>
            <w:r>
              <w:rPr>
                <w:rFonts w:hint="eastAsia" w:ascii="Times New Roman" w:hAnsi="Times New Roman" w:eastAsia="黑体" w:cs="黑体"/>
                <w:kern w:val="2"/>
                <w:sz w:val="24"/>
                <w:szCs w:val="24"/>
                <w:lang w:val="zh-TW"/>
              </w:rPr>
              <w:t>处室</w:t>
            </w:r>
          </w:p>
        </w:tc>
        <w:tc>
          <w:tcPr>
            <w:tcW w:w="1373" w:type="dxa"/>
            <w:vAlign w:val="center"/>
          </w:tcPr>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620" w:type="dxa"/>
            <w:vAlign w:val="center"/>
          </w:tcPr>
          <w:p>
            <w:pPr>
              <w:pStyle w:val="8"/>
              <w:widowControl w:val="0"/>
              <w:spacing w:after="0" w:afterLines="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长</w:t>
            </w:r>
          </w:p>
        </w:tc>
        <w:tc>
          <w:tcPr>
            <w:tcW w:w="1620" w:type="dxa"/>
            <w:vAlign w:val="center"/>
          </w:tcPr>
          <w:p>
            <w:pPr>
              <w:pStyle w:val="8"/>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刘弋华</w:t>
            </w:r>
          </w:p>
        </w:tc>
        <w:tc>
          <w:tcPr>
            <w:tcW w:w="1620" w:type="dxa"/>
            <w:vAlign w:val="center"/>
          </w:tcPr>
          <w:p>
            <w:pPr>
              <w:pStyle w:val="8"/>
              <w:widowControl w:val="0"/>
              <w:spacing w:after="0" w:line="24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书</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记</w:t>
            </w:r>
          </w:p>
        </w:tc>
        <w:tc>
          <w:tcPr>
            <w:tcW w:w="1869" w:type="dxa"/>
            <w:vAlign w:val="center"/>
          </w:tcPr>
          <w:p>
            <w:pPr>
              <w:pStyle w:val="8"/>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区城改局</w:t>
            </w:r>
          </w:p>
        </w:tc>
        <w:tc>
          <w:tcPr>
            <w:tcW w:w="1373" w:type="dxa"/>
            <w:vAlign w:val="top"/>
          </w:tcPr>
          <w:p>
            <w:pPr>
              <w:pStyle w:val="8"/>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620" w:type="dxa"/>
            <w:vAlign w:val="center"/>
          </w:tcPr>
          <w:p>
            <w:pPr>
              <w:pStyle w:val="8"/>
              <w:widowControl w:val="0"/>
              <w:spacing w:after="0" w:afterLines="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1620" w:type="dxa"/>
            <w:vAlign w:val="center"/>
          </w:tcPr>
          <w:p>
            <w:pPr>
              <w:pStyle w:val="8"/>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周</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俊</w:t>
            </w:r>
          </w:p>
        </w:tc>
        <w:tc>
          <w:tcPr>
            <w:tcW w:w="1620" w:type="dxa"/>
            <w:vAlign w:val="center"/>
          </w:tcPr>
          <w:p>
            <w:pPr>
              <w:pStyle w:val="8"/>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局</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长</w:t>
            </w:r>
          </w:p>
        </w:tc>
        <w:tc>
          <w:tcPr>
            <w:tcW w:w="1869" w:type="dxa"/>
            <w:vAlign w:val="center"/>
          </w:tcPr>
          <w:p>
            <w:pPr>
              <w:pStyle w:val="8"/>
              <w:widowControl w:val="0"/>
              <w:spacing w:after="0" w:line="24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区城改局</w:t>
            </w:r>
          </w:p>
        </w:tc>
        <w:tc>
          <w:tcPr>
            <w:tcW w:w="1373" w:type="dxa"/>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620" w:type="dxa"/>
            <w:vAlign w:val="center"/>
          </w:tcPr>
          <w:p>
            <w:pPr>
              <w:widowControl w:val="0"/>
              <w:spacing w:after="0" w:afterLines="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8"/>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赵东红</w:t>
            </w:r>
          </w:p>
        </w:tc>
        <w:tc>
          <w:tcPr>
            <w:tcW w:w="1620" w:type="dxa"/>
            <w:vAlign w:val="center"/>
          </w:tcPr>
          <w:p>
            <w:pPr>
              <w:pStyle w:val="8"/>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en-US" w:eastAsia="zh-CN"/>
              </w:rPr>
              <w:t>处  长</w:t>
            </w:r>
          </w:p>
        </w:tc>
        <w:tc>
          <w:tcPr>
            <w:tcW w:w="1869" w:type="dxa"/>
            <w:vAlign w:val="center"/>
          </w:tcPr>
          <w:p>
            <w:pPr>
              <w:pStyle w:val="8"/>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rPr>
              <w:t>区城改局</w:t>
            </w:r>
          </w:p>
        </w:tc>
        <w:tc>
          <w:tcPr>
            <w:tcW w:w="1373" w:type="dxa"/>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邓</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琳</w:t>
            </w:r>
          </w:p>
        </w:tc>
        <w:tc>
          <w:tcPr>
            <w:tcW w:w="1620"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副</w:t>
            </w:r>
            <w:r>
              <w:rPr>
                <w:rFonts w:hint="eastAsia" w:ascii="Times New Roman" w:hAnsi="Times New Roman" w:eastAsia="黑体" w:cs="黑体"/>
                <w:kern w:val="2"/>
                <w:sz w:val="24"/>
                <w:szCs w:val="24"/>
                <w:lang w:val="zh-TW"/>
              </w:rPr>
              <w:t>局长</w:t>
            </w:r>
          </w:p>
        </w:tc>
        <w:tc>
          <w:tcPr>
            <w:tcW w:w="1869"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rPr>
              <w:t>区城改局</w:t>
            </w:r>
          </w:p>
        </w:tc>
        <w:tc>
          <w:tcPr>
            <w:tcW w:w="1373" w:type="dxa"/>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620" w:type="dxa"/>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陈</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莅</w:t>
            </w:r>
          </w:p>
        </w:tc>
        <w:tc>
          <w:tcPr>
            <w:tcW w:w="1620"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副</w:t>
            </w:r>
            <w:r>
              <w:rPr>
                <w:rFonts w:hint="eastAsia" w:ascii="Times New Roman" w:hAnsi="Times New Roman" w:eastAsia="黑体" w:cs="黑体"/>
                <w:kern w:val="2"/>
                <w:sz w:val="24"/>
                <w:szCs w:val="24"/>
                <w:lang w:val="zh-TW"/>
              </w:rPr>
              <w:t>局长</w:t>
            </w:r>
          </w:p>
        </w:tc>
        <w:tc>
          <w:tcPr>
            <w:tcW w:w="1869"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rPr>
              <w:t>区城改局</w:t>
            </w:r>
          </w:p>
        </w:tc>
        <w:tc>
          <w:tcPr>
            <w:tcW w:w="1373" w:type="dxa"/>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620" w:type="dxa"/>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李春梅</w:t>
            </w:r>
          </w:p>
        </w:tc>
        <w:tc>
          <w:tcPr>
            <w:tcW w:w="1620"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zh-TW" w:eastAsia="zh-CN"/>
              </w:rPr>
              <w:t>主</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eastAsia="zh-CN"/>
              </w:rPr>
              <w:t>任</w:t>
            </w:r>
          </w:p>
        </w:tc>
        <w:tc>
          <w:tcPr>
            <w:tcW w:w="1869"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eastAsia="zh-CN"/>
              </w:rPr>
              <w:t>土储中心</w:t>
            </w:r>
          </w:p>
        </w:tc>
        <w:tc>
          <w:tcPr>
            <w:tcW w:w="1373" w:type="dxa"/>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620" w:type="dxa"/>
            <w:vAlign w:val="center"/>
          </w:tcPr>
          <w:p>
            <w:pPr>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en-US" w:eastAsia="zh-CN"/>
              </w:rPr>
              <w:t>舒冰洁</w:t>
            </w:r>
          </w:p>
        </w:tc>
        <w:tc>
          <w:tcPr>
            <w:tcW w:w="1620"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zh-TW" w:eastAsia="zh-CN"/>
              </w:rPr>
              <w:t>副主任</w:t>
            </w:r>
          </w:p>
        </w:tc>
        <w:tc>
          <w:tcPr>
            <w:tcW w:w="1869" w:type="dxa"/>
            <w:vAlign w:val="center"/>
          </w:tcPr>
          <w:p>
            <w:pPr>
              <w:pStyle w:val="8"/>
              <w:widowControl w:val="0"/>
              <w:spacing w:after="0" w:afterLines="0" w:line="360" w:lineRule="auto"/>
              <w:jc w:val="center"/>
              <w:rPr>
                <w:rFonts w:hint="eastAsia"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eastAsia="zh-CN"/>
              </w:rPr>
              <w:t>土储中心</w:t>
            </w:r>
          </w:p>
        </w:tc>
        <w:tc>
          <w:tcPr>
            <w:tcW w:w="1373" w:type="dxa"/>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620" w:type="dxa"/>
            <w:vAlign w:val="center"/>
          </w:tcPr>
          <w:p>
            <w:pPr>
              <w:widowControl w:val="0"/>
              <w:spacing w:after="0" w:afterLines="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成</w:t>
            </w:r>
            <w:r>
              <w:rPr>
                <w:rFonts w:hint="eastAsia" w:ascii="Times New Roman" w:hAnsi="Times New Roman" w:eastAsia="黑体" w:cs="黑体"/>
                <w:kern w:val="2"/>
                <w:sz w:val="24"/>
                <w:szCs w:val="24"/>
                <w:lang w:val="en-US" w:eastAsia="zh-CN"/>
              </w:rPr>
              <w:t xml:space="preserve">  </w:t>
            </w:r>
            <w:r>
              <w:rPr>
                <w:rFonts w:hint="eastAsia" w:ascii="Times New Roman" w:hAnsi="Times New Roman" w:eastAsia="黑体" w:cs="黑体"/>
                <w:kern w:val="2"/>
                <w:sz w:val="24"/>
                <w:szCs w:val="24"/>
                <w:lang w:val="zh-TW"/>
              </w:rPr>
              <w:t>员</w:t>
            </w:r>
          </w:p>
        </w:tc>
        <w:tc>
          <w:tcPr>
            <w:tcW w:w="1620" w:type="dxa"/>
            <w:vAlign w:val="center"/>
          </w:tcPr>
          <w:p>
            <w:pPr>
              <w:pStyle w:val="8"/>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en-US" w:eastAsia="zh-CN"/>
              </w:rPr>
              <w:t>保春红</w:t>
            </w:r>
          </w:p>
        </w:tc>
        <w:tc>
          <w:tcPr>
            <w:tcW w:w="1620" w:type="dxa"/>
            <w:vAlign w:val="center"/>
          </w:tcPr>
          <w:p>
            <w:pPr>
              <w:pStyle w:val="8"/>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副主任</w:t>
            </w:r>
          </w:p>
        </w:tc>
        <w:tc>
          <w:tcPr>
            <w:tcW w:w="1869" w:type="dxa"/>
            <w:vAlign w:val="center"/>
          </w:tcPr>
          <w:p>
            <w:pPr>
              <w:pStyle w:val="8"/>
              <w:widowControl w:val="0"/>
              <w:spacing w:after="0" w:afterLines="0" w:line="360" w:lineRule="auto"/>
              <w:jc w:val="center"/>
              <w:rPr>
                <w:rFonts w:ascii="Times New Roman" w:hAnsi="Times New Roman" w:eastAsia="黑体" w:cs="黑体"/>
                <w:kern w:val="2"/>
                <w:sz w:val="24"/>
                <w:szCs w:val="24"/>
                <w:lang w:val="zh-TW" w:eastAsia="zh-TW"/>
              </w:rPr>
            </w:pPr>
            <w:r>
              <w:rPr>
                <w:rFonts w:hint="eastAsia" w:ascii="Times New Roman" w:hAnsi="Times New Roman" w:eastAsia="黑体" w:cs="黑体"/>
                <w:kern w:val="2"/>
                <w:sz w:val="24"/>
                <w:szCs w:val="24"/>
                <w:lang w:val="zh-TW" w:eastAsia="zh-CN"/>
              </w:rPr>
              <w:t>土储中心</w:t>
            </w:r>
          </w:p>
        </w:tc>
        <w:tc>
          <w:tcPr>
            <w:tcW w:w="1373" w:type="dxa"/>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1620" w:type="dxa"/>
            <w:vAlign w:val="center"/>
          </w:tcPr>
          <w:p>
            <w:pPr>
              <w:pStyle w:val="8"/>
              <w:widowControl w:val="0"/>
              <w:spacing w:after="0" w:afterLines="0" w:line="240" w:lineRule="auto"/>
              <w:jc w:val="center"/>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 xml:space="preserve"> </w:t>
            </w:r>
          </w:p>
        </w:tc>
        <w:tc>
          <w:tcPr>
            <w:tcW w:w="1620" w:type="dxa"/>
            <w:vAlign w:val="center"/>
          </w:tcPr>
          <w:p>
            <w:pPr>
              <w:pStyle w:val="8"/>
              <w:widowControl w:val="0"/>
              <w:spacing w:after="0" w:line="240" w:lineRule="auto"/>
              <w:jc w:val="center"/>
              <w:rPr>
                <w:rFonts w:hint="default" w:ascii="Times New Roman" w:hAnsi="Times New Roman" w:eastAsia="黑体" w:cs="黑体"/>
                <w:kern w:val="2"/>
                <w:sz w:val="24"/>
                <w:szCs w:val="24"/>
                <w:lang w:val="en-US" w:eastAsia="zh-CN"/>
              </w:rPr>
            </w:pPr>
          </w:p>
        </w:tc>
        <w:tc>
          <w:tcPr>
            <w:tcW w:w="1620" w:type="dxa"/>
            <w:vAlign w:val="center"/>
          </w:tcPr>
          <w:p>
            <w:pPr>
              <w:pStyle w:val="8"/>
              <w:widowControl w:val="0"/>
              <w:spacing w:after="0" w:line="240" w:lineRule="auto"/>
              <w:jc w:val="center"/>
              <w:rPr>
                <w:rFonts w:hint="default" w:ascii="Times New Roman" w:hAnsi="Times New Roman" w:eastAsia="黑体" w:cs="黑体"/>
                <w:kern w:val="2"/>
                <w:sz w:val="24"/>
                <w:szCs w:val="24"/>
                <w:lang w:val="en-US" w:eastAsia="zh-CN"/>
              </w:rPr>
            </w:pPr>
          </w:p>
        </w:tc>
        <w:tc>
          <w:tcPr>
            <w:tcW w:w="1869" w:type="dxa"/>
            <w:vAlign w:val="center"/>
          </w:tcPr>
          <w:p>
            <w:pPr>
              <w:pStyle w:val="8"/>
              <w:widowControl w:val="0"/>
              <w:spacing w:after="0" w:line="240" w:lineRule="auto"/>
              <w:jc w:val="center"/>
              <w:rPr>
                <w:rFonts w:hint="default" w:ascii="Times New Roman" w:hAnsi="Times New Roman" w:eastAsia="黑体" w:cs="黑体"/>
                <w:kern w:val="2"/>
                <w:sz w:val="24"/>
                <w:szCs w:val="24"/>
                <w:lang w:val="en-US" w:eastAsia="zh-CN"/>
              </w:rPr>
            </w:pPr>
          </w:p>
        </w:tc>
        <w:tc>
          <w:tcPr>
            <w:tcW w:w="1373" w:type="dxa"/>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7" w:hRule="atLeast"/>
        </w:trPr>
        <w:tc>
          <w:tcPr>
            <w:tcW w:w="8102" w:type="dxa"/>
            <w:gridSpan w:val="5"/>
            <w:vAlign w:val="top"/>
          </w:tcPr>
          <w:p>
            <w:pPr>
              <w:pStyle w:val="8"/>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8"/>
              <w:widowControl w:val="0"/>
              <w:spacing w:after="0" w:line="360" w:lineRule="auto"/>
              <w:jc w:val="both"/>
              <w:rPr>
                <w:rFonts w:hint="eastAsia" w:ascii="Times New Roman" w:hAnsi="Times New Roman" w:eastAsia="黑体" w:cs="黑体"/>
                <w:kern w:val="2"/>
                <w:sz w:val="24"/>
                <w:szCs w:val="24"/>
                <w:lang w:val="en-US" w:eastAsia="zh-CN"/>
              </w:rPr>
            </w:pPr>
            <w:r>
              <w:rPr>
                <w:rFonts w:hint="eastAsia" w:ascii="Times New Roman" w:hAnsi="Times New Roman" w:eastAsia="黑体" w:cs="黑体"/>
                <w:kern w:val="2"/>
                <w:sz w:val="24"/>
                <w:szCs w:val="24"/>
                <w:lang w:val="en-US" w:eastAsia="zh-CN"/>
              </w:rPr>
              <w:t xml:space="preserve">           </w:t>
            </w:r>
          </w:p>
          <w:p>
            <w:pPr>
              <w:pStyle w:val="8"/>
              <w:widowControl w:val="0"/>
              <w:spacing w:after="0" w:line="360" w:lineRule="auto"/>
              <w:jc w:val="both"/>
              <w:rPr>
                <w:rFonts w:ascii="Times New Roman" w:hAnsi="Times New Roman" w:eastAsia="黑体" w:cs="黑体"/>
                <w:kern w:val="2"/>
                <w:sz w:val="24"/>
                <w:szCs w:val="24"/>
                <w:lang w:val="zh-TW"/>
              </w:rPr>
            </w:pPr>
          </w:p>
          <w:p>
            <w:pPr>
              <w:pStyle w:val="8"/>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月</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6" w:hRule="atLeast"/>
        </w:trPr>
        <w:tc>
          <w:tcPr>
            <w:tcW w:w="8102" w:type="dxa"/>
            <w:gridSpan w:val="5"/>
            <w:vAlign w:val="top"/>
          </w:tcPr>
          <w:p>
            <w:pPr>
              <w:pStyle w:val="8"/>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8"/>
              <w:widowControl w:val="0"/>
              <w:spacing w:after="0" w:line="360" w:lineRule="auto"/>
              <w:jc w:val="both"/>
              <w:rPr>
                <w:rFonts w:ascii="Times New Roman" w:hAnsi="Times New Roman" w:eastAsia="黑体" w:cs="黑体"/>
                <w:kern w:val="2"/>
                <w:sz w:val="24"/>
                <w:szCs w:val="24"/>
                <w:lang w:val="zh-TW"/>
              </w:rPr>
            </w:pPr>
          </w:p>
          <w:p>
            <w:pPr>
              <w:pStyle w:val="8"/>
              <w:widowControl w:val="0"/>
              <w:spacing w:after="0" w:line="360" w:lineRule="auto"/>
              <w:jc w:val="both"/>
              <w:rPr>
                <w:rFonts w:ascii="Times New Roman" w:hAnsi="Times New Roman" w:eastAsia="黑体" w:cs="黑体"/>
                <w:kern w:val="2"/>
                <w:sz w:val="24"/>
                <w:szCs w:val="24"/>
                <w:lang w:val="zh-TW"/>
              </w:rPr>
            </w:pPr>
          </w:p>
          <w:p>
            <w:pPr>
              <w:pStyle w:val="8"/>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月</w:t>
            </w:r>
            <w:r>
              <w:rPr>
                <w:rFonts w:ascii="Times New Roman" w:hAnsi="Times New Roman" w:eastAsia="黑体" w:cs="黑体"/>
                <w:kern w:val="2"/>
                <w:sz w:val="24"/>
                <w:szCs w:val="24"/>
                <w:lang w:val="zh-TW"/>
              </w:rPr>
              <w:t xml:space="preserve">  </w:t>
            </w:r>
            <w:r>
              <w:rPr>
                <w:rFonts w:hint="eastAsia" w:ascii="Times New Roman" w:hAnsi="Times New Roman" w:eastAsia="黑体" w:cs="黑体"/>
                <w:kern w:val="2"/>
                <w:sz w:val="24"/>
                <w:szCs w:val="24"/>
                <w:lang w:val="zh-TW"/>
              </w:rPr>
              <w:t>日</w:t>
            </w:r>
          </w:p>
        </w:tc>
      </w:tr>
    </w:tbl>
    <w:p>
      <w:pPr>
        <w:pStyle w:val="8"/>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9"/>
        <w:pageBreakBefore w:val="0"/>
        <w:kinsoku/>
        <w:wordWrap/>
        <w:overflowPunct/>
        <w:topLinePunct w:val="0"/>
        <w:autoSpaceDE/>
        <w:autoSpaceDN/>
        <w:bidi w:val="0"/>
        <w:adjustRightInd/>
        <w:snapToGrid/>
        <w:spacing w:before="0" w:after="0" w:line="640" w:lineRule="exact"/>
        <w:ind w:left="0" w:leftChars="0" w:right="0" w:rightChars="0"/>
        <w:jc w:val="center"/>
        <w:textAlignment w:val="auto"/>
        <w:rPr>
          <w:rFonts w:ascii="黑体" w:hAnsi="黑体" w:eastAsia="黑体"/>
          <w:sz w:val="32"/>
          <w:szCs w:val="32"/>
        </w:rPr>
      </w:pPr>
      <w:r>
        <w:rPr>
          <w:rFonts w:hint="eastAsia" w:ascii="Times New Roman" w:hAnsi="Times New Roman" w:cs="宋体"/>
          <w:color w:val="auto"/>
          <w:sz w:val="32"/>
          <w:szCs w:val="32"/>
          <w:lang w:val="zh-CN"/>
        </w:rPr>
        <w:t>目录</w:t>
      </w:r>
      <w:r>
        <w:rPr>
          <w:rFonts w:ascii="黑体" w:hAnsi="黑体" w:eastAsia="黑体"/>
          <w:sz w:val="32"/>
          <w:szCs w:val="32"/>
        </w:rPr>
        <w:tab/>
      </w:r>
    </w:p>
    <w:p>
      <w:pPr>
        <w:pageBreakBefore w:val="0"/>
        <w:kinsoku/>
        <w:wordWrap/>
        <w:overflowPunct/>
        <w:topLinePunct w:val="0"/>
        <w:autoSpaceDE/>
        <w:autoSpaceDN/>
        <w:bidi w:val="0"/>
        <w:adjustRightInd/>
        <w:snapToGrid/>
        <w:spacing w:line="640" w:lineRule="exact"/>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 项目情况</w:t>
      </w:r>
      <w:r>
        <w:rPr>
          <w:rFonts w:hint="eastAsia" w:ascii="仿宋_GB2312" w:hAnsi="仿宋_GB2312" w:eastAsia="仿宋_GB2312" w:cs="仿宋_GB2312"/>
          <w:sz w:val="32"/>
          <w:szCs w:val="32"/>
        </w:rPr>
        <w:tab/>
      </w:r>
    </w:p>
    <w:p>
      <w:pPr>
        <w:pageBreakBefore w:val="0"/>
        <w:kinsoku/>
        <w:wordWrap/>
        <w:overflowPunct/>
        <w:topLinePunct w:val="0"/>
        <w:autoSpaceDE/>
        <w:autoSpaceDN/>
        <w:bidi w:val="0"/>
        <w:adjustRightInd/>
        <w:snapToGrid/>
        <w:spacing w:line="640" w:lineRule="exact"/>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w:t>
      </w:r>
      <w:r>
        <w:rPr>
          <w:rFonts w:hint="eastAsia" w:ascii="仿宋_GB2312" w:hAnsi="仿宋_GB2312" w:eastAsia="仿宋_GB2312" w:cs="仿宋_GB2312"/>
          <w:sz w:val="32"/>
          <w:szCs w:val="32"/>
          <w:lang w:eastAsia="zh-CN"/>
        </w:rPr>
        <w:t>基本情况</w:t>
      </w:r>
      <w:r>
        <w:rPr>
          <w:rFonts w:hint="eastAsia" w:ascii="仿宋_GB2312" w:hAnsi="仿宋_GB2312" w:eastAsia="仿宋_GB2312" w:cs="仿宋_GB2312"/>
          <w:sz w:val="32"/>
          <w:szCs w:val="32"/>
        </w:rPr>
        <w:tab/>
      </w:r>
    </w:p>
    <w:p>
      <w:pPr>
        <w:pageBreakBefore w:val="0"/>
        <w:kinsoku/>
        <w:wordWrap/>
        <w:overflowPunct/>
        <w:topLinePunct w:val="0"/>
        <w:autoSpaceDE/>
        <w:autoSpaceDN/>
        <w:bidi w:val="0"/>
        <w:adjustRightInd/>
        <w:snapToGrid/>
        <w:spacing w:line="640" w:lineRule="exact"/>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w:t>
      </w:r>
      <w:r>
        <w:rPr>
          <w:rFonts w:hint="eastAsia" w:ascii="仿宋_GB2312" w:hAnsi="仿宋_GB2312" w:eastAsia="仿宋_GB2312" w:cs="仿宋_GB2312"/>
          <w:sz w:val="32"/>
          <w:szCs w:val="32"/>
          <w:lang w:eastAsia="zh-CN"/>
        </w:rPr>
        <w:t>实施情况</w:t>
      </w:r>
      <w:r>
        <w:rPr>
          <w:rFonts w:hint="eastAsia" w:ascii="仿宋_GB2312" w:hAnsi="仿宋_GB2312" w:eastAsia="仿宋_GB2312" w:cs="仿宋_GB2312"/>
          <w:sz w:val="32"/>
          <w:szCs w:val="32"/>
        </w:rPr>
        <w:t xml:space="preserve"> </w:t>
      </w:r>
    </w:p>
    <w:p>
      <w:pPr>
        <w:pageBreakBefore w:val="0"/>
        <w:kinsoku/>
        <w:wordWrap/>
        <w:overflowPunct/>
        <w:topLinePunct w:val="0"/>
        <w:autoSpaceDE/>
        <w:autoSpaceDN/>
        <w:bidi w:val="0"/>
        <w:adjustRightInd/>
        <w:snapToGrid/>
        <w:spacing w:line="640" w:lineRule="exact"/>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资金收支及使用情况</w:t>
      </w:r>
      <w:r>
        <w:rPr>
          <w:rFonts w:hint="eastAsia" w:ascii="仿宋_GB2312" w:hAnsi="仿宋_GB2312" w:eastAsia="仿宋_GB2312" w:cs="仿宋_GB2312"/>
          <w:sz w:val="32"/>
          <w:szCs w:val="32"/>
        </w:rPr>
        <w:tab/>
      </w:r>
    </w:p>
    <w:p>
      <w:pPr>
        <w:pageBreakBefore w:val="0"/>
        <w:kinsoku/>
        <w:wordWrap/>
        <w:overflowPunct/>
        <w:topLinePunct w:val="0"/>
        <w:autoSpaceDE/>
        <w:autoSpaceDN/>
        <w:bidi w:val="0"/>
        <w:adjustRightInd/>
        <w:snapToGrid/>
        <w:spacing w:line="640" w:lineRule="exact"/>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二、绩效评价</w:t>
      </w:r>
      <w:r>
        <w:rPr>
          <w:rFonts w:hint="eastAsia" w:ascii="仿宋_GB2312" w:hAnsi="仿宋_GB2312" w:eastAsia="仿宋_GB2312" w:cs="仿宋_GB2312"/>
          <w:sz w:val="32"/>
          <w:szCs w:val="32"/>
        </w:rPr>
        <w:tab/>
      </w:r>
    </w:p>
    <w:p>
      <w:pPr>
        <w:pageBreakBefore w:val="0"/>
        <w:kinsoku/>
        <w:wordWrap/>
        <w:overflowPunct/>
        <w:topLinePunct w:val="0"/>
        <w:autoSpaceDE/>
        <w:autoSpaceDN/>
        <w:bidi w:val="0"/>
        <w:adjustRightInd/>
        <w:snapToGrid/>
        <w:spacing w:line="640" w:lineRule="exact"/>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eastAsia="zh-CN"/>
        </w:rPr>
        <w:t>绩效目标</w:t>
      </w:r>
    </w:p>
    <w:p>
      <w:pPr>
        <w:pageBreakBefore w:val="0"/>
        <w:kinsoku/>
        <w:wordWrap/>
        <w:overflowPunct/>
        <w:topLinePunct w:val="0"/>
        <w:autoSpaceDE/>
        <w:autoSpaceDN/>
        <w:bidi w:val="0"/>
        <w:adjustRightInd/>
        <w:snapToGrid/>
        <w:spacing w:line="640" w:lineRule="exact"/>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(二)绩效评价工作</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ab/>
      </w:r>
    </w:p>
    <w:p>
      <w:pPr>
        <w:pageBreakBefore w:val="0"/>
        <w:kinsoku/>
        <w:wordWrap/>
        <w:overflowPunct/>
        <w:topLinePunct w:val="0"/>
        <w:autoSpaceDE/>
        <w:autoSpaceDN/>
        <w:bidi w:val="0"/>
        <w:adjustRightInd/>
        <w:snapToGrid/>
        <w:spacing w:line="640" w:lineRule="exact"/>
        <w:ind w:left="0" w:leftChars="0" w:right="0" w:rightChars="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评价的目的和依据</w:t>
      </w:r>
    </w:p>
    <w:p>
      <w:pPr>
        <w:pageBreakBefore w:val="0"/>
        <w:kinsoku/>
        <w:wordWrap/>
        <w:overflowPunct/>
        <w:topLinePunct w:val="0"/>
        <w:autoSpaceDE/>
        <w:autoSpaceDN/>
        <w:bidi w:val="0"/>
        <w:adjustRightInd/>
        <w:snapToGrid/>
        <w:spacing w:line="640" w:lineRule="exact"/>
        <w:ind w:left="0" w:leftChars="0" w:right="0" w:righ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 xml:space="preserve">、项目主要经验及做法、存在的问题和建议 </w:t>
      </w:r>
    </w:p>
    <w:p>
      <w:pPr>
        <w:spacing w:line="440" w:lineRule="exact"/>
        <w:ind w:firstLine="640" w:firstLineChars="200"/>
        <w:jc w:val="left"/>
        <w:rPr>
          <w:rFonts w:hint="eastAsia" w:ascii="仿宋_GB2312" w:hAnsi="仿宋_GB2312" w:eastAsia="仿宋_GB2312" w:cs="仿宋_GB2312"/>
          <w:sz w:val="32"/>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ind w:firstLine="420" w:firstLineChars="200"/>
        <w:jc w:val="left"/>
        <w:rPr>
          <w:rFonts w:ascii="黑体" w:hAnsi="黑体" w:eastAsia="黑体"/>
          <w:szCs w:val="32"/>
        </w:rPr>
      </w:pPr>
    </w:p>
    <w:p>
      <w:pPr>
        <w:spacing w:line="440" w:lineRule="exact"/>
        <w:jc w:val="left"/>
        <w:rPr>
          <w:rFonts w:ascii="黑体" w:hAnsi="黑体" w:eastAsia="黑体"/>
          <w:szCs w:val="32"/>
        </w:rPr>
      </w:pPr>
    </w:p>
    <w:p>
      <w:pPr>
        <w:spacing w:line="440" w:lineRule="exact"/>
        <w:ind w:firstLine="420" w:firstLineChars="200"/>
        <w:jc w:val="left"/>
        <w:rPr>
          <w:rFonts w:ascii="黑体" w:hAnsi="黑体" w:eastAsia="黑体"/>
          <w:szCs w:val="32"/>
        </w:rPr>
      </w:pPr>
      <w:r>
        <w:rPr>
          <w:rFonts w:ascii="黑体" w:hAnsi="黑体" w:eastAsia="黑体"/>
          <w:szCs w:val="32"/>
        </w:rPr>
        <w:tab/>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盘龙区老旧小区改造项目3350.91万元</w:t>
      </w:r>
    </w:p>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专项经费支出绩效自评报告</w:t>
      </w:r>
    </w:p>
    <w:p>
      <w:pPr>
        <w:keepNext w:val="0"/>
        <w:keepLines w:val="0"/>
        <w:pageBreakBefore w:val="0"/>
        <w:widowControl w:val="0"/>
        <w:kinsoku/>
        <w:wordWrap/>
        <w:overflowPunct/>
        <w:topLinePunct/>
        <w:autoSpaceDE/>
        <w:autoSpaceDN/>
        <w:bidi w:val="0"/>
        <w:adjustRightInd/>
        <w:snapToGrid/>
        <w:spacing w:line="360" w:lineRule="auto"/>
        <w:textAlignment w:val="auto"/>
        <w:rPr>
          <w:rFonts w:ascii="黑体" w:eastAsia="黑体"/>
          <w:b/>
          <w:bCs/>
          <w:szCs w:val="32"/>
        </w:rPr>
      </w:pPr>
    </w:p>
    <w:p>
      <w:pPr>
        <w:keepNext w:val="0"/>
        <w:keepLines w:val="0"/>
        <w:pageBreakBefore w:val="0"/>
        <w:widowControl w:val="0"/>
        <w:numPr>
          <w:ilvl w:val="0"/>
          <w:numId w:val="1"/>
        </w:numPr>
        <w:kinsoku/>
        <w:wordWrap/>
        <w:overflowPunct/>
        <w:topLinePunct/>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项目情况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textAlignment w:val="auto"/>
        <w:rPr>
          <w:rFonts w:hint="eastAsia" w:ascii="仿宋" w:hAnsi="仿宋" w:eastAsia="仿宋" w:cs="Arial"/>
          <w:kern w:val="0"/>
          <w:sz w:val="32"/>
          <w:szCs w:val="32"/>
          <w:lang w:val="en-US" w:eastAsia="zh-CN"/>
        </w:rPr>
      </w:pPr>
      <w:r>
        <w:rPr>
          <w:rFonts w:hint="eastAsia" w:ascii="仿宋" w:hAnsi="仿宋" w:eastAsia="仿宋" w:cs="Arial"/>
          <w:kern w:val="0"/>
          <w:sz w:val="32"/>
          <w:szCs w:val="32"/>
          <w:lang w:val="en-US" w:eastAsia="zh-CN"/>
        </w:rPr>
        <w:t>1、盘龙区老旧小区改造工程专项资金3350.91万元。</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仿宋" w:hAnsi="仿宋" w:eastAsia="仿宋" w:cs="Arial"/>
          <w:kern w:val="0"/>
          <w:sz w:val="32"/>
          <w:szCs w:val="32"/>
          <w:lang w:val="en-US" w:eastAsia="zh-CN"/>
        </w:rPr>
        <w:t xml:space="preserve"> </w:t>
      </w:r>
      <w:r>
        <w:rPr>
          <w:rFonts w:hint="eastAsia" w:ascii="楷体" w:hAnsi="楷体" w:eastAsia="楷体" w:cs="楷体"/>
          <w:sz w:val="32"/>
          <w:szCs w:val="32"/>
          <w:lang w:val="en-US" w:eastAsia="zh-CN"/>
        </w:rPr>
        <w:t>（一）项目基本情况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仿宋" w:hAnsi="仿宋" w:eastAsia="仿宋" w:cs="Arial"/>
          <w:kern w:val="0"/>
          <w:sz w:val="32"/>
          <w:szCs w:val="32"/>
          <w:lang w:val="en-US" w:eastAsia="zh-CN"/>
        </w:rPr>
        <w:t>按照2022年度预算指标及2022年度城改局工作任务计划，</w:t>
      </w:r>
      <w:r>
        <w:rPr>
          <w:rFonts w:hint="eastAsia" w:ascii="仿宋" w:hAnsi="仿宋" w:eastAsia="仿宋" w:cs="Arial"/>
          <w:kern w:val="0"/>
          <w:sz w:val="32"/>
          <w:szCs w:val="32"/>
          <w:lang w:eastAsia="zh-CN"/>
        </w:rPr>
        <w:t>区财政预算拨入我局</w:t>
      </w:r>
      <w:r>
        <w:rPr>
          <w:rFonts w:hint="eastAsia" w:ascii="仿宋" w:hAnsi="仿宋" w:eastAsia="仿宋" w:cs="Arial"/>
          <w:kern w:val="0"/>
          <w:sz w:val="32"/>
          <w:szCs w:val="32"/>
          <w:lang w:val="en-US" w:eastAsia="zh-CN"/>
        </w:rPr>
        <w:t>盘龙区老旧小区改造工程专项资金3350.91万元,</w:t>
      </w:r>
      <w:r>
        <w:rPr>
          <w:rFonts w:hint="eastAsia" w:ascii="仿宋" w:hAnsi="仿宋" w:eastAsia="仿宋" w:cs="Arial"/>
          <w:kern w:val="0"/>
          <w:sz w:val="32"/>
          <w:szCs w:val="32"/>
          <w:lang w:eastAsia="zh-CN"/>
        </w:rPr>
        <w:t>主要用于</w:t>
      </w:r>
      <w:r>
        <w:rPr>
          <w:rFonts w:hint="eastAsia" w:ascii="仿宋" w:hAnsi="仿宋" w:eastAsia="仿宋" w:cs="Arial"/>
          <w:kern w:val="0"/>
          <w:sz w:val="32"/>
          <w:szCs w:val="32"/>
          <w:lang w:val="en-US" w:eastAsia="zh-CN"/>
        </w:rPr>
        <w:t>盘龙区老旧小区改造工程专项资金</w:t>
      </w:r>
      <w:r>
        <w:rPr>
          <w:rFonts w:hint="eastAsia" w:ascii="仿宋" w:hAnsi="仿宋" w:eastAsia="仿宋"/>
          <w:sz w:val="32"/>
          <w:szCs w:val="32"/>
        </w:rPr>
        <w:t>支出</w:t>
      </w:r>
      <w:r>
        <w:rPr>
          <w:rFonts w:hint="eastAsia" w:ascii="仿宋" w:hAnsi="仿宋" w:eastAsia="仿宋"/>
          <w:sz w:val="32"/>
          <w:szCs w:val="32"/>
          <w:lang w:eastAsia="zh-CN"/>
        </w:rPr>
        <w:t>。</w:t>
      </w:r>
    </w:p>
    <w:p>
      <w:pPr>
        <w:keepNext w:val="0"/>
        <w:keepLines w:val="0"/>
        <w:pageBreakBefore w:val="0"/>
        <w:widowControl w:val="0"/>
        <w:numPr>
          <w:ilvl w:val="0"/>
          <w:numId w:val="2"/>
        </w:numPr>
        <w:kinsoku/>
        <w:wordWrap/>
        <w:overflowPunct/>
        <w:topLinePunct/>
        <w:autoSpaceDE/>
        <w:autoSpaceDN/>
        <w:bidi w:val="0"/>
        <w:adjustRightInd/>
        <w:snapToGrid/>
        <w:spacing w:line="56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项目实施情况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cs="Arial"/>
          <w:kern w:val="0"/>
          <w:sz w:val="32"/>
          <w:szCs w:val="32"/>
          <w:lang w:val="en-US" w:eastAsia="zh-CN"/>
        </w:rPr>
      </w:pPr>
      <w:r>
        <w:rPr>
          <w:rFonts w:hint="eastAsia" w:ascii="仿宋" w:hAnsi="仿宋" w:eastAsia="仿宋" w:cs="Arial"/>
          <w:kern w:val="0"/>
          <w:sz w:val="32"/>
          <w:szCs w:val="32"/>
          <w:lang w:val="en-US" w:eastAsia="zh-CN"/>
        </w:rPr>
        <w:t>盘龙区老旧小区改造工程，共涉及拓东街道白塔路188号院、东风巷112号院、明通巷42号院，穿金路5号院，东华街道新龙巷二组团、文艺路86号院，金辰街道波罗小区、云南省精神病医院职工宿舍，青云街道金沙小区、王大桥小区、西林社区三农场等老旧小区改造项目，项目共涉及建筑面积47.71万平方米，涉及户数6350户，立项批复总投资3850.01万元。目前，金沙小区，王大桥小区已完工，其余小区正在开工建设中，于今年12底前全部完工。</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eastAsia="zh-CN"/>
        </w:rPr>
        <w:t>（三）资金收支及使用情况</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eastAsia="zh-CN"/>
        </w:rPr>
      </w:pPr>
      <w:r>
        <w:rPr>
          <w:rFonts w:hint="eastAsia" w:ascii="仿宋" w:hAnsi="仿宋" w:eastAsia="仿宋" w:cs="仿宋"/>
          <w:sz w:val="32"/>
          <w:szCs w:val="32"/>
          <w:lang w:val="en-US" w:eastAsia="zh-CN"/>
        </w:rPr>
        <w:t>截至2022年12月31日，区城改局收到</w:t>
      </w:r>
      <w:r>
        <w:rPr>
          <w:rFonts w:hint="eastAsia" w:ascii="仿宋" w:hAnsi="仿宋" w:eastAsia="仿宋" w:cs="Arial"/>
          <w:kern w:val="0"/>
          <w:sz w:val="32"/>
          <w:szCs w:val="32"/>
          <w:lang w:eastAsia="zh-CN"/>
        </w:rPr>
        <w:t>区财政预算拨入我局</w:t>
      </w:r>
      <w:r>
        <w:rPr>
          <w:rFonts w:hint="eastAsia" w:ascii="仿宋" w:hAnsi="仿宋" w:eastAsia="仿宋" w:cs="Arial"/>
          <w:kern w:val="0"/>
          <w:sz w:val="32"/>
          <w:szCs w:val="32"/>
          <w:lang w:val="en-US" w:eastAsia="zh-CN"/>
        </w:rPr>
        <w:t>盘龙区老旧小区改造工程专项资金3350.91万元</w:t>
      </w:r>
      <w:r>
        <w:rPr>
          <w:rFonts w:hint="eastAsia" w:ascii="仿宋" w:hAnsi="仿宋" w:eastAsia="仿宋" w:cs="仿宋"/>
          <w:sz w:val="32"/>
          <w:szCs w:val="32"/>
          <w:lang w:val="en-US" w:eastAsia="zh-CN"/>
        </w:rPr>
        <w:t>，共计支出</w:t>
      </w:r>
      <w:r>
        <w:rPr>
          <w:rFonts w:hint="eastAsia" w:ascii="仿宋" w:hAnsi="仿宋" w:eastAsia="仿宋" w:cs="Arial"/>
          <w:kern w:val="0"/>
          <w:sz w:val="32"/>
          <w:szCs w:val="32"/>
          <w:lang w:val="en-US" w:eastAsia="zh-CN"/>
        </w:rPr>
        <w:t>3350.91</w:t>
      </w:r>
      <w:r>
        <w:rPr>
          <w:rFonts w:hint="eastAsia" w:ascii="仿宋" w:hAnsi="仿宋" w:eastAsia="仿宋" w:cs="仿宋"/>
          <w:sz w:val="32"/>
          <w:szCs w:val="32"/>
          <w:lang w:val="en-US" w:eastAsia="zh-CN"/>
        </w:rPr>
        <w:t>万元（主要用于</w:t>
      </w:r>
      <w:r>
        <w:rPr>
          <w:rFonts w:hint="eastAsia" w:ascii="仿宋" w:hAnsi="仿宋" w:eastAsia="仿宋" w:cs="Arial"/>
          <w:kern w:val="0"/>
          <w:sz w:val="32"/>
          <w:szCs w:val="32"/>
          <w:lang w:eastAsia="zh-CN"/>
        </w:rPr>
        <w:t>区财政预算拨入我局</w:t>
      </w:r>
      <w:r>
        <w:rPr>
          <w:rFonts w:hint="eastAsia" w:ascii="仿宋" w:hAnsi="仿宋" w:eastAsia="仿宋" w:cs="Arial"/>
          <w:kern w:val="0"/>
          <w:sz w:val="32"/>
          <w:szCs w:val="32"/>
          <w:lang w:val="en-US" w:eastAsia="zh-CN"/>
        </w:rPr>
        <w:t>盘龙区老旧小区改造工程</w:t>
      </w:r>
      <w:r>
        <w:rPr>
          <w:rFonts w:hint="eastAsia" w:ascii="仿宋" w:hAnsi="仿宋" w:eastAsia="仿宋" w:cs="仿宋"/>
          <w:sz w:val="32"/>
          <w:szCs w:val="32"/>
          <w:lang w:val="en-US" w:eastAsia="zh-CN"/>
        </w:rPr>
        <w:t>）年末无结余。</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二、绩效评价</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 xml:space="preserve">   </w:t>
      </w:r>
      <w:r>
        <w:rPr>
          <w:rFonts w:hint="eastAsia" w:ascii="楷体" w:hAnsi="楷体" w:eastAsia="楷体" w:cs="楷体"/>
          <w:b w:val="0"/>
          <w:bCs w:val="0"/>
          <w:sz w:val="32"/>
          <w:szCs w:val="32"/>
          <w:lang w:val="en-US" w:eastAsia="zh-CN"/>
        </w:rPr>
        <w:t>（一）绩效目标</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firstLine="640" w:firstLineChars="200"/>
        <w:textAlignment w:val="auto"/>
        <w:rPr>
          <w:rFonts w:hint="default"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按照2022年度工作计划，定时完成预算绩效支出。</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 xml:space="preserve">   </w:t>
      </w:r>
      <w:r>
        <w:rPr>
          <w:rFonts w:hint="eastAsia" w:ascii="楷体" w:hAnsi="楷体" w:eastAsia="楷体" w:cs="楷体"/>
          <w:b w:val="0"/>
          <w:bCs w:val="0"/>
          <w:sz w:val="32"/>
          <w:szCs w:val="32"/>
          <w:lang w:val="en-US" w:eastAsia="zh-CN"/>
        </w:rPr>
        <w:t>（二）绩效评价工作情况：优</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 xml:space="preserve">   </w:t>
      </w:r>
      <w:r>
        <w:rPr>
          <w:rFonts w:hint="eastAsia" w:ascii="楷体" w:hAnsi="楷体" w:eastAsia="楷体" w:cs="楷体"/>
          <w:b w:val="0"/>
          <w:bCs w:val="0"/>
          <w:sz w:val="32"/>
          <w:szCs w:val="32"/>
          <w:lang w:val="en-US" w:eastAsia="zh-CN"/>
        </w:rPr>
        <w:t>（三）评价的目的和依据</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1、绩效评价工作方案制定过程：单位自行评价</w:t>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 xml:space="preserve"> </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2、绩效评价原则、评价方法等：单位自行评价</w:t>
      </w:r>
      <w:r>
        <w:rPr>
          <w:rFonts w:hint="eastAsia" w:ascii="仿宋" w:hAnsi="仿宋" w:eastAsia="仿宋" w:cs="仿宋"/>
          <w:b w:val="0"/>
          <w:bCs w:val="0"/>
          <w:sz w:val="32"/>
          <w:szCs w:val="32"/>
          <w:lang w:val="en-US" w:eastAsia="zh-CN"/>
        </w:rPr>
        <w:tab/>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3、绩效评价实施过程：单位自行评价</w:t>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ab/>
      </w:r>
      <w:r>
        <w:rPr>
          <w:rFonts w:hint="eastAsia" w:ascii="仿宋" w:hAnsi="仿宋" w:eastAsia="仿宋" w:cs="仿宋"/>
          <w:b w:val="0"/>
          <w:bCs w:val="0"/>
          <w:sz w:val="32"/>
          <w:szCs w:val="32"/>
          <w:lang w:val="en-US" w:eastAsia="zh-CN"/>
        </w:rPr>
        <w:t xml:space="preserve"> </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4、绩效评价的局限性：单位自行评价</w:t>
      </w:r>
      <w:r>
        <w:rPr>
          <w:rFonts w:hint="eastAsia" w:ascii="仿宋" w:hAnsi="仿宋" w:eastAsia="仿宋" w:cs="仿宋"/>
          <w:b w:val="0"/>
          <w:bCs w:val="0"/>
          <w:sz w:val="32"/>
          <w:szCs w:val="32"/>
          <w:lang w:val="en-US" w:eastAsia="zh-CN"/>
        </w:rPr>
        <w:tab/>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三、项目主要经验及做法、存在的问题和建议</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（一）项目主要经验及做法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outlineLvl w:val="9"/>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val="0"/>
          <w:bCs w:val="0"/>
          <w:sz w:val="32"/>
          <w:szCs w:val="32"/>
          <w:lang w:val="en-US" w:eastAsia="zh-CN"/>
        </w:rPr>
        <w:t>1.</w:t>
      </w:r>
      <w:r>
        <w:rPr>
          <w:rFonts w:hint="eastAsia" w:ascii="仿宋" w:hAnsi="仿宋" w:eastAsia="仿宋" w:cs="仿宋"/>
          <w:color w:val="000000" w:themeColor="text1"/>
          <w:sz w:val="32"/>
          <w:szCs w:val="32"/>
          <w:lang w:eastAsia="zh-CN"/>
          <w14:textFill>
            <w14:solidFill>
              <w14:schemeClr w14:val="tx1"/>
            </w14:solidFill>
          </w14:textFill>
        </w:rPr>
        <w:t>业主自愿、政府支持</w:t>
      </w:r>
      <w:r>
        <w:rPr>
          <w:rFonts w:hint="eastAsia" w:ascii="仿宋" w:hAnsi="仿宋" w:eastAsia="仿宋" w:cs="仿宋"/>
          <w:color w:val="000000" w:themeColor="text1"/>
          <w:sz w:val="32"/>
          <w:szCs w:val="32"/>
          <w14:textFill>
            <w14:solidFill>
              <w14:schemeClr w14:val="tx1"/>
            </w14:solidFill>
          </w14:textFill>
        </w:rPr>
        <w:t>。充分发挥政府在老旧小区改造中的引导作用，强化统筹协调，加大政策、资金支持力度。充分</w:t>
      </w:r>
      <w:r>
        <w:rPr>
          <w:rFonts w:hint="eastAsia" w:ascii="仿宋" w:hAnsi="仿宋" w:eastAsia="仿宋" w:cs="仿宋"/>
          <w:color w:val="000000" w:themeColor="text1"/>
          <w:sz w:val="32"/>
          <w:szCs w:val="32"/>
          <w:lang w:eastAsia="zh-CN"/>
          <w14:textFill>
            <w14:solidFill>
              <w14:schemeClr w14:val="tx1"/>
            </w14:solidFill>
          </w14:textFill>
        </w:rPr>
        <w:t>强调</w:t>
      </w:r>
      <w:r>
        <w:rPr>
          <w:rFonts w:hint="eastAsia" w:ascii="仿宋" w:hAnsi="仿宋" w:eastAsia="仿宋" w:cs="仿宋"/>
          <w:color w:val="000000" w:themeColor="text1"/>
          <w:sz w:val="32"/>
          <w:szCs w:val="32"/>
          <w14:textFill>
            <w14:solidFill>
              <w14:schemeClr w14:val="tx1"/>
            </w14:solidFill>
          </w14:textFill>
        </w:rPr>
        <w:t>小区居民的主体作用，发动居民积极参与，尊重居民意愿，做到</w:t>
      </w:r>
      <w:r>
        <w:rPr>
          <w:rFonts w:hint="eastAsia" w:ascii="仿宋" w:hAnsi="仿宋" w:eastAsia="仿宋" w:cs="仿宋"/>
          <w:color w:val="000000" w:themeColor="text1"/>
          <w:sz w:val="32"/>
          <w:szCs w:val="32"/>
          <w:lang w:eastAsia="zh-CN"/>
          <w14:textFill>
            <w14:solidFill>
              <w14:schemeClr w14:val="tx1"/>
            </w14:solidFill>
          </w14:textFill>
        </w:rPr>
        <w:t>方案</w:t>
      </w:r>
      <w:r>
        <w:rPr>
          <w:rFonts w:hint="eastAsia" w:ascii="仿宋" w:hAnsi="仿宋" w:eastAsia="仿宋" w:cs="仿宋"/>
          <w:color w:val="000000" w:themeColor="text1"/>
          <w:sz w:val="32"/>
          <w:szCs w:val="32"/>
          <w14:textFill>
            <w14:solidFill>
              <w14:schemeClr w14:val="tx1"/>
            </w14:solidFill>
          </w14:textFill>
        </w:rPr>
        <w:t>共谋、</w:t>
      </w:r>
      <w:r>
        <w:rPr>
          <w:rFonts w:hint="eastAsia" w:ascii="仿宋" w:hAnsi="仿宋" w:eastAsia="仿宋" w:cs="仿宋"/>
          <w:color w:val="000000" w:themeColor="text1"/>
          <w:sz w:val="32"/>
          <w:szCs w:val="32"/>
          <w:lang w:eastAsia="zh-CN"/>
          <w14:textFill>
            <w14:solidFill>
              <w14:schemeClr w14:val="tx1"/>
            </w14:solidFill>
          </w14:textFill>
        </w:rPr>
        <w:t>过程</w:t>
      </w:r>
      <w:r>
        <w:rPr>
          <w:rFonts w:hint="eastAsia" w:ascii="仿宋" w:hAnsi="仿宋" w:eastAsia="仿宋" w:cs="仿宋"/>
          <w:color w:val="000000" w:themeColor="text1"/>
          <w:sz w:val="32"/>
          <w:szCs w:val="32"/>
          <w14:textFill>
            <w14:solidFill>
              <w14:schemeClr w14:val="tx1"/>
            </w14:solidFill>
          </w14:textFill>
        </w:rPr>
        <w:t>共建、</w:t>
      </w:r>
      <w:r>
        <w:rPr>
          <w:rFonts w:hint="eastAsia" w:ascii="仿宋" w:hAnsi="仿宋" w:eastAsia="仿宋" w:cs="仿宋"/>
          <w:color w:val="000000" w:themeColor="text1"/>
          <w:sz w:val="32"/>
          <w:szCs w:val="32"/>
          <w:lang w:eastAsia="zh-CN"/>
          <w14:textFill>
            <w14:solidFill>
              <w14:schemeClr w14:val="tx1"/>
            </w14:solidFill>
          </w14:textFill>
        </w:rPr>
        <w:t>出资共治</w:t>
      </w:r>
      <w:r>
        <w:rPr>
          <w:rFonts w:hint="eastAsia" w:ascii="仿宋" w:hAnsi="仿宋" w:eastAsia="仿宋" w:cs="仿宋"/>
          <w:color w:val="000000" w:themeColor="text1"/>
          <w:sz w:val="32"/>
          <w:szCs w:val="32"/>
          <w14:textFill>
            <w14:solidFill>
              <w14:schemeClr w14:val="tx1"/>
            </w14:solidFill>
          </w14:textFill>
        </w:rPr>
        <w:t>成果共享，实现由“要我改”</w:t>
      </w:r>
      <w:r>
        <w:rPr>
          <w:rFonts w:hint="eastAsia" w:ascii="仿宋" w:hAnsi="仿宋" w:eastAsia="仿宋" w:cs="仿宋"/>
          <w:color w:val="000000" w:themeColor="text1"/>
          <w:sz w:val="32"/>
          <w:szCs w:val="32"/>
          <w:lang w:eastAsia="zh-CN"/>
          <w14:textFill>
            <w14:solidFill>
              <w14:schemeClr w14:val="tx1"/>
            </w14:solidFill>
          </w14:textFill>
        </w:rPr>
        <w:t>到</w:t>
      </w:r>
      <w:r>
        <w:rPr>
          <w:rFonts w:hint="eastAsia" w:ascii="仿宋" w:hAnsi="仿宋" w:eastAsia="仿宋" w:cs="仿宋"/>
          <w:color w:val="000000" w:themeColor="text1"/>
          <w:sz w:val="32"/>
          <w:szCs w:val="32"/>
          <w14:textFill>
            <w14:solidFill>
              <w14:schemeClr w14:val="tx1"/>
            </w14:solidFill>
          </w14:textFill>
        </w:rPr>
        <w:t>“我要改”</w:t>
      </w:r>
      <w:r>
        <w:rPr>
          <w:rFonts w:hint="eastAsia" w:ascii="仿宋" w:hAnsi="仿宋" w:eastAsia="仿宋" w:cs="仿宋"/>
          <w:color w:val="000000" w:themeColor="text1"/>
          <w:sz w:val="32"/>
          <w:szCs w:val="32"/>
          <w:lang w:eastAsia="zh-CN"/>
          <w14:textFill>
            <w14:solidFill>
              <w14:schemeClr w14:val="tx1"/>
            </w14:solidFill>
          </w14:textFill>
        </w:rPr>
        <w:t>的转变</w:t>
      </w:r>
      <w:r>
        <w:rPr>
          <w:rFonts w:hint="eastAsia" w:ascii="仿宋" w:hAnsi="仿宋" w:eastAsia="仿宋" w:cs="仿宋"/>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outlineLvl w:val="9"/>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val="0"/>
          <w:bCs w:val="0"/>
          <w:sz w:val="32"/>
          <w:szCs w:val="32"/>
          <w:lang w:val="en-US" w:eastAsia="zh-CN"/>
        </w:rPr>
        <w:t>2.</w:t>
      </w:r>
      <w:r>
        <w:rPr>
          <w:rFonts w:hint="eastAsia" w:ascii="仿宋" w:hAnsi="仿宋" w:eastAsia="仿宋" w:cs="仿宋"/>
          <w:color w:val="000000" w:themeColor="text1"/>
          <w:sz w:val="32"/>
          <w:szCs w:val="32"/>
          <w14:textFill>
            <w14:solidFill>
              <w14:schemeClr w14:val="tx1"/>
            </w14:solidFill>
          </w14:textFill>
        </w:rPr>
        <w:t>因地制宜</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分类施策。坚持从实际出发，遵循“设施配套干净整洁安全有序、管理规范、和谐宜居”要求，尊重居民意愿，</w:t>
      </w:r>
      <w:r>
        <w:rPr>
          <w:rFonts w:hint="eastAsia" w:ascii="仿宋" w:hAnsi="仿宋" w:eastAsia="仿宋" w:cs="仿宋"/>
          <w:color w:val="000000" w:themeColor="text1"/>
          <w:sz w:val="32"/>
          <w:szCs w:val="32"/>
          <w:lang w:eastAsia="zh-CN"/>
          <w14:textFill>
            <w14:solidFill>
              <w14:schemeClr w14:val="tx1"/>
            </w14:solidFill>
          </w14:textFill>
        </w:rPr>
        <w:t>发动群众</w:t>
      </w:r>
      <w:r>
        <w:rPr>
          <w:rFonts w:hint="eastAsia" w:ascii="仿宋" w:hAnsi="仿宋" w:eastAsia="仿宋" w:cs="仿宋"/>
          <w:color w:val="000000" w:themeColor="text1"/>
          <w:sz w:val="32"/>
          <w:szCs w:val="32"/>
          <w14:textFill>
            <w14:solidFill>
              <w14:schemeClr w14:val="tx1"/>
            </w14:solidFill>
          </w14:textFill>
        </w:rPr>
        <w:t>完善老旧小区基础设施和公共配套设施，改善小区建筑物本体和周边环境。坚持“一院一策”，因地制宜，精准施策，鼓励打破小区分割，实施统一设计</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统一改造、统一管理。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outlineLvl w:val="9"/>
        <w:rPr>
          <w:rFonts w:hint="eastAsia" w:ascii="仿宋" w:hAnsi="仿宋" w:eastAsia="仿宋" w:cs="仿宋"/>
          <w:color w:val="000000" w:themeColor="text1"/>
          <w:sz w:val="32"/>
          <w:szCs w:val="32"/>
          <w:lang w:val="en-US"/>
          <w14:textFill>
            <w14:solidFill>
              <w14:schemeClr w14:val="tx1"/>
            </w14:solidFill>
          </w14:textFill>
        </w:rPr>
      </w:pPr>
      <w:r>
        <w:rPr>
          <w:rFonts w:hint="eastAsia" w:ascii="楷体" w:hAnsi="楷体" w:eastAsia="楷体" w:cs="楷体"/>
          <w:b w:val="0"/>
          <w:bCs w:val="0"/>
          <w:sz w:val="32"/>
          <w:szCs w:val="32"/>
          <w:lang w:val="en-US" w:eastAsia="zh-CN"/>
        </w:rPr>
        <w:t>3.</w:t>
      </w:r>
      <w:r>
        <w:rPr>
          <w:rFonts w:hint="eastAsia" w:ascii="仿宋" w:hAnsi="仿宋" w:eastAsia="仿宋" w:cs="仿宋"/>
          <w:color w:val="000000" w:themeColor="text1"/>
          <w:sz w:val="32"/>
          <w:szCs w:val="32"/>
          <w14:textFill>
            <w14:solidFill>
              <w14:schemeClr w14:val="tx1"/>
            </w14:solidFill>
          </w14:textFill>
        </w:rPr>
        <w:t>创新机制、建管并举。坚持“先自治、后整治、立长效”，突出“以管定建”充分发挥街道、社区基层组织、小区自治组织（物业管理公司）和老旧小区产权单位的主体责任，住建、民政部门探索创新老旧小区管理模式，实现小区后续管理规范化、专业化，并形成长效机制。</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firstLine="640" w:firstLineChars="200"/>
        <w:textAlignment w:val="auto"/>
        <w:rPr>
          <w:rFonts w:hint="eastAsia" w:ascii="楷体_GB2312" w:hAnsi="楷体_GB2312" w:eastAsia="楷体_GB2312" w:cs="楷体_GB2312"/>
          <w:b w:val="0"/>
          <w:bCs w:val="0"/>
          <w:sz w:val="32"/>
          <w:szCs w:val="32"/>
          <w:lang w:eastAsia="zh-CN"/>
        </w:rPr>
      </w:pPr>
      <w:r>
        <w:rPr>
          <w:rFonts w:hint="eastAsia" w:ascii="楷体" w:hAnsi="楷体" w:eastAsia="楷体" w:cs="楷体"/>
          <w:b w:val="0"/>
          <w:bCs w:val="0"/>
          <w:sz w:val="32"/>
          <w:szCs w:val="32"/>
          <w:lang w:val="en-US" w:eastAsia="zh-CN"/>
        </w:rPr>
        <w:t>（二）</w:t>
      </w:r>
      <w:r>
        <w:rPr>
          <w:rFonts w:hint="eastAsia" w:ascii="楷体_GB2312" w:hAnsi="楷体_GB2312" w:eastAsia="楷体_GB2312" w:cs="楷体_GB2312"/>
          <w:b w:val="0"/>
          <w:bCs w:val="0"/>
          <w:sz w:val="32"/>
          <w:szCs w:val="32"/>
          <w:lang w:eastAsia="zh-CN"/>
        </w:rPr>
        <w:t>存在的问题</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在改造中我们坚持问题导向和发展思维，注重整体改造与局部改造、 长远发展与近期突破相结合，找准“症结点”和“成长点”当前老旧小区改造主要面临如下三大难题。</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基础设施差。老旧小区普遍具有分布“散”规模“小”密度“高”权属“杂”环境“乱”配套“差”等特征，公共服务基础设施欠账多。卫生环境差，外墙光纤电缆密布，小区绿化管护楼道内外照明不足</w:t>
      </w:r>
      <w:r>
        <w:rPr>
          <w:rFonts w:hint="eastAsia" w:ascii="仿宋" w:hAnsi="仿宋" w:eastAsia="仿宋" w:cs="仿宋"/>
          <w:sz w:val="32"/>
          <w:szCs w:val="32"/>
          <w:lang w:eastAsia="zh-CN"/>
        </w:rPr>
        <w:t>，</w:t>
      </w:r>
      <w:r>
        <w:rPr>
          <w:rFonts w:hint="eastAsia" w:ascii="仿宋" w:hAnsi="仿宋" w:eastAsia="仿宋" w:cs="仿宋"/>
          <w:sz w:val="32"/>
          <w:szCs w:val="32"/>
        </w:rPr>
        <w:t>门卫设施残缺、无门禁监控设施，文娱活动场所缺乏这样的现象在老旧小区往往普遍存在。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改造成本高。实施中发现，老旧小区基础设施普遍较差， 居民个人维权意识却极强，对改造期望过高、攀比心理过重。 目前老旧小区改造的资金主要以政府投入为主，远远不能满足需要政府负担重，资金缺口难以弥补。 如何调动各方力量，建立新的资金供给模式是老旧小区改造的又一难点。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firstLineChars="200"/>
        <w:textAlignment w:val="auto"/>
        <w:outlineLvl w:val="9"/>
        <w:rPr>
          <w:rFonts w:hint="eastAsia" w:ascii="仿宋" w:hAnsi="仿宋" w:eastAsia="仿宋" w:cs="仿宋"/>
          <w:sz w:val="32"/>
          <w:szCs w:val="32"/>
          <w:lang w:val="en-US"/>
        </w:rPr>
      </w:pPr>
      <w:r>
        <w:rPr>
          <w:rFonts w:hint="eastAsia" w:ascii="仿宋" w:hAnsi="仿宋" w:eastAsia="仿宋" w:cs="仿宋"/>
          <w:sz w:val="32"/>
          <w:szCs w:val="32"/>
          <w:lang w:val="en-US" w:eastAsia="zh-CN"/>
        </w:rPr>
        <w:t>3、</w:t>
      </w:r>
      <w:r>
        <w:rPr>
          <w:rFonts w:hint="eastAsia" w:ascii="仿宋" w:hAnsi="仿宋" w:eastAsia="仿宋" w:cs="仿宋"/>
          <w:sz w:val="32"/>
          <w:szCs w:val="32"/>
        </w:rPr>
        <w:t>物业管理难。老旧小区的维修基金都已使用完或者之前根本未缴纳</w:t>
      </w:r>
      <w:r>
        <w:rPr>
          <w:rFonts w:hint="eastAsia" w:ascii="仿宋" w:hAnsi="仿宋" w:eastAsia="仿宋" w:cs="仿宋"/>
          <w:sz w:val="32"/>
          <w:szCs w:val="32"/>
          <w:lang w:eastAsia="zh-CN"/>
        </w:rPr>
        <w:t>，</w:t>
      </w:r>
      <w:r>
        <w:rPr>
          <w:rFonts w:hint="eastAsia" w:ascii="仿宋" w:hAnsi="仿宋" w:eastAsia="仿宋" w:cs="仿宋"/>
          <w:sz w:val="32"/>
          <w:szCs w:val="32"/>
        </w:rPr>
        <w:t>加上基础设施老化严重，维修压力大</w:t>
      </w:r>
      <w:r>
        <w:rPr>
          <w:rFonts w:hint="eastAsia" w:ascii="仿宋" w:hAnsi="仿宋" w:eastAsia="仿宋" w:cs="仿宋"/>
          <w:sz w:val="32"/>
          <w:szCs w:val="32"/>
          <w:lang w:eastAsia="zh-CN"/>
        </w:rPr>
        <w:t>，</w:t>
      </w:r>
      <w:r>
        <w:rPr>
          <w:rFonts w:hint="eastAsia" w:ascii="仿宋" w:hAnsi="仿宋" w:eastAsia="仿宋" w:cs="仿宋"/>
          <w:sz w:val="32"/>
          <w:szCs w:val="32"/>
        </w:rPr>
        <w:t xml:space="preserve">维修成本高，即使全额收取物业费用，也不能维持正常运转，大多数物业公司不愿进驻。即使物业公司进驻，由于业主自身素质参差不齐，对物业管理要求不同、各家各户的经济承受能力差异大，也经常陷入“收费难、难服务”的恶性循环怪圈。 </w:t>
      </w:r>
      <w:r>
        <w:rPr>
          <w:rFonts w:hint="eastAsia" w:ascii="仿宋" w:hAnsi="仿宋" w:eastAsia="仿宋" w:cs="仿宋"/>
          <w:sz w:val="32"/>
          <w:szCs w:val="32"/>
          <w:lang w:val="en-US" w:eastAsia="zh-CN"/>
        </w:rPr>
        <w:t xml:space="preserve"> </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（三）建议和改进措施</w:t>
      </w:r>
    </w:p>
    <w:p>
      <w:pPr>
        <w:keepNext w:val="0"/>
        <w:keepLines w:val="0"/>
        <w:pageBreakBefore w:val="0"/>
        <w:widowControl w:val="0"/>
        <w:numPr>
          <w:ilvl w:val="0"/>
          <w:numId w:val="0"/>
        </w:numPr>
        <w:kinsoku/>
        <w:wordWrap/>
        <w:overflowPunct/>
        <w:topLinePunct/>
        <w:autoSpaceDE/>
        <w:autoSpaceDN/>
        <w:bidi w:val="0"/>
        <w:adjustRightInd/>
        <w:snapToGrid/>
        <w:spacing w:beforeAutospacing="0" w:afterAutospacing="0" w:line="560" w:lineRule="exact"/>
        <w:ind w:left="0" w:leftChars="0" w:right="0" w:righ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1.深化思想认识，顺应城市发展的“大思路”要把加强老旧小区改造作为提升社会治理体系和能力 现代化的重要实践举措。尊重城市发展的自然历史过程，把老旧小区改造纳入城市发展的大局统筹安排。针对当前老旧小区的功能性衰落，统筹规划建设管理三大环节，提高城市发展的系统性。从城市要素结构功能等方面入手，综合考虑城市功能定位、文化特色、建设管理等多种因素，优化整合现有功能，在完善居住配套基础上积极拓展新功能为老城区的发展注入新的活力。 </w:t>
      </w:r>
    </w:p>
    <w:p>
      <w:pPr>
        <w:pStyle w:val="4"/>
        <w:keepNext w:val="0"/>
        <w:keepLines w:val="0"/>
        <w:pageBreakBefore w:val="0"/>
        <w:widowControl/>
        <w:suppressLineNumbers w:val="0"/>
        <w:kinsoku/>
        <w:wordWrap/>
        <w:overflowPunct/>
        <w:autoSpaceDE/>
        <w:autoSpaceDN/>
        <w:bidi w:val="0"/>
        <w:adjustRightInd/>
        <w:snapToGrid/>
        <w:spacing w:before="0" w:beforeAutospacing="0" w:after="0" w:afterAutospacing="0" w:line="560" w:lineRule="exact"/>
        <w:ind w:left="0" w:leftChars="0" w:right="0" w:righ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拓宽资金渠道，把政策性项目资金和市场机制有效结合，不断拓宽资金筹集渠道。按照“谁受益、谁出资”原则，宜采取居民和产权单位出资，政府补助的方式实施老旧小区改造。以社区街道办作建设业主、以费率招标的方式选定施工单位、由物管公司派人或由居民选派代表参与现场管理的方式，可能会避免“各唱各戏”的尴尬。工程实施中，民政、住建等加强监督指导；工程完工后，采取定向补助的方式进行财力支持，可能会取得最大的综合效益。</w:t>
      </w:r>
    </w:p>
    <w:p>
      <w:pPr>
        <w:pStyle w:val="4"/>
        <w:keepNext w:val="0"/>
        <w:keepLines w:val="0"/>
        <w:pageBreakBefore w:val="0"/>
        <w:widowControl/>
        <w:suppressLineNumbers w:val="0"/>
        <w:kinsoku/>
        <w:wordWrap/>
        <w:overflowPunct/>
        <w:autoSpaceDE/>
        <w:autoSpaceDN/>
        <w:bidi w:val="0"/>
        <w:adjustRightInd/>
        <w:snapToGrid/>
        <w:spacing w:before="0" w:beforeAutospacing="0" w:after="0" w:afterAutospacing="0" w:line="560" w:lineRule="exact"/>
        <w:ind w:left="0" w:leftChars="0" w:right="0" w:righ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3.落实主体责任， 推进全面改造的“加速度”加大对老旧小区改造工作的统筹力度， 积极探索政府总抓、街（社区）落实、部门支持的推动形态。进一步强化调度考核，明确责任和时限要求加大对改造项目的督办力度，采取跟踪督查现场办公等形式，及时掌握情况，解决具体问题，层层传导压力，加快工作进度推动任务落实。进一步加大舆论宣传力度。通过宣传手册手机短信、微信等方式和上门做工作、耐心讲政策反复讲道理等方法，大力提升群众支持、参与老旧小区改造工作的主体意识和责任意识。比如,在项目启动之初要就走访居民，梳理出不同人群的改造需求。真正实现精准的需求管控，通过入户访谈、现场调研、居民议事会、 评审会等方式收集居民需求。对改造方案反复推敲， 针对停车管理、治安、景观、灯光、电梯加装等类别由社区居民来选择。</w:t>
      </w:r>
    </w:p>
    <w:p>
      <w:pPr>
        <w:pStyle w:val="4"/>
        <w:keepNext w:val="0"/>
        <w:keepLines w:val="0"/>
        <w:pageBreakBefore w:val="0"/>
        <w:widowControl/>
        <w:suppressLineNumbers w:val="0"/>
        <w:kinsoku/>
        <w:wordWrap/>
        <w:overflowPunct/>
        <w:autoSpaceDE/>
        <w:autoSpaceDN/>
        <w:bidi w:val="0"/>
        <w:adjustRightInd/>
        <w:snapToGrid/>
        <w:spacing w:before="0" w:beforeAutospacing="0" w:after="0" w:afterAutospacing="0" w:line="560" w:lineRule="exact"/>
        <w:ind w:left="0" w:leftChars="0" w:right="0" w:righ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4.不断改革创新，完善制度保障这一“关键点”。积极探索“街道主导 、社区协调 、居民公议、物业参与、勘设单位早介入”的模式，充分发挥街道、社区党组织的作用，在老旧小区改造各环节充分响应居民需求；持续探索因地制宜的项目建设管理机制， 通过社区代表、社会监督、政府部门监管、专业监理或过控公司等介入方式，规范老旧小区改造中的标准和要求；积极推行一次改造、长期保持的管理机制。加强基层党组织建设，指导业主委员会等组织实现老旧小区的长效管理； 共同推进共治共管、 共建共享和谐发展。</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jc w:val="righ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昆明市盘龙区城市更新改造局                                                                           2023年6月6日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FD537"/>
    <w:multiLevelType w:val="singleLevel"/>
    <w:tmpl w:val="5EAFD537"/>
    <w:lvl w:ilvl="0" w:tentative="0">
      <w:start w:val="1"/>
      <w:numFmt w:val="chineseCounting"/>
      <w:suff w:val="nothing"/>
      <w:lvlText w:val="%1、"/>
      <w:lvlJc w:val="left"/>
    </w:lvl>
  </w:abstractNum>
  <w:abstractNum w:abstractNumId="1">
    <w:nsid w:val="5EAFD62B"/>
    <w:multiLevelType w:val="singleLevel"/>
    <w:tmpl w:val="5EAFD62B"/>
    <w:lvl w:ilvl="0" w:tentative="0">
      <w:start w:val="2"/>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E56"/>
    <w:rsid w:val="00163DB4"/>
    <w:rsid w:val="00294A18"/>
    <w:rsid w:val="0029560C"/>
    <w:rsid w:val="004408B5"/>
    <w:rsid w:val="0066549A"/>
    <w:rsid w:val="008A6E56"/>
    <w:rsid w:val="009C3149"/>
    <w:rsid w:val="01A57287"/>
    <w:rsid w:val="04046BBC"/>
    <w:rsid w:val="0805579E"/>
    <w:rsid w:val="08C23403"/>
    <w:rsid w:val="0AA10BAF"/>
    <w:rsid w:val="0C5773B3"/>
    <w:rsid w:val="0DA56500"/>
    <w:rsid w:val="13AD0AEC"/>
    <w:rsid w:val="144132D9"/>
    <w:rsid w:val="15616810"/>
    <w:rsid w:val="17457902"/>
    <w:rsid w:val="18691B94"/>
    <w:rsid w:val="1A990EB2"/>
    <w:rsid w:val="1BD0202C"/>
    <w:rsid w:val="1CF334B6"/>
    <w:rsid w:val="1D140662"/>
    <w:rsid w:val="1D7D4C6A"/>
    <w:rsid w:val="1E442BF3"/>
    <w:rsid w:val="20415E62"/>
    <w:rsid w:val="21121E61"/>
    <w:rsid w:val="21B46284"/>
    <w:rsid w:val="229E11A6"/>
    <w:rsid w:val="231E27E6"/>
    <w:rsid w:val="244C1E5E"/>
    <w:rsid w:val="247114E1"/>
    <w:rsid w:val="268D5A51"/>
    <w:rsid w:val="27C02362"/>
    <w:rsid w:val="2C636CC6"/>
    <w:rsid w:val="2EDB0CEA"/>
    <w:rsid w:val="34BA30AD"/>
    <w:rsid w:val="370B261B"/>
    <w:rsid w:val="385207AA"/>
    <w:rsid w:val="38AE6605"/>
    <w:rsid w:val="39BD74FD"/>
    <w:rsid w:val="3AB16A0D"/>
    <w:rsid w:val="3DCE1FFF"/>
    <w:rsid w:val="3F57026E"/>
    <w:rsid w:val="3FF3784E"/>
    <w:rsid w:val="40FD0494"/>
    <w:rsid w:val="41C42DBA"/>
    <w:rsid w:val="49EA560C"/>
    <w:rsid w:val="4B6124ED"/>
    <w:rsid w:val="4C4B0DBA"/>
    <w:rsid w:val="4C4D542F"/>
    <w:rsid w:val="4D904BD8"/>
    <w:rsid w:val="4DDD2B28"/>
    <w:rsid w:val="51C04EFF"/>
    <w:rsid w:val="54A0416C"/>
    <w:rsid w:val="54F865C7"/>
    <w:rsid w:val="55084B32"/>
    <w:rsid w:val="5A02751E"/>
    <w:rsid w:val="5B39718C"/>
    <w:rsid w:val="61EA2A07"/>
    <w:rsid w:val="63215317"/>
    <w:rsid w:val="6347235C"/>
    <w:rsid w:val="637B20D2"/>
    <w:rsid w:val="640033BD"/>
    <w:rsid w:val="66322762"/>
    <w:rsid w:val="6650025F"/>
    <w:rsid w:val="677346A5"/>
    <w:rsid w:val="694A62A0"/>
    <w:rsid w:val="69D90536"/>
    <w:rsid w:val="69E5043F"/>
    <w:rsid w:val="6A837EFB"/>
    <w:rsid w:val="6D253DD6"/>
    <w:rsid w:val="6F3D6253"/>
    <w:rsid w:val="7002183F"/>
    <w:rsid w:val="71F24115"/>
    <w:rsid w:val="737D0D4D"/>
    <w:rsid w:val="74BD6C26"/>
    <w:rsid w:val="77813B75"/>
    <w:rsid w:val="7B3C6165"/>
    <w:rsid w:val="7C021AB4"/>
    <w:rsid w:val="7C825EBE"/>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7"/>
    <w:qFormat/>
    <w:uiPriority w:val="99"/>
    <w:pPr>
      <w:keepNext/>
      <w:keepLines/>
      <w:spacing w:before="340" w:after="330" w:line="578" w:lineRule="auto"/>
      <w:outlineLvl w:val="0"/>
    </w:pPr>
    <w:rPr>
      <w:b/>
      <w:bCs/>
      <w:kern w:val="44"/>
      <w:sz w:val="44"/>
      <w:szCs w:val="44"/>
    </w:rPr>
  </w:style>
  <w:style w:type="character" w:default="1" w:styleId="6">
    <w:name w:val="Default Paragraph Font"/>
    <w:semiHidden/>
    <w:qFormat/>
    <w:uiPriority w:val="99"/>
  </w:style>
  <w:style w:type="table" w:default="1" w:styleId="5">
    <w:name w:val="Normal Table"/>
    <w:unhideWhenUsed/>
    <w:qFormat/>
    <w:uiPriority w:val="99"/>
    <w:tblPr>
      <w:tblCellMar>
        <w:top w:w="0" w:type="dxa"/>
        <w:left w:w="108" w:type="dxa"/>
        <w:bottom w:w="0" w:type="dxa"/>
        <w:right w:w="108" w:type="dxa"/>
      </w:tblCellMar>
    </w:tbl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spacing w:before="0" w:beforeAutospacing="1" w:after="0" w:afterAutospacing="1"/>
      <w:ind w:left="0" w:right="0"/>
      <w:jc w:val="left"/>
    </w:pPr>
    <w:rPr>
      <w:kern w:val="0"/>
      <w:sz w:val="24"/>
      <w:lang w:val="en-US" w:eastAsia="zh-CN" w:bidi="ar"/>
    </w:rPr>
  </w:style>
  <w:style w:type="character" w:customStyle="1" w:styleId="7">
    <w:name w:val="Heading 1 Char"/>
    <w:basedOn w:val="6"/>
    <w:link w:val="2"/>
    <w:qFormat/>
    <w:uiPriority w:val="9"/>
    <w:rPr>
      <w:b/>
      <w:bCs/>
      <w:kern w:val="44"/>
      <w:sz w:val="44"/>
      <w:szCs w:val="44"/>
    </w:rPr>
  </w:style>
  <w:style w:type="paragraph" w:customStyle="1" w:styleId="8">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paragraph" w:customStyle="1" w:styleId="9">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9</Pages>
  <Words>291</Words>
  <Characters>1664</Characters>
  <Lines>0</Lines>
  <Paragraphs>0</Paragraphs>
  <TotalTime>0</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dell</cp:lastModifiedBy>
  <cp:lastPrinted>2022-04-28T09:02:00Z</cp:lastPrinted>
  <dcterms:modified xsi:type="dcterms:W3CDTF">2023-09-28T02:22:04Z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A08DCF0885E842F6B409CEB603BC8AC6</vt:lpwstr>
  </property>
</Properties>
</file>