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jc w:val="center"/>
        <w:rPr>
          <w:rFonts w:ascii="方正小标宋简体" w:eastAsia="方正小标宋简体"/>
          <w:b/>
          <w:color w:val="FF0000"/>
          <w:spacing w:val="-20"/>
          <w:w w:val="90"/>
          <w:sz w:val="72"/>
          <w:szCs w:val="72"/>
        </w:rPr>
      </w:pPr>
      <w:r>
        <w:rPr>
          <w:rFonts w:hint="eastAsia" w:ascii="方正小标宋简体" w:hAnsi="方正小标宋简体" w:eastAsia="方正小标宋简体"/>
          <w:b/>
          <w:color w:val="FF0000"/>
          <w:spacing w:val="-20"/>
          <w:w w:val="90"/>
          <w:sz w:val="72"/>
          <w:szCs w:val="72"/>
        </w:rPr>
        <w:t>昆明市盘龙区城市更新改造局</w:t>
      </w:r>
    </w:p>
    <w:p>
      <w:pPr>
        <w:spacing w:line="400" w:lineRule="exact"/>
        <w:rPr>
          <w:rFonts w:hint="eastAsia" w:ascii="Times New Roman" w:eastAsia="楷体_GB2312"/>
          <w:color w:val="FF0000"/>
          <w:u w:val="thick"/>
        </w:rPr>
      </w:pPr>
    </w:p>
    <w:p>
      <w:pPr>
        <w:spacing w:line="400" w:lineRule="exact"/>
        <w:rPr>
          <w:rFonts w:eastAsia="楷体_GB2312"/>
          <w:color w:val="FF0000"/>
          <w:u w:val="thick"/>
        </w:rPr>
      </w:pPr>
      <w:r>
        <w:rPr>
          <w:rFonts w:eastAsia="楷体_GB2312"/>
          <w:color w:val="FF0000"/>
          <w:u w:val="thick"/>
        </w:rPr>
        <w:t xml:space="preserve">                                              </w:t>
      </w:r>
      <w:r>
        <w:rPr>
          <w:rFonts w:hint="eastAsia" w:eastAsia="楷体_GB2312"/>
          <w:color w:val="FF0000"/>
          <w:u w:val="thick"/>
          <w:lang w:val="en-US" w:eastAsia="zh-CN"/>
        </w:rPr>
        <w:t xml:space="preserve">                         </w:t>
      </w:r>
      <w:r>
        <w:rPr>
          <w:rFonts w:eastAsia="楷体_GB2312"/>
          <w:color w:val="FF0000"/>
          <w:u w:val="thick"/>
        </w:rPr>
        <w:t xml:space="preserve">          </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sz w:val="44"/>
          <w:szCs w:val="44"/>
          <w:lang w:eastAsia="zh-CN"/>
        </w:rPr>
      </w:pPr>
    </w:p>
    <w:p>
      <w:pPr>
        <w:spacing w:before="120" w:after="120" w:line="480" w:lineRule="auto"/>
        <w:jc w:val="center"/>
        <w:rPr>
          <w:rFonts w:ascii="Times New Roman" w:hAnsi="Times New Roman" w:eastAsia="黑体"/>
          <w:b/>
          <w:bCs/>
          <w:sz w:val="52"/>
          <w:szCs w:val="52"/>
        </w:rPr>
      </w:pPr>
    </w:p>
    <w:p>
      <w:pPr>
        <w:jc w:val="center"/>
        <w:rPr>
          <w:rFonts w:hint="eastAsia" w:ascii="黑体" w:hAnsi="黑体" w:eastAsia="黑体" w:cs="黑体"/>
          <w:bCs/>
          <w:sz w:val="52"/>
          <w:szCs w:val="52"/>
          <w:lang w:val="en-US" w:eastAsia="zh-CN"/>
        </w:rPr>
      </w:pPr>
      <w:bookmarkStart w:id="0" w:name="_GoBack"/>
      <w:r>
        <w:rPr>
          <w:rFonts w:hint="eastAsia" w:ascii="黑体" w:hAnsi="黑体" w:eastAsia="黑体" w:cs="黑体"/>
          <w:bCs/>
          <w:sz w:val="52"/>
          <w:szCs w:val="52"/>
          <w:lang w:val="en-US" w:eastAsia="zh-CN"/>
        </w:rPr>
        <w:t>盘龙区任旗营城市棚户区</w:t>
      </w:r>
    </w:p>
    <w:p>
      <w:pPr>
        <w:jc w:val="center"/>
        <w:rPr>
          <w:rFonts w:hint="eastAsia" w:ascii="黑体" w:hAnsi="黑体" w:eastAsia="黑体" w:cs="黑体"/>
          <w:bCs/>
          <w:sz w:val="52"/>
          <w:szCs w:val="52"/>
        </w:rPr>
      </w:pPr>
      <w:r>
        <w:rPr>
          <w:rFonts w:hint="eastAsia" w:ascii="黑体" w:hAnsi="黑体" w:eastAsia="黑体" w:cs="黑体"/>
          <w:bCs/>
          <w:sz w:val="52"/>
          <w:szCs w:val="52"/>
          <w:lang w:val="en-US" w:eastAsia="zh-CN"/>
        </w:rPr>
        <w:t>改造项目专项资金</w:t>
      </w:r>
      <w:r>
        <w:rPr>
          <w:rFonts w:hint="eastAsia" w:ascii="黑体" w:hAnsi="黑体" w:eastAsia="黑体" w:cs="黑体"/>
          <w:bCs/>
          <w:sz w:val="52"/>
          <w:szCs w:val="52"/>
        </w:rPr>
        <w:t>支出绩效</w:t>
      </w:r>
    </w:p>
    <w:p>
      <w:pPr>
        <w:jc w:val="center"/>
        <w:rPr>
          <w:rFonts w:ascii="黑体" w:hAnsi="黑体" w:eastAsia="黑体" w:cs="黑体"/>
          <w:bCs/>
          <w:sz w:val="52"/>
          <w:szCs w:val="52"/>
        </w:rPr>
      </w:pPr>
      <w:r>
        <w:rPr>
          <w:rFonts w:hint="eastAsia" w:ascii="黑体" w:hAnsi="黑体" w:eastAsia="黑体" w:cs="黑体"/>
          <w:bCs/>
          <w:sz w:val="52"/>
          <w:szCs w:val="52"/>
        </w:rPr>
        <w:t>自评报告</w:t>
      </w:r>
    </w:p>
    <w:bookmarkEnd w:id="0"/>
    <w:p>
      <w:pPr>
        <w:jc w:val="center"/>
        <w:rPr>
          <w:rFonts w:ascii="黑体" w:hAnsi="黑体" w:eastAsia="黑体"/>
          <w:bCs/>
          <w:sz w:val="52"/>
          <w:szCs w:val="52"/>
        </w:rPr>
      </w:pPr>
      <w:r>
        <w:rPr>
          <w:rFonts w:hint="eastAsia" w:ascii="黑体" w:hAnsi="黑体" w:eastAsia="黑体" w:cs="黑体"/>
          <w:bCs/>
          <w:sz w:val="52"/>
          <w:szCs w:val="52"/>
        </w:rPr>
        <w:t>（</w:t>
      </w:r>
      <w:r>
        <w:rPr>
          <w:rFonts w:hint="eastAsia" w:ascii="黑体" w:hAnsi="黑体" w:eastAsia="黑体" w:cs="黑体"/>
          <w:bCs/>
          <w:sz w:val="52"/>
          <w:szCs w:val="52"/>
          <w:lang w:val="en-US" w:eastAsia="zh-CN"/>
        </w:rPr>
        <w:t>2022</w:t>
      </w:r>
      <w:r>
        <w:rPr>
          <w:rFonts w:hint="eastAsia" w:ascii="黑体" w:hAnsi="黑体" w:eastAsia="黑体" w:cs="黑体"/>
          <w:bCs/>
          <w:sz w:val="52"/>
          <w:szCs w:val="52"/>
        </w:rPr>
        <w:t>年度）</w:t>
      </w:r>
    </w:p>
    <w:p>
      <w:pPr>
        <w:spacing w:before="120" w:after="120" w:line="480" w:lineRule="auto"/>
        <w:jc w:val="both"/>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adjustRightInd w:val="0"/>
        <w:snapToGrid w:val="0"/>
        <w:spacing w:line="360" w:lineRule="auto"/>
        <w:ind w:firstLine="2811" w:firstLineChars="1000"/>
        <w:rPr>
          <w:rFonts w:hint="eastAsia"/>
        </w:rPr>
      </w:pP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u w:val="single"/>
          <w:lang w:val="en-US" w:eastAsia="zh-CN"/>
        </w:rPr>
        <w:t xml:space="preserve">                      </w:t>
      </w:r>
    </w:p>
    <w:p>
      <w:pPr>
        <w:adjustRightInd w:val="0"/>
        <w:snapToGrid w:val="0"/>
        <w:spacing w:line="360" w:lineRule="auto"/>
        <w:ind w:firstLine="2811" w:firstLineChars="1000"/>
        <w:rPr>
          <w:rFonts w:ascii="Times New Roman" w:hAnsi="Times New Roman" w:eastAsia="黑体" w:cs="黑体"/>
          <w:b/>
          <w:bCs/>
          <w:sz w:val="28"/>
          <w:szCs w:val="28"/>
          <w:u w:val="single"/>
        </w:rPr>
      </w:pPr>
      <w:r>
        <w:rPr>
          <w:rFonts w:hint="eastAsia" w:ascii="Times New Roman" w:hAnsi="Times New Roman" w:eastAsia="黑体" w:cs="黑体"/>
          <w:b/>
          <w:bCs/>
          <w:sz w:val="28"/>
          <w:szCs w:val="28"/>
        </w:rPr>
        <w:t>项目单位：</w:t>
      </w:r>
      <w:r>
        <w:rPr>
          <w:rFonts w:ascii="Times New Roman" w:hAnsi="Times New Roman" w:eastAsia="黑体" w:cs="黑体"/>
          <w:b/>
          <w:bCs/>
          <w:sz w:val="28"/>
          <w:szCs w:val="28"/>
          <w:u w:val="single"/>
        </w:rPr>
        <w:t>昆明市盘龙区城市更新改造局</w:t>
      </w:r>
      <w:r>
        <w:rPr>
          <w:rFonts w:hint="eastAsia" w:ascii="Times New Roman" w:hAnsi="Times New Roman" w:eastAsia="黑体" w:cs="黑体"/>
          <w:b/>
          <w:bCs/>
          <w:sz w:val="28"/>
          <w:szCs w:val="28"/>
          <w:u w:val="single"/>
          <w:lang w:val="en-US" w:eastAsia="zh-CN"/>
        </w:rPr>
        <w:t xml:space="preserve">    </w:t>
      </w:r>
    </w:p>
    <w:p>
      <w:pPr>
        <w:adjustRightInd w:val="0"/>
        <w:snapToGrid w:val="0"/>
        <w:spacing w:line="360" w:lineRule="auto"/>
        <w:ind w:firstLine="2811" w:firstLineChars="1000"/>
        <w:rPr>
          <w:rFonts w:hint="eastAsia" w:ascii="Times New Roman" w:hAnsi="Times New Roman" w:eastAsia="黑体" w:cs="黑体"/>
          <w:b/>
          <w:bCs/>
          <w:sz w:val="28"/>
          <w:szCs w:val="28"/>
        </w:rPr>
      </w:pPr>
      <w:r>
        <w:rPr>
          <w:rFonts w:hint="eastAsia" w:ascii="Times New Roman" w:hAnsi="Times New Roman" w:eastAsia="黑体" w:cs="黑体"/>
          <w:b/>
          <w:bCs/>
          <w:sz w:val="28"/>
          <w:szCs w:val="28"/>
        </w:rPr>
        <w:t>主管部门：</w:t>
      </w:r>
      <w:r>
        <w:rPr>
          <w:rFonts w:hint="eastAsia" w:ascii="Times New Roman" w:hAnsi="Times New Roman" w:eastAsia="黑体" w:cs="黑体"/>
          <w:b/>
          <w:bCs/>
          <w:sz w:val="28"/>
          <w:szCs w:val="28"/>
          <w:u w:val="single"/>
          <w:lang w:val="en-US" w:eastAsia="zh-CN"/>
        </w:rPr>
        <w:t xml:space="preserve">                             </w:t>
      </w:r>
      <w:r>
        <w:rPr>
          <w:rFonts w:hint="eastAsia" w:ascii="Times New Roman" w:hAnsi="Times New Roman" w:eastAsia="黑体" w:cs="黑体"/>
          <w:b/>
          <w:bCs/>
          <w:sz w:val="28"/>
          <w:szCs w:val="28"/>
          <w:lang w:val="en-US" w:eastAsia="zh-CN"/>
        </w:rPr>
        <w:t xml:space="preserve"> </w:t>
      </w:r>
    </w:p>
    <w:p>
      <w:pPr>
        <w:numPr>
          <w:ilvl w:val="0"/>
          <w:numId w:val="0"/>
        </w:numPr>
        <w:adjustRightInd w:val="0"/>
        <w:snapToGrid w:val="0"/>
        <w:spacing w:line="360" w:lineRule="auto"/>
        <w:ind w:left="4198" w:leftChars="1330" w:hanging="1405" w:hangingChars="500"/>
        <w:jc w:val="left"/>
        <w:rPr>
          <w:rFonts w:hint="eastAsia" w:ascii="Times New Roman" w:hAnsi="Times New Roman" w:eastAsia="黑体" w:cs="黑体"/>
          <w:b/>
          <w:bCs/>
          <w:sz w:val="28"/>
          <w:szCs w:val="28"/>
          <w:u w:val="single"/>
        </w:rPr>
      </w:pPr>
      <w:r>
        <w:rPr>
          <w:rFonts w:hint="eastAsia" w:ascii="Times New Roman" w:hAnsi="Times New Roman" w:eastAsia="黑体" w:cs="黑体"/>
          <w:b/>
          <w:bCs/>
          <w:sz w:val="28"/>
          <w:szCs w:val="28"/>
        </w:rPr>
        <w:t>项目名称：</w:t>
      </w:r>
      <w:r>
        <w:rPr>
          <w:rFonts w:hint="eastAsia" w:ascii="Times New Roman" w:hAnsi="Times New Roman" w:eastAsia="黑体" w:cs="黑体"/>
          <w:b/>
          <w:bCs/>
          <w:sz w:val="28"/>
          <w:szCs w:val="28"/>
          <w:u w:val="single"/>
          <w:lang w:val="en-US" w:eastAsia="zh-CN"/>
        </w:rPr>
        <w:t>盘龙区任旗营城市棚户区改造项目专项资金500万元</w:t>
      </w:r>
      <w:r>
        <w:rPr>
          <w:rFonts w:hint="eastAsia" w:ascii="Times New Roman" w:hAnsi="Times New Roman" w:eastAsia="黑体" w:cs="黑体"/>
          <w:b/>
          <w:bCs/>
          <w:sz w:val="28"/>
          <w:szCs w:val="28"/>
          <w:u w:val="single"/>
        </w:rPr>
        <w:t>支出绩效自评报告</w:t>
      </w:r>
    </w:p>
    <w:p>
      <w:pPr>
        <w:numPr>
          <w:ilvl w:val="0"/>
          <w:numId w:val="0"/>
        </w:numPr>
        <w:adjustRightInd w:val="0"/>
        <w:snapToGrid w:val="0"/>
        <w:spacing w:line="360" w:lineRule="auto"/>
        <w:ind w:left="4198" w:leftChars="1330" w:hanging="1405" w:hangingChars="500"/>
        <w:jc w:val="left"/>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 xml:space="preserve"> </w:t>
      </w:r>
    </w:p>
    <w:p>
      <w:pPr>
        <w:adjustRightInd w:val="0"/>
        <w:snapToGrid w:val="0"/>
        <w:spacing w:line="360" w:lineRule="auto"/>
        <w:ind w:firstLine="2811" w:firstLineChars="1000"/>
        <w:rPr>
          <w:rFonts w:hint="eastAsia" w:ascii="Times New Roman" w:hAnsi="Times New Roman" w:eastAsia="黑体"/>
          <w:b/>
          <w:bCs/>
          <w:sz w:val="28"/>
          <w:szCs w:val="28"/>
          <w:lang w:val="en-US" w:eastAsia="zh-CN"/>
        </w:rPr>
      </w:pPr>
      <w:r>
        <w:rPr>
          <w:rFonts w:hint="eastAsia" w:ascii="Times New Roman" w:hAnsi="Times New Roman" w:eastAsia="黑体" w:cs="黑体"/>
          <w:b/>
          <w:bCs/>
          <w:sz w:val="28"/>
          <w:szCs w:val="28"/>
        </w:rPr>
        <w:t>绩效自评日期：</w:t>
      </w:r>
      <w:r>
        <w:rPr>
          <w:rFonts w:hint="eastAsia" w:ascii="Times New Roman" w:hAnsi="Times New Roman" w:eastAsia="黑体" w:cs="黑体"/>
          <w:b/>
          <w:bCs/>
          <w:sz w:val="28"/>
          <w:szCs w:val="28"/>
          <w:u w:val="single"/>
          <w:lang w:val="en-US" w:eastAsia="zh-CN"/>
        </w:rPr>
        <w:t xml:space="preserve">2023年6月6日         </w:t>
      </w:r>
      <w:r>
        <w:rPr>
          <w:rFonts w:hint="eastAsia" w:ascii="Times New Roman" w:hAnsi="Times New Roman" w:eastAsia="黑体"/>
          <w:b/>
          <w:bCs/>
          <w:sz w:val="28"/>
          <w:szCs w:val="28"/>
          <w:lang w:val="en-US" w:eastAsia="zh-CN"/>
        </w:rPr>
        <w:t xml:space="preserve">    </w:t>
      </w:r>
    </w:p>
    <w:p>
      <w:pPr>
        <w:adjustRightInd w:val="0"/>
        <w:snapToGrid w:val="0"/>
        <w:spacing w:line="360" w:lineRule="auto"/>
        <w:ind w:firstLine="2811" w:firstLineChars="1000"/>
        <w:rPr>
          <w:rFonts w:hint="eastAsia" w:ascii="Times New Roman" w:hAnsi="Times New Roman" w:eastAsia="黑体"/>
          <w:b/>
          <w:bCs/>
          <w:sz w:val="28"/>
          <w:szCs w:val="28"/>
          <w:lang w:val="en-US" w:eastAsia="zh-CN"/>
        </w:rPr>
      </w:pPr>
    </w:p>
    <w:p>
      <w:pPr>
        <w:pStyle w:val="15"/>
        <w:widowControl w:val="0"/>
        <w:spacing w:after="0" w:line="360" w:lineRule="auto"/>
        <w:jc w:val="both"/>
        <w:rPr>
          <w:rFonts w:hint="eastAsia" w:ascii="Times New Roman" w:hAnsi="Times New Roman" w:eastAsia="黑体"/>
          <w:b/>
          <w:bCs/>
          <w:sz w:val="28"/>
          <w:szCs w:val="28"/>
          <w:lang w:val="en-US" w:eastAsia="zh-CN"/>
        </w:rPr>
      </w:pPr>
      <w:r>
        <w:rPr>
          <w:rFonts w:hint="eastAsia" w:ascii="Times New Roman" w:hAnsi="Times New Roman" w:eastAsia="黑体" w:cs="黑体"/>
          <w:kern w:val="2"/>
          <w:sz w:val="24"/>
          <w:szCs w:val="24"/>
          <w:lang w:val="zh-TW" w:eastAsia="zh-TW"/>
        </w:rPr>
        <w:t>评价小组成员：</w:t>
      </w:r>
      <w:r>
        <w:rPr>
          <w:rFonts w:hint="eastAsia" w:ascii="Times New Roman" w:hAnsi="Times New Roman" w:eastAsia="黑体"/>
          <w:b/>
          <w:bCs/>
          <w:sz w:val="28"/>
          <w:szCs w:val="28"/>
          <w:lang w:val="en-US" w:eastAsia="zh-CN"/>
        </w:rPr>
        <w:t xml:space="preserve">                    </w:t>
      </w:r>
    </w:p>
    <w:tbl>
      <w:tblPr>
        <w:tblStyle w:val="4"/>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695" w:hRule="atLeast"/>
        </w:trPr>
        <w:tc>
          <w:tcPr>
            <w:tcW w:w="8102" w:type="dxa"/>
          </w:tcPr>
          <w:tbl>
            <w:tblPr>
              <w:tblStyle w:val="4"/>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869"/>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1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1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620" w:type="dxa"/>
                  <w:noWrap w:val="0"/>
                  <w:vAlign w:val="center"/>
                </w:tcPr>
                <w:p>
                  <w:pPr>
                    <w:pStyle w:val="1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620" w:type="dxa"/>
                  <w:noWrap w:val="0"/>
                  <w:vAlign w:val="center"/>
                </w:tcPr>
                <w:p>
                  <w:pPr>
                    <w:pStyle w:val="1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w:t>
                  </w:r>
                  <w:r>
                    <w:rPr>
                      <w:rFonts w:ascii="Times New Roman" w:hAnsi="Times New Roman" w:eastAsia="黑体" w:cs="黑体"/>
                      <w:kern w:val="2"/>
                      <w:sz w:val="24"/>
                      <w:szCs w:val="24"/>
                      <w:lang w:val="zh-TW"/>
                    </w:rPr>
                    <w:t>/</w:t>
                  </w:r>
                  <w:r>
                    <w:rPr>
                      <w:rFonts w:hint="eastAsia" w:ascii="Times New Roman" w:hAnsi="Times New Roman" w:eastAsia="黑体" w:cs="黑体"/>
                      <w:kern w:val="2"/>
                      <w:sz w:val="24"/>
                      <w:szCs w:val="24"/>
                      <w:lang w:val="zh-TW"/>
                    </w:rPr>
                    <w:t>职称</w:t>
                  </w:r>
                </w:p>
              </w:tc>
              <w:tc>
                <w:tcPr>
                  <w:tcW w:w="1869" w:type="dxa"/>
                  <w:noWrap w:val="0"/>
                  <w:vAlign w:val="center"/>
                </w:tcPr>
                <w:p>
                  <w:pPr>
                    <w:pStyle w:val="1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1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w:t>
                  </w:r>
                  <w:r>
                    <w:rPr>
                      <w:rFonts w:ascii="Times New Roman" w:hAnsi="Times New Roman" w:eastAsia="黑体" w:cs="黑体"/>
                      <w:kern w:val="2"/>
                      <w:sz w:val="24"/>
                      <w:szCs w:val="24"/>
                      <w:lang w:val="zh-TW"/>
                    </w:rPr>
                    <w:t>/</w:t>
                  </w:r>
                  <w:r>
                    <w:rPr>
                      <w:rFonts w:hint="eastAsia" w:ascii="Times New Roman" w:hAnsi="Times New Roman" w:eastAsia="黑体" w:cs="黑体"/>
                      <w:kern w:val="2"/>
                      <w:sz w:val="24"/>
                      <w:szCs w:val="24"/>
                      <w:lang w:val="zh-TW"/>
                    </w:rPr>
                    <w:t>处室</w:t>
                  </w:r>
                </w:p>
              </w:tc>
              <w:tc>
                <w:tcPr>
                  <w:tcW w:w="1373" w:type="dxa"/>
                  <w:noWrap w:val="0"/>
                  <w:vAlign w:val="center"/>
                </w:tcPr>
                <w:p>
                  <w:pPr>
                    <w:pStyle w:val="1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620" w:type="dxa"/>
                  <w:noWrap w:val="0"/>
                  <w:vAlign w:val="center"/>
                </w:tcPr>
                <w:p>
                  <w:pPr>
                    <w:pStyle w:val="15"/>
                    <w:widowControl w:val="0"/>
                    <w:spacing w:after="0" w:afterLines="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长</w:t>
                  </w:r>
                </w:p>
              </w:tc>
              <w:tc>
                <w:tcPr>
                  <w:tcW w:w="1620" w:type="dxa"/>
                  <w:noWrap w:val="0"/>
                  <w:vAlign w:val="center"/>
                </w:tcPr>
                <w:p>
                  <w:pPr>
                    <w:pStyle w:val="15"/>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en-US" w:eastAsia="zh-CN"/>
                    </w:rPr>
                    <w:t>刘弋华</w:t>
                  </w:r>
                </w:p>
              </w:tc>
              <w:tc>
                <w:tcPr>
                  <w:tcW w:w="1620" w:type="dxa"/>
                  <w:noWrap w:val="0"/>
                  <w:vAlign w:val="center"/>
                </w:tcPr>
                <w:p>
                  <w:pPr>
                    <w:pStyle w:val="15"/>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书</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记</w:t>
                  </w:r>
                </w:p>
              </w:tc>
              <w:tc>
                <w:tcPr>
                  <w:tcW w:w="1869" w:type="dxa"/>
                  <w:noWrap w:val="0"/>
                  <w:vAlign w:val="center"/>
                </w:tcPr>
                <w:p>
                  <w:pPr>
                    <w:pStyle w:val="15"/>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区城改局</w:t>
                  </w:r>
                </w:p>
              </w:tc>
              <w:tc>
                <w:tcPr>
                  <w:tcW w:w="1373" w:type="dxa"/>
                  <w:noWrap w:val="0"/>
                  <w:vAlign w:val="top"/>
                </w:tcPr>
                <w:p>
                  <w:pPr>
                    <w:pStyle w:val="15"/>
                    <w:widowControl w:val="0"/>
                    <w:spacing w:after="0" w:line="24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620" w:type="dxa"/>
                  <w:noWrap w:val="0"/>
                  <w:vAlign w:val="center"/>
                </w:tcPr>
                <w:p>
                  <w:pPr>
                    <w:pStyle w:val="15"/>
                    <w:widowControl w:val="0"/>
                    <w:spacing w:after="0" w:afterLines="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620" w:type="dxa"/>
                  <w:noWrap w:val="0"/>
                  <w:vAlign w:val="center"/>
                </w:tcPr>
                <w:p>
                  <w:pPr>
                    <w:pStyle w:val="15"/>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周</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俊</w:t>
                  </w:r>
                </w:p>
              </w:tc>
              <w:tc>
                <w:tcPr>
                  <w:tcW w:w="1620" w:type="dxa"/>
                  <w:noWrap w:val="0"/>
                  <w:vAlign w:val="center"/>
                </w:tcPr>
                <w:p>
                  <w:pPr>
                    <w:pStyle w:val="15"/>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局</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长</w:t>
                  </w:r>
                </w:p>
              </w:tc>
              <w:tc>
                <w:tcPr>
                  <w:tcW w:w="1869" w:type="dxa"/>
                  <w:noWrap w:val="0"/>
                  <w:vAlign w:val="center"/>
                </w:tcPr>
                <w:p>
                  <w:pPr>
                    <w:pStyle w:val="15"/>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区城改局</w:t>
                  </w:r>
                </w:p>
              </w:tc>
              <w:tc>
                <w:tcPr>
                  <w:tcW w:w="1373" w:type="dxa"/>
                  <w:noWrap w:val="0"/>
                  <w:vAlign w:val="top"/>
                </w:tcPr>
                <w:p>
                  <w:pPr>
                    <w:pStyle w:val="15"/>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620" w:type="dxa"/>
                  <w:noWrap w:val="0"/>
                  <w:vAlign w:val="center"/>
                </w:tcPr>
                <w:p>
                  <w:pPr>
                    <w:widowControl w:val="0"/>
                    <w:spacing w:after="0" w:afterLines="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noWrap w:val="0"/>
                  <w:vAlign w:val="center"/>
                </w:tcPr>
                <w:p>
                  <w:pPr>
                    <w:pStyle w:val="15"/>
                    <w:widowControl w:val="0"/>
                    <w:spacing w:after="0" w:afterLines="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赵东红</w:t>
                  </w:r>
                </w:p>
              </w:tc>
              <w:tc>
                <w:tcPr>
                  <w:tcW w:w="1620" w:type="dxa"/>
                  <w:noWrap w:val="0"/>
                  <w:vAlign w:val="center"/>
                </w:tcPr>
                <w:p>
                  <w:pPr>
                    <w:pStyle w:val="15"/>
                    <w:widowControl w:val="0"/>
                    <w:spacing w:after="0" w:afterLines="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en-US" w:eastAsia="zh-CN"/>
                    </w:rPr>
                    <w:t>处  长</w:t>
                  </w:r>
                </w:p>
              </w:tc>
              <w:tc>
                <w:tcPr>
                  <w:tcW w:w="1869" w:type="dxa"/>
                  <w:noWrap w:val="0"/>
                  <w:vAlign w:val="center"/>
                </w:tcPr>
                <w:p>
                  <w:pPr>
                    <w:pStyle w:val="15"/>
                    <w:widowControl w:val="0"/>
                    <w:spacing w:after="0" w:afterLines="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区城改局</w:t>
                  </w:r>
                </w:p>
              </w:tc>
              <w:tc>
                <w:tcPr>
                  <w:tcW w:w="1373" w:type="dxa"/>
                  <w:noWrap w:val="0"/>
                  <w:vAlign w:val="top"/>
                </w:tcPr>
                <w:p>
                  <w:pPr>
                    <w:pStyle w:val="15"/>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620" w:type="dxa"/>
                  <w:noWrap w:val="0"/>
                  <w:vAlign w:val="center"/>
                </w:tcPr>
                <w:p>
                  <w:pPr>
                    <w:pStyle w:val="15"/>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noWrap w:val="0"/>
                  <w:vAlign w:val="center"/>
                </w:tcPr>
                <w:p>
                  <w:pPr>
                    <w:pStyle w:val="15"/>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邓</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琳</w:t>
                  </w:r>
                </w:p>
              </w:tc>
              <w:tc>
                <w:tcPr>
                  <w:tcW w:w="1620" w:type="dxa"/>
                  <w:noWrap w:val="0"/>
                  <w:vAlign w:val="center"/>
                </w:tcPr>
                <w:p>
                  <w:pPr>
                    <w:pStyle w:val="15"/>
                    <w:widowControl w:val="0"/>
                    <w:spacing w:after="0" w:afterLines="0" w:line="360" w:lineRule="auto"/>
                    <w:jc w:val="center"/>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en-US" w:eastAsia="zh-CN"/>
                    </w:rPr>
                    <w:t>副</w:t>
                  </w:r>
                  <w:r>
                    <w:rPr>
                      <w:rFonts w:hint="eastAsia" w:ascii="Times New Roman" w:hAnsi="Times New Roman" w:eastAsia="黑体" w:cs="黑体"/>
                      <w:kern w:val="2"/>
                      <w:sz w:val="24"/>
                      <w:szCs w:val="24"/>
                      <w:lang w:val="zh-TW"/>
                    </w:rPr>
                    <w:t>局长</w:t>
                  </w:r>
                </w:p>
              </w:tc>
              <w:tc>
                <w:tcPr>
                  <w:tcW w:w="1869" w:type="dxa"/>
                  <w:noWrap w:val="0"/>
                  <w:vAlign w:val="center"/>
                </w:tcPr>
                <w:p>
                  <w:pPr>
                    <w:pStyle w:val="15"/>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rPr>
                    <w:t>区城改局</w:t>
                  </w:r>
                </w:p>
              </w:tc>
              <w:tc>
                <w:tcPr>
                  <w:tcW w:w="1373" w:type="dxa"/>
                  <w:noWrap w:val="0"/>
                  <w:vAlign w:val="top"/>
                </w:tcPr>
                <w:p>
                  <w:pPr>
                    <w:pStyle w:val="15"/>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620" w:type="dxa"/>
                  <w:noWrap w:val="0"/>
                  <w:vAlign w:val="center"/>
                </w:tcPr>
                <w:p>
                  <w:pPr>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noWrap w:val="0"/>
                  <w:vAlign w:val="center"/>
                </w:tcPr>
                <w:p>
                  <w:pPr>
                    <w:pStyle w:val="15"/>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陈</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莅</w:t>
                  </w:r>
                </w:p>
              </w:tc>
              <w:tc>
                <w:tcPr>
                  <w:tcW w:w="1620" w:type="dxa"/>
                  <w:noWrap w:val="0"/>
                  <w:vAlign w:val="center"/>
                </w:tcPr>
                <w:p>
                  <w:pPr>
                    <w:pStyle w:val="15"/>
                    <w:widowControl w:val="0"/>
                    <w:spacing w:after="0" w:afterLines="0" w:line="360" w:lineRule="auto"/>
                    <w:jc w:val="center"/>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en-US" w:eastAsia="zh-CN"/>
                    </w:rPr>
                    <w:t>副</w:t>
                  </w:r>
                  <w:r>
                    <w:rPr>
                      <w:rFonts w:hint="eastAsia" w:ascii="Times New Roman" w:hAnsi="Times New Roman" w:eastAsia="黑体" w:cs="黑体"/>
                      <w:kern w:val="2"/>
                      <w:sz w:val="24"/>
                      <w:szCs w:val="24"/>
                      <w:lang w:val="zh-TW"/>
                    </w:rPr>
                    <w:t>局长</w:t>
                  </w:r>
                </w:p>
              </w:tc>
              <w:tc>
                <w:tcPr>
                  <w:tcW w:w="1869" w:type="dxa"/>
                  <w:noWrap w:val="0"/>
                  <w:vAlign w:val="center"/>
                </w:tcPr>
                <w:p>
                  <w:pPr>
                    <w:pStyle w:val="15"/>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rPr>
                    <w:t>区城改局</w:t>
                  </w:r>
                </w:p>
              </w:tc>
              <w:tc>
                <w:tcPr>
                  <w:tcW w:w="1373" w:type="dxa"/>
                  <w:noWrap w:val="0"/>
                  <w:vAlign w:val="top"/>
                </w:tcPr>
                <w:p>
                  <w:pPr>
                    <w:pStyle w:val="15"/>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620" w:type="dxa"/>
                  <w:noWrap w:val="0"/>
                  <w:vAlign w:val="center"/>
                </w:tcPr>
                <w:p>
                  <w:pPr>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noWrap w:val="0"/>
                  <w:vAlign w:val="center"/>
                </w:tcPr>
                <w:p>
                  <w:pPr>
                    <w:pStyle w:val="15"/>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en-US" w:eastAsia="zh-CN"/>
                    </w:rPr>
                    <w:t>李春梅</w:t>
                  </w:r>
                </w:p>
              </w:tc>
              <w:tc>
                <w:tcPr>
                  <w:tcW w:w="1620" w:type="dxa"/>
                  <w:noWrap w:val="0"/>
                  <w:vAlign w:val="center"/>
                </w:tcPr>
                <w:p>
                  <w:pPr>
                    <w:pStyle w:val="15"/>
                    <w:widowControl w:val="0"/>
                    <w:spacing w:after="0" w:afterLines="0" w:line="360" w:lineRule="auto"/>
                    <w:jc w:val="center"/>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zh-TW" w:eastAsia="zh-CN"/>
                    </w:rPr>
                    <w:t>主</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任</w:t>
                  </w:r>
                </w:p>
              </w:tc>
              <w:tc>
                <w:tcPr>
                  <w:tcW w:w="1869" w:type="dxa"/>
                  <w:noWrap w:val="0"/>
                  <w:vAlign w:val="center"/>
                </w:tcPr>
                <w:p>
                  <w:pPr>
                    <w:pStyle w:val="15"/>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eastAsia="zh-CN"/>
                    </w:rPr>
                    <w:t>土储中心</w:t>
                  </w:r>
                </w:p>
              </w:tc>
              <w:tc>
                <w:tcPr>
                  <w:tcW w:w="1373" w:type="dxa"/>
                  <w:noWrap w:val="0"/>
                  <w:vAlign w:val="top"/>
                </w:tcPr>
                <w:p>
                  <w:pPr>
                    <w:pStyle w:val="15"/>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620" w:type="dxa"/>
                  <w:noWrap w:val="0"/>
                  <w:vAlign w:val="center"/>
                </w:tcPr>
                <w:p>
                  <w:pPr>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noWrap w:val="0"/>
                  <w:vAlign w:val="center"/>
                </w:tcPr>
                <w:p>
                  <w:pPr>
                    <w:pStyle w:val="15"/>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en-US" w:eastAsia="zh-CN"/>
                    </w:rPr>
                    <w:t>舒冰洁</w:t>
                  </w:r>
                </w:p>
              </w:tc>
              <w:tc>
                <w:tcPr>
                  <w:tcW w:w="1620" w:type="dxa"/>
                  <w:noWrap w:val="0"/>
                  <w:vAlign w:val="center"/>
                </w:tcPr>
                <w:p>
                  <w:pPr>
                    <w:pStyle w:val="15"/>
                    <w:widowControl w:val="0"/>
                    <w:spacing w:after="0" w:afterLines="0" w:line="360" w:lineRule="auto"/>
                    <w:jc w:val="center"/>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zh-TW" w:eastAsia="zh-CN"/>
                    </w:rPr>
                    <w:t>副主任</w:t>
                  </w:r>
                </w:p>
              </w:tc>
              <w:tc>
                <w:tcPr>
                  <w:tcW w:w="1869" w:type="dxa"/>
                  <w:noWrap w:val="0"/>
                  <w:vAlign w:val="center"/>
                </w:tcPr>
                <w:p>
                  <w:pPr>
                    <w:pStyle w:val="15"/>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eastAsia="zh-CN"/>
                    </w:rPr>
                    <w:t>土储中心</w:t>
                  </w:r>
                </w:p>
              </w:tc>
              <w:tc>
                <w:tcPr>
                  <w:tcW w:w="1373" w:type="dxa"/>
                  <w:noWrap w:val="0"/>
                  <w:vAlign w:val="top"/>
                </w:tcPr>
                <w:p>
                  <w:pPr>
                    <w:pStyle w:val="15"/>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620" w:type="dxa"/>
                  <w:noWrap w:val="0"/>
                  <w:vAlign w:val="center"/>
                </w:tcPr>
                <w:p>
                  <w:pPr>
                    <w:widowControl w:val="0"/>
                    <w:spacing w:after="0" w:afterLines="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noWrap w:val="0"/>
                  <w:vAlign w:val="center"/>
                </w:tcPr>
                <w:p>
                  <w:pPr>
                    <w:pStyle w:val="15"/>
                    <w:widowControl w:val="0"/>
                    <w:spacing w:after="0" w:afterLines="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en-US" w:eastAsia="zh-CN"/>
                    </w:rPr>
                    <w:t>保春红</w:t>
                  </w:r>
                </w:p>
              </w:tc>
              <w:tc>
                <w:tcPr>
                  <w:tcW w:w="1620" w:type="dxa"/>
                  <w:noWrap w:val="0"/>
                  <w:vAlign w:val="center"/>
                </w:tcPr>
                <w:p>
                  <w:pPr>
                    <w:pStyle w:val="15"/>
                    <w:widowControl w:val="0"/>
                    <w:spacing w:after="0" w:afterLines="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副主任</w:t>
                  </w:r>
                </w:p>
              </w:tc>
              <w:tc>
                <w:tcPr>
                  <w:tcW w:w="1869" w:type="dxa"/>
                  <w:noWrap w:val="0"/>
                  <w:vAlign w:val="center"/>
                </w:tcPr>
                <w:p>
                  <w:pPr>
                    <w:pStyle w:val="15"/>
                    <w:widowControl w:val="0"/>
                    <w:spacing w:after="0" w:afterLines="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土储中心</w:t>
                  </w:r>
                </w:p>
              </w:tc>
              <w:tc>
                <w:tcPr>
                  <w:tcW w:w="1373" w:type="dxa"/>
                  <w:noWrap w:val="0"/>
                  <w:vAlign w:val="top"/>
                </w:tcPr>
                <w:p>
                  <w:pPr>
                    <w:pStyle w:val="15"/>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620" w:type="dxa"/>
                  <w:noWrap w:val="0"/>
                  <w:vAlign w:val="center"/>
                </w:tcPr>
                <w:p>
                  <w:pPr>
                    <w:pStyle w:val="15"/>
                    <w:widowControl w:val="0"/>
                    <w:spacing w:after="0" w:afterLines="0" w:line="240" w:lineRule="auto"/>
                    <w:jc w:val="center"/>
                    <w:rPr>
                      <w:rFonts w:hint="eastAsia" w:ascii="Times New Roman" w:hAnsi="Times New Roman" w:eastAsia="黑体" w:cs="黑体"/>
                      <w:kern w:val="2"/>
                      <w:sz w:val="24"/>
                      <w:szCs w:val="24"/>
                      <w:lang w:val="zh-TW"/>
                    </w:rPr>
                  </w:pPr>
                </w:p>
              </w:tc>
              <w:tc>
                <w:tcPr>
                  <w:tcW w:w="1620" w:type="dxa"/>
                  <w:noWrap w:val="0"/>
                  <w:vAlign w:val="center"/>
                </w:tcPr>
                <w:p>
                  <w:pPr>
                    <w:pStyle w:val="15"/>
                    <w:widowControl w:val="0"/>
                    <w:spacing w:after="0" w:line="240" w:lineRule="auto"/>
                    <w:jc w:val="center"/>
                    <w:rPr>
                      <w:rFonts w:hint="eastAsia" w:ascii="Times New Roman" w:hAnsi="Times New Roman" w:eastAsia="黑体" w:cs="黑体"/>
                      <w:kern w:val="2"/>
                      <w:sz w:val="24"/>
                      <w:szCs w:val="24"/>
                      <w:lang w:val="en-US" w:eastAsia="zh-CN"/>
                    </w:rPr>
                  </w:pPr>
                </w:p>
              </w:tc>
              <w:tc>
                <w:tcPr>
                  <w:tcW w:w="1620" w:type="dxa"/>
                  <w:noWrap w:val="0"/>
                  <w:vAlign w:val="center"/>
                </w:tcPr>
                <w:p>
                  <w:pPr>
                    <w:pStyle w:val="15"/>
                    <w:widowControl w:val="0"/>
                    <w:spacing w:after="0" w:line="240" w:lineRule="auto"/>
                    <w:jc w:val="center"/>
                    <w:rPr>
                      <w:rFonts w:hint="eastAsia" w:ascii="Times New Roman" w:hAnsi="Times New Roman" w:eastAsia="黑体" w:cs="黑体"/>
                      <w:kern w:val="2"/>
                      <w:sz w:val="24"/>
                      <w:szCs w:val="24"/>
                      <w:lang w:val="zh-TW" w:eastAsia="zh-CN"/>
                    </w:rPr>
                  </w:pPr>
                </w:p>
              </w:tc>
              <w:tc>
                <w:tcPr>
                  <w:tcW w:w="1869" w:type="dxa"/>
                  <w:noWrap w:val="0"/>
                  <w:vAlign w:val="center"/>
                </w:tcPr>
                <w:p>
                  <w:pPr>
                    <w:pStyle w:val="15"/>
                    <w:widowControl w:val="0"/>
                    <w:spacing w:after="0" w:line="240" w:lineRule="auto"/>
                    <w:jc w:val="center"/>
                    <w:rPr>
                      <w:rFonts w:hint="eastAsia" w:ascii="Times New Roman" w:hAnsi="Times New Roman" w:eastAsia="黑体" w:cs="黑体"/>
                      <w:kern w:val="2"/>
                      <w:sz w:val="24"/>
                      <w:szCs w:val="24"/>
                      <w:lang w:val="zh-TW" w:eastAsia="zh-CN"/>
                    </w:rPr>
                  </w:pPr>
                </w:p>
              </w:tc>
              <w:tc>
                <w:tcPr>
                  <w:tcW w:w="1373" w:type="dxa"/>
                  <w:noWrap w:val="0"/>
                  <w:vAlign w:val="top"/>
                </w:tcPr>
                <w:p>
                  <w:pPr>
                    <w:pStyle w:val="15"/>
                    <w:widowControl w:val="0"/>
                    <w:spacing w:after="0" w:line="360" w:lineRule="auto"/>
                    <w:jc w:val="both"/>
                    <w:rPr>
                      <w:rFonts w:ascii="Times New Roman" w:hAnsi="Times New Roman" w:eastAsia="黑体" w:cs="黑体"/>
                      <w:kern w:val="2"/>
                      <w:sz w:val="24"/>
                      <w:szCs w:val="24"/>
                      <w:lang w:val="zh-TW" w:eastAsia="zh-TW"/>
                    </w:rPr>
                  </w:pPr>
                </w:p>
              </w:tc>
            </w:tr>
          </w:tbl>
          <w:p>
            <w:pPr>
              <w:pStyle w:val="15"/>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15"/>
              <w:widowControl w:val="0"/>
              <w:spacing w:after="0" w:line="360" w:lineRule="auto"/>
              <w:jc w:val="both"/>
              <w:rPr>
                <w:rFonts w:ascii="Times New Roman" w:hAnsi="Times New Roman" w:eastAsia="黑体" w:cs="黑体"/>
                <w:kern w:val="2"/>
                <w:sz w:val="24"/>
                <w:szCs w:val="24"/>
                <w:lang w:val="zh-TW"/>
              </w:rPr>
            </w:pPr>
          </w:p>
          <w:p>
            <w:pPr>
              <w:pStyle w:val="15"/>
              <w:widowControl w:val="0"/>
              <w:spacing w:after="0" w:line="360" w:lineRule="auto"/>
              <w:jc w:val="both"/>
              <w:rPr>
                <w:rFonts w:ascii="Times New Roman" w:hAnsi="Times New Roman" w:eastAsia="黑体" w:cs="黑体"/>
                <w:kern w:val="2"/>
                <w:sz w:val="24"/>
                <w:szCs w:val="24"/>
                <w:lang w:val="zh-TW"/>
              </w:rPr>
            </w:pPr>
          </w:p>
          <w:p>
            <w:pPr>
              <w:pStyle w:val="15"/>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w:t>
            </w:r>
            <w:r>
              <w:rPr>
                <w:rFonts w:ascii="Times New Roman" w:hAnsi="Times New Roman" w:eastAsia="黑体" w:cs="黑体"/>
                <w:kern w:val="2"/>
                <w:sz w:val="24"/>
                <w:szCs w:val="24"/>
                <w:lang w:val="zh-TW"/>
              </w:rPr>
              <w:t xml:space="preserve">  </w:t>
            </w:r>
            <w:r>
              <w:rPr>
                <w:rFonts w:hint="eastAsia" w:ascii="Times New Roman" w:hAnsi="Times New Roman" w:eastAsia="黑体" w:cs="黑体"/>
                <w:kern w:val="2"/>
                <w:sz w:val="24"/>
                <w:szCs w:val="24"/>
                <w:lang w:val="zh-TW"/>
              </w:rPr>
              <w:t>月</w:t>
            </w:r>
            <w:r>
              <w:rPr>
                <w:rFonts w:ascii="Times New Roman" w:hAnsi="Times New Roman" w:eastAsia="黑体" w:cs="黑体"/>
                <w:kern w:val="2"/>
                <w:sz w:val="24"/>
                <w:szCs w:val="24"/>
                <w:lang w:val="zh-TW"/>
              </w:rPr>
              <w:t xml:space="preserve">  </w:t>
            </w:r>
            <w:r>
              <w:rPr>
                <w:rFonts w:hint="eastAsia" w:ascii="Times New Roman" w:hAnsi="Times New Roman" w:eastAsia="黑体" w:cs="黑体"/>
                <w:kern w:val="2"/>
                <w:sz w:val="24"/>
                <w:szCs w:val="24"/>
                <w:lang w:val="zh-TW"/>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1" w:hRule="atLeast"/>
        </w:trPr>
        <w:tc>
          <w:tcPr>
            <w:tcW w:w="8102" w:type="dxa"/>
          </w:tcPr>
          <w:p>
            <w:pPr>
              <w:pStyle w:val="15"/>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15"/>
              <w:widowControl w:val="0"/>
              <w:spacing w:after="0" w:line="360" w:lineRule="auto"/>
              <w:jc w:val="both"/>
              <w:rPr>
                <w:rFonts w:ascii="Times New Roman" w:hAnsi="Times New Roman" w:eastAsia="黑体" w:cs="黑体"/>
                <w:kern w:val="2"/>
                <w:sz w:val="24"/>
                <w:szCs w:val="24"/>
                <w:lang w:val="zh-TW"/>
              </w:rPr>
            </w:pPr>
          </w:p>
          <w:p>
            <w:pPr>
              <w:pStyle w:val="15"/>
              <w:widowControl w:val="0"/>
              <w:spacing w:after="0" w:line="360" w:lineRule="auto"/>
              <w:jc w:val="both"/>
              <w:rPr>
                <w:rFonts w:ascii="Times New Roman" w:hAnsi="Times New Roman" w:eastAsia="黑体" w:cs="黑体"/>
                <w:kern w:val="2"/>
                <w:sz w:val="24"/>
                <w:szCs w:val="24"/>
                <w:lang w:val="zh-TW"/>
              </w:rPr>
            </w:pPr>
          </w:p>
          <w:p>
            <w:pPr>
              <w:pStyle w:val="15"/>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w:t>
            </w:r>
            <w:r>
              <w:rPr>
                <w:rFonts w:ascii="Times New Roman" w:hAnsi="Times New Roman" w:eastAsia="黑体" w:cs="黑体"/>
                <w:kern w:val="2"/>
                <w:sz w:val="24"/>
                <w:szCs w:val="24"/>
                <w:lang w:val="zh-TW"/>
              </w:rPr>
              <w:t xml:space="preserve">  </w:t>
            </w:r>
            <w:r>
              <w:rPr>
                <w:rFonts w:hint="eastAsia" w:ascii="Times New Roman" w:hAnsi="Times New Roman" w:eastAsia="黑体" w:cs="黑体"/>
                <w:kern w:val="2"/>
                <w:sz w:val="24"/>
                <w:szCs w:val="24"/>
                <w:lang w:val="zh-TW"/>
              </w:rPr>
              <w:t>月</w:t>
            </w:r>
            <w:r>
              <w:rPr>
                <w:rFonts w:ascii="Times New Roman" w:hAnsi="Times New Roman" w:eastAsia="黑体" w:cs="黑体"/>
                <w:kern w:val="2"/>
                <w:sz w:val="24"/>
                <w:szCs w:val="24"/>
                <w:lang w:val="zh-TW"/>
              </w:rPr>
              <w:t xml:space="preserve">  </w:t>
            </w:r>
            <w:r>
              <w:rPr>
                <w:rFonts w:hint="eastAsia" w:ascii="Times New Roman" w:hAnsi="Times New Roman" w:eastAsia="黑体" w:cs="黑体"/>
                <w:kern w:val="2"/>
                <w:sz w:val="24"/>
                <w:szCs w:val="24"/>
                <w:lang w:val="zh-TW"/>
              </w:rPr>
              <w:t>日</w:t>
            </w:r>
          </w:p>
        </w:tc>
      </w:tr>
    </w:tbl>
    <w:p>
      <w:pPr>
        <w:pStyle w:val="15"/>
        <w:widowControl w:val="0"/>
        <w:spacing w:after="0" w:line="360" w:lineRule="auto"/>
        <w:ind w:firstLine="566" w:firstLineChars="236"/>
        <w:jc w:val="both"/>
        <w:rPr>
          <w:rFonts w:ascii="Times New Roman" w:hAnsi="Times New Roman" w:eastAsia="PMingLiUfalt" w:cs="Times New Roman"/>
          <w:kern w:val="2"/>
          <w:sz w:val="24"/>
          <w:szCs w:val="24"/>
          <w:lang w:val="zh-TW" w:eastAsia="zh-TW"/>
        </w:rPr>
      </w:pPr>
    </w:p>
    <w:p>
      <w:pPr>
        <w:pStyle w:val="15"/>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16"/>
        <w:jc w:val="center"/>
        <w:rPr>
          <w:rFonts w:ascii="黑体" w:hAnsi="黑体" w:eastAsia="黑体"/>
          <w:sz w:val="32"/>
          <w:szCs w:val="32"/>
        </w:rPr>
      </w:pPr>
      <w:r>
        <w:rPr>
          <w:rFonts w:hint="eastAsia" w:ascii="方正小标宋简体" w:hAnsi="方正小标宋简体" w:eastAsia="方正小标宋简体" w:cs="方正小标宋简体"/>
          <w:b w:val="0"/>
          <w:bCs w:val="0"/>
          <w:color w:val="auto"/>
          <w:sz w:val="32"/>
          <w:szCs w:val="32"/>
          <w:lang w:val="zh-CN"/>
        </w:rPr>
        <w:t>目录</w:t>
      </w:r>
      <w:r>
        <w:rPr>
          <w:rFonts w:ascii="黑体" w:hAnsi="黑体" w:eastAsia="黑体"/>
          <w:sz w:val="32"/>
          <w:szCs w:val="32"/>
        </w:rPr>
        <w:tab/>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一、 项目情况</w:t>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w:t>
      </w:r>
      <w:r>
        <w:rPr>
          <w:rFonts w:hint="eastAsia" w:ascii="仿宋_GB2312" w:hAnsi="仿宋_GB2312" w:eastAsia="仿宋_GB2312" w:cs="仿宋_GB2312"/>
          <w:sz w:val="32"/>
          <w:szCs w:val="32"/>
          <w:lang w:eastAsia="zh-CN"/>
        </w:rPr>
        <w:t>基本情况</w:t>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（二）项目</w:t>
      </w:r>
      <w:r>
        <w:rPr>
          <w:rFonts w:hint="eastAsia" w:ascii="仿宋_GB2312" w:hAnsi="仿宋_GB2312" w:eastAsia="仿宋_GB2312" w:cs="仿宋_GB2312"/>
          <w:sz w:val="32"/>
          <w:szCs w:val="32"/>
          <w:lang w:eastAsia="zh-CN"/>
        </w:rPr>
        <w:t>实施情况</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资金收支及使用情况</w:t>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二、绩效评价</w:t>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绩效目标</w:t>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(二)绩效评价工作</w:t>
      </w:r>
      <w:r>
        <w:rPr>
          <w:rFonts w:hint="eastAsia" w:ascii="仿宋_GB2312" w:hAnsi="仿宋_GB2312" w:eastAsia="仿宋_GB2312" w:cs="仿宋_GB2312"/>
          <w:sz w:val="32"/>
          <w:szCs w:val="32"/>
          <w:lang w:eastAsia="zh-CN"/>
        </w:rPr>
        <w:t>情况</w:t>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评价的目的和依据</w:t>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left"/>
        <w:textAlignment w:val="auto"/>
        <w:outlineLvl w:val="9"/>
        <w:rPr>
          <w:rFonts w:ascii="黑体" w:hAnsi="黑体" w:eastAsia="黑体"/>
          <w:szCs w:val="32"/>
        </w:rPr>
      </w:pPr>
      <w:r>
        <w:rPr>
          <w:rFonts w:hint="eastAsia" w:ascii="黑体" w:hAnsi="黑体" w:eastAsia="黑体" w:cs="黑体"/>
          <w:sz w:val="32"/>
          <w:szCs w:val="32"/>
          <w:lang w:eastAsia="zh-CN"/>
        </w:rPr>
        <w:t>三</w:t>
      </w:r>
      <w:r>
        <w:rPr>
          <w:rFonts w:hint="eastAsia" w:ascii="黑体" w:hAnsi="黑体" w:eastAsia="黑体" w:cs="黑体"/>
          <w:sz w:val="32"/>
          <w:szCs w:val="32"/>
        </w:rPr>
        <w:t>、项目主要经验及做法、存在的问题和建议</w:t>
      </w:r>
      <w:r>
        <w:rPr>
          <w:rFonts w:ascii="黑体" w:hAnsi="黑体" w:eastAsia="黑体"/>
          <w:szCs w:val="32"/>
        </w:rPr>
        <w:t xml:space="preserve"> </w:t>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420" w:firstLineChars="200"/>
        <w:jc w:val="left"/>
        <w:textAlignment w:val="auto"/>
        <w:outlineLvl w:val="9"/>
        <w:rPr>
          <w:rFonts w:ascii="黑体" w:hAnsi="黑体" w:eastAsia="黑体"/>
          <w:szCs w:val="32"/>
        </w:rPr>
      </w:pPr>
    </w:p>
    <w:p>
      <w:pPr>
        <w:spacing w:line="440" w:lineRule="exact"/>
        <w:ind w:firstLine="420" w:firstLineChars="200"/>
        <w:jc w:val="left"/>
        <w:rPr>
          <w:rFonts w:ascii="黑体" w:hAnsi="黑体" w:eastAsia="黑体"/>
          <w:szCs w:val="32"/>
        </w:rPr>
      </w:pPr>
      <w:r>
        <w:rPr>
          <w:rFonts w:ascii="黑体" w:hAnsi="黑体" w:eastAsia="黑体"/>
          <w:szCs w:val="32"/>
        </w:rPr>
        <w:tab/>
      </w:r>
    </w:p>
    <w:p>
      <w:pPr>
        <w:spacing w:line="540" w:lineRule="exact"/>
        <w:rPr>
          <w:rFonts w:ascii="方正小标宋_GBK" w:hAnsi="黑体" w:eastAsia="方正小标宋_GBK"/>
          <w:szCs w:val="32"/>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keepNext w:val="0"/>
        <w:keepLines w:val="0"/>
        <w:pageBreakBefore w:val="0"/>
        <w:widowControl w:val="0"/>
        <w:kinsoku/>
        <w:wordWrap/>
        <w:overflowPunct/>
        <w:topLinePunct w:val="0"/>
        <w:autoSpaceDE/>
        <w:autoSpaceDN/>
        <w:bidi w:val="0"/>
        <w:adjustRightInd/>
        <w:snapToGrid/>
        <w:spacing w:line="700" w:lineRule="exact"/>
        <w:ind w:firstLine="880" w:firstLineChars="200"/>
        <w:jc w:val="both"/>
        <w:textAlignment w:val="auto"/>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盘龙区任旗营城市棚户区改造项目</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仿宋" w:hAnsi="仿宋" w:eastAsia="仿宋" w:cs="仿宋"/>
          <w:b w:val="0"/>
          <w:bCs/>
          <w:sz w:val="44"/>
          <w:szCs w:val="44"/>
        </w:rPr>
      </w:pPr>
      <w:r>
        <w:rPr>
          <w:rFonts w:hint="eastAsia" w:ascii="方正小标宋简体" w:hAnsi="方正小标宋简体" w:eastAsia="方正小标宋简体" w:cs="方正小标宋简体"/>
          <w:b w:val="0"/>
          <w:bCs/>
          <w:sz w:val="44"/>
          <w:szCs w:val="44"/>
          <w:lang w:val="en-US" w:eastAsia="zh-CN"/>
        </w:rPr>
        <w:t>专项资金1000万元</w:t>
      </w:r>
      <w:r>
        <w:rPr>
          <w:rFonts w:hint="eastAsia" w:ascii="方正小标宋简体" w:hAnsi="方正小标宋简体" w:eastAsia="方正小标宋简体" w:cs="方正小标宋简体"/>
          <w:b w:val="0"/>
          <w:bCs/>
          <w:sz w:val="44"/>
          <w:szCs w:val="44"/>
        </w:rPr>
        <w:t>支出绩效自评报告</w:t>
      </w:r>
    </w:p>
    <w:p>
      <w:pPr>
        <w:keepNext w:val="0"/>
        <w:keepLines w:val="0"/>
        <w:pageBreakBefore w:val="0"/>
        <w:widowControl w:val="0"/>
        <w:kinsoku/>
        <w:wordWrap/>
        <w:overflowPunct/>
        <w:topLinePunct/>
        <w:autoSpaceDE/>
        <w:autoSpaceDN/>
        <w:bidi w:val="0"/>
        <w:adjustRightInd/>
        <w:snapToGrid/>
        <w:spacing w:line="360" w:lineRule="auto"/>
        <w:textAlignment w:val="auto"/>
        <w:rPr>
          <w:rFonts w:ascii="黑体" w:eastAsia="黑体"/>
          <w:b/>
          <w:bCs/>
          <w:szCs w:val="32"/>
        </w:rPr>
      </w:pPr>
    </w:p>
    <w:p>
      <w:pPr>
        <w:keepNext w:val="0"/>
        <w:keepLines w:val="0"/>
        <w:pageBreakBefore w:val="0"/>
        <w:widowControl w:val="0"/>
        <w:numPr>
          <w:ilvl w:val="0"/>
          <w:numId w:val="1"/>
        </w:numPr>
        <w:kinsoku/>
        <w:wordWrap/>
        <w:overflowPunct/>
        <w:topLinePunct/>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项目情况</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textAlignment w:val="auto"/>
        <w:rPr>
          <w:rFonts w:hint="eastAsia" w:ascii="仿宋" w:hAnsi="仿宋" w:eastAsia="仿宋" w:cs="仿宋"/>
          <w:b w:val="0"/>
          <w:bCs/>
          <w:kern w:val="0"/>
          <w:sz w:val="32"/>
          <w:szCs w:val="32"/>
          <w:lang w:val="en-US" w:eastAsia="zh-CN"/>
        </w:rPr>
      </w:pPr>
      <w:r>
        <w:rPr>
          <w:rFonts w:hint="eastAsia" w:ascii="仿宋" w:hAnsi="仿宋" w:eastAsia="仿宋" w:cs="仿宋"/>
          <w:b w:val="0"/>
          <w:bCs/>
          <w:sz w:val="32"/>
          <w:szCs w:val="32"/>
          <w:lang w:val="en-US" w:eastAsia="zh-CN"/>
        </w:rPr>
        <w:t xml:space="preserve">2022年，盘龙区任旗营城市棚户区改造项目专项资金1000万元，盘财债追〔2022〕5号 </w:t>
      </w:r>
      <w:r>
        <w:rPr>
          <w:rFonts w:hint="eastAsia" w:ascii="仿宋" w:hAnsi="仿宋" w:eastAsia="仿宋" w:cs="仿宋"/>
          <w:b w:val="0"/>
          <w:bCs/>
          <w:kern w:val="0"/>
          <w:sz w:val="32"/>
          <w:szCs w:val="32"/>
          <w:lang w:val="en-US" w:eastAsia="zh-CN"/>
        </w:rPr>
        <w:t>。</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楷体" w:hAnsi="楷体" w:eastAsia="楷体" w:cs="楷体"/>
          <w:sz w:val="32"/>
          <w:szCs w:val="32"/>
          <w:lang w:val="en-US" w:eastAsia="zh-CN"/>
        </w:rPr>
      </w:pPr>
      <w:r>
        <w:rPr>
          <w:rFonts w:hint="eastAsia" w:ascii="仿宋" w:hAnsi="仿宋" w:eastAsia="仿宋" w:cs="Arial"/>
          <w:kern w:val="0"/>
          <w:sz w:val="32"/>
          <w:szCs w:val="32"/>
          <w:lang w:val="en-US" w:eastAsia="zh-CN"/>
        </w:rPr>
        <w:t xml:space="preserve"> </w:t>
      </w:r>
      <w:r>
        <w:rPr>
          <w:rFonts w:hint="eastAsia" w:ascii="楷体_GB2312" w:hAnsi="楷体_GB2312" w:eastAsia="楷体_GB2312" w:cs="楷体_GB2312"/>
          <w:sz w:val="32"/>
          <w:szCs w:val="32"/>
          <w:lang w:val="en-US" w:eastAsia="zh-CN"/>
        </w:rPr>
        <w:t>（一）项目基本情况</w:t>
      </w:r>
    </w:p>
    <w:p>
      <w:pPr>
        <w:keepNext w:val="0"/>
        <w:keepLines w:val="0"/>
        <w:pageBreakBefore w:val="0"/>
        <w:numPr>
          <w:ilvl w:val="0"/>
          <w:numId w:val="0"/>
        </w:numPr>
        <w:kinsoku/>
        <w:wordWrap/>
        <w:overflowPunct/>
        <w:autoSpaceDE/>
        <w:autoSpaceDN/>
        <w:bidi w:val="0"/>
        <w:adjustRightInd/>
        <w:snapToGrid/>
        <w:spacing w:line="600" w:lineRule="exact"/>
        <w:ind w:right="0" w:rightChars="0" w:firstLine="640" w:firstLineChars="200"/>
        <w:textAlignment w:val="auto"/>
        <w:rPr>
          <w:rFonts w:hint="eastAsia" w:ascii="仿宋" w:hAnsi="仿宋" w:eastAsia="仿宋" w:cs="仿宋"/>
          <w:color w:val="000000"/>
          <w:sz w:val="32"/>
          <w:szCs w:val="32"/>
          <w:u w:val="none" w:color="auto"/>
          <w:lang w:val="en-US" w:eastAsia="zh-CN"/>
        </w:rPr>
      </w:pPr>
      <w:r>
        <w:rPr>
          <w:rFonts w:hint="eastAsia" w:ascii="仿宋" w:hAnsi="仿宋" w:eastAsia="仿宋" w:cs="仿宋"/>
          <w:color w:val="000000"/>
          <w:sz w:val="32"/>
          <w:szCs w:val="32"/>
          <w:u w:val="none" w:color="auto"/>
          <w:lang w:val="en-US" w:eastAsia="zh-CN"/>
        </w:rPr>
        <w:t>2022年，按照区委、区政府的工作部署，在区发改局、区财政局的牵头指导下，项目主管单位区城市更新改造局、项目实施单位区建投公司向昆明市政府申报发行专项债券4.5亿元，发债期限7年，用于任旗营棚户区改造项目专项资金，本项目棚户区改造面积70880.35㎡、建设城市棚户区改造安置房840套、需安置总面积84000㎡。根据区财政2022年度预算指标及2022年度城改局工作任务计划，2022年，已足额拨付到位专项债资金1000万元。</w:t>
      </w:r>
    </w:p>
    <w:p>
      <w:pPr>
        <w:keepNext w:val="0"/>
        <w:keepLines w:val="0"/>
        <w:pageBreakBefore w:val="0"/>
        <w:widowControl w:val="0"/>
        <w:numPr>
          <w:ilvl w:val="0"/>
          <w:numId w:val="2"/>
        </w:numPr>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sz w:val="32"/>
          <w:szCs w:val="32"/>
          <w:u w:val="none" w:color="auto"/>
          <w:lang w:val="en-US" w:eastAsia="zh-CN"/>
        </w:rPr>
      </w:pPr>
      <w:r>
        <w:rPr>
          <w:rFonts w:hint="eastAsia" w:ascii="楷体_GB2312" w:hAnsi="楷体_GB2312" w:eastAsia="楷体_GB2312" w:cs="楷体_GB2312"/>
          <w:sz w:val="32"/>
          <w:szCs w:val="32"/>
          <w:lang w:eastAsia="zh-CN"/>
        </w:rPr>
        <w:t>项目实施情况</w:t>
      </w:r>
    </w:p>
    <w:p>
      <w:pPr>
        <w:keepNext w:val="0"/>
        <w:keepLines w:val="0"/>
        <w:pageBreakBefore w:val="0"/>
        <w:numPr>
          <w:ilvl w:val="0"/>
          <w:numId w:val="0"/>
        </w:numPr>
        <w:kinsoku/>
        <w:wordWrap/>
        <w:overflowPunct/>
        <w:autoSpaceDE/>
        <w:autoSpaceDN/>
        <w:bidi w:val="0"/>
        <w:adjustRightInd/>
        <w:snapToGrid/>
        <w:spacing w:line="600" w:lineRule="exact"/>
        <w:ind w:right="0" w:rightChars="0" w:firstLine="640" w:firstLineChars="200"/>
        <w:textAlignment w:val="auto"/>
        <w:rPr>
          <w:rFonts w:hint="eastAsia" w:ascii="仿宋" w:hAnsi="仿宋" w:eastAsia="仿宋" w:cs="仿宋"/>
          <w:kern w:val="0"/>
          <w:sz w:val="32"/>
          <w:szCs w:val="32"/>
          <w:lang w:val="en-US" w:eastAsia="zh-CN"/>
        </w:rPr>
      </w:pPr>
      <w:r>
        <w:rPr>
          <w:rFonts w:hint="eastAsia" w:ascii="楷体" w:hAnsi="楷体" w:eastAsia="楷体" w:cs="楷体"/>
          <w:sz w:val="32"/>
          <w:szCs w:val="32"/>
          <w:lang w:val="en-US" w:eastAsia="zh-CN"/>
        </w:rPr>
        <w:t xml:space="preserve"> </w:t>
      </w:r>
      <w:r>
        <w:rPr>
          <w:rFonts w:hint="eastAsia" w:ascii="Times New Roman" w:hAnsi="Times New Roman" w:eastAsia="仿宋_GB2312" w:cs="Times New Roman"/>
          <w:color w:val="000000"/>
          <w:sz w:val="32"/>
          <w:szCs w:val="32"/>
          <w:u w:val="none" w:color="auto"/>
          <w:lang w:val="en-US" w:eastAsia="zh-CN"/>
        </w:rPr>
        <w:t>根</w:t>
      </w:r>
      <w:r>
        <w:rPr>
          <w:rFonts w:hint="eastAsia" w:ascii="仿宋" w:hAnsi="仿宋" w:eastAsia="仿宋" w:cs="仿宋"/>
          <w:color w:val="000000"/>
          <w:sz w:val="32"/>
          <w:szCs w:val="32"/>
          <w:u w:val="none" w:color="auto"/>
          <w:lang w:val="en-US" w:eastAsia="zh-CN"/>
        </w:rPr>
        <w:t>据财政部门的统一安排部署，1000万元专项债资金经区财政拨入区城改局财政专户后，再由区城改局拨入区建投公司开设的专户中，由区建投公司统一进行调拨，主要用于支付本项目项目回迁安置房工程施工建设费用、安置房建设前期手续办理费用及实施安置房建设产生的过渡安置费用，2022年，区建投公司按照项目进度要求及资金使用进度要求积极开展项目实施。</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（三）资金收支及使用情况</w:t>
      </w:r>
    </w:p>
    <w:p>
      <w:pPr>
        <w:keepNext w:val="0"/>
        <w:keepLines w:val="0"/>
        <w:pageBreakBefore w:val="0"/>
        <w:numPr>
          <w:ilvl w:val="0"/>
          <w:numId w:val="0"/>
        </w:numPr>
        <w:kinsoku/>
        <w:wordWrap/>
        <w:overflowPunct/>
        <w:autoSpaceDE/>
        <w:autoSpaceDN/>
        <w:bidi w:val="0"/>
        <w:adjustRightInd/>
        <w:snapToGrid/>
        <w:spacing w:line="600" w:lineRule="exact"/>
        <w:ind w:right="0" w:rightChars="0" w:firstLine="640" w:firstLineChars="200"/>
        <w:textAlignment w:val="auto"/>
        <w:rPr>
          <w:rFonts w:hint="eastAsia" w:ascii="黑体" w:hAnsi="黑体" w:eastAsia="黑体" w:cs="黑体"/>
          <w:b w:val="0"/>
          <w:bCs w:val="0"/>
          <w:sz w:val="32"/>
          <w:szCs w:val="32"/>
          <w:lang w:eastAsia="zh-CN"/>
        </w:rPr>
      </w:pPr>
      <w:r>
        <w:rPr>
          <w:rFonts w:hint="eastAsia" w:ascii="仿宋" w:hAnsi="仿宋" w:eastAsia="仿宋" w:cs="仿宋"/>
          <w:sz w:val="32"/>
          <w:szCs w:val="32"/>
          <w:lang w:val="en-US" w:eastAsia="zh-CN"/>
        </w:rPr>
        <w:t>截至2022年12月31日，区城改局收到区财政局拨付</w:t>
      </w:r>
      <w:r>
        <w:rPr>
          <w:rFonts w:hint="eastAsia" w:ascii="仿宋" w:hAnsi="仿宋" w:eastAsia="仿宋"/>
          <w:sz w:val="32"/>
          <w:szCs w:val="32"/>
          <w:lang w:val="en-US" w:eastAsia="zh-CN"/>
        </w:rPr>
        <w:t>盘龙区任旗营城市棚户区改造项目专项资金1000万元</w:t>
      </w:r>
      <w:r>
        <w:rPr>
          <w:rFonts w:hint="eastAsia" w:ascii="仿宋" w:hAnsi="仿宋" w:eastAsia="仿宋" w:cs="仿宋"/>
          <w:sz w:val="32"/>
          <w:szCs w:val="32"/>
          <w:lang w:val="en-US" w:eastAsia="zh-CN"/>
        </w:rPr>
        <w:t>，共计支出</w:t>
      </w:r>
      <w:r>
        <w:rPr>
          <w:rFonts w:hint="eastAsia" w:ascii="仿宋" w:hAnsi="仿宋" w:eastAsia="仿宋"/>
          <w:sz w:val="32"/>
          <w:szCs w:val="32"/>
          <w:lang w:val="en-US" w:eastAsia="zh-CN"/>
        </w:rPr>
        <w:t>1000万</w:t>
      </w:r>
      <w:r>
        <w:rPr>
          <w:rFonts w:hint="eastAsia" w:ascii="仿宋" w:hAnsi="仿宋" w:eastAsia="仿宋" w:cs="仿宋"/>
          <w:sz w:val="32"/>
          <w:szCs w:val="32"/>
          <w:lang w:val="en-US" w:eastAsia="zh-CN"/>
        </w:rPr>
        <w:t>元（主要用于</w:t>
      </w:r>
      <w:r>
        <w:rPr>
          <w:rFonts w:hint="eastAsia" w:ascii="仿宋" w:hAnsi="仿宋" w:eastAsia="仿宋"/>
          <w:sz w:val="32"/>
          <w:szCs w:val="32"/>
          <w:lang w:val="en-US" w:eastAsia="zh-CN"/>
        </w:rPr>
        <w:t>盘龙区任旗营城市棚户区改造项目专项</w:t>
      </w:r>
      <w:r>
        <w:rPr>
          <w:rFonts w:hint="eastAsia" w:ascii="仿宋" w:hAnsi="仿宋" w:eastAsia="仿宋" w:cs="仿宋"/>
          <w:sz w:val="32"/>
          <w:szCs w:val="32"/>
          <w:lang w:val="en-US" w:eastAsia="zh-CN"/>
        </w:rPr>
        <w:t>支出）</w:t>
      </w:r>
      <w:r>
        <w:rPr>
          <w:rFonts w:hint="eastAsia" w:ascii="仿宋" w:hAnsi="仿宋" w:eastAsia="仿宋" w:cs="仿宋_GB2312"/>
          <w:color w:val="auto"/>
          <w:sz w:val="32"/>
          <w:szCs w:val="32"/>
        </w:rPr>
        <w:t>已按要求完成，绩效产出指标、满意度指标、效益指标均达标</w:t>
      </w:r>
      <w:r>
        <w:rPr>
          <w:rFonts w:hint="eastAsia" w:ascii="仿宋" w:hAnsi="仿宋" w:eastAsia="仿宋" w:cs="仿宋_GB2312"/>
          <w:color w:val="auto"/>
          <w:sz w:val="32"/>
          <w:szCs w:val="32"/>
          <w:lang w:eastAsia="zh-CN"/>
        </w:rPr>
        <w:t>，</w:t>
      </w:r>
      <w:r>
        <w:rPr>
          <w:rFonts w:hint="eastAsia" w:ascii="仿宋" w:hAnsi="仿宋" w:eastAsia="仿宋" w:cs="仿宋"/>
          <w:sz w:val="32"/>
          <w:szCs w:val="32"/>
          <w:lang w:val="en-US" w:eastAsia="zh-CN"/>
        </w:rPr>
        <w:t>年末结余0元。</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二、绩效评价</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textAlignment w:val="auto"/>
        <w:rPr>
          <w:rFonts w:hint="eastAsia" w:ascii="楷体_GB2312" w:hAnsi="楷体_GB2312" w:eastAsia="楷体_GB2312" w:cs="楷体_GB2312"/>
          <w:sz w:val="32"/>
          <w:szCs w:val="32"/>
          <w:lang w:val="en-US" w:eastAsia="zh-CN"/>
        </w:rPr>
      </w:pPr>
      <w:r>
        <w:rPr>
          <w:rFonts w:hint="eastAsia" w:ascii="仿宋" w:hAnsi="仿宋" w:eastAsia="仿宋" w:cs="仿宋"/>
          <w:b/>
          <w:bCs/>
          <w:sz w:val="32"/>
          <w:szCs w:val="32"/>
          <w:lang w:val="en-US" w:eastAsia="zh-CN"/>
        </w:rPr>
        <w:t xml:space="preserve">   </w:t>
      </w:r>
      <w:r>
        <w:rPr>
          <w:rFonts w:hint="eastAsia" w:ascii="楷体_GB2312" w:hAnsi="楷体_GB2312" w:eastAsia="楷体_GB2312" w:cs="楷体_GB2312"/>
          <w:sz w:val="32"/>
          <w:szCs w:val="32"/>
          <w:lang w:val="en-US" w:eastAsia="zh-CN"/>
        </w:rPr>
        <w:t>（一）绩效目标</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仿宋" w:hAnsi="仿宋" w:eastAsia="仿宋" w:cs="仿宋"/>
          <w:b/>
          <w:bCs/>
          <w:sz w:val="32"/>
          <w:szCs w:val="32"/>
          <w:lang w:val="en-US" w:eastAsia="zh-CN"/>
        </w:rPr>
      </w:pPr>
      <w:r>
        <w:rPr>
          <w:rFonts w:hint="eastAsia" w:ascii="仿宋" w:hAnsi="仿宋" w:eastAsia="仿宋" w:cs="仿宋"/>
          <w:b w:val="0"/>
          <w:bCs w:val="0"/>
          <w:sz w:val="32"/>
          <w:szCs w:val="32"/>
          <w:lang w:val="en-US" w:eastAsia="zh-CN"/>
        </w:rPr>
        <w:t>按照2022度工作计划，定时完成预算绩效支出。</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textAlignment w:val="auto"/>
        <w:rPr>
          <w:rFonts w:hint="eastAsia" w:ascii="楷体_GB2312" w:hAnsi="楷体_GB2312" w:eastAsia="楷体_GB2312" w:cs="楷体_GB2312"/>
          <w:sz w:val="32"/>
          <w:szCs w:val="32"/>
          <w:lang w:val="en-US" w:eastAsia="zh-CN"/>
        </w:rPr>
      </w:pPr>
      <w:r>
        <w:rPr>
          <w:rFonts w:hint="eastAsia" w:ascii="仿宋" w:hAnsi="仿宋" w:eastAsia="仿宋" w:cs="仿宋"/>
          <w:b/>
          <w:bCs/>
          <w:sz w:val="32"/>
          <w:szCs w:val="32"/>
          <w:lang w:val="en-US" w:eastAsia="zh-CN"/>
        </w:rPr>
        <w:t xml:space="preserve">   </w:t>
      </w:r>
      <w:r>
        <w:rPr>
          <w:rFonts w:hint="eastAsia" w:ascii="楷体_GB2312" w:hAnsi="楷体_GB2312" w:eastAsia="楷体_GB2312" w:cs="楷体_GB2312"/>
          <w:sz w:val="32"/>
          <w:szCs w:val="32"/>
          <w:lang w:val="en-US" w:eastAsia="zh-CN"/>
        </w:rPr>
        <w:t>（二）绩效评价工作情况：优</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 xml:space="preserve">   （三）评价的目的和依据</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1.绩效评价工作方案制定过程：单位自行评价</w:t>
      </w:r>
      <w:r>
        <w:rPr>
          <w:rFonts w:hint="eastAsia" w:ascii="仿宋" w:hAnsi="仿宋" w:eastAsia="仿宋" w:cs="仿宋"/>
          <w:b w:val="0"/>
          <w:bCs w:val="0"/>
          <w:sz w:val="32"/>
          <w:szCs w:val="32"/>
          <w:lang w:val="en-US" w:eastAsia="zh-CN"/>
        </w:rPr>
        <w:tab/>
      </w:r>
      <w:r>
        <w:rPr>
          <w:rFonts w:hint="eastAsia" w:ascii="仿宋" w:hAnsi="仿宋" w:eastAsia="仿宋" w:cs="仿宋"/>
          <w:b w:val="0"/>
          <w:bCs w:val="0"/>
          <w:sz w:val="32"/>
          <w:szCs w:val="32"/>
          <w:lang w:val="en-US" w:eastAsia="zh-CN"/>
        </w:rPr>
        <w:t xml:space="preserve"> </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2.绩效评价原则、评价方法等：单位自行评价</w:t>
      </w:r>
      <w:r>
        <w:rPr>
          <w:rFonts w:hint="eastAsia" w:ascii="仿宋" w:hAnsi="仿宋" w:eastAsia="仿宋" w:cs="仿宋"/>
          <w:b w:val="0"/>
          <w:bCs w:val="0"/>
          <w:sz w:val="32"/>
          <w:szCs w:val="32"/>
          <w:lang w:val="en-US" w:eastAsia="zh-CN"/>
        </w:rPr>
        <w:tab/>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3.绩效评价实施过程：单位自行评价</w:t>
      </w:r>
      <w:r>
        <w:rPr>
          <w:rFonts w:hint="eastAsia" w:ascii="仿宋" w:hAnsi="仿宋" w:eastAsia="仿宋" w:cs="仿宋"/>
          <w:b w:val="0"/>
          <w:bCs w:val="0"/>
          <w:sz w:val="32"/>
          <w:szCs w:val="32"/>
          <w:lang w:val="en-US" w:eastAsia="zh-CN"/>
        </w:rPr>
        <w:tab/>
      </w:r>
      <w:r>
        <w:rPr>
          <w:rFonts w:hint="eastAsia" w:ascii="仿宋" w:hAnsi="仿宋" w:eastAsia="仿宋" w:cs="仿宋"/>
          <w:b w:val="0"/>
          <w:bCs w:val="0"/>
          <w:sz w:val="32"/>
          <w:szCs w:val="32"/>
          <w:lang w:val="en-US" w:eastAsia="zh-CN"/>
        </w:rPr>
        <w:tab/>
      </w:r>
      <w:r>
        <w:rPr>
          <w:rFonts w:hint="eastAsia" w:ascii="仿宋" w:hAnsi="仿宋" w:eastAsia="仿宋" w:cs="仿宋"/>
          <w:b w:val="0"/>
          <w:bCs w:val="0"/>
          <w:sz w:val="32"/>
          <w:szCs w:val="32"/>
          <w:lang w:val="en-US" w:eastAsia="zh-CN"/>
        </w:rPr>
        <w:t xml:space="preserve"> </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4.绩效评价的局限性：单位自行评价</w:t>
      </w:r>
      <w:r>
        <w:rPr>
          <w:rFonts w:hint="eastAsia" w:ascii="仿宋" w:hAnsi="仿宋" w:eastAsia="仿宋" w:cs="仿宋"/>
          <w:b w:val="0"/>
          <w:bCs w:val="0"/>
          <w:sz w:val="32"/>
          <w:szCs w:val="32"/>
          <w:lang w:val="en-US" w:eastAsia="zh-CN"/>
        </w:rPr>
        <w:tab/>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黑体" w:hAnsi="黑体" w:eastAsia="黑体" w:cs="黑体"/>
          <w:b w:val="0"/>
          <w:bCs w:val="0"/>
          <w:sz w:val="32"/>
          <w:szCs w:val="32"/>
          <w:lang w:eastAsia="zh-CN"/>
        </w:rPr>
        <w:t>三、项目主要经验及做法、存在的问题和建议</w:t>
      </w:r>
    </w:p>
    <w:p>
      <w:pPr>
        <w:keepNext w:val="0"/>
        <w:keepLines w:val="0"/>
        <w:pageBreakBefore w:val="0"/>
        <w:widowControl w:val="0"/>
        <w:tabs>
          <w:tab w:val="left" w:pos="7020"/>
        </w:tabs>
        <w:kinsoku/>
        <w:wordWrap/>
        <w:overflowPunct/>
        <w:topLinePunct w:val="0"/>
        <w:autoSpaceDE w:val="0"/>
        <w:autoSpaceDN w:val="0"/>
        <w:bidi w:val="0"/>
        <w:adjustRightInd w:val="0"/>
        <w:snapToGrid/>
        <w:spacing w:line="560" w:lineRule="exact"/>
        <w:ind w:left="0" w:leftChars="0" w:right="0" w:rightChars="0" w:firstLine="640" w:firstLineChars="200"/>
        <w:jc w:val="both"/>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主要经验及做法</w:t>
      </w:r>
    </w:p>
    <w:p>
      <w:pPr>
        <w:keepNext w:val="0"/>
        <w:keepLines w:val="0"/>
        <w:pageBreakBefore w:val="0"/>
        <w:widowControl w:val="0"/>
        <w:tabs>
          <w:tab w:val="left" w:pos="7020"/>
        </w:tabs>
        <w:kinsoku/>
        <w:wordWrap/>
        <w:overflowPunct/>
        <w:topLinePunct w:val="0"/>
        <w:autoSpaceDE w:val="0"/>
        <w:autoSpaceDN w:val="0"/>
        <w:bidi w:val="0"/>
        <w:adjustRightInd w:val="0"/>
        <w:snapToGrid/>
        <w:spacing w:line="560" w:lineRule="exact"/>
        <w:ind w:left="0" w:leftChars="0" w:right="0" w:rightChars="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color w:val="auto"/>
          <w:sz w:val="32"/>
          <w:szCs w:val="32"/>
          <w:lang w:eastAsia="zh-CN"/>
        </w:rPr>
        <w:t>紧紧围绕区委、区政府的中心工作任务，局领导班子坚持把做好城市更新改造工作摆在突出位置，提上重要议事日程，积极与相关部门认真研究项目实施重点内容，科学制定《</w:t>
      </w:r>
      <w:r>
        <w:rPr>
          <w:rFonts w:hint="eastAsia" w:ascii="仿宋" w:hAnsi="仿宋" w:eastAsia="仿宋" w:cs="仿宋"/>
          <w:color w:val="auto"/>
          <w:sz w:val="32"/>
          <w:szCs w:val="32"/>
          <w:lang w:val="en-US" w:eastAsia="zh-CN"/>
        </w:rPr>
        <w:t>盘龙区任旗营城市棚户区改造项目专项债券实施方案</w:t>
      </w:r>
      <w:r>
        <w:rPr>
          <w:rFonts w:hint="eastAsia" w:ascii="仿宋" w:hAnsi="仿宋" w:eastAsia="仿宋" w:cs="仿宋"/>
          <w:color w:val="auto"/>
          <w:sz w:val="32"/>
          <w:szCs w:val="32"/>
          <w:lang w:eastAsia="zh-CN"/>
        </w:rPr>
        <w:t>》，与局中心工作同部署、同研究、同实施，压实城市更新改造各成员单位责任，细化工作任务，明确责任部门、责任人和完成时限，加大宣传力度，</w:t>
      </w:r>
      <w:r>
        <w:rPr>
          <w:rFonts w:hint="eastAsia" w:ascii="仿宋" w:hAnsi="仿宋" w:eastAsia="仿宋" w:cs="仿宋"/>
          <w:color w:val="000000"/>
          <w:sz w:val="32"/>
          <w:szCs w:val="32"/>
          <w:shd w:val="clear" w:fill="FFFFFF"/>
        </w:rPr>
        <w:t>健全风险防控机制，</w:t>
      </w:r>
      <w:r>
        <w:rPr>
          <w:rFonts w:hint="eastAsia" w:ascii="仿宋" w:hAnsi="仿宋" w:eastAsia="仿宋" w:cs="仿宋"/>
          <w:color w:val="auto"/>
          <w:sz w:val="32"/>
          <w:szCs w:val="32"/>
          <w:lang w:eastAsia="zh-CN"/>
        </w:rPr>
        <w:t>将各项工作落到实处。</w:t>
      </w:r>
      <w:r>
        <w:rPr>
          <w:rFonts w:hint="eastAsia" w:ascii="仿宋" w:hAnsi="仿宋" w:eastAsia="仿宋" w:cs="仿宋"/>
          <w:color w:val="auto"/>
          <w:sz w:val="32"/>
          <w:szCs w:val="32"/>
        </w:rPr>
        <w:t>领导班子</w:t>
      </w:r>
      <w:r>
        <w:rPr>
          <w:rFonts w:hint="eastAsia" w:ascii="仿宋" w:hAnsi="仿宋" w:eastAsia="仿宋" w:cs="仿宋"/>
          <w:color w:val="auto"/>
          <w:sz w:val="32"/>
          <w:szCs w:val="32"/>
          <w:lang w:eastAsia="zh-CN"/>
        </w:rPr>
        <w:t>成员</w:t>
      </w:r>
      <w:r>
        <w:rPr>
          <w:rFonts w:hint="eastAsia" w:ascii="仿宋" w:hAnsi="仿宋" w:eastAsia="仿宋" w:cs="仿宋"/>
          <w:color w:val="auto"/>
          <w:sz w:val="32"/>
          <w:szCs w:val="32"/>
        </w:rPr>
        <w:t>带头</w:t>
      </w:r>
      <w:r>
        <w:rPr>
          <w:rFonts w:hint="eastAsia" w:ascii="仿宋" w:hAnsi="仿宋" w:eastAsia="仿宋" w:cs="仿宋"/>
          <w:color w:val="auto"/>
          <w:sz w:val="32"/>
          <w:szCs w:val="32"/>
          <w:lang w:eastAsia="zh-CN"/>
        </w:rPr>
        <w:t>深入项目</w:t>
      </w:r>
      <w:r>
        <w:rPr>
          <w:rFonts w:hint="eastAsia" w:ascii="仿宋" w:hAnsi="仿宋" w:eastAsia="仿宋" w:cs="仿宋"/>
          <w:color w:val="auto"/>
          <w:sz w:val="32"/>
          <w:szCs w:val="32"/>
        </w:rPr>
        <w:t>一线，</w:t>
      </w:r>
      <w:r>
        <w:rPr>
          <w:rFonts w:hint="eastAsia" w:ascii="仿宋" w:hAnsi="仿宋" w:eastAsia="仿宋" w:cs="仿宋"/>
          <w:color w:val="auto"/>
          <w:sz w:val="32"/>
          <w:szCs w:val="32"/>
          <w:lang w:eastAsia="zh-CN"/>
        </w:rPr>
        <w:t>注重</w:t>
      </w:r>
      <w:r>
        <w:rPr>
          <w:rFonts w:hint="eastAsia" w:ascii="仿宋" w:hAnsi="仿宋" w:eastAsia="仿宋" w:cs="仿宋"/>
          <w:color w:val="auto"/>
          <w:sz w:val="32"/>
          <w:szCs w:val="32"/>
        </w:rPr>
        <w:t>在一线发现问题</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解决困难</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推动工作，</w:t>
      </w:r>
      <w:r>
        <w:rPr>
          <w:rFonts w:hint="eastAsia" w:ascii="仿宋" w:hAnsi="仿宋" w:eastAsia="仿宋" w:cs="仿宋"/>
          <w:color w:val="auto"/>
          <w:sz w:val="32"/>
          <w:szCs w:val="32"/>
          <w:lang w:eastAsia="zh-CN"/>
        </w:rPr>
        <w:t>形成了工作推进有主体、解决问题有抓手、开展工作有联动的工作局面</w:t>
      </w:r>
      <w:r>
        <w:rPr>
          <w:rFonts w:hint="eastAsia" w:ascii="仿宋" w:hAnsi="仿宋" w:eastAsia="仿宋" w:cs="仿宋"/>
          <w:sz w:val="32"/>
          <w:szCs w:val="32"/>
          <w:lang w:eastAsia="zh-CN"/>
        </w:rPr>
        <w:t>。</w:t>
      </w:r>
    </w:p>
    <w:p>
      <w:pPr>
        <w:keepNext w:val="0"/>
        <w:keepLines w:val="0"/>
        <w:pageBreakBefore w:val="0"/>
        <w:widowControl w:val="0"/>
        <w:tabs>
          <w:tab w:val="left" w:pos="7020"/>
        </w:tabs>
        <w:kinsoku/>
        <w:wordWrap/>
        <w:overflowPunct/>
        <w:topLinePunct w:val="0"/>
        <w:autoSpaceDE w:val="0"/>
        <w:autoSpaceDN w:val="0"/>
        <w:bidi w:val="0"/>
        <w:adjustRightInd w:val="0"/>
        <w:snapToGrid/>
        <w:spacing w:line="560" w:lineRule="exact"/>
        <w:ind w:left="0" w:leftChars="0" w:right="0" w:righ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（二）存在的问题</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该项目时间周期长，需要处理问题较多，在此期间如遇到政策的调整，具体政策的迟滞和不明朗给项目的进一步推进带来了困扰和风险。</w:t>
      </w:r>
    </w:p>
    <w:p>
      <w:pPr>
        <w:keepNext w:val="0"/>
        <w:keepLines w:val="0"/>
        <w:pageBreakBefore w:val="0"/>
        <w:widowControl w:val="0"/>
        <w:tabs>
          <w:tab w:val="left" w:pos="7020"/>
        </w:tabs>
        <w:kinsoku/>
        <w:wordWrap/>
        <w:overflowPunct/>
        <w:topLinePunct w:val="0"/>
        <w:autoSpaceDE w:val="0"/>
        <w:autoSpaceDN w:val="0"/>
        <w:bidi w:val="0"/>
        <w:adjustRightInd w:val="0"/>
        <w:snapToGrid/>
        <w:spacing w:line="560" w:lineRule="exact"/>
        <w:ind w:left="0" w:leftChars="0" w:right="0" w:righ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（三）建议和改进措施</w:t>
      </w:r>
    </w:p>
    <w:p>
      <w:pPr>
        <w:pStyle w:val="3"/>
        <w:keepNext w:val="0"/>
        <w:keepLines w:val="0"/>
        <w:pageBreakBefore w:val="0"/>
        <w:widowControl/>
        <w:suppressLineNumbers w:val="0"/>
        <w:kinsoku/>
        <w:wordWrap/>
        <w:overflowPunct/>
        <w:bidi w:val="0"/>
        <w:snapToGrid/>
        <w:spacing w:before="0" w:beforeAutospacing="0" w:after="0" w:afterAutospacing="0" w:line="560" w:lineRule="exact"/>
        <w:ind w:left="0" w:right="0" w:firstLine="643"/>
        <w:jc w:val="both"/>
        <w:textAlignment w:val="auto"/>
        <w:rPr>
          <w:rFonts w:hint="eastAsia" w:ascii="仿宋" w:hAnsi="仿宋" w:eastAsia="仿宋" w:cs="仿宋"/>
          <w:sz w:val="32"/>
          <w:szCs w:val="32"/>
          <w:lang w:eastAsia="zh-CN"/>
        </w:rPr>
      </w:pPr>
      <w:r>
        <w:rPr>
          <w:rFonts w:hint="eastAsia" w:ascii="仿宋" w:hAnsi="仿宋" w:eastAsia="仿宋" w:cs="仿宋"/>
          <w:bCs/>
          <w:sz w:val="32"/>
          <w:szCs w:val="32"/>
          <w:lang w:val="zh-CN" w:eastAsia="zh-CN"/>
        </w:rPr>
        <w:t>城市更新改造历史项目遗留问题化解，保障被拆迁群众合法利益，维护社会稳定是盘龙区各级领导干部共同的呼声，</w:t>
      </w:r>
      <w:r>
        <w:rPr>
          <w:rFonts w:hint="eastAsia" w:ascii="仿宋" w:hAnsi="仿宋" w:eastAsia="仿宋" w:cs="仿宋"/>
          <w:sz w:val="32"/>
          <w:szCs w:val="32"/>
        </w:rPr>
        <w:t>区政府将进一步坚定信心、决心，以更大的气魄，下更大的力气，持续发力，</w:t>
      </w:r>
      <w:r>
        <w:rPr>
          <w:rFonts w:hint="eastAsia" w:ascii="仿宋" w:hAnsi="仿宋" w:eastAsia="仿宋" w:cs="仿宋"/>
          <w:sz w:val="32"/>
          <w:szCs w:val="32"/>
          <w:lang w:eastAsia="zh-CN"/>
        </w:rPr>
        <w:t>团结各方力量，继续推进</w:t>
      </w:r>
      <w:r>
        <w:rPr>
          <w:rFonts w:hint="eastAsia" w:ascii="仿宋" w:hAnsi="仿宋" w:eastAsia="仿宋" w:cs="仿宋"/>
          <w:sz w:val="32"/>
          <w:szCs w:val="32"/>
        </w:rPr>
        <w:t>项目历史遗留问题化解。</w:t>
      </w:r>
      <w:r>
        <w:rPr>
          <w:rFonts w:hint="eastAsia" w:ascii="仿宋" w:hAnsi="仿宋" w:eastAsia="仿宋" w:cs="仿宋"/>
          <w:sz w:val="32"/>
          <w:szCs w:val="32"/>
          <w:lang w:eastAsia="zh-CN"/>
        </w:rPr>
        <w:t>我们将在前期专项工作小组深入研判分析基础上，重点抓好任旗营、栗树头、马家营项目破产重整、引入合作伙伴等工作，力争各项目年内取得实质性进展。</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 w:hAnsi="仿宋" w:eastAsia="仿宋" w:cs="仿宋"/>
          <w:sz w:val="22"/>
          <w:szCs w:val="22"/>
        </w:rPr>
      </w:pPr>
    </w:p>
    <w:p>
      <w:pPr>
        <w:pStyle w:val="3"/>
        <w:keepNext w:val="0"/>
        <w:keepLines w:val="0"/>
        <w:pageBreakBefore w:val="0"/>
        <w:widowControl/>
        <w:suppressLineNumbers w:val="0"/>
        <w:kinsoku/>
        <w:wordWrap/>
        <w:overflowPunct/>
        <w:bidi w:val="0"/>
        <w:snapToGrid/>
        <w:spacing w:before="0" w:beforeAutospacing="0" w:after="0" w:afterAutospacing="0" w:line="560" w:lineRule="exact"/>
        <w:ind w:left="0" w:right="0"/>
        <w:jc w:val="both"/>
        <w:textAlignment w:val="auto"/>
        <w:rPr>
          <w:rFonts w:hint="eastAsia" w:ascii="仿宋" w:hAnsi="仿宋" w:eastAsia="仿宋" w:cs="仿宋"/>
          <w:sz w:val="32"/>
          <w:szCs w:val="32"/>
          <w:lang w:eastAsia="zh-CN"/>
        </w:rPr>
      </w:pPr>
      <w:r>
        <w:rPr>
          <w:rFonts w:hint="eastAsia" w:ascii="仿宋" w:hAnsi="仿宋" w:eastAsia="仿宋" w:cs="仿宋"/>
          <w:color w:val="333333"/>
          <w:sz w:val="22"/>
          <w:szCs w:val="22"/>
          <w:shd w:val="clear" w:fill="FFFFFF"/>
        </w:rPr>
        <w:t> </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textAlignment w:val="auto"/>
        <w:rPr>
          <w:rFonts w:hint="eastAsia" w:ascii="仿宋" w:hAnsi="仿宋" w:eastAsia="仿宋" w:cs="仿宋"/>
          <w:sz w:val="32"/>
          <w:szCs w:val="32"/>
          <w:lang w:eastAsia="zh-CN"/>
        </w:rPr>
      </w:pP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textAlignment w:val="auto"/>
        <w:rPr>
          <w:rFonts w:hint="eastAsia" w:ascii="仿宋" w:hAnsi="仿宋" w:eastAsia="仿宋" w:cs="仿宋"/>
          <w:sz w:val="32"/>
          <w:szCs w:val="32"/>
          <w:lang w:eastAsia="zh-CN"/>
        </w:rPr>
      </w:pP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jc w:val="righ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昆明市盘龙区城市更新改造局</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jc w:val="center"/>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年</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日</w:t>
      </w:r>
    </w:p>
    <w:p>
      <w:pPr>
        <w:keepNext w:val="0"/>
        <w:keepLines w:val="0"/>
        <w:pageBreakBefore w:val="0"/>
        <w:kinsoku/>
        <w:wordWrap/>
        <w:overflowPunct/>
        <w:bidi w:val="0"/>
        <w:snapToGrid/>
        <w:spacing w:line="560" w:lineRule="exact"/>
        <w:textAlignment w:val="auto"/>
        <w:rPr>
          <w:rFonts w:hint="eastAsia" w:ascii="仿宋" w:hAnsi="仿宋" w:eastAsia="仿宋" w:cs="仿宋"/>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2FF" w:usb1="400004FF" w:usb2="00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PMingLiUfalt">
    <w:altName w:val="MingLiU"/>
    <w:panose1 w:val="00000000000000000000"/>
    <w:charset w:val="88"/>
    <w:family w:val="roman"/>
    <w:pitch w:val="default"/>
    <w:sig w:usb0="00000000" w:usb1="00000000" w:usb2="00000010" w:usb3="00000000" w:csb0="00100000" w:csb1="00000000"/>
  </w:font>
  <w:font w:name="MingLiU">
    <w:panose1 w:val="02020509000000000000"/>
    <w:charset w:val="88"/>
    <w:family w:val="auto"/>
    <w:pitch w:val="default"/>
    <w:sig w:usb0="A00002FF" w:usb1="28CFFCFA" w:usb2="00000016" w:usb3="00000000" w:csb0="00100001"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FD537"/>
    <w:multiLevelType w:val="singleLevel"/>
    <w:tmpl w:val="5EAFD537"/>
    <w:lvl w:ilvl="0" w:tentative="0">
      <w:start w:val="1"/>
      <w:numFmt w:val="chineseCounting"/>
      <w:suff w:val="nothing"/>
      <w:lvlText w:val="%1、"/>
      <w:lvlJc w:val="left"/>
    </w:lvl>
  </w:abstractNum>
  <w:abstractNum w:abstractNumId="1">
    <w:nsid w:val="5EAFD62B"/>
    <w:multiLevelType w:val="singleLevel"/>
    <w:tmpl w:val="5EAFD62B"/>
    <w:lvl w:ilvl="0" w:tentative="0">
      <w:start w:val="2"/>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E56"/>
    <w:rsid w:val="00163DB4"/>
    <w:rsid w:val="0029560C"/>
    <w:rsid w:val="0066549A"/>
    <w:rsid w:val="008A6E56"/>
    <w:rsid w:val="009C3149"/>
    <w:rsid w:val="027E2BF4"/>
    <w:rsid w:val="041424E3"/>
    <w:rsid w:val="0456784E"/>
    <w:rsid w:val="0477368E"/>
    <w:rsid w:val="047D5FC4"/>
    <w:rsid w:val="08262B5A"/>
    <w:rsid w:val="09C01300"/>
    <w:rsid w:val="09C170AE"/>
    <w:rsid w:val="0AA10BAF"/>
    <w:rsid w:val="0B7C22D4"/>
    <w:rsid w:val="0CAD3200"/>
    <w:rsid w:val="0DA56500"/>
    <w:rsid w:val="0DE96ECE"/>
    <w:rsid w:val="0DFA41E0"/>
    <w:rsid w:val="0ECE0AD2"/>
    <w:rsid w:val="11E61389"/>
    <w:rsid w:val="128E1BE8"/>
    <w:rsid w:val="13755FC8"/>
    <w:rsid w:val="13C50D4A"/>
    <w:rsid w:val="14A546F0"/>
    <w:rsid w:val="18691B94"/>
    <w:rsid w:val="190E714D"/>
    <w:rsid w:val="19E2028B"/>
    <w:rsid w:val="1B210B50"/>
    <w:rsid w:val="1BC27F8B"/>
    <w:rsid w:val="1CA2186A"/>
    <w:rsid w:val="1CF550EF"/>
    <w:rsid w:val="1DB12909"/>
    <w:rsid w:val="1E442BF3"/>
    <w:rsid w:val="1E9829DC"/>
    <w:rsid w:val="20EA1E58"/>
    <w:rsid w:val="21121E61"/>
    <w:rsid w:val="21CA39A0"/>
    <w:rsid w:val="228D6069"/>
    <w:rsid w:val="231E27E6"/>
    <w:rsid w:val="24225BB9"/>
    <w:rsid w:val="247114E1"/>
    <w:rsid w:val="26847210"/>
    <w:rsid w:val="271F73CE"/>
    <w:rsid w:val="272D4B82"/>
    <w:rsid w:val="27C02362"/>
    <w:rsid w:val="2B2A39C1"/>
    <w:rsid w:val="2B5A55E3"/>
    <w:rsid w:val="2DCA3E2B"/>
    <w:rsid w:val="2EB73210"/>
    <w:rsid w:val="2F99694C"/>
    <w:rsid w:val="2FA10F6B"/>
    <w:rsid w:val="318B60AC"/>
    <w:rsid w:val="329F02A0"/>
    <w:rsid w:val="330370CE"/>
    <w:rsid w:val="343606B2"/>
    <w:rsid w:val="34C931C0"/>
    <w:rsid w:val="385207AA"/>
    <w:rsid w:val="389A08DE"/>
    <w:rsid w:val="3AF30354"/>
    <w:rsid w:val="3C98642F"/>
    <w:rsid w:val="3F57026E"/>
    <w:rsid w:val="44B361A5"/>
    <w:rsid w:val="45612E1E"/>
    <w:rsid w:val="46345CDF"/>
    <w:rsid w:val="4AB126D1"/>
    <w:rsid w:val="4BDF2091"/>
    <w:rsid w:val="4C036DB2"/>
    <w:rsid w:val="4D904BD8"/>
    <w:rsid w:val="4FEA57A4"/>
    <w:rsid w:val="4FF32BC8"/>
    <w:rsid w:val="52F65B53"/>
    <w:rsid w:val="543D192F"/>
    <w:rsid w:val="54A0416C"/>
    <w:rsid w:val="55972041"/>
    <w:rsid w:val="57EB77F3"/>
    <w:rsid w:val="58615DEB"/>
    <w:rsid w:val="596C746E"/>
    <w:rsid w:val="5B39718C"/>
    <w:rsid w:val="61EA2A07"/>
    <w:rsid w:val="62EE1010"/>
    <w:rsid w:val="6347235C"/>
    <w:rsid w:val="63FC42D8"/>
    <w:rsid w:val="65565A0C"/>
    <w:rsid w:val="6579654E"/>
    <w:rsid w:val="66040EDE"/>
    <w:rsid w:val="68EF0CDD"/>
    <w:rsid w:val="694A62A0"/>
    <w:rsid w:val="69D90536"/>
    <w:rsid w:val="6CE07E32"/>
    <w:rsid w:val="70A47AC4"/>
    <w:rsid w:val="72410646"/>
    <w:rsid w:val="737D0D4D"/>
    <w:rsid w:val="745B5976"/>
    <w:rsid w:val="752E5C46"/>
    <w:rsid w:val="75D46E1D"/>
    <w:rsid w:val="76095207"/>
    <w:rsid w:val="7D793B22"/>
    <w:rsid w:val="7E7A5587"/>
    <w:rsid w:val="7E942767"/>
    <w:rsid w:val="7F0B3AB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qFormat="1" w:uiPriority="99" w:semiHidden="0" w:name="HTML Acronym"/>
    <w:lsdException w:uiPriority="99" w:name="HTML Address"/>
    <w:lsdException w:uiPriority="99" w:name="HTML Cite"/>
    <w:lsdException w:qFormat="1" w:uiPriority="99" w:semiHidden="0" w:name="HTML Code"/>
    <w:lsdException w:qFormat="1" w:uiPriority="99" w:semiHidden="0" w:name="HTML Definition"/>
    <w:lsdException w:qFormat="1" w:uiPriority="99" w:semiHidden="0" w:name="HTML Keyboard"/>
    <w:lsdException w:uiPriority="99" w:name="HTML Preformatted"/>
    <w:lsdException w:qFormat="1" w:uiPriority="99" w:semiHidden="0"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4"/>
    <w:qFormat/>
    <w:uiPriority w:val="99"/>
    <w:pPr>
      <w:keepNext/>
      <w:keepLines/>
      <w:spacing w:before="340" w:after="330" w:line="578" w:lineRule="auto"/>
      <w:outlineLvl w:val="0"/>
    </w:pPr>
    <w:rPr>
      <w:b/>
      <w:bCs/>
      <w:kern w:val="44"/>
      <w:sz w:val="44"/>
      <w:szCs w:val="44"/>
    </w:rPr>
  </w:style>
  <w:style w:type="character" w:default="1" w:styleId="5">
    <w:name w:val="Default Paragraph Font"/>
    <w:semiHidden/>
    <w:qFormat/>
    <w:uiPriority w:val="99"/>
  </w:style>
  <w:style w:type="table" w:default="1" w:styleId="4">
    <w:name w:val="Normal Table"/>
    <w:unhideWhenUsed/>
    <w:qFormat/>
    <w:uiPriority w:val="99"/>
    <w:tblPr>
      <w:tblCellMar>
        <w:top w:w="0" w:type="dxa"/>
        <w:left w:w="108" w:type="dxa"/>
        <w:bottom w:w="0" w:type="dxa"/>
        <w:right w:w="108" w:type="dxa"/>
      </w:tblCellMar>
    </w:tblPr>
  </w:style>
  <w:style w:type="paragraph" w:styleId="3">
    <w:name w:val="Normal (Web)"/>
    <w:basedOn w:val="1"/>
    <w:unhideWhenUsed/>
    <w:qFormat/>
    <w:uiPriority w:val="99"/>
    <w:pPr>
      <w:spacing w:before="0" w:beforeAutospacing="0" w:after="0" w:afterAutospacing="0"/>
      <w:ind w:left="0" w:right="0"/>
      <w:jc w:val="left"/>
    </w:pPr>
    <w:rPr>
      <w:kern w:val="0"/>
      <w:sz w:val="24"/>
      <w:lang w:val="en-US" w:eastAsia="zh-CN" w:bidi="ar"/>
    </w:rPr>
  </w:style>
  <w:style w:type="character" w:styleId="6">
    <w:name w:val="Strong"/>
    <w:basedOn w:val="5"/>
    <w:qFormat/>
    <w:locked/>
    <w:uiPriority w:val="0"/>
    <w:rPr>
      <w:b/>
    </w:rPr>
  </w:style>
  <w:style w:type="character" w:styleId="7">
    <w:name w:val="FollowedHyperlink"/>
    <w:basedOn w:val="5"/>
    <w:unhideWhenUsed/>
    <w:qFormat/>
    <w:uiPriority w:val="99"/>
    <w:rPr>
      <w:color w:val="333333"/>
      <w:u w:val="none"/>
    </w:rPr>
  </w:style>
  <w:style w:type="character" w:styleId="8">
    <w:name w:val="HTML Definition"/>
    <w:basedOn w:val="5"/>
    <w:unhideWhenUsed/>
    <w:qFormat/>
    <w:uiPriority w:val="99"/>
    <w:rPr>
      <w:i/>
    </w:rPr>
  </w:style>
  <w:style w:type="character" w:styleId="9">
    <w:name w:val="HTML Acronym"/>
    <w:basedOn w:val="5"/>
    <w:unhideWhenUsed/>
    <w:qFormat/>
    <w:uiPriority w:val="99"/>
  </w:style>
  <w:style w:type="character" w:styleId="10">
    <w:name w:val="Hyperlink"/>
    <w:basedOn w:val="5"/>
    <w:unhideWhenUsed/>
    <w:qFormat/>
    <w:uiPriority w:val="99"/>
    <w:rPr>
      <w:color w:val="333333"/>
      <w:u w:val="none"/>
    </w:rPr>
  </w:style>
  <w:style w:type="character" w:styleId="11">
    <w:name w:val="HTML Code"/>
    <w:basedOn w:val="5"/>
    <w:unhideWhenUsed/>
    <w:qFormat/>
    <w:uiPriority w:val="99"/>
    <w:rPr>
      <w:rFonts w:hint="default" w:ascii="monospace" w:hAnsi="monospace" w:eastAsia="monospace" w:cs="monospace"/>
      <w:sz w:val="21"/>
      <w:szCs w:val="21"/>
    </w:rPr>
  </w:style>
  <w:style w:type="character" w:styleId="12">
    <w:name w:val="HTML Keyboard"/>
    <w:basedOn w:val="5"/>
    <w:unhideWhenUsed/>
    <w:qFormat/>
    <w:uiPriority w:val="99"/>
    <w:rPr>
      <w:rFonts w:hint="default" w:ascii="monospace" w:hAnsi="monospace" w:eastAsia="monospace" w:cs="monospace"/>
      <w:sz w:val="21"/>
      <w:szCs w:val="21"/>
    </w:rPr>
  </w:style>
  <w:style w:type="character" w:styleId="13">
    <w:name w:val="HTML Sample"/>
    <w:basedOn w:val="5"/>
    <w:unhideWhenUsed/>
    <w:qFormat/>
    <w:uiPriority w:val="99"/>
    <w:rPr>
      <w:rFonts w:ascii="monospace" w:hAnsi="monospace" w:eastAsia="monospace" w:cs="monospace"/>
      <w:sz w:val="21"/>
      <w:szCs w:val="21"/>
    </w:rPr>
  </w:style>
  <w:style w:type="character" w:customStyle="1" w:styleId="14">
    <w:name w:val="Heading 1 Char"/>
    <w:basedOn w:val="5"/>
    <w:link w:val="2"/>
    <w:qFormat/>
    <w:uiPriority w:val="9"/>
    <w:rPr>
      <w:b/>
      <w:bCs/>
      <w:kern w:val="44"/>
      <w:sz w:val="44"/>
      <w:szCs w:val="44"/>
    </w:rPr>
  </w:style>
  <w:style w:type="paragraph" w:customStyle="1" w:styleId="15">
    <w:name w:val="正文 A"/>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paragraph" w:customStyle="1" w:styleId="16">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character" w:customStyle="1" w:styleId="17">
    <w:name w:val="button"/>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9</Pages>
  <Words>291</Words>
  <Characters>1664</Characters>
  <Lines>0</Lines>
  <Paragraphs>0</Paragraphs>
  <TotalTime>0</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dell</cp:lastModifiedBy>
  <dcterms:modified xsi:type="dcterms:W3CDTF">2023-09-28T02:23:00Z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2B571F51EB1C44C991BB449D8B688F01</vt:lpwstr>
  </property>
</Properties>
</file>