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ascii="方正小标宋简体" w:eastAsia="方正小标宋简体"/>
          <w:b/>
          <w:color w:val="FF0000"/>
          <w:spacing w:val="-20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/>
          <w:b/>
          <w:color w:val="FF0000"/>
          <w:spacing w:val="-20"/>
          <w:w w:val="90"/>
          <w:sz w:val="72"/>
          <w:szCs w:val="72"/>
        </w:rPr>
        <w:t>昆明市盘龙区城市更新改造局</w:t>
      </w:r>
    </w:p>
    <w:p>
      <w:pPr>
        <w:spacing w:line="400" w:lineRule="exact"/>
        <w:rPr>
          <w:rFonts w:hint="eastAsia" w:ascii="Times New Roman" w:eastAsia="楷体_GB2312"/>
          <w:color w:val="FF0000"/>
          <w:u w:val="thick"/>
        </w:rPr>
      </w:pPr>
    </w:p>
    <w:p>
      <w:pPr>
        <w:spacing w:line="400" w:lineRule="exact"/>
        <w:rPr>
          <w:rFonts w:eastAsia="楷体_GB2312"/>
          <w:color w:val="FF0000"/>
          <w:u w:val="thick"/>
        </w:rPr>
      </w:pPr>
      <w:r>
        <w:rPr>
          <w:rFonts w:eastAsia="楷体_GB2312"/>
          <w:color w:val="FF0000"/>
          <w:u w:val="thick"/>
        </w:rPr>
        <w:t xml:space="preserve">                                             </w:t>
      </w:r>
      <w:r>
        <w:rPr>
          <w:rFonts w:hint="eastAsia" w:eastAsia="楷体_GB2312"/>
          <w:color w:val="FF0000"/>
          <w:u w:val="thick"/>
          <w:lang w:val="en-US" w:eastAsia="zh-CN"/>
        </w:rPr>
        <w:t xml:space="preserve">                            </w:t>
      </w:r>
      <w:r>
        <w:rPr>
          <w:rFonts w:eastAsia="楷体_GB2312"/>
          <w:color w:val="FF0000"/>
          <w:u w:val="thick"/>
        </w:rPr>
        <w:t xml:space="preserve">           </w:t>
      </w:r>
    </w:p>
    <w:p>
      <w:pPr>
        <w:spacing w:line="520" w:lineRule="exact"/>
        <w:ind w:left="31680" w:hanging="840" w:hangingChars="300"/>
        <w:jc w:val="left"/>
        <w:rPr>
          <w:rFonts w:hint="eastAsia" w:ascii="方正小标宋_GBK" w:eastAsia="方正小标宋_GBK"/>
          <w:sz w:val="28"/>
          <w:szCs w:val="28"/>
        </w:rPr>
      </w:pPr>
    </w:p>
    <w:p>
      <w:pPr>
        <w:spacing w:line="520" w:lineRule="exact"/>
        <w:ind w:left="31680" w:hanging="840" w:hangingChars="300"/>
        <w:jc w:val="left"/>
        <w:rPr>
          <w:rFonts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附件</w:t>
      </w:r>
      <w:r>
        <w:rPr>
          <w:rFonts w:ascii="方正小标宋_GBK" w:eastAsia="方正小标宋_GBK"/>
          <w:sz w:val="28"/>
          <w:szCs w:val="28"/>
        </w:rPr>
        <w:t>5</w:t>
      </w:r>
      <w:r>
        <w:rPr>
          <w:rFonts w:hint="eastAsia" w:ascii="方正小标宋_GBK" w:eastAsia="方正小标宋_GBK"/>
          <w:sz w:val="28"/>
          <w:szCs w:val="28"/>
        </w:rPr>
        <w:t>：项目支出绩效评价报告</w:t>
      </w:r>
    </w:p>
    <w:p>
      <w:pPr>
        <w:spacing w:before="120" w:after="120" w:line="480" w:lineRule="auto"/>
        <w:jc w:val="center"/>
        <w:rPr>
          <w:rFonts w:ascii="Times New Roman" w:hAnsi="Times New Roman" w:eastAsia="黑体"/>
          <w:b/>
          <w:bCs/>
          <w:sz w:val="52"/>
          <w:szCs w:val="52"/>
        </w:rPr>
      </w:pPr>
    </w:p>
    <w:p>
      <w:pPr>
        <w:jc w:val="center"/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 xml:space="preserve"> 2022年度外聘人员劳务费</w:t>
      </w:r>
    </w:p>
    <w:p>
      <w:pPr>
        <w:jc w:val="center"/>
        <w:rPr>
          <w:rFonts w:hint="eastAsia" w:ascii="黑体" w:hAnsi="黑体" w:eastAsia="黑体" w:cs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支出绩效自评报告</w:t>
      </w:r>
    </w:p>
    <w:p>
      <w:pPr>
        <w:jc w:val="center"/>
        <w:rPr>
          <w:rFonts w:ascii="黑体" w:hAnsi="黑体" w:eastAsia="黑体"/>
          <w:bCs/>
          <w:sz w:val="52"/>
          <w:szCs w:val="52"/>
        </w:rPr>
      </w:pPr>
      <w:r>
        <w:rPr>
          <w:rFonts w:hint="eastAsia" w:ascii="黑体" w:hAnsi="黑体" w:eastAsia="黑体" w:cs="黑体"/>
          <w:bCs/>
          <w:sz w:val="52"/>
          <w:szCs w:val="52"/>
        </w:rPr>
        <w:t>（</w:t>
      </w: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2022</w:t>
      </w:r>
      <w:r>
        <w:rPr>
          <w:rFonts w:hint="eastAsia" w:ascii="黑体" w:hAnsi="黑体" w:eastAsia="黑体" w:cs="黑体"/>
          <w:bCs/>
          <w:sz w:val="52"/>
          <w:szCs w:val="52"/>
        </w:rPr>
        <w:t>年度）</w:t>
      </w:r>
    </w:p>
    <w:p>
      <w:pPr>
        <w:spacing w:before="120" w:after="120" w:line="48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>
      <w:pPr>
        <w:pStyle w:val="2"/>
        <w:rPr>
          <w:rFonts w:ascii="Times New Roman" w:hAnsi="Times New Roman"/>
          <w:b/>
          <w:bCs/>
          <w:sz w:val="44"/>
          <w:szCs w:val="44"/>
        </w:rPr>
      </w:pPr>
    </w:p>
    <w:p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Chars="0" w:right="0" w:rightChars="0" w:firstLine="2811" w:firstLineChars="1000"/>
        <w:jc w:val="both"/>
        <w:textAlignment w:val="auto"/>
        <w:outlineLvl w:val="9"/>
        <w:rPr>
          <w:rFonts w:hint="eastAsia" w:ascii="Times New Roman" w:hAnsi="Times New Roman" w:eastAsia="黑体" w:cs="黑体"/>
          <w:b/>
          <w:bCs/>
          <w:sz w:val="28"/>
          <w:szCs w:val="28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部门名称（公章）：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Chars="0" w:right="0" w:rightChars="0" w:firstLine="2811" w:firstLineChars="1000"/>
        <w:jc w:val="both"/>
        <w:textAlignment w:val="auto"/>
        <w:outlineLvl w:val="9"/>
        <w:rPr>
          <w:rFonts w:hint="default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项目单位：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eastAsia="zh-CN"/>
        </w:rPr>
        <w:t>昆明市盘龙区土地储备中心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leftChars="0" w:right="0" w:rightChars="0" w:firstLine="2811" w:firstLineChars="1000"/>
        <w:jc w:val="both"/>
        <w:textAlignment w:val="auto"/>
        <w:outlineLvl w:val="9"/>
        <w:rPr>
          <w:rFonts w:hint="default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主管部门：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eastAsia="zh-CN"/>
        </w:rPr>
        <w:t>昆明市盘龙区城市更新改造局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640" w:lineRule="exact"/>
        <w:ind w:left="4198" w:leftChars="1330" w:right="0" w:rightChars="0" w:hanging="1405" w:hangingChars="500"/>
        <w:jc w:val="both"/>
        <w:textAlignment w:val="auto"/>
        <w:outlineLvl w:val="9"/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eastAsia="zh-CN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项目名称：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>2022年外聘人员劳务费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eastAsia="zh-CN"/>
        </w:rPr>
        <w:t>支出绩效自评报告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 w:rightChars="0" w:firstLine="2811" w:firstLineChars="1000"/>
        <w:jc w:val="both"/>
        <w:textAlignment w:val="auto"/>
        <w:outlineLvl w:val="9"/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绩效自评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日期：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  <w:t xml:space="preserve">2023年6月6日        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 w:ascii="Times New Roman" w:hAnsi="Times New Roman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黑体" w:cs="黑体"/>
          <w:b/>
          <w:bCs/>
          <w:sz w:val="28"/>
          <w:szCs w:val="28"/>
          <w:lang w:val="en-US" w:eastAsia="zh-CN"/>
        </w:rPr>
        <w:t xml:space="preserve">                                      </w:t>
      </w:r>
    </w:p>
    <w:p>
      <w:pPr>
        <w:rPr>
          <w:rFonts w:ascii="Times New Roman" w:hAnsi="Times New Roman" w:eastAsia="黑体" w:cs="Times New Roman"/>
          <w:kern w:val="2"/>
          <w:sz w:val="24"/>
          <w:szCs w:val="24"/>
          <w:lang w:val="zh-TW" w:eastAsia="zh-TW"/>
        </w:rPr>
      </w:pPr>
      <w:r>
        <w:rPr>
          <w:rFonts w:hint="eastAsia" w:ascii="Times New Roman" w:hAnsi="Times New Roman" w:eastAsia="黑体" w:cs="黑体"/>
          <w:kern w:val="2"/>
          <w:sz w:val="24"/>
          <w:szCs w:val="24"/>
          <w:lang w:val="zh-TW" w:eastAsia="zh-TW"/>
        </w:rPr>
        <w:t>评价小组成员：</w:t>
      </w:r>
    </w:p>
    <w:tbl>
      <w:tblPr>
        <w:tblStyle w:val="5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620"/>
        <w:gridCol w:w="1621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4" w:hRule="atLeast"/>
        </w:trPr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评价小组</w:t>
            </w:r>
          </w:p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机构职位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姓名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职务</w:t>
            </w:r>
            <w:r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  <w:t>/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职称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所属</w:t>
            </w:r>
          </w:p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单位</w:t>
            </w:r>
            <w:r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  <w:t>/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处室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组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长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刘弋华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书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记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区城改局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8"/>
              <w:widowControl w:val="0"/>
              <w:spacing w:after="0" w:line="24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副组长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周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俊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局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长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line="24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区城改局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0" w:type="dxa"/>
            <w:noWrap w:val="0"/>
            <w:vAlign w:val="center"/>
          </w:tcPr>
          <w:p>
            <w:pPr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员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赵东红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处  长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区城改局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员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邓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琳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副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局长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区城改局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0" w:type="dxa"/>
            <w:noWrap w:val="0"/>
            <w:vAlign w:val="center"/>
          </w:tcPr>
          <w:p>
            <w:pPr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员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陈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莅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副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局长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区城改局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0" w:type="dxa"/>
            <w:noWrap w:val="0"/>
            <w:vAlign w:val="center"/>
          </w:tcPr>
          <w:p>
            <w:pPr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员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李春梅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主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任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土储中心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widowControl w:val="0"/>
              <w:spacing w:after="0" w:afterLines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员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舒冰洁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副主任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土储中心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noWrap w:val="0"/>
            <w:vAlign w:val="center"/>
          </w:tcPr>
          <w:p>
            <w:pPr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成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员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>保春红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副主任</w:t>
            </w:r>
          </w:p>
        </w:tc>
        <w:tc>
          <w:tcPr>
            <w:tcW w:w="1621" w:type="dxa"/>
            <w:noWrap w:val="0"/>
            <w:vAlign w:val="center"/>
          </w:tcPr>
          <w:p>
            <w:pPr>
              <w:pStyle w:val="8"/>
              <w:widowControl w:val="0"/>
              <w:spacing w:after="0" w:afterLines="0" w:line="360" w:lineRule="auto"/>
              <w:jc w:val="center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 w:eastAsia="zh-CN"/>
              </w:rPr>
              <w:t>土储中心</w:t>
            </w:r>
          </w:p>
        </w:tc>
        <w:tc>
          <w:tcPr>
            <w:tcW w:w="1621" w:type="dxa"/>
            <w:noWrap w:val="0"/>
            <w:vAlign w:val="top"/>
          </w:tcPr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 w:eastAsia="zh-TW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2" w:hRule="atLeast"/>
        </w:trPr>
        <w:tc>
          <w:tcPr>
            <w:tcW w:w="8102" w:type="dxa"/>
            <w:gridSpan w:val="5"/>
            <w:noWrap w:val="0"/>
            <w:vAlign w:val="top"/>
          </w:tcPr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报告撰写人（签字）：</w:t>
            </w:r>
          </w:p>
          <w:p>
            <w:pPr>
              <w:pStyle w:val="8"/>
              <w:widowControl w:val="0"/>
              <w:spacing w:after="0" w:line="360" w:lineRule="auto"/>
              <w:jc w:val="both"/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en-US" w:eastAsia="zh-CN"/>
              </w:rPr>
              <w:t xml:space="preserve">           </w:t>
            </w:r>
          </w:p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8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</w:t>
            </w:r>
            <w:r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月</w:t>
            </w:r>
            <w:r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0" w:hRule="atLeast"/>
        </w:trPr>
        <w:tc>
          <w:tcPr>
            <w:tcW w:w="8102" w:type="dxa"/>
            <w:gridSpan w:val="5"/>
            <w:noWrap w:val="0"/>
            <w:vAlign w:val="top"/>
          </w:tcPr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评价工作负责人（签字）：</w:t>
            </w:r>
          </w:p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8"/>
              <w:widowControl w:val="0"/>
              <w:spacing w:after="0" w:line="360" w:lineRule="auto"/>
              <w:jc w:val="both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</w:p>
          <w:p>
            <w:pPr>
              <w:pStyle w:val="8"/>
              <w:widowControl w:val="0"/>
              <w:wordWrap w:val="0"/>
              <w:spacing w:after="0" w:line="360" w:lineRule="auto"/>
              <w:jc w:val="right"/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</w:pP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年</w:t>
            </w:r>
            <w:r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月</w:t>
            </w:r>
            <w:r>
              <w:rPr>
                <w:rFonts w:ascii="Times New Roman" w:hAnsi="Times New Roman" w:eastAsia="黑体" w:cs="黑体"/>
                <w:kern w:val="2"/>
                <w:sz w:val="24"/>
                <w:szCs w:val="24"/>
                <w:lang w:val="zh-TW"/>
              </w:rPr>
              <w:t xml:space="preserve">  </w:t>
            </w:r>
            <w:r>
              <w:rPr>
                <w:rFonts w:hint="eastAsia" w:ascii="Times New Roman" w:hAnsi="Times New Roman" w:eastAsia="黑体" w:cs="黑体"/>
                <w:kern w:val="2"/>
                <w:sz w:val="24"/>
                <w:szCs w:val="24"/>
                <w:lang w:val="zh-TW"/>
              </w:rPr>
              <w:t>日</w:t>
            </w:r>
          </w:p>
        </w:tc>
      </w:tr>
    </w:tbl>
    <w:p>
      <w:pPr>
        <w:pStyle w:val="8"/>
        <w:widowControl w:val="0"/>
        <w:spacing w:after="0" w:line="360" w:lineRule="auto"/>
        <w:ind w:firstLine="566" w:firstLineChars="236"/>
        <w:jc w:val="both"/>
        <w:rPr>
          <w:rFonts w:ascii="Times New Roman" w:hAnsi="Times New Roman" w:eastAsia="PMingLiUfalt" w:cs="Times New Roman"/>
          <w:kern w:val="2"/>
          <w:sz w:val="24"/>
          <w:szCs w:val="24"/>
          <w:lang w:val="zh-TW" w:eastAsia="zh-TW"/>
        </w:rPr>
      </w:pPr>
    </w:p>
    <w:p>
      <w:pPr>
        <w:pStyle w:val="8"/>
        <w:widowControl w:val="0"/>
        <w:spacing w:after="0" w:line="360" w:lineRule="auto"/>
        <w:jc w:val="both"/>
        <w:rPr>
          <w:rFonts w:ascii="Times New Roman" w:hAnsi="Times New Roman" w:cs="Times New Roman"/>
          <w:kern w:val="2"/>
          <w:sz w:val="24"/>
          <w:szCs w:val="24"/>
          <w:lang w:val="zh-TW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4320" w:firstLineChars="1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  <w:lang w:val="zh-CN" w:eastAsia="zh-CN"/>
        </w:rPr>
        <w:t>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一、 项目情况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（一）项目基本情况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（二）项目实施情况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（三）资金收支及使用情况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二、绩效评价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(一)绩效目标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(二)绩效评价工作情况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(三)评价的目的和依据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 xml:space="preserve">三、项目主要经验及做法、存在的问题和建议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spacing w:line="440" w:lineRule="exact"/>
        <w:jc w:val="center"/>
        <w:rPr>
          <w:rFonts w:hint="eastAsia" w:ascii="方正小标宋_GBK" w:eastAsia="方正小标宋_GBK"/>
          <w:sz w:val="28"/>
          <w:szCs w:val="28"/>
        </w:rPr>
      </w:pPr>
    </w:p>
    <w:p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2022年度外聘人员劳务费</w:t>
      </w:r>
    </w:p>
    <w:p>
      <w:pPr>
        <w:keepNext w:val="0"/>
        <w:keepLines w:val="0"/>
        <w:pageBreakBefore w:val="0"/>
        <w:widowControl w:val="0"/>
        <w:kinsoku/>
        <w:wordWrap/>
        <w:overflowPunct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Cs/>
          <w:sz w:val="52"/>
          <w:szCs w:val="52"/>
          <w:lang w:val="en-US" w:eastAsia="zh-CN"/>
        </w:rPr>
        <w:t>支出绩效自评报告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/>
          <w:b/>
          <w:bCs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项目情况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（一）项目基本情况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bidi w:val="0"/>
        <w:snapToGrid/>
        <w:spacing w:before="0" w:beforeAutospacing="0" w:after="0" w:afterAutospacing="0" w:line="560" w:lineRule="exact"/>
        <w:ind w:left="0" w:right="0" w:firstLine="645"/>
        <w:textAlignment w:val="auto"/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按照2022年度预算指标及2022年度城改局工作任务计划，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我中心主要工作职责为：承担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全区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78个城中村及部分旧城改建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房屋征收与补偿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工作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；负责全区房屋征收与补偿业务培训工作；设立项目资金专户，对资金进行监管；负责城中村及旧城改建项目信息系统资料的收集、整理、归档、移交工作；配合相关部门做好安置房及公建配套项目的相关工作等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,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为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保障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城改工作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正常开展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，区财政年初预算拨入我中心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42.5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万元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主要用于发放我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中心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2022年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外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聘人员的工资。</w:t>
      </w:r>
      <w:r>
        <w:rPr>
          <w:rFonts w:hint="eastAsia" w:ascii="仿宋" w:hAnsi="仿宋" w:eastAsia="仿宋" w:cs="仿宋"/>
          <w:color w:val="000000"/>
          <w:sz w:val="31"/>
          <w:szCs w:val="31"/>
        </w:rPr>
        <w:t xml:space="preserve"> </w:t>
      </w:r>
      <w:r>
        <w:rPr>
          <w:rFonts w:hint="eastAsia" w:ascii="仿宋_GB2312" w:hAnsi="仿宋_GB2312" w:eastAsia="仿宋_GB2312"/>
          <w:sz w:val="32"/>
        </w:rPr>
        <w:t xml:space="preserve">   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仿宋" w:hAnsi="仿宋" w:eastAsia="仿宋" w:cs="Arial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项目实施情况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bidi w:val="0"/>
        <w:snapToGrid/>
        <w:spacing w:before="0" w:beforeAutospacing="0" w:after="0" w:afterAutospacing="0" w:line="560" w:lineRule="exact"/>
        <w:ind w:left="0" w:right="0" w:firstLine="645"/>
        <w:textAlignment w:val="auto"/>
      </w:pPr>
      <w:r>
        <w:rPr>
          <w:rFonts w:hint="eastAsia" w:ascii="楷体" w:hAnsi="楷体" w:eastAsia="楷体" w:cs="楷体"/>
          <w:color w:val="000000"/>
          <w:sz w:val="31"/>
          <w:szCs w:val="31"/>
          <w:lang w:val="en-US" w:eastAsia="zh-CN"/>
        </w:rPr>
        <w:t>1.</w:t>
      </w:r>
      <w:r>
        <w:rPr>
          <w:rFonts w:hint="eastAsia" w:ascii="楷体" w:hAnsi="楷体" w:eastAsia="楷体" w:cs="楷体"/>
          <w:color w:val="000000"/>
          <w:sz w:val="31"/>
          <w:szCs w:val="31"/>
        </w:rPr>
        <w:t>项目绩效目标完成情况分析。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bidi w:val="0"/>
        <w:snapToGrid/>
        <w:spacing w:before="0" w:beforeAutospacing="0" w:after="0" w:afterAutospacing="0" w:line="560" w:lineRule="exact"/>
        <w:ind w:left="0" w:right="0" w:firstLine="645"/>
        <w:textAlignment w:val="auto"/>
        <w:rPr>
          <w:rFonts w:hint="eastAsia" w:eastAsia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截留、挤占、挪用、虚列支出等情况。全年按计划进度完成。所有支出符合相关财务会计管理规定，专项资金使用有计划、审批有手续、支出合理规范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全年按计划进度完成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bidi w:val="0"/>
        <w:snapToGrid/>
        <w:spacing w:before="0" w:beforeAutospacing="0" w:after="0" w:afterAutospacing="0" w:line="560" w:lineRule="exact"/>
        <w:ind w:left="0" w:right="0" w:firstLine="645"/>
        <w:textAlignment w:val="auto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2.项目的可持续性分析。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bidi w:val="0"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外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聘人员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劳务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经费仅用于当年聘用人员的工资发放。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bidi w:val="0"/>
        <w:snapToGrid/>
        <w:spacing w:before="0" w:beforeAutospacing="0" w:after="0" w:afterAutospacing="0" w:line="560" w:lineRule="exact"/>
        <w:ind w:left="0" w:right="0" w:firstLine="645"/>
        <w:textAlignment w:val="auto"/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val="en-US" w:eastAsia="zh-CN"/>
        </w:rPr>
        <w:t>3.项目预算批复的绩效指标完成情况分析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bidi w:val="0"/>
        <w:snapToGrid/>
        <w:spacing w:before="0" w:beforeAutospacing="0" w:after="0" w:afterAutospacing="0" w:line="560" w:lineRule="exact"/>
        <w:ind w:left="0" w:right="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  我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中心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20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聘用人员工作经费严格按照财政要求及年度支出进度支出。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（三）资金收支及使用情况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本项目无上年结余,截至2022年12月31日共收到区财政拨入外聘人员劳务费42.5万元，全年共计支出42.5万元（主要用于征收工作外聘人员劳务费）年末无结余。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二、绩效评价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（一）绩效目标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按照2022年度工作计划，定时完成预算绩效支出,</w:t>
      </w:r>
      <w:r>
        <w:rPr>
          <w:rFonts w:hint="eastAsia" w:ascii="仿宋" w:hAnsi="仿宋" w:eastAsia="仿宋" w:cs="仿宋"/>
          <w:sz w:val="32"/>
          <w:szCs w:val="32"/>
        </w:rPr>
        <w:t>项目绩效总体目标是：通过这一项目，进一步确保全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区旧城及城中村改造前期工作的有序进行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（二）绩效评价工作情况：优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（三）评价的目的和依据</w:t>
      </w:r>
    </w:p>
    <w:p>
      <w:pPr>
        <w:keepNext w:val="0"/>
        <w:keepLines w:val="0"/>
        <w:pageBreakBefore w:val="0"/>
        <w:widowControl w:val="0"/>
        <w:tabs>
          <w:tab w:val="left" w:pos="70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1、绩效评价工作方案制定过程：单位自行评价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70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2、绩效评价原则、评价方法等：单位自行评价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tabs>
          <w:tab w:val="left" w:pos="70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3、绩效评价实施过程：单位自行评价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tabs>
          <w:tab w:val="left" w:pos="702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left="0" w:leftChars="0" w:right="0" w:rightChars="0"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4、绩效评价的局限性：单位自行评价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三、项目主要经验及做法、存在的问题和建议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我中心始终坚持以规范财务制度主动接受监督入手，强化财务管理，在管好用好项目经费上下功夫。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一是制定并长期坚</w:t>
      </w:r>
      <w:r>
        <w:rPr>
          <w:rFonts w:hint="eastAsia" w:ascii="仿宋" w:hAnsi="仿宋" w:eastAsia="仿宋" w:cs="仿宋"/>
          <w:sz w:val="32"/>
          <w:szCs w:val="32"/>
        </w:rPr>
        <w:t>持和完善财务制度，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中心</w:t>
      </w:r>
      <w:r>
        <w:rPr>
          <w:rFonts w:hint="eastAsia" w:ascii="仿宋" w:hAnsi="仿宋" w:eastAsia="仿宋" w:cs="仿宋"/>
          <w:sz w:val="32"/>
          <w:szCs w:val="32"/>
        </w:rPr>
        <w:t>所有经费实行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由上级主管部门区城改局</w:t>
      </w:r>
      <w:r>
        <w:rPr>
          <w:rFonts w:hint="eastAsia" w:ascii="仿宋" w:hAnsi="仿宋" w:eastAsia="仿宋" w:cs="仿宋"/>
          <w:sz w:val="32"/>
          <w:szCs w:val="32"/>
        </w:rPr>
        <w:t>集中统一管理。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二是严格审核监督，相关人员严格把好审核报销关，对于不符合规定的开支，一律不予报销。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三是不断加强对项目经费管理使用的检查力度。近几年来，对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专项</w:t>
      </w:r>
      <w:r>
        <w:rPr>
          <w:rFonts w:hint="eastAsia" w:ascii="仿宋" w:hAnsi="仿宋" w:eastAsia="仿宋" w:cs="仿宋"/>
          <w:sz w:val="32"/>
          <w:szCs w:val="32"/>
        </w:rPr>
        <w:t>项目经费的使用情况进行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定期自检自查</w:t>
      </w:r>
      <w:r>
        <w:rPr>
          <w:rFonts w:hint="eastAsia" w:ascii="仿宋" w:hAnsi="仿宋" w:eastAsia="仿宋" w:cs="仿宋"/>
          <w:sz w:val="32"/>
          <w:szCs w:val="32"/>
        </w:rPr>
        <w:t>，发现问题及时纠正。</w:t>
      </w:r>
    </w:p>
    <w:p>
      <w:pPr>
        <w:pStyle w:val="2"/>
        <w:rPr>
          <w:rFonts w:hint="eastAsia" w:ascii="仿宋" w:hAnsi="仿宋" w:eastAsia="仿宋" w:cs="仿宋"/>
          <w:sz w:val="32"/>
          <w:szCs w:val="32"/>
        </w:rPr>
      </w:pPr>
    </w:p>
    <w:p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昆明市盘龙区土地储备中心</w:t>
      </w:r>
    </w:p>
    <w:p>
      <w:pPr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2023年6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月6日</w:t>
      </w:r>
    </w:p>
    <w:p>
      <w:pPr>
        <w:keepNext w:val="0"/>
        <w:keepLines w:val="0"/>
        <w:pageBreakBefore w:val="0"/>
        <w:kinsoku/>
        <w:wordWrap/>
        <w:overflowPunct/>
        <w:bidi w:val="0"/>
        <w:snapToGrid/>
        <w:spacing w:line="560" w:lineRule="exact"/>
        <w:textAlignment w:val="auto"/>
        <w:rPr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PMingLiUfalt">
    <w:altName w:val="MingLiU"/>
    <w:panose1 w:val="00000000000000000000"/>
    <w:charset w:val="88"/>
    <w:family w:val="roman"/>
    <w:pitch w:val="default"/>
    <w:sig w:usb0="00000000" w:usb1="00000000" w:usb2="00000010" w:usb3="00000000" w:csb0="001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AFD537"/>
    <w:multiLevelType w:val="singleLevel"/>
    <w:tmpl w:val="5EAFD537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5EAFD62B"/>
    <w:multiLevelType w:val="singleLevel"/>
    <w:tmpl w:val="5EAFD62B"/>
    <w:lvl w:ilvl="0" w:tentative="0">
      <w:start w:val="2"/>
      <w:numFmt w:val="chineseCounting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E56"/>
    <w:rsid w:val="00163DB4"/>
    <w:rsid w:val="0029560C"/>
    <w:rsid w:val="0066549A"/>
    <w:rsid w:val="008A6E56"/>
    <w:rsid w:val="009C3149"/>
    <w:rsid w:val="01361C19"/>
    <w:rsid w:val="0595668B"/>
    <w:rsid w:val="05EC14C2"/>
    <w:rsid w:val="0AA10BAF"/>
    <w:rsid w:val="0C63136B"/>
    <w:rsid w:val="0D241D50"/>
    <w:rsid w:val="0DA56500"/>
    <w:rsid w:val="0E3F709E"/>
    <w:rsid w:val="10CB0051"/>
    <w:rsid w:val="11825705"/>
    <w:rsid w:val="11BE114F"/>
    <w:rsid w:val="153B6D3F"/>
    <w:rsid w:val="170B739A"/>
    <w:rsid w:val="174D0030"/>
    <w:rsid w:val="18691B94"/>
    <w:rsid w:val="18F20AFF"/>
    <w:rsid w:val="1B981DE0"/>
    <w:rsid w:val="1C6B2322"/>
    <w:rsid w:val="1E442BF3"/>
    <w:rsid w:val="1F930355"/>
    <w:rsid w:val="21121E61"/>
    <w:rsid w:val="22C54A00"/>
    <w:rsid w:val="23067A80"/>
    <w:rsid w:val="231E27E6"/>
    <w:rsid w:val="24482503"/>
    <w:rsid w:val="247114E1"/>
    <w:rsid w:val="27C02362"/>
    <w:rsid w:val="2A832ADB"/>
    <w:rsid w:val="2B1972CA"/>
    <w:rsid w:val="2B341D64"/>
    <w:rsid w:val="2D0E0F90"/>
    <w:rsid w:val="2E076729"/>
    <w:rsid w:val="2E0B4595"/>
    <w:rsid w:val="2F0653CA"/>
    <w:rsid w:val="308D1511"/>
    <w:rsid w:val="33651AAE"/>
    <w:rsid w:val="35A255A9"/>
    <w:rsid w:val="36B23731"/>
    <w:rsid w:val="37AC07A4"/>
    <w:rsid w:val="385207AA"/>
    <w:rsid w:val="38B971C0"/>
    <w:rsid w:val="398343E8"/>
    <w:rsid w:val="3A410CFD"/>
    <w:rsid w:val="3D270933"/>
    <w:rsid w:val="3E7E643B"/>
    <w:rsid w:val="3E9C7269"/>
    <w:rsid w:val="3F57026E"/>
    <w:rsid w:val="4028266D"/>
    <w:rsid w:val="41AD72B2"/>
    <w:rsid w:val="435012C1"/>
    <w:rsid w:val="446A498B"/>
    <w:rsid w:val="46BA313D"/>
    <w:rsid w:val="47810E91"/>
    <w:rsid w:val="4D904BD8"/>
    <w:rsid w:val="4FA9328A"/>
    <w:rsid w:val="503568FA"/>
    <w:rsid w:val="5497336C"/>
    <w:rsid w:val="54A0416C"/>
    <w:rsid w:val="55F516AD"/>
    <w:rsid w:val="55FD723D"/>
    <w:rsid w:val="5B111A0F"/>
    <w:rsid w:val="5B39718C"/>
    <w:rsid w:val="5C286F04"/>
    <w:rsid w:val="5CDB3F21"/>
    <w:rsid w:val="5E972168"/>
    <w:rsid w:val="5F9A4807"/>
    <w:rsid w:val="61EA2A07"/>
    <w:rsid w:val="61F8119C"/>
    <w:rsid w:val="6347235C"/>
    <w:rsid w:val="649E5EBE"/>
    <w:rsid w:val="64A31CC4"/>
    <w:rsid w:val="68225B92"/>
    <w:rsid w:val="6870323D"/>
    <w:rsid w:val="687C0F58"/>
    <w:rsid w:val="694A62A0"/>
    <w:rsid w:val="697E5C99"/>
    <w:rsid w:val="69811C3A"/>
    <w:rsid w:val="69BA052F"/>
    <w:rsid w:val="69D90536"/>
    <w:rsid w:val="6AA17384"/>
    <w:rsid w:val="6F7C18F6"/>
    <w:rsid w:val="737D0D4D"/>
    <w:rsid w:val="74397852"/>
    <w:rsid w:val="7631477D"/>
    <w:rsid w:val="7C586187"/>
    <w:rsid w:val="7D355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Heading 1 Char"/>
    <w:basedOn w:val="6"/>
    <w:link w:val="2"/>
    <w:qFormat/>
    <w:uiPriority w:val="9"/>
    <w:rPr>
      <w:b/>
      <w:bCs/>
      <w:kern w:val="44"/>
      <w:sz w:val="44"/>
      <w:szCs w:val="44"/>
    </w:rPr>
  </w:style>
  <w:style w:type="paragraph" w:customStyle="1" w:styleId="8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kern w:val="0"/>
      <w:sz w:val="22"/>
      <w:szCs w:val="22"/>
      <w:u w:color="000000"/>
      <w:lang w:val="en-US" w:eastAsia="zh-CN" w:bidi="ar-SA"/>
    </w:rPr>
  </w:style>
  <w:style w:type="paragraph" w:customStyle="1" w:styleId="9">
    <w:name w:val="TOC 标题1"/>
    <w:basedOn w:val="2"/>
    <w:next w:val="1"/>
    <w:qFormat/>
    <w:uiPriority w:val="99"/>
    <w:pPr>
      <w:widowControl/>
      <w:spacing w:before="480" w:after="0" w:line="276" w:lineRule="auto"/>
      <w:jc w:val="left"/>
      <w:outlineLvl w:val="9"/>
    </w:pPr>
    <w:rPr>
      <w:rFonts w:ascii="Cambria" w:hAnsi="Cambria" w:cs="Cambria"/>
      <w:color w:val="365F9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9</Pages>
  <Words>291</Words>
  <Characters>1664</Characters>
  <Lines>0</Lines>
  <Paragraphs>0</Paragraphs>
  <TotalTime>3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dell</cp:lastModifiedBy>
  <cp:lastPrinted>2021-05-28T01:10:00Z</cp:lastPrinted>
  <dcterms:modified xsi:type="dcterms:W3CDTF">2023-09-27T08:04:49Z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A66B8067EC9341738285AFBF765D147A</vt:lpwstr>
  </property>
</Properties>
</file>