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rPr>
          <w:rFonts w:ascii="Times New Roman" w:hAnsi="Times New Roman" w:eastAsia="黑体"/>
          <w:b/>
          <w:bCs/>
          <w:sz w:val="52"/>
          <w:szCs w:val="52"/>
        </w:rPr>
      </w:pPr>
    </w:p>
    <w:p>
      <w:pPr>
        <w:spacing w:before="120" w:after="120" w:line="480" w:lineRule="auto"/>
        <w:rPr>
          <w:rFonts w:ascii="Times New Roman" w:hAnsi="Times New Roman" w:eastAsia="黑体"/>
          <w:b/>
          <w:bCs/>
          <w:sz w:val="52"/>
          <w:szCs w:val="52"/>
        </w:rPr>
      </w:pPr>
    </w:p>
    <w:p>
      <w:pPr>
        <w:jc w:val="center"/>
        <w:rPr>
          <w:rFonts w:ascii="仿宋_GB2312" w:hAnsi="仿宋_GB2312" w:eastAsia="仿宋_GB2312" w:cs="仿宋_GB2312"/>
          <w:bCs/>
          <w:sz w:val="44"/>
          <w:szCs w:val="44"/>
        </w:rPr>
      </w:pPr>
      <w:r>
        <w:rPr>
          <w:rFonts w:hint="eastAsia" w:ascii="仿宋_GB2312" w:hAnsi="仿宋_GB2312" w:eastAsia="仿宋_GB2312" w:cs="仿宋_GB2312"/>
          <w:bCs/>
          <w:sz w:val="44"/>
          <w:szCs w:val="44"/>
        </w:rPr>
        <w:t>集贸市场以奖代补项目支出</w:t>
      </w:r>
    </w:p>
    <w:p>
      <w:pPr>
        <w:jc w:val="center"/>
        <w:rPr>
          <w:rFonts w:ascii="仿宋_GB2312" w:hAnsi="仿宋_GB2312" w:eastAsia="仿宋_GB2312" w:cs="仿宋_GB2312"/>
          <w:bCs/>
          <w:sz w:val="44"/>
          <w:szCs w:val="44"/>
        </w:rPr>
      </w:pPr>
      <w:r>
        <w:rPr>
          <w:rFonts w:hint="eastAsia" w:ascii="仿宋_GB2312" w:hAnsi="仿宋_GB2312" w:eastAsia="仿宋_GB2312" w:cs="仿宋_GB2312"/>
          <w:bCs/>
          <w:sz w:val="44"/>
          <w:szCs w:val="44"/>
        </w:rPr>
        <w:t>绩效自评报告</w:t>
      </w:r>
    </w:p>
    <w:p>
      <w:pPr>
        <w:jc w:val="center"/>
        <w:rPr>
          <w:rFonts w:ascii="仿宋_GB2312" w:hAnsi="仿宋_GB2312" w:eastAsia="仿宋_GB2312" w:cs="仿宋_GB2312"/>
          <w:bCs/>
          <w:sz w:val="44"/>
          <w:szCs w:val="44"/>
        </w:rPr>
      </w:pPr>
      <w:r>
        <w:rPr>
          <w:rFonts w:hint="eastAsia" w:ascii="仿宋_GB2312" w:hAnsi="仿宋_GB2312" w:eastAsia="仿宋_GB2312" w:cs="仿宋_GB2312"/>
          <w:bCs/>
          <w:sz w:val="44"/>
          <w:szCs w:val="44"/>
        </w:rPr>
        <w:t>（</w:t>
      </w:r>
      <w:r>
        <w:rPr>
          <w:rFonts w:ascii="Times New Roman" w:hAnsi="Times New Roman" w:eastAsia="仿宋_GB2312"/>
          <w:bCs/>
          <w:sz w:val="44"/>
          <w:szCs w:val="44"/>
        </w:rPr>
        <w:t>2022</w:t>
      </w:r>
      <w:r>
        <w:rPr>
          <w:rFonts w:hint="eastAsia" w:ascii="仿宋_GB2312" w:hAnsi="仿宋_GB2312" w:eastAsia="仿宋_GB2312" w:cs="仿宋_GB2312"/>
          <w:bCs/>
          <w:sz w:val="44"/>
          <w:szCs w:val="44"/>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仿宋_GB2312" w:hAnsi="仿宋_GB2312" w:eastAsia="仿宋_GB2312" w:cs="仿宋_GB2312"/>
          <w:b w:val="0"/>
          <w:bCs w:val="0"/>
          <w:sz w:val="28"/>
          <w:szCs w:val="28"/>
        </w:rPr>
      </w:pPr>
      <w:r>
        <w:rPr>
          <w:rFonts w:ascii="仿宋_GB2312" w:hAnsi="仿宋_GB2312" w:eastAsia="仿宋_GB2312" w:cs="仿宋_GB2312"/>
          <w:b w:val="0"/>
          <w:bCs w:val="0"/>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cjDzq5wEAAKwDAAAOAAAAZHJzL2Uyb0RvYy54bWytU0uO&#10;EzEQ3SNxB8t70klEENNKZxYJwwZBJOAAFdvdbck/uUw6uQQXQGIFrIDV7DkNDMeg7GQyw7BBiF64&#10;q2zXq3qvyvPznTVsqyJq7xo+GY05U054qV3X8NevLh485gwTOAnGO9XwvUJ+vrh/bz6EWk19741U&#10;kRGIw3oIDe9TCnVVoeiVBRz5oBwdtj5aSOTGrpIRBkK3ppqOx4+qwUcZohcKkXZXh0O+KPhtq0R6&#10;0baoEjMNp9pSWWNZN3mtFnOouwih1+JYBvxDFRa0o6QnqBUkYG+i/gPKahE9+jaNhLeVb1stVOFA&#10;bCbjO2xe9hBU4ULiYDjJhP8PVjzfriPTknrHmQNLLbp6d/nj7cerr1++f7j8+e19tj9/YpMs1RCw&#10;poilW8ejh2EdM+9dG23+EyO2K/LuT/KqXWKCNqcPz2azGXVBXJ9VN4EhYnqqvGXZaDimCLrr09I7&#10;R030cVLkhe0zTJSaAq8Dclbj2NDws9l0RuBAY9QaSGTaQMTQdSUWvdHyQhuTIzB2m6WJbAt5MMqX&#10;CRLub9dykhVgf7hXjg4j0yuQT5xkaR9IMkezzXMJVknOjKKnkC0ChDqBNn9zk1IblwNUGdsjz6z4&#10;QeNsbbzcF+mr7NFIlIqP45tn7rZP9u1Htvg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epcoNcA&#10;AAAJAQAADwAAAAAAAAABACAAAAAiAAAAZHJzL2Rvd25yZXYueG1sUEsBAhQAFAAAAAgAh07iQByM&#10;POrnAQAArAMAAA4AAAAAAAAAAQAgAAAAJgEAAGRycy9lMm9Eb2MueG1sUEsFBgAAAAAGAAYAWQEA&#10;AH8FA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部门名称（公章）：市场科</w:t>
      </w:r>
    </w:p>
    <w:p>
      <w:pPr>
        <w:adjustRightInd w:val="0"/>
        <w:snapToGrid w:val="0"/>
        <w:spacing w:line="360" w:lineRule="auto"/>
        <w:ind w:left="1260" w:leftChars="600"/>
        <w:rPr>
          <w:rFonts w:hint="eastAsia" w:ascii="仿宋_GB2312" w:hAnsi="仿宋_GB2312" w:eastAsia="仿宋_GB2312" w:cs="仿宋_GB2312"/>
          <w:b w:val="0"/>
          <w:bCs w:val="0"/>
          <w:sz w:val="28"/>
          <w:szCs w:val="28"/>
          <w:lang w:eastAsia="zh-CN"/>
        </w:rPr>
      </w:pPr>
      <w:r>
        <w:rPr>
          <w:rFonts w:ascii="仿宋_GB2312" w:hAnsi="仿宋_GB2312" w:eastAsia="仿宋_GB2312" w:cs="仿宋_GB2312"/>
          <w:b w:val="0"/>
          <w:bCs w:val="0"/>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FWqHK5wEAAKwDAAAOAAAAZHJzL2Uyb0RvYy54bWytU0uO&#10;EzEQ3SNxB8t70kmLIKaVziwShg2CkYADVGx3tyX/5DLp5BJcAIkVsAJWs+c0MByDspMJA2wQohfu&#10;KpfrVb3n8uJ8Zw3bqojau5bPJlPOlBNeate3/OWLi3sPOcMEToLxTrV8r5CfL+/eWYyhUbUfvJEq&#10;MgJx2Iyh5UNKoakqFIOygBMflKNg56OFRG7sKxlhJHRrqno6fVCNPsoQvVCItLs+BPmy4HedEulZ&#10;16FKzLScektljWXd5LVaLqDpI4RBi2Mb8A9dWNCOip6g1pCAvYr6DyirRfTouzQR3la+67RQhQOx&#10;mU1/Y/N8gKAKFxIHw0km/H+w4un2MjItW15z5sDSFV2/ufr2+v31509f3119//I22x8/sDpLNQZs&#10;KGPlLuPRw3AZM+9dF23+EyO2K/LuT/KqXWKCNuv7Z/P5nG5B3MSqn4khYnqsvGXZaDmmCLof0so7&#10;R5fo46zIC9snmKg0Jd4k5KrGsbHlZ/N6TuBAY9QZSGTaQMTQ9SUXvdHyQhuTMzD2m5WJbAt5MMqX&#10;CRLuL8dykTXgcDhXQoeRGRTIR06ytA8kmaPZ5rkFqyRnRtFTyBYBQpNAm785SaWNywmqjO2RZ1b8&#10;oHG2Nl7ui/RV9mgkSsfH8c0zd9sn+/YjW/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GEXYNcA&#10;AAAJAQAADwAAAAAAAAABACAAAAAiAAAAZHJzL2Rvd25yZXYueG1sUEsBAhQAFAAAAAgAh07iQIVa&#10;ocrnAQAArAMAAA4AAAAAAAAAAQAgAAAAJgEAAGRycy9lMm9Eb2MueG1sUEsFBgAAAAAGAAYAWQEA&#10;AH8FA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 xml:space="preserve">项目单位： </w:t>
      </w:r>
      <w:r>
        <w:rPr>
          <w:rFonts w:hint="eastAsia" w:ascii="仿宋_GB2312" w:hAnsi="仿宋_GB2312" w:eastAsia="仿宋_GB2312" w:cs="仿宋_GB2312"/>
          <w:b w:val="0"/>
          <w:bCs w:val="0"/>
          <w:sz w:val="28"/>
          <w:szCs w:val="28"/>
          <w:lang w:eastAsia="zh-CN"/>
        </w:rPr>
        <w:t>昆明市盘龙区市场监督管理局</w:t>
      </w:r>
    </w:p>
    <w:p>
      <w:pPr>
        <w:adjustRightInd w:val="0"/>
        <w:snapToGrid w:val="0"/>
        <w:spacing w:line="360" w:lineRule="auto"/>
        <w:ind w:left="1260" w:leftChars="600"/>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主管部门：</w:t>
      </w:r>
      <w:r>
        <w:rPr>
          <w:rFonts w:hint="eastAsia" w:ascii="仿宋_GB2312" w:hAnsi="仿宋_GB2312" w:eastAsia="仿宋_GB2312" w:cs="仿宋_GB2312"/>
          <w:b w:val="0"/>
          <w:bCs w:val="0"/>
          <w:sz w:val="28"/>
          <w:szCs w:val="28"/>
          <w:u w:val="single"/>
        </w:rPr>
        <w:t xml:space="preserve"> 昆明市盘龙区市场监督管理局</w:t>
      </w:r>
    </w:p>
    <w:p>
      <w:pPr>
        <w:adjustRightInd w:val="0"/>
        <w:snapToGrid w:val="0"/>
        <w:spacing w:line="360" w:lineRule="auto"/>
        <w:ind w:left="1260" w:leftChars="600"/>
        <w:rPr>
          <w:rFonts w:ascii="仿宋_GB2312" w:hAnsi="仿宋_GB2312" w:eastAsia="仿宋_GB2312" w:cs="仿宋_GB2312"/>
          <w:b w:val="0"/>
          <w:bCs w:val="0"/>
          <w:sz w:val="28"/>
          <w:szCs w:val="28"/>
        </w:rPr>
      </w:pPr>
      <w:r>
        <w:rPr>
          <w:rFonts w:ascii="仿宋_GB2312" w:hAnsi="仿宋_GB2312" w:eastAsia="仿宋_GB2312" w:cs="仿宋_GB2312"/>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395qL5wEAAKwDAAAOAAAAZHJzL2Uyb0RvYy54bWytU0uO&#10;EzEQ3SNxB8t70kmUIKaVziwShg2CkYADVGx3tyX/5DLp5BJcAIkVsAJWs5/TwHAMyk4mDLBBiF64&#10;q1yuV/Wey4vznTVsqyJq7xo+GY05U054qV3X8FcvLx484gwTOAnGO9XwvUJ+vrx/bzGEWk19741U&#10;kRGIw3oIDe9TCnVVoeiVBRz5oBwFWx8tJHJjV8kIA6FbU03H44fV4KMM0QuFSLvrQ5AvC37bKpGe&#10;ty2qxEzDqbdU1ljWTV6r5QLqLkLotTi2Af/QhQXtqOgJag0J2Ouo/4CyWkSPvk0j4W3l21YLVTgQ&#10;m8n4NzYvegiqcCFxMJxkwv8HK55tLyPTsuEzzhxYuqKbt1ff3ny4+fL56/ur79fvsv3pI5tlqYaA&#10;NWWs3GU8ehguY+a9a6PNf2LEdkXe/UletUtM0OZ0djafz+kWxG2s+pkYIqYnyluWjYZjiqC7Pq28&#10;c3SJPk6KvLB9iolKU+JtQq5qHBsafjafzgkcaIxaA4lMG4gYuq7kojdaXmhjcgbGbrMykW0hD0b5&#10;MkHC/eVYLrIG7A/nSugwMr0C+dhJlvaBJHM02zy3YJXkzCh6CtkiQKgTaPM3J6m0cTlBlbE98syK&#10;HzTO1sbLfZG+yh6NROn4OL555u76ZN99ZM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CC/u9cA&#10;AAAJAQAADwAAAAAAAAABACAAAAAiAAAAZHJzL2Rvd25yZXYueG1sUEsBAhQAFAAAAAgAh07iQLf3&#10;movnAQAArAMAAA4AAAAAAAAAAQAgAAAAJgEAAGRycy9lMm9Eb2MueG1sUEsFBgAAAAAGAAYAWQEA&#10;AH8FA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项目名称： 集贸市场以奖代补项目支出</w:t>
      </w:r>
    </w:p>
    <w:p>
      <w:pPr>
        <w:adjustRightInd w:val="0"/>
        <w:snapToGrid w:val="0"/>
        <w:spacing w:line="360" w:lineRule="auto"/>
        <w:ind w:left="1260" w:leftChars="600"/>
        <w:rPr>
          <w:rFonts w:ascii="仿宋_GB2312" w:hAnsi="仿宋_GB2312" w:eastAsia="仿宋_GB2312" w:cs="仿宋_GB2312"/>
          <w:b w:val="0"/>
          <w:bCs w:val="0"/>
          <w:sz w:val="28"/>
          <w:szCs w:val="28"/>
        </w:rPr>
      </w:pPr>
      <w:r>
        <w:rPr>
          <w:rFonts w:ascii="仿宋_GB2312" w:hAnsi="仿宋_GB2312" w:eastAsia="仿宋_GB2312" w:cs="仿宋_GB2312"/>
          <w:b w:val="0"/>
          <w:bCs w:val="0"/>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R8Ei5gEAAKwDAAAOAAAAZHJzL2Uyb0RvYy54bWytU0uO&#10;EzEQ3SNxB8t70klEI6aVziwShg2CkYADVGx3tyX/5DLp5BJcAIkVsAJWs+c0MByDspMJA2wQohfu&#10;Kpfr856fF+c7a9hWRdTetXw2mXKmnPBSu77lL19c3HvIGSZwEox3quV7hfx8effOYgyNmvvBG6ki&#10;oyIOmzG0fEgpNFWFYlAWcOKDchTsfLSQyI19JSOMVN2aaj6dPqhGH2WIXihE2l0fgnxZ6nedEulZ&#10;16FKzLScZktljWXd5LVaLqDpI4RBi+MY8A9TWNCOmp5KrSEBexX1H6WsFtGj79JEeFv5rtNCFQyE&#10;Zjb9Dc3zAYIqWIgcDCea8P+VFU+3l5Fp2fKaMweWruj6zdW31++vP3/6+u7q+5e32f74gdWZqjFg&#10;QxkrdxmPHobLmHHvumjznxCxXaF3f6JX7RITtDm/f1bXNd2CuIlVPxNDxPRYecuy0XJMEXQ/pJV3&#10;ji7Rx1mhF7ZPMFFrSrxJyF2NY2PLz+o5gRBAMuoMJDJtIGDo+pKL3mh5oY3JGRj7zcpEtoUsjPJl&#10;gFT3l2O5yRpwOJwroYNkBgXykZMs7QNR5kjbPI9gleTMKHoK2aKC0CTQ5m9OUmvjcoIqsj3izIwf&#10;OM7Wxst9ob7KHkmiTHyUb9bcbZ/s249s+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0IL+71wAA&#10;AAkBAAAPAAAAAAAAAAEAIAAAACIAAABkcnMvZG93bnJldi54bWxQSwECFAAUAAAACACHTuJA/0fB&#10;IuYBAACsAwAADgAAAAAAAAABACAAAAAmAQAAZHJzL2Uyb0RvYy54bWxQSwUGAAAAAAYABgBZAQAA&#10;f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 xml:space="preserve">绩效自评日期： </w:t>
      </w:r>
      <w:r>
        <w:rPr>
          <w:rFonts w:ascii="Times New Roman" w:hAnsi="Times New Roman" w:eastAsia="仿宋_GB2312"/>
          <w:b w:val="0"/>
          <w:bCs w:val="0"/>
          <w:sz w:val="28"/>
          <w:szCs w:val="28"/>
        </w:rPr>
        <w:t>2023年</w:t>
      </w:r>
      <w:r>
        <w:rPr>
          <w:rFonts w:hint="eastAsia" w:ascii="Times New Roman" w:hAnsi="Times New Roman" w:eastAsia="仿宋_GB2312"/>
          <w:b w:val="0"/>
          <w:bCs w:val="0"/>
          <w:sz w:val="28"/>
          <w:szCs w:val="28"/>
          <w:lang w:val="en-US" w:eastAsia="zh-CN"/>
        </w:rPr>
        <w:t>5</w:t>
      </w:r>
      <w:r>
        <w:rPr>
          <w:rFonts w:ascii="Times New Roman" w:hAnsi="Times New Roman" w:eastAsia="仿宋_GB2312"/>
          <w:b w:val="0"/>
          <w:bCs w:val="0"/>
          <w:sz w:val="28"/>
          <w:szCs w:val="28"/>
        </w:rPr>
        <w:t>月</w:t>
      </w:r>
    </w:p>
    <w:p>
      <w:pPr>
        <w:spacing w:line="360" w:lineRule="auto"/>
        <w:ind w:left="1218" w:leftChars="580"/>
        <w:rPr>
          <w:rFonts w:ascii="仿宋_GB2312" w:hAnsi="仿宋_GB2312" w:eastAsia="仿宋_GB2312" w:cs="仿宋_GB2312"/>
          <w:b/>
          <w:bCs/>
          <w:sz w:val="28"/>
          <w:szCs w:val="28"/>
        </w:rPr>
      </w:pPr>
    </w:p>
    <w:p>
      <w:pPr>
        <w:jc w:val="center"/>
        <w:rPr>
          <w:rFonts w:ascii="仿宋_GB2312" w:hAnsi="仿宋_GB2312" w:eastAsia="仿宋_GB2312" w:cs="仿宋_GB2312"/>
          <w:b w:val="0"/>
          <w:bCs w:val="0"/>
          <w:sz w:val="28"/>
          <w:szCs w:val="28"/>
        </w:rPr>
      </w:pPr>
      <w:r>
        <w:rPr>
          <w:rFonts w:ascii="Times New Roman" w:hAnsi="Times New Roman" w:eastAsia="仿宋_GB2312"/>
          <w:b w:val="0"/>
          <w:bCs w:val="0"/>
          <w:sz w:val="28"/>
          <w:szCs w:val="28"/>
        </w:rPr>
        <w:t>2023年</w:t>
      </w:r>
      <w:r>
        <w:rPr>
          <w:rFonts w:hint="eastAsia" w:ascii="Times New Roman" w:hAnsi="Times New Roman" w:eastAsia="仿宋_GB2312"/>
          <w:b w:val="0"/>
          <w:bCs w:val="0"/>
          <w:sz w:val="28"/>
          <w:szCs w:val="28"/>
          <w:lang w:val="en-US" w:eastAsia="zh-CN"/>
        </w:rPr>
        <w:t>5</w:t>
      </w:r>
      <w:r>
        <w:rPr>
          <w:rFonts w:hint="eastAsia" w:ascii="仿宋_GB2312" w:hAnsi="仿宋_GB2312" w:eastAsia="仿宋_GB2312" w:cs="仿宋_GB2312"/>
          <w:b w:val="0"/>
          <w:bCs w:val="0"/>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pgNumType w:fmt="numberInDash"/>
          <w:cols w:space="425" w:num="1"/>
          <w:docGrid w:type="lines" w:linePitch="312" w:charSpace="0"/>
        </w:sectPr>
      </w:pPr>
    </w:p>
    <w:p>
      <w:pPr>
        <w:pStyle w:val="11"/>
        <w:jc w:val="center"/>
        <w:rPr>
          <w:rFonts w:ascii="Times New Roman" w:hAnsi="Times New Roman" w:cs="Times New Roman"/>
          <w:b w:val="0"/>
          <w:bCs w:val="0"/>
          <w:color w:val="auto"/>
        </w:rPr>
      </w:pPr>
      <w:r>
        <w:rPr>
          <w:rFonts w:hint="eastAsia" w:ascii="Times New Roman" w:hAnsi="Times New Roman" w:cs="宋体"/>
          <w:b w:val="0"/>
          <w:bCs w:val="0"/>
          <w:color w:val="auto"/>
          <w:lang w:val="zh-CN"/>
        </w:rPr>
        <w:t>目录</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摘要</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 项目基本情况</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（一）项目立项背景</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（二）项目立项依据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（三）项目实施内容</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（四）</w:t>
      </w:r>
      <w:r>
        <w:rPr>
          <w:rFonts w:hint="eastAsia" w:ascii="仿宋_GB2312" w:hAnsi="仿宋_GB2312" w:eastAsia="仿宋_GB2312" w:cs="仿宋_GB2312"/>
          <w:szCs w:val="21"/>
        </w:rPr>
        <w:t>资金来源及使用情况</w:t>
      </w:r>
      <w:r>
        <w:rPr>
          <w:rFonts w:hint="eastAsia" w:ascii="仿宋_GB2312" w:hAnsi="仿宋_GB2312" w:eastAsia="仿宋_GB2312" w:cs="仿宋_GB2312"/>
          <w:szCs w:val="21"/>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（五）项目的组织及管理</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（六）项目绩效目标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二、绩效评价工作情况</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(一)评价的目的和依据</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(二)绩效评价工作方案制定过程</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(三)绩效评价原则、评价方法等</w:t>
      </w:r>
      <w:r>
        <w:rPr>
          <w:rFonts w:hint="eastAsia" w:ascii="仿宋_GB2312" w:hAnsi="仿宋_GB2312" w:eastAsia="仿宋_GB2312" w:cs="仿宋_GB2312"/>
          <w:szCs w:val="32"/>
        </w:rPr>
        <w:tab/>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(四)绩效评价实施过程</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(五)绩效评价的局限性</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三、评价结论及绩效分析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(一)评价结论</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(二)绩效分析</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四、项目主要经验及做法、存在的问题和建议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(一)主要经验及做法</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(二)存在的问题</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(三)建议和改进措施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autoSpaceDE w:val="0"/>
        <w:autoSpaceDN w:val="0"/>
        <w:adjustRightInd w:val="0"/>
        <w:jc w:val="left"/>
        <w:rPr>
          <w:rFonts w:ascii="黑体" w:hAnsi="Arial" w:eastAsia="黑体" w:cs="黑体"/>
          <w:kern w:val="0"/>
          <w:sz w:val="32"/>
          <w:szCs w:val="32"/>
        </w:rPr>
      </w:pP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jc w:val="both"/>
        <w:rPr>
          <w:rFonts w:hint="eastAsia" w:ascii="方正小标宋简体" w:hAnsi="方正小标宋简体" w:eastAsia="方正小标宋简体" w:cs="方正小标宋简体"/>
          <w:i/>
          <w:iCs/>
          <w:w w:val="90"/>
          <w:kern w:val="0"/>
          <w:sz w:val="44"/>
          <w:szCs w:val="44"/>
        </w:rPr>
      </w:pPr>
    </w:p>
    <w:p>
      <w:pPr>
        <w:jc w:val="center"/>
        <w:rPr>
          <w:rFonts w:ascii="方正小标宋_GBK" w:hAnsi="黑体" w:eastAsia="方正小标宋_GBK"/>
          <w:w w:val="90"/>
          <w:sz w:val="44"/>
          <w:szCs w:val="44"/>
        </w:rPr>
      </w:pPr>
      <w:r>
        <w:rPr>
          <w:rFonts w:hint="eastAsia" w:ascii="方正小标宋简体" w:hAnsi="方正小标宋简体" w:eastAsia="方正小标宋简体" w:cs="方正小标宋简体"/>
          <w:w w:val="90"/>
          <w:kern w:val="0"/>
          <w:sz w:val="44"/>
          <w:szCs w:val="44"/>
        </w:rPr>
        <w:t>集贸市场以奖代补经费项目支出绩效自评报告</w:t>
      </w: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一、项目概况：</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1.立项背景及目的：为认真贯</w:t>
      </w:r>
      <w:bookmarkStart w:id="0" w:name="_GoBack"/>
      <w:bookmarkEnd w:id="0"/>
      <w:r>
        <w:rPr>
          <w:rFonts w:hint="eastAsia" w:ascii="仿宋_GB2312" w:hAnsi="黑体" w:eastAsia="仿宋_GB2312"/>
          <w:sz w:val="32"/>
          <w:szCs w:val="32"/>
        </w:rPr>
        <w:t>彻昆明市委、市政府的工作部署，落实《盘龙区集贸市场长效管理工作方案》精神，加快盘龙区集贸市场建设改造提升步伐，全面提升全区集贸市场硬件设施、管理水平、环境面貌和服务功能，打造便捷利民的集贸市场，按照《昆明市盘龙区集贸市场2018-2020年提升整治三年行动方案》、昆明市盘龙区人民政府盘政办通〔2019〕45号关于印发《2019年集贸市场提升整治工作实施方案》、盘政办通〔2019〕101号关于印发《昆明市盘龙区集贸市场建设管理工作奖补办法（试行）》的通知要求，提升盘龙区集贸市场软、硬件水平，整治“脏乱差”现象，保障集贸市场健康运营。2022年在全区计划实施改造东华等4个集贸市场，通过政府资金支持，街道及相关部门共同帮扶以及市场开办方自身努力，积极主动的参与配合，使项目顺利实施，通过改造提升补齐短板，打造标杆。</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rPr>
        <w:t>2.预算收支情况: 2022年当年项目总预算投入</w:t>
      </w:r>
      <w:r>
        <w:rPr>
          <w:rFonts w:hint="eastAsia" w:ascii="仿宋_GB2312" w:eastAsia="仿宋_GB2312"/>
          <w:sz w:val="32"/>
          <w:szCs w:val="32"/>
          <w:lang w:val="en-US" w:eastAsia="zh-CN"/>
        </w:rPr>
        <w:t>810.56万</w:t>
      </w:r>
      <w:r>
        <w:rPr>
          <w:rFonts w:hint="eastAsia" w:ascii="仿宋_GB2312" w:eastAsia="仿宋_GB2312"/>
          <w:sz w:val="32"/>
          <w:szCs w:val="32"/>
        </w:rPr>
        <w:t>元</w:t>
      </w:r>
      <w:r>
        <w:rPr>
          <w:rFonts w:hint="eastAsia" w:ascii="仿宋_GB2312" w:hAnsi="黑体" w:eastAsia="仿宋_GB2312"/>
          <w:sz w:val="32"/>
          <w:szCs w:val="32"/>
        </w:rPr>
        <w:t>,</w:t>
      </w:r>
      <w:r>
        <w:rPr>
          <w:rFonts w:hint="eastAsia" w:ascii="仿宋_GB2312" w:hAnsi="黑体" w:eastAsia="仿宋_GB2312"/>
          <w:sz w:val="32"/>
          <w:szCs w:val="32"/>
          <w:lang w:eastAsia="zh-CN"/>
        </w:rPr>
        <w:t>为</w:t>
      </w:r>
      <w:r>
        <w:rPr>
          <w:rFonts w:hint="eastAsia" w:ascii="仿宋_GB2312" w:hAnsi="黑体" w:eastAsia="仿宋_GB2312"/>
          <w:sz w:val="32"/>
          <w:szCs w:val="32"/>
          <w:lang w:val="en-US" w:eastAsia="zh-CN"/>
        </w:rPr>
        <w:t>2020年及2021年结转资金。</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hint="default" w:ascii="仿宋_GB2312" w:hAnsi="黑体" w:eastAsia="仿宋_GB2312"/>
          <w:color w:val="000000" w:themeColor="text1"/>
          <w:sz w:val="32"/>
          <w:szCs w:val="32"/>
          <w:lang w:val="en-US" w:eastAsia="zh-CN"/>
          <w14:textFill>
            <w14:solidFill>
              <w14:schemeClr w14:val="tx1"/>
            </w14:solidFill>
          </w14:textFill>
        </w:rPr>
      </w:pPr>
      <w:r>
        <w:rPr>
          <w:rFonts w:hint="eastAsia" w:ascii="仿宋_GB2312" w:hAnsi="黑体" w:eastAsia="仿宋_GB2312"/>
          <w:sz w:val="32"/>
          <w:szCs w:val="32"/>
        </w:rPr>
        <w:t>2022年我局经费支出</w:t>
      </w:r>
      <w:r>
        <w:rPr>
          <w:rFonts w:hint="eastAsia" w:ascii="仿宋_GB2312" w:eastAsia="仿宋_GB2312"/>
          <w:sz w:val="32"/>
          <w:szCs w:val="32"/>
          <w:lang w:val="en-US" w:eastAsia="zh-CN"/>
        </w:rPr>
        <w:t>810.56万</w:t>
      </w:r>
      <w:r>
        <w:rPr>
          <w:rFonts w:hint="eastAsia" w:ascii="仿宋_GB2312" w:hAnsi="黑体" w:eastAsia="仿宋_GB2312"/>
          <w:sz w:val="32"/>
          <w:szCs w:val="32"/>
        </w:rPr>
        <w:t>元，其中于2022年划拔到东华</w:t>
      </w:r>
      <w:r>
        <w:rPr>
          <w:rFonts w:hint="eastAsia" w:ascii="仿宋_GB2312" w:hAnsi="黑体" w:eastAsia="仿宋_GB2312"/>
          <w:sz w:val="32"/>
          <w:szCs w:val="32"/>
          <w:lang w:eastAsia="zh-CN"/>
        </w:rPr>
        <w:t>等</w:t>
      </w:r>
      <w:r>
        <w:rPr>
          <w:rFonts w:hint="eastAsia" w:ascii="仿宋_GB2312" w:hAnsi="黑体" w:eastAsia="仿宋_GB2312"/>
          <w:sz w:val="32"/>
          <w:szCs w:val="32"/>
        </w:rPr>
        <w:t>街道办事处农贸市场升级改造“以奖代补”经费</w:t>
      </w:r>
      <w:r>
        <w:rPr>
          <w:rFonts w:hint="eastAsia" w:ascii="仿宋_GB2312" w:hAnsi="黑体" w:eastAsia="仿宋_GB2312"/>
          <w:sz w:val="32"/>
          <w:szCs w:val="32"/>
          <w:lang w:val="en-US" w:eastAsia="zh-CN"/>
        </w:rPr>
        <w:t>213.10万</w:t>
      </w:r>
      <w:r>
        <w:rPr>
          <w:rFonts w:hint="eastAsia" w:ascii="仿宋_GB2312" w:hAnsi="黑体" w:eastAsia="仿宋_GB2312"/>
          <w:sz w:val="32"/>
          <w:szCs w:val="32"/>
        </w:rPr>
        <w:t>元</w:t>
      </w:r>
      <w:r>
        <w:rPr>
          <w:rFonts w:hint="eastAsia" w:ascii="仿宋_GB2312" w:hAnsi="黑体" w:eastAsia="仿宋_GB2312"/>
          <w:sz w:val="32"/>
          <w:szCs w:val="32"/>
          <w:lang w:eastAsia="zh-CN"/>
        </w:rPr>
        <w:t>，</w:t>
      </w:r>
      <w:r>
        <w:rPr>
          <w:rFonts w:hint="eastAsia" w:ascii="仿宋_GB2312" w:hAnsi="黑体" w:eastAsia="仿宋_GB2312"/>
          <w:color w:val="000000" w:themeColor="text1"/>
          <w:sz w:val="32"/>
          <w:szCs w:val="32"/>
          <w14:textFill>
            <w14:solidFill>
              <w14:schemeClr w14:val="tx1"/>
            </w14:solidFill>
          </w14:textFill>
        </w:rPr>
        <w:t>我局自用</w:t>
      </w:r>
      <w:r>
        <w:rPr>
          <w:rFonts w:hint="eastAsia" w:ascii="仿宋_GB2312" w:hAnsi="黑体" w:eastAsia="仿宋_GB2312"/>
          <w:color w:val="000000" w:themeColor="text1"/>
          <w:sz w:val="32"/>
          <w:szCs w:val="32"/>
          <w:lang w:val="en-US" w:eastAsia="zh-CN"/>
          <w14:textFill>
            <w14:solidFill>
              <w14:schemeClr w14:val="tx1"/>
            </w14:solidFill>
          </w14:textFill>
        </w:rPr>
        <w:t>597.46万</w:t>
      </w:r>
      <w:r>
        <w:rPr>
          <w:rFonts w:hint="eastAsia" w:ascii="仿宋_GB2312" w:hAnsi="黑体" w:eastAsia="仿宋_GB2312"/>
          <w:color w:val="000000" w:themeColor="text1"/>
          <w:sz w:val="32"/>
          <w:szCs w:val="32"/>
          <w14:textFill>
            <w14:solidFill>
              <w14:schemeClr w14:val="tx1"/>
            </w14:solidFill>
          </w14:textFill>
        </w:rPr>
        <w:t>元</w:t>
      </w:r>
      <w:r>
        <w:rPr>
          <w:rFonts w:hint="eastAsia" w:ascii="仿宋_GB2312" w:hAnsi="黑体" w:eastAsia="仿宋_GB2312"/>
          <w:color w:val="000000" w:themeColor="text1"/>
          <w:sz w:val="32"/>
          <w:szCs w:val="32"/>
          <w:lang w:eastAsia="zh-CN"/>
          <w14:textFill>
            <w14:solidFill>
              <w14:schemeClr w14:val="tx1"/>
            </w14:solidFill>
          </w14:textFill>
        </w:rPr>
        <w:t>。</w:t>
      </w:r>
      <w:r>
        <w:rPr>
          <w:rFonts w:hint="eastAsia" w:ascii="仿宋_GB2312" w:hAnsi="黑体" w:eastAsia="仿宋_GB2312"/>
          <w:color w:val="000000" w:themeColor="text1"/>
          <w:sz w:val="32"/>
          <w:szCs w:val="32"/>
          <w14:textFill>
            <w14:solidFill>
              <w14:schemeClr w14:val="tx1"/>
            </w14:solidFill>
          </w14:textFill>
        </w:rPr>
        <w:t>自用经费中，</w:t>
      </w:r>
      <w:r>
        <w:rPr>
          <w:rFonts w:hint="eastAsia" w:ascii="仿宋_GB2312" w:hAnsi="黑体" w:eastAsia="仿宋_GB2312"/>
          <w:color w:val="000000" w:themeColor="text1"/>
          <w:sz w:val="32"/>
          <w:szCs w:val="32"/>
          <w:lang w:eastAsia="zh-CN"/>
          <w14:textFill>
            <w14:solidFill>
              <w14:schemeClr w14:val="tx1"/>
            </w14:solidFill>
          </w14:textFill>
        </w:rPr>
        <w:t>支付集贸市场保安费用</w:t>
      </w:r>
      <w:r>
        <w:rPr>
          <w:rFonts w:hint="eastAsia" w:ascii="仿宋_GB2312" w:hAnsi="黑体" w:eastAsia="仿宋_GB2312"/>
          <w:color w:val="000000" w:themeColor="text1"/>
          <w:sz w:val="32"/>
          <w:szCs w:val="32"/>
          <w:lang w:val="en-US" w:eastAsia="zh-CN"/>
          <w14:textFill>
            <w14:solidFill>
              <w14:schemeClr w14:val="tx1"/>
            </w14:solidFill>
          </w14:textFill>
        </w:rPr>
        <w:t>234.25万元，支付集贸市场提升改造、奖补资金等185.93万元，支付审计费3万元，支付集贸市场制作展板、宣传等费用9.55万元，支付集贸市场计量器具检定服务费26.85万元，支付集贸市场农残检测试纸费65.57万元，支付智慧市场系统服务费59万元，支付市场从业人员核酸检测费13.32万元。</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二、评价结论</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Arial" w:eastAsia="仿宋_GB2312" w:cs="仿宋_GB2312"/>
          <w:kern w:val="0"/>
          <w:sz w:val="32"/>
          <w:szCs w:val="32"/>
          <w:lang w:val="en-US" w:eastAsia="zh-CN"/>
        </w:rPr>
        <w:t>2022年我单位集贸市场</w:t>
      </w:r>
      <w:r>
        <w:rPr>
          <w:rFonts w:hint="eastAsia" w:ascii="仿宋_GB2312" w:hAnsi="Arial" w:eastAsia="仿宋_GB2312" w:cs="仿宋_GB2312"/>
          <w:kern w:val="0"/>
          <w:sz w:val="32"/>
          <w:szCs w:val="32"/>
        </w:rPr>
        <w:t>项目绩效评价综合得分为98分，评价等级为优。</w:t>
      </w:r>
      <w:r>
        <w:rPr>
          <w:rFonts w:hint="eastAsia" w:ascii="仿宋_GB2312" w:hAnsi="仿宋_GB2312" w:eastAsia="仿宋_GB2312" w:cs="仿宋_GB2312"/>
          <w:sz w:val="32"/>
          <w:szCs w:val="32"/>
        </w:rPr>
        <w:t>全区已建成智慧化农贸市场6家，多次在省级农贸市场评选中名列前茅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2022年5月25日在省委办公厅省政府办公厅《关于表扬2021年云南省巩固爱国卫生“7个专项行动”暨国家卫生县城（城市）达标考核工作突出县市区的通报》中，对工作突出的盘龙区予以通报表扬。</w:t>
      </w:r>
    </w:p>
    <w:p>
      <w:pPr>
        <w:keepNext w:val="0"/>
        <w:keepLines w:val="0"/>
        <w:pageBreakBefore w:val="0"/>
        <w:widowControl w:val="0"/>
        <w:kinsoku/>
        <w:wordWrap/>
        <w:overflowPunct/>
        <w:topLinePunct/>
        <w:autoSpaceDE/>
        <w:autoSpaceDN/>
        <w:bidi w:val="0"/>
        <w:adjustRightInd w:val="0"/>
        <w:snapToGrid w:val="0"/>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三、经验、问题和建议</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1.主要经验及做法：</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按照“改造升级一批、取缔关闭一批、新建扩建一批、收购回购一批”的总体思路和“谁主办、谁负责”的原则，采取“属地管理”的方式，按照“领导小组决策，属地街道组织实施,各职能局配合”的程序，按照统一规划、合理布局、先易后难、分步实施的原则，综合开展集贸市场提升整治工作，促进盘龙区集贸市场硬件提档、管理升级，成为布局合理、设施先进、功能完善、管理规范、环境优美、购物方便、食品安全、群众满意的购物场所，力争达到《昆明市标准化菜市场建设改造规范（2018年修订）》标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eastAsia="仿宋_GB2312"/>
          <w:color w:val="000000"/>
          <w:sz w:val="32"/>
          <w:szCs w:val="32"/>
        </w:rPr>
      </w:pPr>
      <w:r>
        <w:rPr>
          <w:rFonts w:hint="eastAsia" w:ascii="仿宋_GB2312" w:eastAsia="仿宋_GB2312"/>
          <w:color w:val="000000"/>
          <w:sz w:val="32"/>
          <w:szCs w:val="32"/>
        </w:rPr>
        <w:t>农贸市场关系着千家万户的“菜篮子”，也是体现城市文明形象的一个重要窗口。围绕“整洁、有序、规范、标准”的目标，盘龙区市场监督管理局结合“管集市、净餐馆”专项行动的推进，加快传统农贸市场改造提升工程建设，在打造“标准化农贸市场”基础上，开展了创建“智慧化农贸市场”活动。截至目前，已初步实现建成区8个街道22个农贸市场标准化升级改造，建成瀚林、金康园、好世界、白龙、嘉和、松花坝等6个标准化智慧化农贸市场。</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eastAsia="仿宋_GB2312"/>
          <w:color w:val="000000"/>
          <w:sz w:val="32"/>
          <w:szCs w:val="32"/>
        </w:rPr>
      </w:pPr>
      <w:r>
        <w:rPr>
          <w:rFonts w:hint="eastAsia" w:ascii="仿宋_GB2312" w:eastAsia="仿宋_GB2312"/>
          <w:color w:val="000000"/>
          <w:sz w:val="32"/>
          <w:szCs w:val="32"/>
        </w:rPr>
        <w:t>对照“标准化农贸市场”建设活动标准，盘龙局借鉴先进地区农贸市场管理经验，引入农贸市场智慧化管理平台，为商户配置了智能溯源电子秤和商户前端展示屏，可以实时显示公示商品、价格、金额，展示商户营业执照、健康证、索证索票、收款码等，商户相关信息和经营信息一目了然，杜绝了短斤少两、乱贴乱挂等现象。每笔交易还可以打印溯源小票，交易信息自动上传市场管理后台，便于对交易数据进行查询、统计、分析，为市场管理方提供决策依据。</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2、存在的问题：</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资金的使用效率有待进一步提高，主要原因为资金</w:t>
      </w:r>
      <w:r>
        <w:rPr>
          <w:rFonts w:hint="eastAsia" w:ascii="仿宋_GB2312" w:hAnsi="黑体" w:eastAsia="仿宋_GB2312"/>
          <w:sz w:val="32"/>
          <w:szCs w:val="32"/>
          <w:lang w:eastAsia="zh-CN"/>
        </w:rPr>
        <w:t>指标下达</w:t>
      </w:r>
      <w:r>
        <w:rPr>
          <w:rFonts w:hint="eastAsia" w:ascii="仿宋_GB2312" w:hAnsi="黑体" w:eastAsia="仿宋_GB2312"/>
          <w:sz w:val="32"/>
          <w:szCs w:val="32"/>
        </w:rPr>
        <w:t>市场监管局账户后，</w:t>
      </w:r>
      <w:r>
        <w:rPr>
          <w:rFonts w:hint="eastAsia" w:ascii="仿宋_GB2312" w:eastAsia="仿宋_GB2312" w:cs="仿宋_GB2312"/>
          <w:sz w:val="32"/>
          <w:szCs w:val="32"/>
        </w:rPr>
        <w:t>区集贸市场建设管理工作领导小组</w:t>
      </w:r>
      <w:r>
        <w:rPr>
          <w:rFonts w:hint="eastAsia" w:ascii="仿宋_GB2312" w:eastAsia="仿宋_GB2312"/>
          <w:sz w:val="32"/>
          <w:szCs w:val="32"/>
        </w:rPr>
        <w:t>对集贸市场建设管理工作奖补经费使用预算相关事宜进行研究较慢</w:t>
      </w:r>
      <w:r>
        <w:rPr>
          <w:rFonts w:hint="eastAsia" w:ascii="仿宋_GB2312" w:hAnsi="黑体" w:eastAsia="仿宋_GB2312"/>
          <w:sz w:val="32"/>
          <w:szCs w:val="32"/>
        </w:rPr>
        <w:t>，导致资金支出进度缓慢。</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3.改进措施及建议：</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加强集贸市场建设管理工作奖补经费使用预算会议研究进度及使用规划，进一步提高资金的使用效率。</w:t>
      </w:r>
    </w:p>
    <w:p>
      <w:pPr>
        <w:keepNext w:val="0"/>
        <w:keepLines w:val="0"/>
        <w:pageBreakBefore w:val="0"/>
        <w:widowControl w:val="0"/>
        <w:kinsoku/>
        <w:wordWrap/>
        <w:overflowPunct/>
        <w:topLinePunct/>
        <w:autoSpaceDE/>
        <w:autoSpaceDN/>
        <w:bidi w:val="0"/>
        <w:spacing w:line="520" w:lineRule="exact"/>
        <w:ind w:left="0" w:leftChars="0" w:right="0" w:rightChars="0" w:firstLine="640" w:firstLineChars="200"/>
        <w:jc w:val="both"/>
        <w:textAlignment w:val="auto"/>
        <w:outlineLvl w:val="9"/>
        <w:rPr>
          <w:rFonts w:ascii="仿宋_GB2312" w:hAnsi="仿宋_GB2312" w:eastAsia="仿宋_GB2312" w:cs="仿宋_GB2312"/>
          <w:sz w:val="32"/>
          <w:szCs w:val="32"/>
        </w:rPr>
      </w:pPr>
    </w:p>
    <w:p>
      <w:pPr>
        <w:topLinePunct/>
        <w:ind w:firstLine="640" w:firstLineChars="200"/>
        <w:rPr>
          <w:rFonts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正文</w:t>
      </w:r>
    </w:p>
    <w:p>
      <w:pPr>
        <w:autoSpaceDE w:val="0"/>
        <w:autoSpaceDN w:val="0"/>
        <w:spacing w:line="660" w:lineRule="exact"/>
        <w:jc w:val="center"/>
        <w:rPr>
          <w:rFonts w:ascii="方正小标宋简体" w:hAnsi="Arial" w:eastAsia="方正小标宋简体" w:cs="仿宋_GB2312"/>
          <w:kern w:val="0"/>
          <w:sz w:val="44"/>
          <w:szCs w:val="44"/>
        </w:rPr>
      </w:pPr>
      <w:r>
        <w:rPr>
          <w:rFonts w:hint="eastAsia" w:ascii="方正小标宋简体" w:hAnsi="Arial" w:eastAsia="方正小标宋简体" w:cs="仿宋_GB2312"/>
          <w:kern w:val="0"/>
          <w:sz w:val="44"/>
          <w:szCs w:val="44"/>
        </w:rPr>
        <w:t>昆明市盘龙区市场监督管理局</w:t>
      </w:r>
    </w:p>
    <w:p>
      <w:pPr>
        <w:autoSpaceDE w:val="0"/>
        <w:autoSpaceDN w:val="0"/>
        <w:spacing w:line="660" w:lineRule="exact"/>
        <w:jc w:val="center"/>
        <w:rPr>
          <w:rFonts w:ascii="方正小标宋简体" w:hAnsi="Arial" w:eastAsia="方正小标宋简体" w:cs="仿宋_GB2312"/>
          <w:kern w:val="0"/>
          <w:sz w:val="44"/>
          <w:szCs w:val="44"/>
        </w:rPr>
      </w:pPr>
      <w:r>
        <w:rPr>
          <w:rFonts w:hint="eastAsia" w:ascii="方正小标宋简体" w:hAnsi="Arial" w:eastAsia="方正小标宋简体" w:cs="仿宋_GB2312"/>
          <w:kern w:val="0"/>
          <w:sz w:val="44"/>
          <w:szCs w:val="44"/>
        </w:rPr>
        <w:t>集贸市场以奖代补经费项目支出</w:t>
      </w:r>
    </w:p>
    <w:p>
      <w:pPr>
        <w:autoSpaceDE w:val="0"/>
        <w:autoSpaceDN w:val="0"/>
        <w:spacing w:afterLines="100" w:line="660" w:lineRule="exact"/>
        <w:jc w:val="center"/>
        <w:rPr>
          <w:rFonts w:ascii="方正小标宋简体" w:hAnsi="Arial" w:eastAsia="方正小标宋简体" w:cs="仿宋_GB2312"/>
          <w:kern w:val="0"/>
          <w:sz w:val="44"/>
          <w:szCs w:val="44"/>
        </w:rPr>
      </w:pPr>
      <w:r>
        <w:rPr>
          <w:rFonts w:hint="eastAsia" w:ascii="方正小标宋简体" w:hAnsi="Arial" w:eastAsia="方正小标宋简体" w:cs="仿宋_GB2312"/>
          <w:kern w:val="0"/>
          <w:sz w:val="44"/>
          <w:szCs w:val="44"/>
        </w:rPr>
        <w:t>绩效自评报告</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（一）项目立项背景</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为认真贯彻昆明市委、市政府的工作部署，落实《盘龙区集贸市场长效管理工作方案》精神，加快盘龙区集贸市场建设改造提升步伐，全面提升全区集贸市场硬件设施、管理水平、环境面貌和服务功能，打造便捷利民的集贸市场。</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（二）项目立项依据</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按照《昆明市盘龙区集贸市场2018-2020年提升整治三年行动方案》、昆明市盘龙区人民政府盘政办通〔2019〕45号关于印发《2019年集贸市场提升整治工作实施方案》、盘政办通〔2019〕101号关于印发《昆明市盘龙区集贸市场建设管理工作奖补办法（试行）》的通知。</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(三)项目实施内容</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提升盘龙区集贸市场软、硬件水平，整治“脏乱差”现象，保障集贸市场健康运营。确立了2022年在全区计划实施改造提升</w:t>
      </w:r>
      <w:r>
        <w:rPr>
          <w:rFonts w:hint="eastAsia" w:ascii="仿宋_GB2312" w:hAnsi="仿宋" w:eastAsia="仿宋_GB2312" w:cs="仿宋"/>
          <w:sz w:val="32"/>
          <w:szCs w:val="32"/>
        </w:rPr>
        <w:t>东华、嘉和、白龙、松花坝4个</w:t>
      </w:r>
      <w:r>
        <w:rPr>
          <w:rFonts w:hint="eastAsia" w:ascii="仿宋_GB2312" w:hAnsi="黑体" w:eastAsia="仿宋_GB2312"/>
          <w:sz w:val="32"/>
          <w:szCs w:val="32"/>
        </w:rPr>
        <w:t>集贸市场</w:t>
      </w:r>
      <w:r>
        <w:rPr>
          <w:rFonts w:hint="eastAsia" w:ascii="仿宋_GB2312" w:hAnsi="Arial" w:eastAsia="仿宋_GB2312" w:cs="仿宋_GB2312"/>
          <w:kern w:val="0"/>
          <w:sz w:val="32"/>
          <w:szCs w:val="32"/>
        </w:rPr>
        <w:t>；</w:t>
      </w:r>
      <w:r>
        <w:rPr>
          <w:rFonts w:hint="eastAsia" w:ascii="仿宋_GB2312" w:hAnsi="仿宋" w:eastAsia="仿宋_GB2312" w:cs="仿宋"/>
          <w:sz w:val="32"/>
          <w:szCs w:val="32"/>
        </w:rPr>
        <w:t>完成了松花坝、白龙、嘉和农贸市场鲜肉摊位升级改造。</w:t>
      </w:r>
      <w:r>
        <w:rPr>
          <w:rFonts w:hint="eastAsia" w:ascii="仿宋_GB2312" w:hAnsi="黑体" w:eastAsia="仿宋_GB2312"/>
          <w:sz w:val="32"/>
          <w:szCs w:val="32"/>
        </w:rPr>
        <w:t>通过政府资金支持，街道及相关部门共同帮扶以及市场开办方自身努力，积极主动的参与配合，使项目顺利实施，通过改造提升补齐短板，打造标杆。</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（四）项目实施计划及完成情况</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hint="default" w:ascii="仿宋_GB2312" w:hAnsi="黑体" w:eastAsia="仿宋_GB2312"/>
          <w:sz w:val="32"/>
          <w:szCs w:val="32"/>
          <w:lang w:val="en-US" w:eastAsia="zh-CN"/>
        </w:rPr>
      </w:pPr>
      <w:r>
        <w:rPr>
          <w:rFonts w:hint="eastAsia" w:ascii="仿宋_GB2312" w:hAnsi="黑体" w:eastAsia="仿宋_GB2312"/>
          <w:sz w:val="32"/>
          <w:szCs w:val="32"/>
        </w:rPr>
        <w:t>预算收支情况: 2022年当年项目总预算投入</w:t>
      </w:r>
      <w:r>
        <w:rPr>
          <w:rFonts w:hint="eastAsia" w:ascii="仿宋_GB2312" w:eastAsia="仿宋_GB2312"/>
          <w:sz w:val="32"/>
          <w:szCs w:val="32"/>
          <w:lang w:val="en-US" w:eastAsia="zh-CN"/>
        </w:rPr>
        <w:t>810.56万</w:t>
      </w:r>
      <w:r>
        <w:rPr>
          <w:rFonts w:hint="eastAsia" w:ascii="仿宋_GB2312" w:eastAsia="仿宋_GB2312"/>
          <w:sz w:val="32"/>
          <w:szCs w:val="32"/>
        </w:rPr>
        <w:t>元</w:t>
      </w:r>
      <w:r>
        <w:rPr>
          <w:rFonts w:hint="eastAsia" w:ascii="仿宋_GB2312" w:hAnsi="黑体" w:eastAsia="仿宋_GB2312"/>
          <w:sz w:val="32"/>
          <w:szCs w:val="32"/>
        </w:rPr>
        <w:t>,</w:t>
      </w:r>
      <w:r>
        <w:rPr>
          <w:rFonts w:hint="eastAsia" w:ascii="仿宋_GB2312" w:hAnsi="黑体" w:eastAsia="仿宋_GB2312"/>
          <w:sz w:val="32"/>
          <w:szCs w:val="32"/>
          <w:lang w:eastAsia="zh-CN"/>
        </w:rPr>
        <w:t>为</w:t>
      </w:r>
      <w:r>
        <w:rPr>
          <w:rFonts w:hint="eastAsia" w:ascii="仿宋_GB2312" w:hAnsi="黑体" w:eastAsia="仿宋_GB2312"/>
          <w:sz w:val="32"/>
          <w:szCs w:val="32"/>
          <w:lang w:val="en-US" w:eastAsia="zh-CN"/>
        </w:rPr>
        <w:t>2020年及2021年结转资金。</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color w:val="000000" w:themeColor="text1"/>
          <w:sz w:val="32"/>
          <w:szCs w:val="32"/>
          <w14:textFill>
            <w14:solidFill>
              <w14:schemeClr w14:val="tx1"/>
            </w14:solidFill>
          </w14:textFill>
        </w:rPr>
      </w:pPr>
      <w:r>
        <w:rPr>
          <w:rFonts w:hint="eastAsia" w:ascii="仿宋_GB2312" w:hAnsi="黑体" w:eastAsia="仿宋_GB2312"/>
          <w:sz w:val="32"/>
          <w:szCs w:val="32"/>
        </w:rPr>
        <w:t>2022年我局经费支出</w:t>
      </w:r>
      <w:r>
        <w:rPr>
          <w:rFonts w:hint="eastAsia" w:ascii="仿宋_GB2312" w:eastAsia="仿宋_GB2312"/>
          <w:sz w:val="32"/>
          <w:szCs w:val="32"/>
          <w:lang w:val="en-US" w:eastAsia="zh-CN"/>
        </w:rPr>
        <w:t>810.56万</w:t>
      </w:r>
      <w:r>
        <w:rPr>
          <w:rFonts w:hint="eastAsia" w:ascii="仿宋_GB2312" w:hAnsi="黑体" w:eastAsia="仿宋_GB2312"/>
          <w:sz w:val="32"/>
          <w:szCs w:val="32"/>
        </w:rPr>
        <w:t>元，其中于2022年划拔到东华</w:t>
      </w:r>
      <w:r>
        <w:rPr>
          <w:rFonts w:hint="eastAsia" w:ascii="仿宋_GB2312" w:hAnsi="黑体" w:eastAsia="仿宋_GB2312"/>
          <w:sz w:val="32"/>
          <w:szCs w:val="32"/>
          <w:lang w:eastAsia="zh-CN"/>
        </w:rPr>
        <w:t>等</w:t>
      </w:r>
      <w:r>
        <w:rPr>
          <w:rFonts w:hint="eastAsia" w:ascii="仿宋_GB2312" w:hAnsi="黑体" w:eastAsia="仿宋_GB2312"/>
          <w:sz w:val="32"/>
          <w:szCs w:val="32"/>
        </w:rPr>
        <w:t>街道办事处农贸市场升级改造“以奖代补”经费</w:t>
      </w:r>
      <w:r>
        <w:rPr>
          <w:rFonts w:hint="eastAsia" w:ascii="仿宋_GB2312" w:hAnsi="黑体" w:eastAsia="仿宋_GB2312"/>
          <w:sz w:val="32"/>
          <w:szCs w:val="32"/>
          <w:lang w:val="en-US" w:eastAsia="zh-CN"/>
        </w:rPr>
        <w:t>213.10万</w:t>
      </w:r>
      <w:r>
        <w:rPr>
          <w:rFonts w:hint="eastAsia" w:ascii="仿宋_GB2312" w:hAnsi="黑体" w:eastAsia="仿宋_GB2312"/>
          <w:sz w:val="32"/>
          <w:szCs w:val="32"/>
        </w:rPr>
        <w:t>元</w:t>
      </w:r>
      <w:r>
        <w:rPr>
          <w:rFonts w:hint="eastAsia" w:ascii="仿宋_GB2312" w:hAnsi="黑体" w:eastAsia="仿宋_GB2312"/>
          <w:sz w:val="32"/>
          <w:szCs w:val="32"/>
          <w:lang w:eastAsia="zh-CN"/>
        </w:rPr>
        <w:t>，</w:t>
      </w:r>
      <w:r>
        <w:rPr>
          <w:rFonts w:hint="eastAsia" w:ascii="仿宋_GB2312" w:hAnsi="黑体" w:eastAsia="仿宋_GB2312"/>
          <w:color w:val="000000" w:themeColor="text1"/>
          <w:sz w:val="32"/>
          <w:szCs w:val="32"/>
          <w14:textFill>
            <w14:solidFill>
              <w14:schemeClr w14:val="tx1"/>
            </w14:solidFill>
          </w14:textFill>
        </w:rPr>
        <w:t>我局自用</w:t>
      </w:r>
      <w:r>
        <w:rPr>
          <w:rFonts w:hint="eastAsia" w:ascii="仿宋_GB2312" w:hAnsi="黑体" w:eastAsia="仿宋_GB2312"/>
          <w:color w:val="000000" w:themeColor="text1"/>
          <w:sz w:val="32"/>
          <w:szCs w:val="32"/>
          <w:lang w:val="en-US" w:eastAsia="zh-CN"/>
          <w14:textFill>
            <w14:solidFill>
              <w14:schemeClr w14:val="tx1"/>
            </w14:solidFill>
          </w14:textFill>
        </w:rPr>
        <w:t>597.46万</w:t>
      </w:r>
      <w:r>
        <w:rPr>
          <w:rFonts w:hint="eastAsia" w:ascii="仿宋_GB2312" w:hAnsi="黑体" w:eastAsia="仿宋_GB2312"/>
          <w:color w:val="000000" w:themeColor="text1"/>
          <w:sz w:val="32"/>
          <w:szCs w:val="32"/>
          <w14:textFill>
            <w14:solidFill>
              <w14:schemeClr w14:val="tx1"/>
            </w14:solidFill>
          </w14:textFill>
        </w:rPr>
        <w:t>元</w:t>
      </w:r>
      <w:r>
        <w:rPr>
          <w:rFonts w:hint="eastAsia" w:ascii="仿宋_GB2312" w:hAnsi="黑体" w:eastAsia="仿宋_GB2312"/>
          <w:color w:val="000000" w:themeColor="text1"/>
          <w:sz w:val="32"/>
          <w:szCs w:val="32"/>
          <w:lang w:eastAsia="zh-CN"/>
          <w14:textFill>
            <w14:solidFill>
              <w14:schemeClr w14:val="tx1"/>
            </w14:solidFill>
          </w14:textFill>
        </w:rPr>
        <w:t>。</w:t>
      </w:r>
      <w:r>
        <w:rPr>
          <w:rFonts w:hint="eastAsia" w:ascii="仿宋_GB2312" w:hAnsi="黑体" w:eastAsia="仿宋_GB2312"/>
          <w:color w:val="000000" w:themeColor="text1"/>
          <w:sz w:val="32"/>
          <w:szCs w:val="32"/>
          <w14:textFill>
            <w14:solidFill>
              <w14:schemeClr w14:val="tx1"/>
            </w14:solidFill>
          </w14:textFill>
        </w:rPr>
        <w:t>自用经费中，</w:t>
      </w:r>
      <w:r>
        <w:rPr>
          <w:rFonts w:hint="eastAsia" w:ascii="仿宋_GB2312" w:hAnsi="黑体" w:eastAsia="仿宋_GB2312"/>
          <w:color w:val="000000" w:themeColor="text1"/>
          <w:sz w:val="32"/>
          <w:szCs w:val="32"/>
          <w:lang w:eastAsia="zh-CN"/>
          <w14:textFill>
            <w14:solidFill>
              <w14:schemeClr w14:val="tx1"/>
            </w14:solidFill>
          </w14:textFill>
        </w:rPr>
        <w:t>支付集贸市场保安费用</w:t>
      </w:r>
      <w:r>
        <w:rPr>
          <w:rFonts w:hint="eastAsia" w:ascii="仿宋_GB2312" w:hAnsi="黑体" w:eastAsia="仿宋_GB2312"/>
          <w:color w:val="000000" w:themeColor="text1"/>
          <w:sz w:val="32"/>
          <w:szCs w:val="32"/>
          <w:lang w:val="en-US" w:eastAsia="zh-CN"/>
          <w14:textFill>
            <w14:solidFill>
              <w14:schemeClr w14:val="tx1"/>
            </w14:solidFill>
          </w14:textFill>
        </w:rPr>
        <w:t>234.25万元，支付集贸市场提升改造、奖补资金等185.93万元，支付审计费3万元，支付集贸市场制作展板、宣传等费用9.55万元，支付集贸市场计量器具检定服务费26.85万元，支付集贸市场农残检测试纸费65.57万元，支付智慧市场系统服务费59万元，支付市场从业人员核酸检测费13.32万元。</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（五）项目的组织及管理</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区集贸市场建设管理领导小组根据《关于申请集贸市场建设管理工作奖补经费使用的请示》及</w:t>
      </w:r>
      <w:r>
        <w:rPr>
          <w:rFonts w:hint="eastAsia" w:ascii="仿宋_GB2312" w:eastAsia="仿宋_GB2312"/>
          <w:sz w:val="32"/>
          <w:szCs w:val="32"/>
        </w:rPr>
        <w:t>对集贸市场建设管理工作奖补经费使用预算相关事宜进行研究的会议纪要，</w:t>
      </w:r>
      <w:r>
        <w:rPr>
          <w:rFonts w:hint="eastAsia" w:ascii="仿宋_GB2312" w:hAnsi="黑体" w:eastAsia="仿宋_GB2312"/>
          <w:sz w:val="32"/>
          <w:szCs w:val="32"/>
        </w:rPr>
        <w:t>开展市场周边配套设施改造升级和日常管理工作。</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1.统筹兼顾充分发挥各街道办事处在集贸市场建设管理工作中的属地综合统筹协调职能，调动集贸市场开办单位的积极性，引导全区集贸市场建设管理工作提档升级。</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2.突出重点效应原则。以“四个一批”（改造升级一批、取缔关闭一批、新建扩建一批、收购回购一批）为重点，形成示范效应。</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片区一体化监管原则。街道办事处充分结合片区地域特点，不但要做好市场内部设施的建设改造提升，同时要加强对市场周边区域公共服务配套服务设施的建设改造提升，实行市场内外建设管理一体化，做到统筹布局、统筹提升、统筹管理，最终综合达标，全面提高市场服务人民群众的整体水平。</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4.权责对等原则。奖补坚持“谁受益、谁负责”的原则，全面压实市场开办单位主体建设管理责任和义务，全面对照相关标准做好集贸市场的新建扩建、改造提升。各街道办事处</w:t>
      </w:r>
      <w:r>
        <w:rPr>
          <w:rFonts w:hint="eastAsia" w:ascii="仿宋_GB2312" w:hAnsi="仿宋_GB2312" w:eastAsia="仿宋_GB2312" w:cs="仿宋_GB2312"/>
          <w:sz w:val="32"/>
          <w:szCs w:val="32"/>
          <w:lang w:val="zh-CN"/>
        </w:rPr>
        <w:t>按照</w:t>
      </w:r>
      <w:r>
        <w:rPr>
          <w:rFonts w:hint="eastAsia" w:ascii="仿宋_GB2312" w:hAnsi="仿宋_GB2312" w:eastAsia="仿宋_GB2312" w:cs="仿宋_GB2312"/>
          <w:sz w:val="32"/>
          <w:szCs w:val="32"/>
        </w:rPr>
        <w:t>《昆明市盘龙区集贸市场2018-2020年提升整治三年行动方案》</w:t>
      </w:r>
      <w:r>
        <w:rPr>
          <w:rFonts w:hint="eastAsia" w:ascii="仿宋_GB2312" w:hAnsi="仿宋_GB2312" w:eastAsia="仿宋_GB2312" w:cs="仿宋_GB2312"/>
          <w:sz w:val="32"/>
          <w:szCs w:val="32"/>
          <w:lang w:val="zh-CN"/>
        </w:rPr>
        <w:t>及财政</w:t>
      </w:r>
      <w:r>
        <w:rPr>
          <w:rFonts w:hint="eastAsia" w:ascii="仿宋_GB2312" w:hAnsi="仿宋_GB2312" w:eastAsia="仿宋_GB2312" w:cs="仿宋_GB2312"/>
          <w:sz w:val="32"/>
          <w:szCs w:val="32"/>
        </w:rPr>
        <w:t>资金预算绩效管理要求，开展资金绩效自评工作，同时</w:t>
      </w:r>
      <w:r>
        <w:rPr>
          <w:rFonts w:hint="eastAsia" w:ascii="仿宋_GB2312" w:hAnsi="仿宋_GB2312" w:eastAsia="仿宋_GB2312" w:cs="仿宋_GB2312"/>
          <w:sz w:val="32"/>
          <w:szCs w:val="32"/>
          <w:lang w:val="zh-CN"/>
        </w:rPr>
        <w:t>加强资金管理使用工作，确保奖补资金使用的安全性和有效性。</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（六）项目绩效目标</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按照“改造升级一批、取缔关闭一批、新建扩建一批、收购回购一批”的总体思路和“谁主办、谁负责”的原则，采取“属地管理”的方式，按照“领导小组决策，属地街道组织实施,各职能局配合”的程序，按照统一规划、合理布局、先易后难、分步实施的原则，综合开展集贸市场提升整治工作，促进盘龙区集贸市场硬件提档、管理升级，成为布局合理、设施先进、功能完善、管理规范、环境优美、购物方便、食品安全、群众满意的购物场所，力争达到《昆明市标准化菜市场建设改造规范（2018年修订）》标准。</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二、绩效评价工作情况</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(一)评价的目的和依据</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楷体" w:eastAsia="仿宋_GB2312"/>
          <w:sz w:val="32"/>
          <w:szCs w:val="32"/>
          <w:lang w:eastAsia="zh-CN"/>
        </w:rPr>
      </w:pPr>
      <w:r>
        <w:rPr>
          <w:rFonts w:hint="eastAsia" w:ascii="仿宋_GB2312" w:hAnsi="楷体" w:eastAsia="仿宋_GB2312"/>
          <w:sz w:val="32"/>
          <w:szCs w:val="32"/>
        </w:rPr>
        <w:t>为深化预算管理改革，进一步加强监督管理，提高财政资金使用效益，根据《中华人民共和国预算法》、《财政支出绩效评价管理暂行办法》和国家有关财务规章制度，结合具体情况，按照盘龙区财政局的要求，进行此次绩效评价</w:t>
      </w:r>
      <w:r>
        <w:rPr>
          <w:rFonts w:hint="eastAsia" w:ascii="仿宋_GB2312" w:hAnsi="楷体" w:eastAsia="仿宋_GB2312"/>
          <w:sz w:val="32"/>
          <w:szCs w:val="32"/>
          <w:lang w:eastAsia="zh-CN"/>
        </w:rPr>
        <w:t>。</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1.贯彻落实《财政支出绩效评价管理暂行办法》文件精神，按照区级财政项目资金管理要求，设计合理的指标体系和评价标准，采取科学规范的评价方法，从投入、过程、产出、效益等四个方面进行科学、客观、公正的评价。</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2.通过绩效评价为合理分配资金、优化支出提供依据，也为逐步建立“预算编制有目标，预算执行有监控，预算完成有评价，评价结果有反馈，反馈结果有应用”的绩效评价机制提供决策依据。</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3.通过绩效评价总结前段工作的经验教训，为进行项目修正和进一步推进预算绩效管理，提高项目建设水平，发挥财政资金效益提供重要的参考依据，也为将来后续项目提供借鉴。</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hint="eastAsia" w:ascii="仿宋_GB2312" w:hAnsi="Arial" w:eastAsia="仿宋_GB2312" w:cs="仿宋_GB2312"/>
          <w:kern w:val="0"/>
          <w:sz w:val="32"/>
          <w:szCs w:val="32"/>
        </w:rPr>
        <w:t>依据1、《中华人民共和国预算法》、《盘龙区区级部门预算绩效自评管理暂行办法》。</w:t>
      </w:r>
      <w:r>
        <w:rPr>
          <w:rFonts w:ascii="仿宋_GB2312" w:hAnsi="Arial" w:eastAsia="仿宋_GB2312" w:cs="仿宋_GB2312"/>
          <w:kern w:val="0"/>
          <w:sz w:val="32"/>
          <w:szCs w:val="32"/>
        </w:rPr>
        <w:t>2</w:t>
      </w:r>
      <w:r>
        <w:rPr>
          <w:rFonts w:hint="eastAsia" w:ascii="仿宋_GB2312" w:hAnsi="Arial" w:eastAsia="仿宋_GB2312" w:cs="仿宋_GB2312"/>
          <w:kern w:val="0"/>
          <w:sz w:val="32"/>
          <w:szCs w:val="32"/>
        </w:rPr>
        <w:t>、其他相关资料制定绩效评价工作方案。</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(三)绩效评价原则、</w:t>
      </w:r>
      <w:r>
        <w:rPr>
          <w:rFonts w:hint="eastAsia" w:ascii="仿宋_GB2312" w:hAnsi="楷体" w:eastAsia="仿宋_GB2312"/>
          <w:sz w:val="32"/>
          <w:szCs w:val="32"/>
        </w:rPr>
        <w:t>评价指标体系、</w:t>
      </w:r>
      <w:r>
        <w:rPr>
          <w:rFonts w:hint="eastAsia" w:ascii="楷体" w:hAnsi="楷体" w:eastAsia="楷体" w:cs="楷体"/>
          <w:sz w:val="32"/>
          <w:szCs w:val="32"/>
        </w:rPr>
        <w:t>评价方法</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1、绩效评价原则</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color w:val="000000" w:themeColor="text1"/>
          <w:sz w:val="32"/>
          <w:szCs w:val="32"/>
          <w14:textFill>
            <w14:solidFill>
              <w14:schemeClr w14:val="tx1"/>
            </w14:solidFill>
          </w14:textFill>
        </w:rPr>
      </w:pPr>
      <w:r>
        <w:rPr>
          <w:rFonts w:hint="eastAsia" w:ascii="仿宋_GB2312" w:hAnsi="楷体" w:eastAsia="仿宋_GB2312"/>
          <w:color w:val="000000" w:themeColor="text1"/>
          <w:sz w:val="32"/>
          <w:szCs w:val="32"/>
          <w14:textFill>
            <w14:solidFill>
              <w14:schemeClr w14:val="tx1"/>
            </w14:solidFill>
          </w14:textFill>
        </w:rPr>
        <w:t>（1）科学规范原则。严格执行规定的程序，按照科学可行的要求，采用定量与定性分析相结合的方法，对资金使用的情况进行绩效评价。</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color w:val="000000" w:themeColor="text1"/>
          <w:sz w:val="32"/>
          <w:szCs w:val="32"/>
          <w14:textFill>
            <w14:solidFill>
              <w14:schemeClr w14:val="tx1"/>
            </w14:solidFill>
          </w14:textFill>
        </w:rPr>
      </w:pPr>
      <w:r>
        <w:rPr>
          <w:rFonts w:hint="eastAsia" w:ascii="仿宋_GB2312" w:hAnsi="楷体" w:eastAsia="仿宋_GB2312"/>
          <w:color w:val="000000" w:themeColor="text1"/>
          <w:sz w:val="32"/>
          <w:szCs w:val="32"/>
          <w14:textFill>
            <w14:solidFill>
              <w14:schemeClr w14:val="tx1"/>
            </w14:solidFill>
          </w14:textFill>
        </w:rPr>
        <w:t>（2）公正公开原则。本次绩效评价符合真实、客观、公正的要求，依法公开并接受监督。</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color w:val="000000" w:themeColor="text1"/>
          <w:sz w:val="32"/>
          <w:szCs w:val="32"/>
          <w14:textFill>
            <w14:solidFill>
              <w14:schemeClr w14:val="tx1"/>
            </w14:solidFill>
          </w14:textFill>
        </w:rPr>
      </w:pPr>
      <w:r>
        <w:rPr>
          <w:rFonts w:hint="eastAsia" w:ascii="仿宋_GB2312" w:hAnsi="楷体" w:eastAsia="仿宋_GB2312"/>
          <w:color w:val="000000" w:themeColor="text1"/>
          <w:sz w:val="32"/>
          <w:szCs w:val="32"/>
          <w14:textFill>
            <w14:solidFill>
              <w14:schemeClr w14:val="tx1"/>
            </w14:solidFill>
          </w14:textFill>
        </w:rPr>
        <w:t>（3）绩效相关原则。本次绩效评价与绩效目标有直接联系，能够恰当反映目标实现程度的绩效评价指标。</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color w:val="000000" w:themeColor="text1"/>
          <w:sz w:val="32"/>
          <w:szCs w:val="32"/>
          <w14:textFill>
            <w14:solidFill>
              <w14:schemeClr w14:val="tx1"/>
            </w14:solidFill>
          </w14:textFill>
        </w:rPr>
      </w:pPr>
      <w:r>
        <w:rPr>
          <w:rFonts w:hint="eastAsia" w:ascii="仿宋_GB2312" w:hAnsi="楷体" w:eastAsia="仿宋_GB2312"/>
          <w:color w:val="000000" w:themeColor="text1"/>
          <w:sz w:val="32"/>
          <w:szCs w:val="32"/>
          <w14:textFill>
            <w14:solidFill>
              <w14:schemeClr w14:val="tx1"/>
            </w14:solidFill>
          </w14:textFill>
        </w:rPr>
        <w:t>2、评价指标体系</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评价指标体系是开展绩效评价工作的核心。评价小组在参考财政支出绩效评价指标框架的基础上，结合实际，运用定量定性原则，确定了绩效评价指标。绩效评价框架包括投入、过程、产出、绩效等四个方面。</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3.绩效评价方法</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采用自评的方式，应用成本效益法</w:t>
      </w:r>
      <w:r>
        <w:rPr>
          <w:rFonts w:hint="eastAsia" w:ascii="仿宋_GB2312" w:hAnsi="楷体" w:eastAsia="仿宋_GB2312"/>
          <w:sz w:val="32"/>
          <w:szCs w:val="32"/>
          <w:lang w:eastAsia="zh-CN"/>
        </w:rPr>
        <w:t>、</w:t>
      </w:r>
      <w:r>
        <w:rPr>
          <w:rFonts w:hint="eastAsia" w:ascii="仿宋_GB2312" w:hAnsi="楷体" w:eastAsia="仿宋_GB2312"/>
          <w:sz w:val="32"/>
          <w:szCs w:val="32"/>
        </w:rPr>
        <w:t>公众评议法等方法进行评价。</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为使绩效评价工作顺利开展，由区市场监督管理局牵头，街道相关人员参与，市场监管局成立绩效评价工作组，负责整个评价工作的组织、协调和具体实施。具体过程如下：</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1、形成绩效评价实施方案。</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2、组织实施绩效评价。</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3、绩效分析评价。</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楷体" w:eastAsia="仿宋_GB2312"/>
          <w:sz w:val="32"/>
          <w:szCs w:val="32"/>
        </w:rPr>
      </w:pPr>
      <w:r>
        <w:rPr>
          <w:rFonts w:hint="eastAsia" w:ascii="仿宋_GB2312" w:hAnsi="楷体" w:eastAsia="仿宋_GB2312"/>
          <w:sz w:val="32"/>
          <w:szCs w:val="32"/>
        </w:rPr>
        <w:t>4、撰写评价报告。</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(五)绩效评价的局限性</w:t>
      </w:r>
      <w:r>
        <w:rPr>
          <w:rFonts w:hint="eastAsia" w:ascii="楷体_GB2312" w:hAnsi="楷体_GB2312" w:eastAsia="楷体_GB2312" w:cs="楷体_GB2312"/>
          <w:sz w:val="32"/>
          <w:szCs w:val="32"/>
        </w:rPr>
        <w:tab/>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不能完全体现资金运转使用情况。</w:t>
      </w:r>
    </w:p>
    <w:p>
      <w:pPr>
        <w:keepNext w:val="0"/>
        <w:keepLines w:val="0"/>
        <w:pageBreakBefore w:val="0"/>
        <w:widowControl w:val="0"/>
        <w:numPr>
          <w:ilvl w:val="0"/>
          <w:numId w:val="1"/>
        </w:numPr>
        <w:kinsoku/>
        <w:wordWrap/>
        <w:overflowPunct/>
        <w:topLinePunct/>
        <w:bidi w:val="0"/>
        <w:adjustRightInd w:val="0"/>
        <w:snapToGrid w:val="0"/>
        <w:spacing w:line="52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评价结论及绩效分析</w:t>
      </w:r>
    </w:p>
    <w:p>
      <w:pPr>
        <w:keepNext w:val="0"/>
        <w:keepLines w:val="0"/>
        <w:pageBreakBefore w:val="0"/>
        <w:widowControl w:val="0"/>
        <w:numPr>
          <w:ilvl w:val="0"/>
          <w:numId w:val="0"/>
        </w:numPr>
        <w:kinsoku/>
        <w:wordWrap/>
        <w:overflowPunct/>
        <w:topLinePunct/>
        <w:bidi w:val="0"/>
        <w:adjustRightInd w:val="0"/>
        <w:snapToGrid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（一）评价结论</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ascii="仿宋_GB2312" w:hAnsi="Arial" w:eastAsia="仿宋_GB2312" w:cs="仿宋_GB2312"/>
          <w:kern w:val="0"/>
          <w:sz w:val="32"/>
          <w:szCs w:val="32"/>
        </w:rPr>
        <w:t>1.</w:t>
      </w:r>
      <w:r>
        <w:rPr>
          <w:rFonts w:hint="eastAsia" w:ascii="仿宋_GB2312" w:hAnsi="Arial" w:eastAsia="仿宋_GB2312" w:cs="仿宋_GB2312"/>
          <w:kern w:val="0"/>
          <w:sz w:val="32"/>
          <w:szCs w:val="32"/>
        </w:rPr>
        <w:t>项目绩效评价综合得分为98分，评价等级为优。</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仿宋_GB2312" w:eastAsia="仿宋_GB2312" w:cs="仿宋_GB2312"/>
          <w:sz w:val="32"/>
          <w:szCs w:val="32"/>
        </w:rPr>
      </w:pPr>
      <w:r>
        <w:rPr>
          <w:rFonts w:ascii="仿宋_GB2312" w:hAnsi="Arial" w:eastAsia="仿宋_GB2312" w:cs="仿宋_GB2312"/>
          <w:kern w:val="0"/>
          <w:sz w:val="32"/>
          <w:szCs w:val="32"/>
        </w:rPr>
        <w:t>2.</w:t>
      </w:r>
      <w:r>
        <w:rPr>
          <w:rFonts w:hint="eastAsia" w:ascii="仿宋_GB2312" w:hAnsi="Arial" w:eastAsia="仿宋_GB2312" w:cs="仿宋_GB2312"/>
          <w:kern w:val="0"/>
          <w:sz w:val="32"/>
          <w:szCs w:val="32"/>
        </w:rPr>
        <w:t>主要绩效。完成了东华</w:t>
      </w:r>
      <w:r>
        <w:rPr>
          <w:rFonts w:hint="eastAsia" w:ascii="仿宋_GB2312" w:hAnsi="仿宋" w:eastAsia="仿宋_GB2312" w:cs="仿宋"/>
          <w:sz w:val="32"/>
          <w:szCs w:val="32"/>
        </w:rPr>
        <w:t>1个标准化农贸市场提升改造；</w:t>
      </w:r>
      <w:r>
        <w:rPr>
          <w:rFonts w:hint="eastAsia" w:ascii="仿宋_GB2312" w:hAnsi="Arial" w:eastAsia="仿宋_GB2312" w:cs="仿宋_GB2312"/>
          <w:kern w:val="0"/>
          <w:sz w:val="32"/>
          <w:szCs w:val="32"/>
        </w:rPr>
        <w:t>完成了</w:t>
      </w:r>
      <w:r>
        <w:rPr>
          <w:rFonts w:hint="eastAsia" w:ascii="仿宋_GB2312" w:hAnsi="仿宋" w:eastAsia="仿宋_GB2312" w:cs="仿宋"/>
          <w:sz w:val="32"/>
          <w:szCs w:val="32"/>
        </w:rPr>
        <w:t>白龙、松花坝、嘉和3个标准化智慧化农贸市场提升改造</w:t>
      </w:r>
      <w:r>
        <w:rPr>
          <w:rFonts w:hint="eastAsia" w:ascii="仿宋_GB2312" w:hAnsi="Arial" w:eastAsia="仿宋_GB2312" w:cs="仿宋_GB2312"/>
          <w:kern w:val="0"/>
          <w:sz w:val="32"/>
          <w:szCs w:val="32"/>
        </w:rPr>
        <w:t>；</w:t>
      </w:r>
      <w:r>
        <w:rPr>
          <w:rFonts w:hint="eastAsia" w:ascii="仿宋_GB2312" w:hAnsi="仿宋" w:eastAsia="仿宋_GB2312" w:cs="仿宋"/>
          <w:sz w:val="32"/>
          <w:szCs w:val="32"/>
        </w:rPr>
        <w:t>完成了</w:t>
      </w:r>
      <w:r>
        <w:rPr>
          <w:rFonts w:hint="eastAsia" w:eastAsia="仿宋_GB2312"/>
          <w:color w:val="000000"/>
          <w:sz w:val="32"/>
          <w:szCs w:val="32"/>
        </w:rPr>
        <w:t>瀚林、</w:t>
      </w:r>
      <w:r>
        <w:rPr>
          <w:rFonts w:hint="eastAsia" w:ascii="仿宋_GB2312" w:hAnsi="仿宋" w:eastAsia="仿宋_GB2312" w:cs="仿宋"/>
          <w:sz w:val="32"/>
          <w:szCs w:val="32"/>
        </w:rPr>
        <w:t>松花坝、白龙、嘉和4个农贸市场鲜肉摊位升级改造。</w:t>
      </w:r>
      <w:r>
        <w:rPr>
          <w:rFonts w:hint="eastAsia" w:ascii="仿宋_GB2312" w:hAnsi="仿宋" w:eastAsia="仿宋_GB2312"/>
          <w:sz w:val="32"/>
          <w:szCs w:val="32"/>
        </w:rPr>
        <w:t>爱国卫生“7个专项行动”开展以来，</w:t>
      </w:r>
      <w:r>
        <w:rPr>
          <w:rFonts w:hint="eastAsia" w:ascii="仿宋_GB2312" w:hAnsi="仿宋_GB2312" w:eastAsia="仿宋_GB2312" w:cs="仿宋_GB2312"/>
          <w:sz w:val="32"/>
          <w:szCs w:val="32"/>
        </w:rPr>
        <w:t>通过开展“智慧化农贸市场”活动，全区已建成智慧化农贸市场6家，多次在省级农贸市场评选中名列前茅</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《法制与社会》</w:t>
      </w:r>
      <w:r>
        <w:rPr>
          <w:rFonts w:hint="eastAsia" w:ascii="仿宋_GB2312" w:eastAsia="仿宋_GB2312" w:cs="仿宋_GB2312"/>
          <w:sz w:val="32"/>
          <w:szCs w:val="32"/>
        </w:rPr>
        <w:t>2022年第2期</w:t>
      </w:r>
      <w:r>
        <w:rPr>
          <w:rFonts w:hint="eastAsia" w:ascii="仿宋_GB2312" w:hAnsi="仿宋_GB2312" w:eastAsia="仿宋_GB2312" w:cs="仿宋_GB2312"/>
          <w:sz w:val="32"/>
          <w:szCs w:val="32"/>
        </w:rPr>
        <w:t>以“昆明菜市的缤纷烟火、菜市场智慧化体验”等6篇为题进行专题报道</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2022年5月25日在省委办公厅省政府办公厅《关于表扬2021年云南省巩固爱国卫生“7个专项行动”暨国家卫生县城（城市）达标考核工作突出县市区的通报》中，对工作突出的盘龙区予以通报表扬。2022年11月28日，昆明电视台春城民生频道以“菜品丰富价格稳定、市场方做足保障”为题对东华新迎农贸市场主动履行市场主体责任，落实疫情防控各项措施，强化市场日常管理，配合职能部门严打哄抬物价，保障商品充足，满足日常供应等做法经验进行了报道。</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hint="eastAsia" w:ascii="仿宋_GB2312" w:hAnsi="Arial" w:eastAsia="仿宋_GB2312" w:cs="仿宋_GB2312"/>
          <w:kern w:val="0"/>
          <w:sz w:val="32"/>
          <w:szCs w:val="32"/>
        </w:rPr>
        <w:t>通过集贸市场“四个一批”提升整治工作，通过政府财政资金投入，使</w:t>
      </w:r>
      <w:r>
        <w:rPr>
          <w:rFonts w:ascii="仿宋_GB2312" w:hAnsi="Arial" w:eastAsia="仿宋_GB2312" w:cs="仿宋_GB2312"/>
          <w:kern w:val="0"/>
          <w:sz w:val="32"/>
          <w:szCs w:val="32"/>
        </w:rPr>
        <w:t>20</w:t>
      </w:r>
      <w:r>
        <w:rPr>
          <w:rFonts w:hint="eastAsia" w:ascii="仿宋_GB2312" w:hAnsi="Arial" w:eastAsia="仿宋_GB2312" w:cs="仿宋_GB2312"/>
          <w:kern w:val="0"/>
          <w:sz w:val="32"/>
          <w:szCs w:val="32"/>
        </w:rPr>
        <w:t>22年改造的市场，软、硬件水平得到全面提升。改善了人居环境，使改造后的市场成为秩序规范、环境优美、食品安全、群众满意的购物场所。提升了群众的幸福感和满意度。</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（二）具体绩效分析</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ascii="仿宋_GB2312" w:hAnsi="Arial" w:eastAsia="仿宋_GB2312" w:cs="仿宋_GB2312"/>
          <w:kern w:val="0"/>
          <w:sz w:val="32"/>
          <w:szCs w:val="32"/>
        </w:rPr>
        <w:t>1.</w:t>
      </w:r>
      <w:r>
        <w:rPr>
          <w:rFonts w:hint="eastAsia" w:ascii="仿宋_GB2312" w:hAnsi="Arial" w:eastAsia="仿宋_GB2312" w:cs="仿宋_GB2312"/>
          <w:kern w:val="0"/>
          <w:sz w:val="32"/>
          <w:szCs w:val="32"/>
        </w:rPr>
        <w:t>项目决策得分</w:t>
      </w:r>
      <w:r>
        <w:rPr>
          <w:rFonts w:ascii="仿宋_GB2312" w:hAnsi="Arial" w:eastAsia="仿宋_GB2312" w:cs="仿宋_GB2312"/>
          <w:kern w:val="0"/>
          <w:sz w:val="32"/>
          <w:szCs w:val="32"/>
        </w:rPr>
        <w:t>20</w:t>
      </w:r>
      <w:r>
        <w:rPr>
          <w:rFonts w:hint="eastAsia" w:ascii="仿宋_GB2312" w:hAnsi="Arial" w:eastAsia="仿宋_GB2312" w:cs="仿宋_GB2312"/>
          <w:kern w:val="0"/>
          <w:sz w:val="32"/>
          <w:szCs w:val="32"/>
        </w:rPr>
        <w:t>分。项目立项</w:t>
      </w:r>
      <w:r>
        <w:rPr>
          <w:rFonts w:ascii="仿宋_GB2312" w:hAnsi="Arial" w:eastAsia="仿宋_GB2312" w:cs="仿宋_GB2312"/>
          <w:kern w:val="0"/>
          <w:sz w:val="32"/>
          <w:szCs w:val="32"/>
        </w:rPr>
        <w:t>8</w:t>
      </w:r>
      <w:r>
        <w:rPr>
          <w:rFonts w:hint="eastAsia" w:ascii="仿宋_GB2312" w:hAnsi="Arial" w:eastAsia="仿宋_GB2312" w:cs="仿宋_GB2312"/>
          <w:kern w:val="0"/>
          <w:sz w:val="32"/>
          <w:szCs w:val="32"/>
        </w:rPr>
        <w:t>分，项目目标</w:t>
      </w:r>
      <w:r>
        <w:rPr>
          <w:rFonts w:ascii="仿宋_GB2312" w:hAnsi="Arial" w:eastAsia="仿宋_GB2312" w:cs="仿宋_GB2312"/>
          <w:kern w:val="0"/>
          <w:sz w:val="32"/>
          <w:szCs w:val="32"/>
        </w:rPr>
        <w:t>12</w:t>
      </w:r>
      <w:r>
        <w:rPr>
          <w:rFonts w:hint="eastAsia" w:ascii="仿宋_GB2312" w:hAnsi="Arial" w:eastAsia="仿宋_GB2312" w:cs="仿宋_GB2312"/>
          <w:kern w:val="0"/>
          <w:sz w:val="32"/>
          <w:szCs w:val="32"/>
        </w:rPr>
        <w:t>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hint="eastAsia" w:ascii="仿宋_GB2312" w:hAnsi="Arial" w:eastAsia="仿宋_GB2312" w:cs="仿宋_GB2312"/>
          <w:kern w:val="0"/>
          <w:sz w:val="32"/>
          <w:szCs w:val="32"/>
        </w:rPr>
        <w:t>部门设立有《昆明市盘龙区集贸市场</w:t>
      </w:r>
      <w:r>
        <w:rPr>
          <w:rFonts w:ascii="仿宋_GB2312" w:hAnsi="Arial" w:eastAsia="仿宋_GB2312" w:cs="仿宋_GB2312"/>
          <w:kern w:val="0"/>
          <w:sz w:val="32"/>
          <w:szCs w:val="32"/>
        </w:rPr>
        <w:t>2018-2020</w:t>
      </w:r>
      <w:r>
        <w:rPr>
          <w:rFonts w:hint="eastAsia" w:ascii="仿宋_GB2312" w:hAnsi="Arial" w:eastAsia="仿宋_GB2312" w:cs="仿宋_GB2312"/>
          <w:kern w:val="0"/>
          <w:sz w:val="32"/>
          <w:szCs w:val="32"/>
        </w:rPr>
        <w:t>年提升整治三年行动方案》，依据盘政办通〔</w:t>
      </w:r>
      <w:r>
        <w:rPr>
          <w:rFonts w:ascii="仿宋_GB2312" w:hAnsi="Arial" w:eastAsia="仿宋_GB2312" w:cs="仿宋_GB2312"/>
          <w:kern w:val="0"/>
          <w:sz w:val="32"/>
          <w:szCs w:val="32"/>
        </w:rPr>
        <w:t>2019</w:t>
      </w:r>
      <w:r>
        <w:rPr>
          <w:rFonts w:hint="eastAsia" w:ascii="仿宋_GB2312" w:hAnsi="Arial" w:eastAsia="仿宋_GB2312" w:cs="仿宋_GB2312"/>
          <w:kern w:val="0"/>
          <w:sz w:val="32"/>
          <w:szCs w:val="32"/>
        </w:rPr>
        <w:t>〕</w:t>
      </w:r>
      <w:r>
        <w:rPr>
          <w:rFonts w:ascii="仿宋_GB2312" w:hAnsi="Arial" w:eastAsia="仿宋_GB2312" w:cs="仿宋_GB2312"/>
          <w:kern w:val="0"/>
          <w:sz w:val="32"/>
          <w:szCs w:val="32"/>
        </w:rPr>
        <w:t>45</w:t>
      </w:r>
      <w:r>
        <w:rPr>
          <w:rFonts w:hint="eastAsia" w:ascii="仿宋_GB2312" w:hAnsi="Arial" w:eastAsia="仿宋_GB2312" w:cs="仿宋_GB2312"/>
          <w:kern w:val="0"/>
          <w:sz w:val="32"/>
          <w:szCs w:val="32"/>
        </w:rPr>
        <w:t>号关于印发《</w:t>
      </w:r>
      <w:r>
        <w:rPr>
          <w:rFonts w:ascii="仿宋_GB2312" w:hAnsi="Arial" w:eastAsia="仿宋_GB2312" w:cs="仿宋_GB2312"/>
          <w:kern w:val="0"/>
          <w:sz w:val="32"/>
          <w:szCs w:val="32"/>
        </w:rPr>
        <w:t>2019</w:t>
      </w:r>
      <w:r>
        <w:rPr>
          <w:rFonts w:hint="eastAsia" w:ascii="仿宋_GB2312" w:hAnsi="Arial" w:eastAsia="仿宋_GB2312" w:cs="仿宋_GB2312"/>
          <w:kern w:val="0"/>
          <w:sz w:val="32"/>
          <w:szCs w:val="32"/>
        </w:rPr>
        <w:t>年集贸市场提升整治工作实施方案》的通知，盘政办通〔</w:t>
      </w:r>
      <w:r>
        <w:rPr>
          <w:rFonts w:ascii="仿宋_GB2312" w:hAnsi="Arial" w:eastAsia="仿宋_GB2312" w:cs="仿宋_GB2312"/>
          <w:kern w:val="0"/>
          <w:sz w:val="32"/>
          <w:szCs w:val="32"/>
        </w:rPr>
        <w:t>2019</w:t>
      </w:r>
      <w:r>
        <w:rPr>
          <w:rFonts w:hint="eastAsia" w:ascii="仿宋_GB2312" w:hAnsi="Arial" w:eastAsia="仿宋_GB2312" w:cs="仿宋_GB2312"/>
          <w:kern w:val="0"/>
          <w:sz w:val="32"/>
          <w:szCs w:val="32"/>
        </w:rPr>
        <w:t>〕</w:t>
      </w:r>
      <w:r>
        <w:rPr>
          <w:rFonts w:ascii="仿宋_GB2312" w:hAnsi="Arial" w:eastAsia="仿宋_GB2312" w:cs="仿宋_GB2312"/>
          <w:kern w:val="0"/>
          <w:sz w:val="32"/>
          <w:szCs w:val="32"/>
        </w:rPr>
        <w:t>101</w:t>
      </w:r>
      <w:r>
        <w:rPr>
          <w:rFonts w:hint="eastAsia" w:ascii="仿宋_GB2312" w:hAnsi="Arial" w:eastAsia="仿宋_GB2312" w:cs="仿宋_GB2312"/>
          <w:kern w:val="0"/>
          <w:sz w:val="32"/>
          <w:szCs w:val="32"/>
        </w:rPr>
        <w:t>号关于印发《昆明市盘龙区集贸市场建设管理工作奖补办法（试行）》的通知，项目设立与部门中长期规划相适应，立项依据充分，项目目标明确、合理。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ascii="仿宋_GB2312" w:hAnsi="Arial" w:eastAsia="仿宋_GB2312" w:cs="仿宋_GB2312"/>
          <w:kern w:val="0"/>
          <w:sz w:val="32"/>
          <w:szCs w:val="32"/>
        </w:rPr>
        <w:t>2.</w:t>
      </w:r>
      <w:r>
        <w:rPr>
          <w:rFonts w:hint="eastAsia" w:ascii="仿宋_GB2312" w:hAnsi="Arial" w:eastAsia="仿宋_GB2312" w:cs="仿宋_GB2312"/>
          <w:kern w:val="0"/>
          <w:sz w:val="32"/>
          <w:szCs w:val="32"/>
        </w:rPr>
        <w:t>项目管理20分。投入管理4分、财务管理</w:t>
      </w:r>
      <w:r>
        <w:rPr>
          <w:rFonts w:ascii="仿宋_GB2312" w:hAnsi="Arial" w:eastAsia="仿宋_GB2312" w:cs="仿宋_GB2312"/>
          <w:kern w:val="0"/>
          <w:sz w:val="32"/>
          <w:szCs w:val="32"/>
        </w:rPr>
        <w:t>6</w:t>
      </w:r>
      <w:r>
        <w:rPr>
          <w:rFonts w:hint="eastAsia" w:ascii="仿宋_GB2312" w:hAnsi="Arial" w:eastAsia="仿宋_GB2312" w:cs="仿宋_GB2312"/>
          <w:kern w:val="0"/>
          <w:sz w:val="32"/>
          <w:szCs w:val="32"/>
        </w:rPr>
        <w:t>分、项目实施</w:t>
      </w:r>
      <w:r>
        <w:rPr>
          <w:rFonts w:ascii="仿宋_GB2312" w:hAnsi="Arial" w:eastAsia="仿宋_GB2312" w:cs="仿宋_GB2312"/>
          <w:kern w:val="0"/>
          <w:sz w:val="32"/>
          <w:szCs w:val="32"/>
        </w:rPr>
        <w:t>10</w:t>
      </w:r>
      <w:r>
        <w:rPr>
          <w:rFonts w:hint="eastAsia" w:ascii="仿宋_GB2312" w:hAnsi="Arial" w:eastAsia="仿宋_GB2312" w:cs="仿宋_GB2312"/>
          <w:kern w:val="0"/>
          <w:sz w:val="32"/>
          <w:szCs w:val="32"/>
        </w:rPr>
        <w:t>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hint="eastAsia" w:ascii="仿宋_GB2312" w:hAnsi="黑体" w:eastAsia="仿宋_GB2312"/>
          <w:sz w:val="32"/>
          <w:szCs w:val="32"/>
        </w:rPr>
        <w:t>2022年我局经费支出</w:t>
      </w:r>
      <w:r>
        <w:rPr>
          <w:rFonts w:hint="eastAsia" w:ascii="仿宋_GB2312" w:eastAsia="仿宋_GB2312"/>
          <w:sz w:val="32"/>
          <w:szCs w:val="32"/>
          <w:lang w:val="en-US" w:eastAsia="zh-CN"/>
        </w:rPr>
        <w:t>810.56万</w:t>
      </w:r>
      <w:r>
        <w:rPr>
          <w:rFonts w:hint="eastAsia" w:ascii="仿宋_GB2312" w:hAnsi="黑体" w:eastAsia="仿宋_GB2312"/>
          <w:sz w:val="32"/>
          <w:szCs w:val="32"/>
        </w:rPr>
        <w:t>元，其中</w:t>
      </w:r>
      <w:r>
        <w:rPr>
          <w:rFonts w:hint="eastAsia" w:ascii="仿宋_GB2312" w:hAnsi="黑体" w:eastAsia="仿宋_GB2312"/>
          <w:sz w:val="32"/>
          <w:szCs w:val="32"/>
          <w:lang w:eastAsia="zh-CN"/>
        </w:rPr>
        <w:t>划拨街道</w:t>
      </w:r>
      <w:r>
        <w:rPr>
          <w:rFonts w:hint="eastAsia" w:ascii="仿宋_GB2312" w:hAnsi="黑体" w:eastAsia="仿宋_GB2312"/>
          <w:sz w:val="32"/>
          <w:szCs w:val="32"/>
          <w:lang w:val="en-US" w:eastAsia="zh-CN"/>
        </w:rPr>
        <w:t>213.10万元，</w:t>
      </w:r>
      <w:r>
        <w:rPr>
          <w:rFonts w:hint="eastAsia" w:ascii="仿宋_GB2312" w:hAnsi="黑体" w:eastAsia="仿宋_GB2312"/>
          <w:color w:val="000000" w:themeColor="text1"/>
          <w:sz w:val="32"/>
          <w:szCs w:val="32"/>
          <w14:textFill>
            <w14:solidFill>
              <w14:schemeClr w14:val="tx1"/>
            </w14:solidFill>
          </w14:textFill>
        </w:rPr>
        <w:t>自用</w:t>
      </w:r>
      <w:r>
        <w:rPr>
          <w:rFonts w:hint="eastAsia" w:ascii="仿宋_GB2312" w:hAnsi="黑体" w:eastAsia="仿宋_GB2312"/>
          <w:color w:val="000000" w:themeColor="text1"/>
          <w:sz w:val="32"/>
          <w:szCs w:val="32"/>
          <w:lang w:val="en-US" w:eastAsia="zh-CN"/>
          <w14:textFill>
            <w14:solidFill>
              <w14:schemeClr w14:val="tx1"/>
            </w14:solidFill>
          </w14:textFill>
        </w:rPr>
        <w:t>597.46万</w:t>
      </w:r>
      <w:r>
        <w:rPr>
          <w:rFonts w:hint="eastAsia" w:ascii="仿宋_GB2312" w:hAnsi="黑体" w:eastAsia="仿宋_GB2312"/>
          <w:color w:val="000000" w:themeColor="text1"/>
          <w:sz w:val="32"/>
          <w:szCs w:val="32"/>
          <w14:textFill>
            <w14:solidFill>
              <w14:schemeClr w14:val="tx1"/>
            </w14:solidFill>
          </w14:textFill>
        </w:rPr>
        <w:t>元</w:t>
      </w:r>
      <w:r>
        <w:rPr>
          <w:rFonts w:hint="eastAsia" w:ascii="仿宋_GB2312" w:hAnsi="黑体" w:eastAsia="仿宋_GB2312"/>
          <w:color w:val="000000" w:themeColor="text1"/>
          <w:sz w:val="32"/>
          <w:szCs w:val="32"/>
          <w:lang w:eastAsia="zh-CN"/>
          <w14:textFill>
            <w14:solidFill>
              <w14:schemeClr w14:val="tx1"/>
            </w14:solidFill>
          </w14:textFill>
        </w:rPr>
        <w:t>。经费支出</w:t>
      </w:r>
      <w:r>
        <w:rPr>
          <w:rFonts w:hint="eastAsia" w:ascii="仿宋_GB2312" w:hAnsi="Arial" w:eastAsia="仿宋_GB2312" w:cs="仿宋_GB2312"/>
          <w:kern w:val="0"/>
          <w:sz w:val="32"/>
          <w:szCs w:val="32"/>
        </w:rPr>
        <w:t>严格遵守《盘龙区市场监管局财务制度》、报销程序、经费管理办法。预算编制合理。项目实施依据《昆明市盘龙区集贸市场建设管理工作奖补办法（试行）》的通知，按照程序拨付街道相关经费，涉及政府采购的，严格按照政府采购程序办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ascii="仿宋_GB2312" w:hAnsi="Arial" w:eastAsia="仿宋_GB2312" w:cs="仿宋_GB2312"/>
          <w:kern w:val="0"/>
          <w:sz w:val="32"/>
          <w:szCs w:val="32"/>
        </w:rPr>
        <w:t>3.</w:t>
      </w:r>
      <w:r>
        <w:rPr>
          <w:rFonts w:hint="eastAsia" w:ascii="仿宋_GB2312" w:hAnsi="Arial" w:eastAsia="仿宋_GB2312" w:cs="仿宋_GB2312"/>
          <w:kern w:val="0"/>
          <w:sz w:val="32"/>
          <w:szCs w:val="32"/>
        </w:rPr>
        <w:t>项目绩效</w:t>
      </w:r>
      <w:r>
        <w:rPr>
          <w:rFonts w:ascii="仿宋_GB2312" w:hAnsi="Arial" w:eastAsia="仿宋_GB2312" w:cs="仿宋_GB2312"/>
          <w:kern w:val="0"/>
          <w:sz w:val="32"/>
          <w:szCs w:val="32"/>
        </w:rPr>
        <w:t>60</w:t>
      </w:r>
      <w:r>
        <w:rPr>
          <w:rFonts w:hint="eastAsia" w:ascii="仿宋_GB2312" w:hAnsi="Arial" w:eastAsia="仿宋_GB2312" w:cs="仿宋_GB2312"/>
          <w:kern w:val="0"/>
          <w:sz w:val="32"/>
          <w:szCs w:val="32"/>
        </w:rPr>
        <w:t>分：项目产出30分、项目效益</w:t>
      </w:r>
      <w:r>
        <w:rPr>
          <w:rFonts w:ascii="仿宋_GB2312" w:hAnsi="Arial" w:eastAsia="仿宋_GB2312" w:cs="仿宋_GB2312"/>
          <w:kern w:val="0"/>
          <w:sz w:val="32"/>
          <w:szCs w:val="32"/>
        </w:rPr>
        <w:t>30</w:t>
      </w:r>
      <w:r>
        <w:rPr>
          <w:rFonts w:hint="eastAsia" w:ascii="仿宋_GB2312" w:hAnsi="Arial" w:eastAsia="仿宋_GB2312" w:cs="仿宋_GB2312"/>
          <w:kern w:val="0"/>
          <w:sz w:val="32"/>
          <w:szCs w:val="32"/>
        </w:rPr>
        <w:t>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hint="eastAsia" w:ascii="仿宋_GB2312" w:hAnsi="Arial" w:eastAsia="仿宋_GB2312" w:cs="仿宋_GB2312"/>
          <w:kern w:val="0"/>
          <w:sz w:val="32"/>
          <w:szCs w:val="32"/>
        </w:rPr>
        <w:t>完成了东华</w:t>
      </w:r>
      <w:r>
        <w:rPr>
          <w:rFonts w:hint="eastAsia" w:ascii="仿宋_GB2312" w:hAnsi="仿宋" w:eastAsia="仿宋_GB2312" w:cs="仿宋"/>
          <w:sz w:val="32"/>
          <w:szCs w:val="32"/>
        </w:rPr>
        <w:t>1个标准化农贸市场提升改造；</w:t>
      </w:r>
      <w:r>
        <w:rPr>
          <w:rFonts w:hint="eastAsia" w:ascii="仿宋_GB2312" w:hAnsi="Arial" w:eastAsia="仿宋_GB2312" w:cs="仿宋_GB2312"/>
          <w:kern w:val="0"/>
          <w:sz w:val="32"/>
          <w:szCs w:val="32"/>
        </w:rPr>
        <w:t>完成了</w:t>
      </w:r>
      <w:r>
        <w:rPr>
          <w:rFonts w:hint="eastAsia" w:ascii="仿宋_GB2312" w:hAnsi="仿宋" w:eastAsia="仿宋_GB2312" w:cs="仿宋"/>
          <w:sz w:val="32"/>
          <w:szCs w:val="32"/>
        </w:rPr>
        <w:t>白龙、松花坝、嘉和3个标准化智慧化农贸市场提升改造</w:t>
      </w:r>
      <w:r>
        <w:rPr>
          <w:rFonts w:hint="eastAsia" w:ascii="仿宋_GB2312" w:hAnsi="Arial" w:eastAsia="仿宋_GB2312" w:cs="仿宋_GB2312"/>
          <w:kern w:val="0"/>
          <w:sz w:val="32"/>
          <w:szCs w:val="32"/>
        </w:rPr>
        <w:t>；</w:t>
      </w:r>
      <w:r>
        <w:rPr>
          <w:rFonts w:hint="eastAsia" w:ascii="仿宋_GB2312" w:hAnsi="仿宋" w:eastAsia="仿宋_GB2312" w:cs="仿宋"/>
          <w:sz w:val="32"/>
          <w:szCs w:val="32"/>
        </w:rPr>
        <w:t>完成了</w:t>
      </w:r>
      <w:r>
        <w:rPr>
          <w:rFonts w:hint="eastAsia" w:eastAsia="仿宋_GB2312"/>
          <w:color w:val="000000"/>
          <w:sz w:val="32"/>
          <w:szCs w:val="32"/>
        </w:rPr>
        <w:t>瀚林、</w:t>
      </w:r>
      <w:r>
        <w:rPr>
          <w:rFonts w:hint="eastAsia" w:ascii="仿宋_GB2312" w:hAnsi="仿宋" w:eastAsia="仿宋_GB2312" w:cs="仿宋"/>
          <w:sz w:val="32"/>
          <w:szCs w:val="32"/>
        </w:rPr>
        <w:t>松花坝、白龙、嘉和4个农贸市场鲜肉摊位升级改造。</w:t>
      </w:r>
      <w:r>
        <w:rPr>
          <w:rFonts w:hint="eastAsia" w:ascii="仿宋_GB2312" w:hAnsi="仿宋" w:eastAsia="仿宋_GB2312"/>
          <w:sz w:val="32"/>
          <w:szCs w:val="32"/>
        </w:rPr>
        <w:t>爱国卫生“7个专项行动”开展以来，</w:t>
      </w:r>
      <w:r>
        <w:rPr>
          <w:rFonts w:hint="eastAsia" w:ascii="仿宋_GB2312" w:hAnsi="仿宋_GB2312" w:eastAsia="仿宋_GB2312" w:cs="仿宋_GB2312"/>
          <w:sz w:val="32"/>
          <w:szCs w:val="32"/>
        </w:rPr>
        <w:t>通过开展“智慧化农贸市场”活动，全区已建成智慧化农贸市场6家，多次在省级农贸市场评选中名列前茅</w:t>
      </w:r>
      <w:r>
        <w:rPr>
          <w:rFonts w:hint="eastAsia" w:ascii="仿宋_GB2312" w:hAnsi="仿宋_GB2312" w:eastAsia="仿宋_GB2312" w:cs="仿宋_GB2312"/>
          <w:sz w:val="32"/>
          <w:szCs w:val="32"/>
          <w:lang w:eastAsia="zh-CN"/>
        </w:rPr>
        <w:t>。</w:t>
      </w:r>
      <w:r>
        <w:rPr>
          <w:rFonts w:hint="eastAsia" w:ascii="仿宋_GB2312" w:hAnsi="Arial" w:eastAsia="仿宋_GB2312" w:cs="仿宋_GB2312"/>
          <w:kern w:val="0"/>
          <w:sz w:val="32"/>
          <w:szCs w:val="32"/>
        </w:rPr>
        <w:t>通过集贸市场“四个一批”提升整治工作，通过政府财政资金投入，使</w:t>
      </w:r>
      <w:r>
        <w:rPr>
          <w:rFonts w:ascii="仿宋_GB2312" w:hAnsi="Arial" w:eastAsia="仿宋_GB2312" w:cs="仿宋_GB2312"/>
          <w:kern w:val="0"/>
          <w:sz w:val="32"/>
          <w:szCs w:val="32"/>
        </w:rPr>
        <w:t>20</w:t>
      </w:r>
      <w:r>
        <w:rPr>
          <w:rFonts w:hint="eastAsia" w:ascii="仿宋_GB2312" w:hAnsi="Arial" w:eastAsia="仿宋_GB2312" w:cs="仿宋_GB2312"/>
          <w:kern w:val="0"/>
          <w:sz w:val="32"/>
          <w:szCs w:val="32"/>
        </w:rPr>
        <w:t>22年改造的市场，软、硬件水平得到全面提升。改善了人居环境，使改造后的市场成为秩序规范、环境优美、食品安全、群众满意的购物场所。提升了群众的幸福感和满意度。虽然取得了一定成绩，但距离上级党委政府的要求和人民群众的期望还存在差距，针对项目效益扣2分。</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四、项目主要经验及做法、存在的问题和建议</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按照“改造升级一批、取缔关闭一批、新建扩建一批、收购回购一批”的总体思路和“谁主办、谁负责”的原则，采取“属地管理”的方式，按照“领导小组决策，属地街道组织实施,各职能局配合”的程序，按照统一规划、合理布局、先易后难、分步实施的原则，综合开展集贸市场提升整治工作，促进盘龙区集贸市场硬件提档、管理升级，成为布局合理、设施先进、功能完善、管理规范、环境优美、购物方便、食品安全、群众满意的购物场所，力争达到《昆明市标准化菜市场建设改造规范（2018年修订）》标准。</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eastAsia="仿宋_GB2312"/>
          <w:color w:val="000000"/>
          <w:sz w:val="32"/>
          <w:szCs w:val="32"/>
        </w:rPr>
      </w:pPr>
      <w:r>
        <w:rPr>
          <w:rFonts w:hint="eastAsia" w:ascii="仿宋_GB2312" w:eastAsia="仿宋_GB2312"/>
          <w:color w:val="000000"/>
          <w:sz w:val="32"/>
          <w:szCs w:val="32"/>
        </w:rPr>
        <w:t>农贸市场关系着千家万户的“菜篮子”，也是体现城市文明形象的一个重要窗口。围绕“整洁、有序、规范、标准”的目标，盘龙区市场监督管理局结合“管集市、净餐馆”专项行动的推进，加快传统农贸市场改造提升工程建设，在打造“标准化农贸市场”基础上，开展了创建“智慧化农贸市场”活动。截至目前，已初步实现建成区8个街道22个农贸市场标准化升级改造，建成瀚林、金康园、好世界、白龙、嘉和、松花坝等6个标准化智慧化农贸市场。</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eastAsia="仿宋_GB2312"/>
          <w:color w:val="000000"/>
          <w:sz w:val="32"/>
          <w:szCs w:val="32"/>
        </w:rPr>
      </w:pPr>
      <w:r>
        <w:rPr>
          <w:rFonts w:hint="eastAsia" w:ascii="仿宋_GB2312" w:eastAsia="仿宋_GB2312"/>
          <w:color w:val="000000"/>
          <w:sz w:val="32"/>
          <w:szCs w:val="32"/>
        </w:rPr>
        <w:t>对照“标准化农贸市场”建设活动标准，盘龙局借鉴先进地区农贸市场管理经验，引入农贸市场智慧化管理平台，为商户配置了智能溯源电子秤和商户前端展示屏，可以实时显示公示商品、价格、金额，展示商户营业执照、健康证、索证索票、收款码等，商户相关信息和经营信息一目了然，杜绝了短斤少两、乱贴乱挂等现象。每笔交易还可以打印溯源小票，交易信息自动上传市场管理后台，便于对交易数据进行查询、统计、分析，为市场管理方提供决策依据。</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autoSpaceDE/>
        <w:autoSpaceDN/>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资金的使用效率有待进一步提高，主要原因为资金拨付市场监管局账户后，</w:t>
      </w:r>
      <w:r>
        <w:rPr>
          <w:rFonts w:hint="eastAsia" w:ascii="仿宋_GB2312" w:eastAsia="仿宋_GB2312" w:cs="仿宋_GB2312"/>
          <w:sz w:val="32"/>
          <w:szCs w:val="32"/>
        </w:rPr>
        <w:t>区集贸市场建设管理工作领导小组</w:t>
      </w:r>
      <w:r>
        <w:rPr>
          <w:rFonts w:hint="eastAsia" w:ascii="仿宋_GB2312" w:eastAsia="仿宋_GB2312"/>
          <w:sz w:val="32"/>
          <w:szCs w:val="32"/>
        </w:rPr>
        <w:t>对集贸市场建设管理工作奖补经费使用预算相关事宜进行研究较慢</w:t>
      </w:r>
      <w:r>
        <w:rPr>
          <w:rFonts w:hint="eastAsia" w:ascii="仿宋_GB2312" w:hAnsi="黑体" w:eastAsia="仿宋_GB2312"/>
          <w:sz w:val="32"/>
          <w:szCs w:val="32"/>
        </w:rPr>
        <w:t>，导致资金支出进度缓慢。</w:t>
      </w:r>
    </w:p>
    <w:p>
      <w:pPr>
        <w:keepNext w:val="0"/>
        <w:keepLines w:val="0"/>
        <w:pageBreakBefore w:val="0"/>
        <w:widowControl w:val="0"/>
        <w:kinsoku/>
        <w:wordWrap/>
        <w:overflowPunct/>
        <w:topLinePunct/>
        <w:bidi w:val="0"/>
        <w:adjustRightInd w:val="0"/>
        <w:snapToGrid w:val="0"/>
        <w:spacing w:line="520"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(三)建议和改进措施</w:t>
      </w:r>
    </w:p>
    <w:p>
      <w:pPr>
        <w:keepNext w:val="0"/>
        <w:keepLines w:val="0"/>
        <w:pageBreakBefore w:val="0"/>
        <w:widowControl w:val="0"/>
        <w:kinsoku/>
        <w:wordWrap/>
        <w:overflowPunct/>
        <w:topLinePunct/>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r>
        <w:rPr>
          <w:rFonts w:hint="eastAsia" w:ascii="仿宋_GB2312" w:hAnsi="黑体" w:eastAsia="仿宋_GB2312"/>
          <w:sz w:val="32"/>
          <w:szCs w:val="32"/>
        </w:rPr>
        <w:t>加强</w:t>
      </w:r>
      <w:r>
        <w:rPr>
          <w:rFonts w:hint="eastAsia" w:ascii="仿宋_GB2312" w:eastAsia="仿宋_GB2312"/>
          <w:sz w:val="32"/>
          <w:szCs w:val="32"/>
        </w:rPr>
        <w:t>集贸市场建设管理工作奖补经费使用预算会议研究进度</w:t>
      </w:r>
      <w:r>
        <w:rPr>
          <w:rFonts w:hint="eastAsia" w:ascii="仿宋_GB2312" w:hAnsi="黑体" w:eastAsia="仿宋_GB2312"/>
          <w:sz w:val="32"/>
          <w:szCs w:val="32"/>
        </w:rPr>
        <w:t>及使用规划，进一步提高资金的使用效率。</w:t>
      </w:r>
    </w:p>
    <w:p>
      <w:pPr>
        <w:keepNext w:val="0"/>
        <w:keepLines w:val="0"/>
        <w:pageBreakBefore w:val="0"/>
        <w:widowControl w:val="0"/>
        <w:kinsoku/>
        <w:wordWrap/>
        <w:overflowPunct/>
        <w:topLinePunct/>
        <w:bidi w:val="0"/>
        <w:adjustRightInd w:val="0"/>
        <w:snapToGrid w:val="0"/>
        <w:spacing w:line="520" w:lineRule="exact"/>
        <w:ind w:left="0" w:leftChars="0" w:right="0" w:rightChars="0" w:firstLine="640" w:firstLineChars="200"/>
        <w:jc w:val="both"/>
        <w:textAlignment w:val="auto"/>
        <w:outlineLvl w:val="9"/>
        <w:rPr>
          <w:rFonts w:ascii="仿宋_GB2312" w:hAnsi="黑体" w:eastAsia="仿宋_GB2312"/>
          <w:sz w:val="32"/>
          <w:szCs w:val="32"/>
        </w:rPr>
      </w:pPr>
    </w:p>
    <w:p>
      <w:pPr>
        <w:keepNext w:val="0"/>
        <w:keepLines w:val="0"/>
        <w:pageBreakBefore w:val="0"/>
        <w:widowControl w:val="0"/>
        <w:kinsoku/>
        <w:wordWrap/>
        <w:overflowPunct/>
        <w:autoSpaceDE w:val="0"/>
        <w:autoSpaceDN w:val="0"/>
        <w:bidi w:val="0"/>
        <w:adjustRightInd w:val="0"/>
        <w:spacing w:line="520" w:lineRule="exact"/>
        <w:ind w:left="0" w:leftChars="0" w:right="0" w:rightChars="0" w:firstLine="640" w:firstLineChars="200"/>
        <w:jc w:val="both"/>
        <w:textAlignment w:val="auto"/>
        <w:outlineLvl w:val="9"/>
        <w:rPr>
          <w:rFonts w:ascii="仿宋_GB2312" w:hAnsi="Arial" w:eastAsia="仿宋_GB2312" w:cs="仿宋_GB2312"/>
          <w:kern w:val="0"/>
          <w:sz w:val="32"/>
          <w:szCs w:val="32"/>
        </w:rPr>
      </w:pP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bidi w:val="0"/>
        <w:spacing w:line="520" w:lineRule="exact"/>
        <w:ind w:left="0" w:leftChars="0" w:right="0" w:rightChars="0" w:firstLine="640" w:firstLineChars="200"/>
        <w:jc w:val="both"/>
        <w:textAlignment w:val="auto"/>
        <w:outlineLvl w:val="9"/>
        <w:rPr>
          <w:rFonts w:ascii="仿宋_GB2312" w:hAnsi="仿宋" w:eastAsia="仿宋_GB2312"/>
          <w:sz w:val="32"/>
          <w:szCs w:val="32"/>
        </w:rPr>
      </w:pPr>
    </w:p>
    <w:p>
      <w:pPr>
        <w:keepNext w:val="0"/>
        <w:keepLines w:val="0"/>
        <w:pageBreakBefore w:val="0"/>
        <w:widowControl w:val="0"/>
        <w:kinsoku/>
        <w:wordWrap/>
        <w:overflowPunct/>
        <w:bidi w:val="0"/>
        <w:spacing w:line="520" w:lineRule="exact"/>
        <w:ind w:left="0" w:leftChars="0" w:right="0" w:rightChars="0" w:firstLine="640" w:firstLineChars="200"/>
        <w:jc w:val="both"/>
        <w:textAlignment w:val="auto"/>
        <w:outlineLvl w:val="9"/>
        <w:rPr>
          <w:rFonts w:ascii="仿宋_GB2312" w:hAnsi="仿宋" w:eastAsia="仿宋_GB2312"/>
          <w:sz w:val="32"/>
          <w:szCs w:val="32"/>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方正小标宋简体">
    <w:altName w:val="微软雅黑"/>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CF3C52" w:usb2="00000016" w:usb3="00000000" w:csb0="0004001F" w:csb1="00000000"/>
  </w:font>
  <w:font w:name="Calibri Light">
    <w:panose1 w:val="020F0302020204030204"/>
    <w:charset w:val="00"/>
    <w:family w:val="auto"/>
    <w:pitch w:val="default"/>
    <w:sig w:usb0="A00002EF" w:usb1="4000207B" w:usb2="00000000" w:usb3="00000000" w:csb0="2000019F" w:csb1="00000000"/>
  </w:font>
  <w:font w:name="微软雅黑 Light">
    <w:panose1 w:val="020B0502040204020203"/>
    <w:charset w:val="86"/>
    <w:family w:val="auto"/>
    <w:pitch w:val="default"/>
    <w:sig w:usb0="A00002BF" w:usb1="28CF0010"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T/2x7gBAABUAwAADgAAAGRycy9lMm9Eb2MueG1srVNLbtswEN0XyB0I&#10;7mPJBpK4gukgQZCgQNEWSHIAmiItAvxhSFvyBdIbdNVN9jmXz9EhbTlFuyu6oWY4wzfvzYwW14M1&#10;ZCshau8YnU5qSqQTvtVuzejz0/35nJKYuGu58U4yupORXi/PPiz60MiZ77xpJRAEcbHpA6NdSqGp&#10;qig6aXmc+CAdBpUHyxO6sK5a4D2iW1PN6vqy6j20AbyQMeLt3SFIlwVfKSnSV6WiTMQwitxSOaGc&#10;q3xWywVv1sBDp8WRBv8HFpZrh0VPUHc8cbIB/ReU1QJ89CpNhLeVV0oLWTSgmmn9h5rHjgdZtGBz&#10;Yji1Kf4/WPFl+w2Ibhm9osRxiyPa//i+//m2f30h09yePsQGsx4D5qXh1g845vE+4mVWPSiw+Yt6&#10;CMax0btTc+WQiMiP5rP5vMaQwNjoIH71/jxATA/SW5INRgGnV5rKt59jOqSOKbma8/famDJB40jP&#10;6MeL2UV5cIoguHFYI4s4kM1WGlbDUdnKtzsU1uMGMOpwRSkxnxw2OC/LaMBorEZjE0CvO+Q4LfVi&#10;uNkkZFNI5goH2GNhHF2ReVyzvBu/+yXr/WdY/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vT/2x7gBAABUAwAADgAAAAAAAAABACAAAAAeAQAAZHJzL2Uyb0RvYy54bWxQSwUGAAAAAAYABgBZ&#10;AQAASAU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T18Z7cBAABUAwAADgAAAGRycy9lMm9Eb2MueG1srVNLbtswEN0H6B0I&#10;7mPJAlI4gumgQZCiQNEGSHIAmiItAvxhSFvyBdobdNVN9z2Xz9EhbTlFswu6oWY4wzfz3oyWN6M1&#10;ZCchau8Ync9qSqQTvtNuw+jz0/3lgpKYuOu48U4yupeR3qzeXSyH0MrG9950EgiCuNgOgdE+pdBW&#10;VRS9tDzOfJAOg8qD5Qld2FQd8AHRramaun5fDR66AF7IGPH27hikq4KvlBTpq1JRJmIYxd5SOaGc&#10;63xWqyVvN8BDr8WpDf6GLizXDoueoe544mQL+hWU1QJ89CrNhLeVV0oLWTggm3n9D5vHngdZuKA4&#10;MZxliv8PVnzZPQDRHaM4KMctjujw4/vh5+/Dr2+kyfIMIbaY9RgwL423fsQxT/cRLzPrUYHNX+RD&#10;MI5C78/iyjERkR8tmsWixpDA2OQgfvXyPEBMH6W3JBuMAk6viMp3n2M6pk4puZrz99qYMkHjyMDo&#10;9VVzVR6cIwhuHNbIJI7NZiuN6/HEbO27PRIbcAMYdbiilJhPDgXOyzIZMBnrydgG0Jsee5yXejF8&#10;2CbspjSZKxxhT4VxdIXmac3ybvztl6yXn2H1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l&#10;PXxntwEAAFQDAAAOAAAAAAAAAAEAIAAAAB4BAABkcnMvZTJvRG9jLnhtbFBLBQYAAAAABgAGAFkB&#10;AABHBQ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CBAC47"/>
    <w:multiLevelType w:val="singleLevel"/>
    <w:tmpl w:val="E7CBAC4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1ED"/>
    <w:rsid w:val="00013364"/>
    <w:rsid w:val="000252D7"/>
    <w:rsid w:val="00075E2E"/>
    <w:rsid w:val="000A7A4B"/>
    <w:rsid w:val="000F1B93"/>
    <w:rsid w:val="001212A6"/>
    <w:rsid w:val="001242AE"/>
    <w:rsid w:val="00136D4D"/>
    <w:rsid w:val="001A6AB8"/>
    <w:rsid w:val="002926C0"/>
    <w:rsid w:val="002B6D84"/>
    <w:rsid w:val="002E567C"/>
    <w:rsid w:val="003038B5"/>
    <w:rsid w:val="00311CCC"/>
    <w:rsid w:val="00333A4F"/>
    <w:rsid w:val="00387821"/>
    <w:rsid w:val="00412015"/>
    <w:rsid w:val="00443FBB"/>
    <w:rsid w:val="004D1ED1"/>
    <w:rsid w:val="00510D43"/>
    <w:rsid w:val="00524329"/>
    <w:rsid w:val="0059162C"/>
    <w:rsid w:val="005A06CB"/>
    <w:rsid w:val="005F5CE5"/>
    <w:rsid w:val="006003A6"/>
    <w:rsid w:val="00601D75"/>
    <w:rsid w:val="00611B2C"/>
    <w:rsid w:val="006124FA"/>
    <w:rsid w:val="00613188"/>
    <w:rsid w:val="00652A8F"/>
    <w:rsid w:val="006655F1"/>
    <w:rsid w:val="006705C3"/>
    <w:rsid w:val="006722C7"/>
    <w:rsid w:val="006A0979"/>
    <w:rsid w:val="006C30C3"/>
    <w:rsid w:val="006F3DE3"/>
    <w:rsid w:val="007118A5"/>
    <w:rsid w:val="00751181"/>
    <w:rsid w:val="00773F5E"/>
    <w:rsid w:val="007B376A"/>
    <w:rsid w:val="0082682C"/>
    <w:rsid w:val="00833D6F"/>
    <w:rsid w:val="0088357F"/>
    <w:rsid w:val="008916B7"/>
    <w:rsid w:val="00891A48"/>
    <w:rsid w:val="008C55E6"/>
    <w:rsid w:val="008E3F0D"/>
    <w:rsid w:val="009012CC"/>
    <w:rsid w:val="00914423"/>
    <w:rsid w:val="00952DB8"/>
    <w:rsid w:val="00971EC0"/>
    <w:rsid w:val="009C7B3A"/>
    <w:rsid w:val="00A12EE8"/>
    <w:rsid w:val="00A7192E"/>
    <w:rsid w:val="00A7300B"/>
    <w:rsid w:val="00A818BB"/>
    <w:rsid w:val="00AA0E97"/>
    <w:rsid w:val="00AC175C"/>
    <w:rsid w:val="00AC74AE"/>
    <w:rsid w:val="00AE08BB"/>
    <w:rsid w:val="00B21334"/>
    <w:rsid w:val="00B343FC"/>
    <w:rsid w:val="00B66A5D"/>
    <w:rsid w:val="00B75069"/>
    <w:rsid w:val="00B7677B"/>
    <w:rsid w:val="00B83E27"/>
    <w:rsid w:val="00BC1EC3"/>
    <w:rsid w:val="00BD2E4C"/>
    <w:rsid w:val="00BE15DC"/>
    <w:rsid w:val="00BF2A2E"/>
    <w:rsid w:val="00C12AB0"/>
    <w:rsid w:val="00C25DE9"/>
    <w:rsid w:val="00C27F16"/>
    <w:rsid w:val="00C45111"/>
    <w:rsid w:val="00C72F51"/>
    <w:rsid w:val="00CA06E8"/>
    <w:rsid w:val="00CE06A6"/>
    <w:rsid w:val="00D06D90"/>
    <w:rsid w:val="00D60DC8"/>
    <w:rsid w:val="00D63199"/>
    <w:rsid w:val="00D83792"/>
    <w:rsid w:val="00D84034"/>
    <w:rsid w:val="00D95F60"/>
    <w:rsid w:val="00DB442F"/>
    <w:rsid w:val="00DD6A75"/>
    <w:rsid w:val="00E056BA"/>
    <w:rsid w:val="00E13A46"/>
    <w:rsid w:val="00E449C2"/>
    <w:rsid w:val="00E95BCC"/>
    <w:rsid w:val="00ED1FC7"/>
    <w:rsid w:val="00F0281D"/>
    <w:rsid w:val="00F4351E"/>
    <w:rsid w:val="00FE018E"/>
    <w:rsid w:val="00FE71ED"/>
    <w:rsid w:val="00FF4948"/>
    <w:rsid w:val="018B2FE3"/>
    <w:rsid w:val="025924CB"/>
    <w:rsid w:val="02EC6B21"/>
    <w:rsid w:val="03A96CE7"/>
    <w:rsid w:val="044405B8"/>
    <w:rsid w:val="0746611F"/>
    <w:rsid w:val="077452B8"/>
    <w:rsid w:val="079F2E19"/>
    <w:rsid w:val="09A865D2"/>
    <w:rsid w:val="0A6A43B6"/>
    <w:rsid w:val="0B8A460A"/>
    <w:rsid w:val="0BE373FA"/>
    <w:rsid w:val="11460728"/>
    <w:rsid w:val="11E77B71"/>
    <w:rsid w:val="11ED299D"/>
    <w:rsid w:val="12B8455E"/>
    <w:rsid w:val="133B13F9"/>
    <w:rsid w:val="146705A4"/>
    <w:rsid w:val="14825DE6"/>
    <w:rsid w:val="154D4EFF"/>
    <w:rsid w:val="18A90E83"/>
    <w:rsid w:val="18DB008C"/>
    <w:rsid w:val="1BB47EAF"/>
    <w:rsid w:val="1C5E6958"/>
    <w:rsid w:val="1E0A5D2A"/>
    <w:rsid w:val="1F43537A"/>
    <w:rsid w:val="1F9C7D2C"/>
    <w:rsid w:val="20335CEB"/>
    <w:rsid w:val="206D7029"/>
    <w:rsid w:val="218C7A7A"/>
    <w:rsid w:val="24086925"/>
    <w:rsid w:val="24247E7B"/>
    <w:rsid w:val="24A41635"/>
    <w:rsid w:val="258647D2"/>
    <w:rsid w:val="26D11466"/>
    <w:rsid w:val="28C210F2"/>
    <w:rsid w:val="28C47FE7"/>
    <w:rsid w:val="2AA06971"/>
    <w:rsid w:val="2BB10840"/>
    <w:rsid w:val="2C221217"/>
    <w:rsid w:val="2C882D44"/>
    <w:rsid w:val="324251CF"/>
    <w:rsid w:val="33BB4945"/>
    <w:rsid w:val="340F7B4F"/>
    <w:rsid w:val="344975E0"/>
    <w:rsid w:val="35827FA6"/>
    <w:rsid w:val="35971747"/>
    <w:rsid w:val="37E52CD0"/>
    <w:rsid w:val="37FC6ADB"/>
    <w:rsid w:val="3A664D80"/>
    <w:rsid w:val="3C237404"/>
    <w:rsid w:val="3D9F5383"/>
    <w:rsid w:val="3DA95488"/>
    <w:rsid w:val="3E2937AC"/>
    <w:rsid w:val="3E693314"/>
    <w:rsid w:val="3FE375AC"/>
    <w:rsid w:val="410C4411"/>
    <w:rsid w:val="426F77A6"/>
    <w:rsid w:val="430F35B1"/>
    <w:rsid w:val="440141D9"/>
    <w:rsid w:val="44DD3164"/>
    <w:rsid w:val="47661490"/>
    <w:rsid w:val="49087419"/>
    <w:rsid w:val="490C3666"/>
    <w:rsid w:val="491C3ADF"/>
    <w:rsid w:val="4A711A2F"/>
    <w:rsid w:val="4A956908"/>
    <w:rsid w:val="4B0150BF"/>
    <w:rsid w:val="4B180921"/>
    <w:rsid w:val="4B532DD3"/>
    <w:rsid w:val="4C5664A3"/>
    <w:rsid w:val="4CAC7785"/>
    <w:rsid w:val="4D043D6A"/>
    <w:rsid w:val="4FA93294"/>
    <w:rsid w:val="50980939"/>
    <w:rsid w:val="5317797A"/>
    <w:rsid w:val="532B6A85"/>
    <w:rsid w:val="53756121"/>
    <w:rsid w:val="53B37E24"/>
    <w:rsid w:val="542821F9"/>
    <w:rsid w:val="542842C0"/>
    <w:rsid w:val="55191783"/>
    <w:rsid w:val="57102819"/>
    <w:rsid w:val="573F32EF"/>
    <w:rsid w:val="576F70A8"/>
    <w:rsid w:val="57DB0593"/>
    <w:rsid w:val="59B3792D"/>
    <w:rsid w:val="5B637CBE"/>
    <w:rsid w:val="5C8E6BE9"/>
    <w:rsid w:val="5CE60211"/>
    <w:rsid w:val="5D6051BF"/>
    <w:rsid w:val="5DA40C98"/>
    <w:rsid w:val="5F4F63F7"/>
    <w:rsid w:val="5F7276C1"/>
    <w:rsid w:val="60D13CAD"/>
    <w:rsid w:val="60D82D47"/>
    <w:rsid w:val="613A3276"/>
    <w:rsid w:val="617C4FEA"/>
    <w:rsid w:val="626878DF"/>
    <w:rsid w:val="629F4DCB"/>
    <w:rsid w:val="62F65BBC"/>
    <w:rsid w:val="648B1486"/>
    <w:rsid w:val="64A00512"/>
    <w:rsid w:val="660B260A"/>
    <w:rsid w:val="66195B4D"/>
    <w:rsid w:val="677856AE"/>
    <w:rsid w:val="68253A25"/>
    <w:rsid w:val="68D57634"/>
    <w:rsid w:val="6911684D"/>
    <w:rsid w:val="69274BBA"/>
    <w:rsid w:val="6962315D"/>
    <w:rsid w:val="6AD33666"/>
    <w:rsid w:val="6B035222"/>
    <w:rsid w:val="6C0914F0"/>
    <w:rsid w:val="6D322453"/>
    <w:rsid w:val="74E26FC3"/>
    <w:rsid w:val="74ED7411"/>
    <w:rsid w:val="77137507"/>
    <w:rsid w:val="777D101D"/>
    <w:rsid w:val="779167DD"/>
    <w:rsid w:val="77E412E6"/>
    <w:rsid w:val="77FB09F7"/>
    <w:rsid w:val="7A9E1BA3"/>
    <w:rsid w:val="7B86011B"/>
    <w:rsid w:val="7C3E5CDE"/>
    <w:rsid w:val="7C6B37B8"/>
    <w:rsid w:val="7F44438E"/>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Times New Roman" w:hAnsi="Times New Roman" w:eastAsia="Times New Roman"/>
      <w:sz w:val="2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kern w:val="0"/>
      <w:sz w:val="24"/>
    </w:rPr>
  </w:style>
  <w:style w:type="character" w:styleId="8">
    <w:name w:val="Hyperlink"/>
    <w:basedOn w:val="7"/>
    <w:unhideWhenUsed/>
    <w:qFormat/>
    <w:uiPriority w:val="99"/>
    <w:rPr>
      <w:color w:val="0000FF"/>
      <w:u w:val="single"/>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12">
    <w:name w:val="页眉 Char"/>
    <w:basedOn w:val="7"/>
    <w:link w:val="5"/>
    <w:qFormat/>
    <w:uiPriority w:val="0"/>
    <w:rPr>
      <w:rFonts w:ascii="Calibri" w:hAnsi="Calibri"/>
      <w:kern w:val="2"/>
      <w:sz w:val="18"/>
      <w:szCs w:val="18"/>
    </w:rPr>
  </w:style>
  <w:style w:type="character" w:customStyle="1" w:styleId="13">
    <w:name w:val="页脚 Char"/>
    <w:basedOn w:val="7"/>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10364</Words>
  <Characters>1275</Characters>
  <Lines>10</Lines>
  <Paragraphs>23</Paragraphs>
  <ScaleCrop>false</ScaleCrop>
  <LinksUpToDate>false</LinksUpToDate>
  <CharactersWithSpaces>11616</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2023-04-07T07:08:00Z</dcterms:created>
  <dc:creator>Administrator</dc:creator>
  <cp:lastModifiedBy>WQ</cp:lastModifiedBy>
  <cp:lastPrinted>2023-04-07T01:57:00Z</cp:lastPrinted>
  <dcterms:modified xsi:type="dcterms:W3CDTF">2023-09-27T07:37:40Z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