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spacing w:line="600" w:lineRule="exact"/>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昆明市盘龙区残疾人综合服务中心</w:t>
      </w:r>
    </w:p>
    <w:p>
      <w:pPr>
        <w:spacing w:line="600" w:lineRule="exact"/>
        <w:ind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2022年部门整体支出绩效自评报告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eastAsia="黑体"/>
          <w:b/>
          <w:bCs/>
          <w:sz w:val="44"/>
          <w:szCs w:val="44"/>
        </w:rPr>
      </w:pP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Mnml1wAA&#10;AAkBAAAPAAAAAAAAAAEAIAAAACIAAABkcnMvZG93bnJldi54bWxQSwECFAAUAAAACACHTuJA/QXH&#10;Xu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项目名称：昆明市盘龙区残疾人综合服务中心部门整体支出</w:t>
      </w:r>
    </w:p>
    <w:p>
      <w:pPr>
        <w:adjustRightInd w:val="0"/>
        <w:snapToGrid w:val="0"/>
        <w:ind w:firstLine="643"/>
        <w:rPr>
          <w:rFonts w:ascii="Times New Roman" w:hAnsi="Times New Roman" w:eastAsia="黑体" w:cs="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v0PcNgA&#10;AAAJAQAADwAAAAAAAAABACAAAAAiAAAAZHJzL2Rvd25yZXYueG1sUEsBAhQAFAAAAAgAh07iQGTT&#10;Wn7mAQAArAMAAA4AAAAAAAAAAQAgAAAAJw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部门名称：昆明市盘龙区残疾人综合服务中心</w:t>
      </w: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IEn4I1wAA&#10;AAkBAAAPAAAAAAAAAAEAIAAAACIAAABkcnMvZG93bnJldi54bWxQSwECFAAUAAAACACHTuJALGMB&#10;1+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评价机构：昆明市盘龙区残疾人联合会</w:t>
      </w:r>
    </w:p>
    <w:p>
      <w:pPr>
        <w:ind w:left="1740" w:leftChars="580" w:firstLine="643"/>
        <w:rPr>
          <w:rFonts w:ascii="Times New Roman" w:hAnsi="Times New Roman" w:eastAsia="黑体"/>
          <w:b/>
          <w:bCs/>
          <w:sz w:val="32"/>
          <w:szCs w:val="32"/>
        </w:rPr>
      </w:pPr>
    </w:p>
    <w:p>
      <w:pPr>
        <w:ind w:firstLine="643"/>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rPr>
        <w:t>23</w:t>
      </w:r>
      <w:r>
        <w:rPr>
          <w:rFonts w:hint="eastAsia" w:ascii="Times New Roman" w:hAnsi="Times New Roman" w:eastAsia="黑体" w:cs="黑体"/>
          <w:b/>
          <w:bCs/>
          <w:sz w:val="32"/>
          <w:szCs w:val="32"/>
        </w:rPr>
        <w:t>年</w:t>
      </w:r>
      <w:r>
        <w:rPr>
          <w:rFonts w:hint="eastAsia" w:ascii="Times New Roman" w:hAnsi="Times New Roman" w:eastAsia="黑体"/>
          <w:b/>
          <w:bCs/>
          <w:sz w:val="32"/>
          <w:szCs w:val="32"/>
        </w:rPr>
        <w:t>04</w:t>
      </w:r>
      <w:r>
        <w:rPr>
          <w:rFonts w:hint="eastAsia" w:ascii="Times New Roman" w:hAnsi="Times New Roman" w:eastAsia="黑体" w:cs="黑体"/>
          <w:b/>
          <w:bCs/>
          <w:sz w:val="32"/>
          <w:szCs w:val="32"/>
        </w:rPr>
        <w:t>月</w:t>
      </w: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b/>
          <w:bCs/>
          <w:sz w:val="28"/>
          <w:szCs w:val="28"/>
        </w:rPr>
      </w:pPr>
    </w:p>
    <w:p>
      <w:pPr>
        <w:widowControl/>
        <w:ind w:firstLine="562"/>
        <w:jc w:val="left"/>
        <w:rPr>
          <w:rFonts w:ascii="Times New Roman" w:hAnsi="Times New Roman"/>
          <w:b/>
          <w:bCs/>
          <w:sz w:val="28"/>
          <w:szCs w:val="28"/>
        </w:rPr>
        <w:sectPr>
          <w:footerReference r:id="rId5" w:type="first"/>
          <w:headerReference r:id="rId3" w:type="default"/>
          <w:footerReference r:id="rId4" w:type="default"/>
          <w:pgSz w:w="11906" w:h="16838"/>
          <w:pgMar w:top="1701" w:right="1587" w:bottom="1587" w:left="1587" w:header="851" w:footer="992" w:gutter="0"/>
          <w:cols w:space="425" w:num="1"/>
          <w:titlePg/>
          <w:docGrid w:type="lines" w:linePitch="312" w:charSpace="0"/>
        </w:sectPr>
      </w:pPr>
    </w:p>
    <w:p>
      <w:pPr>
        <w:pStyle w:val="10"/>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9" w:hRule="atLeast"/>
          <w:jc w:val="center"/>
        </w:trPr>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黎如珊</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4"/>
                <w:szCs w:val="24"/>
                <w:lang w:val="zh-TW" w:eastAsia="zh-TW"/>
              </w:rPr>
            </w:pPr>
            <w:r>
              <w:rPr>
                <w:rFonts w:hint="eastAsia" w:asciiTheme="majorEastAsia" w:hAnsiTheme="majorEastAsia" w:eastAsiaTheme="majorEastAsia" w:cstheme="majorEastAsia"/>
                <w:kern w:val="2"/>
                <w:sz w:val="24"/>
                <w:szCs w:val="24"/>
                <w:lang w:val="zh-TW"/>
              </w:rPr>
              <w:t>区</w:t>
            </w:r>
            <w:r>
              <w:rPr>
                <w:rFonts w:asciiTheme="majorEastAsia" w:hAnsiTheme="majorEastAsia" w:eastAsiaTheme="majorEastAsia" w:cstheme="majorEastAsia"/>
                <w:kern w:val="2"/>
                <w:sz w:val="24"/>
                <w:szCs w:val="24"/>
                <w:lang w:val="zh-TW"/>
              </w:rPr>
              <w:t>残联</w:t>
            </w:r>
            <w:r>
              <w:rPr>
                <w:rFonts w:hint="eastAsia" w:asciiTheme="majorEastAsia" w:hAnsiTheme="majorEastAsia" w:eastAsiaTheme="majorEastAsia" w:cstheme="majorEastAsia"/>
                <w:kern w:val="2"/>
                <w:sz w:val="24"/>
                <w:szCs w:val="24"/>
                <w:lang w:val="zh-TW"/>
              </w:rPr>
              <w:t>理事长</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4"/>
                <w:szCs w:val="24"/>
                <w:lang w:val="zh-TW" w:eastAsia="zh-TW"/>
              </w:rPr>
            </w:pPr>
            <w:r>
              <w:rPr>
                <w:rFonts w:hint="eastAsia" w:asciiTheme="majorEastAsia" w:hAnsiTheme="majorEastAsia" w:eastAsiaTheme="majorEastAsia" w:cstheme="majorEastAsia"/>
                <w:kern w:val="2"/>
                <w:sz w:val="24"/>
                <w:szCs w:val="24"/>
                <w:lang w:val="zh-TW"/>
              </w:rPr>
              <w:t>区残联办公室</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9"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杨超</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4"/>
                <w:szCs w:val="24"/>
                <w:lang w:val="zh-TW" w:eastAsia="zh-TW"/>
              </w:rPr>
            </w:pPr>
            <w:r>
              <w:rPr>
                <w:rFonts w:hint="eastAsia" w:asciiTheme="majorEastAsia" w:hAnsiTheme="majorEastAsia" w:eastAsiaTheme="majorEastAsia" w:cstheme="majorEastAsia"/>
                <w:kern w:val="2"/>
                <w:sz w:val="24"/>
                <w:szCs w:val="24"/>
                <w:lang w:val="zh-TW"/>
              </w:rPr>
              <w:t>区残联副理事长</w:t>
            </w:r>
          </w:p>
        </w:tc>
        <w:tc>
          <w:tcPr>
            <w:tcW w:w="1621" w:type="dxa"/>
            <w:vAlign w:val="center"/>
          </w:tcPr>
          <w:p>
            <w:pPr>
              <w:ind w:firstLine="0" w:firstLineChars="0"/>
              <w:jc w:val="center"/>
              <w:rPr>
                <w:rFonts w:asciiTheme="majorEastAsia" w:hAnsiTheme="majorEastAsia" w:eastAsiaTheme="majorEastAsia" w:cstheme="majorEastAsia"/>
                <w:sz w:val="24"/>
                <w:szCs w:val="24"/>
                <w:lang w:val="zh-TW" w:eastAsia="zh-TW"/>
              </w:rPr>
            </w:pPr>
            <w:r>
              <w:rPr>
                <w:rFonts w:hint="eastAsia" w:asciiTheme="majorEastAsia" w:hAnsiTheme="majorEastAsia" w:eastAsiaTheme="majorEastAsia" w:cstheme="majorEastAsia"/>
                <w:sz w:val="24"/>
                <w:szCs w:val="24"/>
                <w:lang w:val="zh-TW"/>
              </w:rPr>
              <w:t>区残联办公室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成员</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袁军</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4"/>
                <w:szCs w:val="24"/>
                <w:lang w:val="zh-TW"/>
              </w:rPr>
            </w:pPr>
            <w:r>
              <w:rPr>
                <w:rFonts w:hint="eastAsia" w:asciiTheme="majorEastAsia" w:hAnsiTheme="majorEastAsia" w:eastAsiaTheme="majorEastAsia" w:cstheme="majorEastAsia"/>
                <w:kern w:val="2"/>
                <w:sz w:val="24"/>
                <w:szCs w:val="24"/>
                <w:lang w:val="zh-TW"/>
              </w:rPr>
              <w:t>区残联办公室主任</w:t>
            </w:r>
          </w:p>
        </w:tc>
        <w:tc>
          <w:tcPr>
            <w:tcW w:w="1621" w:type="dxa"/>
            <w:vAlign w:val="center"/>
          </w:tcPr>
          <w:p>
            <w:pPr>
              <w:ind w:firstLine="0" w:firstLineChars="0"/>
              <w:jc w:val="center"/>
              <w:rPr>
                <w:rFonts w:asciiTheme="majorEastAsia" w:hAnsiTheme="majorEastAsia" w:eastAsiaTheme="majorEastAsia" w:cstheme="majorEastAsia"/>
                <w:sz w:val="24"/>
                <w:szCs w:val="24"/>
                <w:lang w:val="zh-TW"/>
              </w:rPr>
            </w:pPr>
            <w:r>
              <w:rPr>
                <w:rFonts w:hint="eastAsia" w:asciiTheme="majorEastAsia" w:hAnsiTheme="majorEastAsia" w:eastAsiaTheme="majorEastAsia" w:cstheme="majorEastAsia"/>
                <w:sz w:val="24"/>
                <w:szCs w:val="24"/>
                <w:lang w:val="zh-TW"/>
              </w:rPr>
              <w:t>区残联办公室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王海燕</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4"/>
                <w:szCs w:val="24"/>
                <w:lang w:val="zh-TW" w:eastAsia="zh-TW"/>
              </w:rPr>
            </w:pPr>
            <w:r>
              <w:rPr>
                <w:rFonts w:hint="eastAsia" w:asciiTheme="majorEastAsia" w:hAnsiTheme="majorEastAsia" w:eastAsiaTheme="majorEastAsia" w:cstheme="majorEastAsia"/>
                <w:kern w:val="2"/>
                <w:sz w:val="24"/>
                <w:szCs w:val="24"/>
                <w:lang w:val="zh-TW"/>
              </w:rPr>
              <w:t>区残联综合业务科科科长</w:t>
            </w:r>
          </w:p>
        </w:tc>
        <w:tc>
          <w:tcPr>
            <w:tcW w:w="1621" w:type="dxa"/>
            <w:vAlign w:val="center"/>
          </w:tcPr>
          <w:p>
            <w:pPr>
              <w:ind w:firstLine="0" w:firstLineChars="0"/>
              <w:jc w:val="center"/>
              <w:rPr>
                <w:rFonts w:asciiTheme="majorEastAsia" w:hAnsiTheme="majorEastAsia" w:eastAsiaTheme="majorEastAsia" w:cstheme="majorEastAsia"/>
                <w:sz w:val="24"/>
                <w:szCs w:val="24"/>
                <w:lang w:val="zh-TW" w:eastAsia="zh-TW"/>
              </w:rPr>
            </w:pPr>
            <w:r>
              <w:rPr>
                <w:rFonts w:hint="eastAsia" w:asciiTheme="majorEastAsia" w:hAnsiTheme="majorEastAsia" w:eastAsiaTheme="majorEastAsia" w:cstheme="majorEastAsia"/>
                <w:sz w:val="24"/>
                <w:szCs w:val="24"/>
                <w:lang w:val="zh-TW"/>
              </w:rPr>
              <w:t>区残联综合业务科</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4" w:hRule="atLeast"/>
          <w:jc w:val="center"/>
        </w:trPr>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赵荣玲</w:t>
            </w:r>
          </w:p>
        </w:tc>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4"/>
                <w:szCs w:val="24"/>
                <w:lang w:val="zh-TW"/>
              </w:rPr>
            </w:pPr>
            <w:r>
              <w:rPr>
                <w:rFonts w:hint="eastAsia" w:asciiTheme="majorEastAsia" w:hAnsiTheme="majorEastAsia" w:eastAsiaTheme="majorEastAsia" w:cstheme="majorEastAsia"/>
                <w:kern w:val="2"/>
                <w:sz w:val="24"/>
                <w:szCs w:val="24"/>
                <w:lang w:val="zh-TW"/>
              </w:rPr>
              <w:t>区残联财务人员</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4"/>
                <w:szCs w:val="24"/>
                <w:lang w:val="zh-TW"/>
              </w:rPr>
            </w:pPr>
            <w:r>
              <w:rPr>
                <w:rFonts w:hint="eastAsia" w:asciiTheme="majorEastAsia" w:hAnsiTheme="majorEastAsia" w:eastAsiaTheme="majorEastAsia" w:cstheme="majorEastAsia"/>
                <w:kern w:val="2"/>
                <w:sz w:val="24"/>
                <w:szCs w:val="24"/>
                <w:lang w:val="zh-TW"/>
              </w:rPr>
              <w:t>区残联办公室</w:t>
            </w:r>
          </w:p>
        </w:tc>
        <w:tc>
          <w:tcPr>
            <w:tcW w:w="1621"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jc w:val="center"/>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jc w:val="center"/>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587" w:left="1800" w:header="851" w:footer="992" w:gutter="0"/>
          <w:cols w:space="425" w:num="1"/>
          <w:docGrid w:type="lines" w:linePitch="312" w:charSpace="0"/>
        </w:sectPr>
      </w:pPr>
    </w:p>
    <w:p>
      <w:pPr>
        <w:spacing w:line="440" w:lineRule="exact"/>
        <w:ind w:firstLine="560"/>
        <w:jc w:val="center"/>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lang w:val="zh-CN"/>
        </w:rPr>
        <w:t>目录</w:t>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摘要</w:t>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一、部门概况</w:t>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（一）部门机构设置、编制</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（二）部门职能</w:t>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（三）部门工作完成情况</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 xml:space="preserve">（四）部门管理制度 </w:t>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（五）部门资金来源及使用情况</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 xml:space="preserve">（六）政府采购情况 </w:t>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（七）固定资产情况</w:t>
      </w:r>
      <w:r>
        <w:rPr>
          <w:rFonts w:hint="eastAsia" w:ascii="仿宋_GB2312" w:hAnsi="仿宋_GB2312" w:cs="仿宋_GB2312"/>
          <w:sz w:val="28"/>
          <w:szCs w:val="28"/>
        </w:rPr>
        <w:tab/>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二、绩效目标</w:t>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三、评价思路和过程</w:t>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（一）评价思路</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（二）评价目的</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（三）评价依据</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（四）评价对象及评价时段</w:t>
      </w:r>
      <w:r>
        <w:rPr>
          <w:rFonts w:hint="eastAsia" w:ascii="仿宋_GB2312" w:hAnsi="仿宋_GB2312" w:cs="仿宋_GB2312"/>
          <w:sz w:val="28"/>
          <w:szCs w:val="28"/>
        </w:rPr>
        <w:tab/>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四、评价结论和绩效分析</w:t>
      </w:r>
      <w:r>
        <w:rPr>
          <w:rFonts w:hint="eastAsia" w:ascii="黑体" w:hAnsi="黑体" w:eastAsia="黑体" w:cs="黑体"/>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（一）评价结论</w:t>
      </w:r>
      <w:r>
        <w:rPr>
          <w:rFonts w:hint="eastAsia" w:ascii="仿宋_GB2312" w:hAnsi="仿宋_GB2312" w:cs="仿宋_GB2312"/>
          <w:sz w:val="28"/>
          <w:szCs w:val="28"/>
        </w:rPr>
        <w:tab/>
      </w: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（二）具体绩效分析</w:t>
      </w:r>
      <w:r>
        <w:rPr>
          <w:rFonts w:hint="eastAsia" w:ascii="仿宋_GB2312" w:hAnsi="仿宋_GB2312" w:cs="仿宋_GB2312"/>
          <w:sz w:val="28"/>
          <w:szCs w:val="28"/>
        </w:rPr>
        <w:tab/>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五、主要经验做法</w:t>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六、存在的问题</w:t>
      </w:r>
      <w:r>
        <w:rPr>
          <w:rFonts w:hint="eastAsia" w:ascii="黑体" w:hAnsi="黑体" w:eastAsia="黑体" w:cs="黑体"/>
          <w:sz w:val="28"/>
          <w:szCs w:val="28"/>
        </w:rPr>
        <w:tab/>
      </w:r>
    </w:p>
    <w:p>
      <w:pPr>
        <w:spacing w:line="440" w:lineRule="exact"/>
        <w:ind w:firstLine="560"/>
        <w:jc w:val="left"/>
        <w:rPr>
          <w:rFonts w:ascii="黑体" w:hAnsi="黑体" w:eastAsia="黑体" w:cs="黑体"/>
          <w:sz w:val="28"/>
          <w:szCs w:val="28"/>
        </w:rPr>
      </w:pPr>
      <w:r>
        <w:rPr>
          <w:rFonts w:hint="eastAsia" w:ascii="黑体" w:hAnsi="黑体" w:eastAsia="黑体" w:cs="黑体"/>
          <w:sz w:val="28"/>
          <w:szCs w:val="28"/>
        </w:rPr>
        <w:t>七、改进措施及建议</w:t>
      </w:r>
    </w:p>
    <w:p>
      <w:pPr>
        <w:spacing w:line="440" w:lineRule="exact"/>
        <w:ind w:firstLine="560"/>
        <w:jc w:val="left"/>
        <w:rPr>
          <w:rFonts w:ascii="仿宋_GB2312" w:hAnsi="仿宋_GB2312" w:cs="仿宋_GB2312"/>
          <w:sz w:val="28"/>
          <w:szCs w:val="28"/>
        </w:rPr>
      </w:pPr>
    </w:p>
    <w:p>
      <w:pPr>
        <w:spacing w:line="440" w:lineRule="exact"/>
        <w:ind w:firstLine="560"/>
        <w:jc w:val="left"/>
        <w:rPr>
          <w:rFonts w:ascii="仿宋_GB2312" w:hAnsi="仿宋_GB2312" w:cs="仿宋_GB2312"/>
          <w:sz w:val="28"/>
          <w:szCs w:val="28"/>
        </w:rPr>
      </w:pPr>
      <w:r>
        <w:rPr>
          <w:rFonts w:hint="eastAsia" w:ascii="仿宋_GB2312" w:hAnsi="仿宋_GB2312" w:cs="仿宋_GB2312"/>
          <w:sz w:val="28"/>
          <w:szCs w:val="28"/>
        </w:rPr>
        <w:t>附件：1.成本费用分析报告</w:t>
      </w:r>
      <w:r>
        <w:rPr>
          <w:rFonts w:hint="eastAsia" w:ascii="仿宋_GB2312" w:hAnsi="仿宋_GB2312" w:cs="仿宋_GB2312"/>
          <w:sz w:val="28"/>
          <w:szCs w:val="28"/>
        </w:rPr>
        <w:tab/>
      </w:r>
    </w:p>
    <w:p>
      <w:pPr>
        <w:spacing w:line="440" w:lineRule="exact"/>
        <w:ind w:firstLine="1400" w:firstLineChars="500"/>
        <w:jc w:val="left"/>
        <w:rPr>
          <w:rFonts w:ascii="仿宋_GB2312" w:hAnsi="仿宋_GB2312" w:cs="仿宋_GB2312"/>
          <w:sz w:val="28"/>
          <w:szCs w:val="28"/>
        </w:rPr>
      </w:pPr>
      <w:r>
        <w:rPr>
          <w:rFonts w:hint="eastAsia" w:ascii="仿宋_GB2312" w:hAnsi="仿宋_GB2312" w:cs="仿宋_GB2312"/>
          <w:sz w:val="28"/>
          <w:szCs w:val="28"/>
        </w:rPr>
        <w:t>2.部门职能分解</w:t>
      </w:r>
      <w:r>
        <w:rPr>
          <w:rFonts w:hint="eastAsia" w:ascii="仿宋_GB2312" w:hAnsi="仿宋_GB2312" w:cs="仿宋_GB2312"/>
          <w:sz w:val="28"/>
          <w:szCs w:val="28"/>
        </w:rPr>
        <w:tab/>
      </w:r>
    </w:p>
    <w:p>
      <w:pPr>
        <w:spacing w:line="440" w:lineRule="exact"/>
        <w:ind w:firstLine="1400" w:firstLineChars="500"/>
        <w:jc w:val="left"/>
        <w:rPr>
          <w:rFonts w:ascii="仿宋_GB2312" w:hAnsi="仿宋_GB2312" w:cs="仿宋_GB2312"/>
          <w:sz w:val="28"/>
          <w:szCs w:val="28"/>
        </w:rPr>
      </w:pPr>
      <w:r>
        <w:rPr>
          <w:rFonts w:hint="eastAsia" w:ascii="仿宋_GB2312" w:hAnsi="仿宋_GB2312" w:cs="仿宋_GB2312"/>
          <w:sz w:val="28"/>
          <w:szCs w:val="28"/>
        </w:rPr>
        <w:t xml:space="preserve">3.评价指标体系 </w:t>
      </w:r>
    </w:p>
    <w:p>
      <w:pPr>
        <w:spacing w:line="440" w:lineRule="exact"/>
        <w:ind w:firstLine="1400" w:firstLineChars="500"/>
        <w:jc w:val="left"/>
        <w:rPr>
          <w:rFonts w:ascii="仿宋_GB2312" w:hAnsi="仿宋_GB2312" w:cs="仿宋_GB2312"/>
          <w:sz w:val="28"/>
          <w:szCs w:val="28"/>
        </w:rPr>
      </w:pPr>
      <w:r>
        <w:rPr>
          <w:rFonts w:hint="eastAsia" w:ascii="仿宋_GB2312" w:hAnsi="仿宋_GB2312" w:cs="仿宋_GB2312"/>
          <w:sz w:val="28"/>
          <w:szCs w:val="28"/>
        </w:rPr>
        <w:t>4.2022年工作总结</w:t>
      </w:r>
    </w:p>
    <w:p>
      <w:pPr>
        <w:spacing w:line="440" w:lineRule="exact"/>
        <w:ind w:firstLine="1400" w:firstLineChars="500"/>
        <w:jc w:val="left"/>
        <w:rPr>
          <w:rFonts w:ascii="仿宋_GB2312" w:hAnsi="仿宋_GB2312" w:cs="仿宋_GB2312"/>
          <w:sz w:val="28"/>
          <w:szCs w:val="28"/>
        </w:rPr>
      </w:pPr>
      <w:r>
        <w:rPr>
          <w:rFonts w:hint="eastAsia" w:ascii="仿宋_GB2312" w:hAnsi="仿宋_GB2312" w:cs="仿宋_GB2312"/>
          <w:sz w:val="28"/>
          <w:szCs w:val="28"/>
        </w:rPr>
        <w:t>5.工作底稿</w:t>
      </w:r>
      <w:r>
        <w:rPr>
          <w:rFonts w:hint="eastAsia" w:ascii="仿宋_GB2312" w:hAnsi="仿宋_GB2312" w:cs="仿宋_GB2312"/>
          <w:sz w:val="28"/>
          <w:szCs w:val="28"/>
        </w:rPr>
        <w:tab/>
      </w:r>
    </w:p>
    <w:p>
      <w:pPr>
        <w:spacing w:line="440" w:lineRule="exact"/>
        <w:ind w:firstLine="1400" w:firstLineChars="500"/>
        <w:jc w:val="left"/>
        <w:rPr>
          <w:rFonts w:ascii="仿宋_GB2312" w:hAnsi="仿宋_GB2312" w:cs="仿宋_GB2312"/>
          <w:sz w:val="28"/>
          <w:szCs w:val="28"/>
        </w:rPr>
      </w:pPr>
      <w:r>
        <w:rPr>
          <w:rFonts w:hint="eastAsia" w:ascii="仿宋_GB2312" w:hAnsi="仿宋_GB2312" w:cs="仿宋_GB2312"/>
          <w:sz w:val="28"/>
          <w:szCs w:val="28"/>
        </w:rPr>
        <w:t>6.盘龙区残疾人综合服务中心2022年部门预算、决算明细表（单位：元）</w:t>
      </w:r>
    </w:p>
    <w:p>
      <w:pPr>
        <w:spacing w:line="600" w:lineRule="exact"/>
        <w:ind w:firstLine="600"/>
        <w:jc w:val="center"/>
        <w:rPr>
          <w:rFonts w:ascii="方正小标宋_GBK" w:hAnsi="黑体" w:eastAsia="方正小标宋_GBK"/>
          <w:szCs w:val="32"/>
        </w:rPr>
      </w:pPr>
    </w:p>
    <w:p>
      <w:pPr>
        <w:spacing w:line="56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昆明市盘龙区残疾人综合服务中心</w:t>
      </w:r>
    </w:p>
    <w:p>
      <w:pPr>
        <w:spacing w:line="560" w:lineRule="exact"/>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2022年度部门整体支出绩效评价报告</w:t>
      </w:r>
    </w:p>
    <w:p>
      <w:pPr>
        <w:spacing w:line="560" w:lineRule="exact"/>
        <w:ind w:firstLine="0" w:firstLineChars="0"/>
        <w:rPr>
          <w:rFonts w:ascii="仿宋_GB2312" w:hAnsi="仿宋_GB2312" w:cs="仿宋_GB2312"/>
          <w:sz w:val="32"/>
          <w:szCs w:val="32"/>
        </w:rPr>
      </w:pPr>
    </w:p>
    <w:p>
      <w:pPr>
        <w:spacing w:line="560" w:lineRule="exact"/>
        <w:ind w:firstLine="640"/>
        <w:rPr>
          <w:rFonts w:ascii="黑体" w:hAnsi="黑体" w:eastAsia="黑体" w:cs="黑体"/>
          <w:sz w:val="32"/>
          <w:szCs w:val="32"/>
        </w:rPr>
      </w:pPr>
      <w:r>
        <w:rPr>
          <w:rFonts w:hint="eastAsia" w:ascii="黑体" w:hAnsi="黑体" w:eastAsia="黑体" w:cs="黑体"/>
          <w:sz w:val="32"/>
          <w:szCs w:val="32"/>
        </w:rPr>
        <w:t>一、部门概况</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（一）部门机构设置、编制</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昆明市盘龙区残疾人综合服务中心为区残疾人联合会下属事业单位，是一个集多种功能为一体的，为辖区残疾人提供职业技能培训、职业介绍、康复治疗及训练、用品用具供应、法律援助、政策咨询、文化交流、文体娱乐等多方面服务的残疾人综合服务机构。</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盘龙区残疾人综合服务中心经区人民政府批准于2000年10月成立（盘机编复〔2000〕12号文），为盘龙区残疾人联合会下属事业单位，机构规格：股级；内设机构：一室二部（办公室、就业服务部、康复服务部）；经费形式：差额拨款(财政差额拨款80%)；2017年8月经区事业单位登记管理局批准，取得事业单位法人证书，从2018年4月起机构单列，实行独立核算。</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（二）部门职能</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（1）管理好残疾人综合服务中心大楼设施，完善中心的服务功能，为残疾人提供学文化、求知识、感情交流、增进友谊的活动场所。</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（2）为各类残疾人提供有针对性的康复技术指导、康复治疗及训练、康复评估、转介等服务；残疾人聋儿语言康复训练服务。</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（3）为辖区各类残疾人提供康复、生活辅助用具供应。</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（4）做好全区残疾人职业技能培训项目和职业技术、生产技能培训，为残疾人就业、创业提供平台。</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（5）做好区“五类”残疾人协会管理工作，定期组织残疾人协会开展各种形式多样的文化体育、社会公益、信息交流、政策法规宣传等活动，充分发挥残疾人与残疾人之间、残联与协会之间桥梁和纽带作用。</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（6）宣传、贯彻残疾人保障法，为残疾人提供法律咨询、法律援助、法律服务，维护残疾人合法权益。</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（三）部门工作完成情况</w:t>
      </w:r>
    </w:p>
    <w:p>
      <w:pPr>
        <w:ind w:firstLine="602"/>
        <w:rPr>
          <w:rFonts w:ascii="仿宋" w:hAnsi="仿宋" w:eastAsia="仿宋" w:cs="宋体"/>
          <w:b/>
          <w:kern w:val="0"/>
          <w:szCs w:val="30"/>
        </w:rPr>
      </w:pPr>
      <w:r>
        <w:rPr>
          <w:rFonts w:hint="eastAsia" w:ascii="仿宋" w:hAnsi="仿宋" w:eastAsia="仿宋" w:cs="宋体"/>
          <w:b/>
          <w:kern w:val="0"/>
          <w:szCs w:val="30"/>
        </w:rPr>
        <w:t>1</w:t>
      </w:r>
      <w:r>
        <w:rPr>
          <w:rFonts w:hint="eastAsia" w:ascii="仿宋" w:hAnsi="仿宋" w:eastAsia="仿宋" w:cs="宋体"/>
          <w:b/>
          <w:kern w:val="0"/>
          <w:szCs w:val="30"/>
          <w:lang w:val="en-US" w:eastAsia="zh-CN"/>
        </w:rPr>
        <w:t>.</w:t>
      </w:r>
      <w:r>
        <w:rPr>
          <w:rFonts w:hint="eastAsia" w:ascii="仿宋" w:hAnsi="仿宋" w:eastAsia="仿宋" w:cs="宋体"/>
          <w:b/>
          <w:kern w:val="0"/>
          <w:szCs w:val="30"/>
        </w:rPr>
        <w:t>维护管理残疾人综合服务设施和做好安全保卫工作</w:t>
      </w:r>
    </w:p>
    <w:p>
      <w:pPr>
        <w:ind w:firstLine="600"/>
        <w:rPr>
          <w:rFonts w:ascii="仿宋" w:hAnsi="仿宋" w:eastAsia="仿宋" w:cs="宋体"/>
          <w:kern w:val="0"/>
          <w:szCs w:val="30"/>
        </w:rPr>
      </w:pPr>
      <w:r>
        <w:rPr>
          <w:rFonts w:hint="eastAsia" w:ascii="仿宋" w:hAnsi="仿宋" w:eastAsia="仿宋" w:cs="宋体"/>
          <w:kern w:val="0"/>
          <w:szCs w:val="30"/>
        </w:rPr>
        <w:t>严格执行《社会治安综合治理领导责任制》、《消防安全管理制度》，保安人员24小时巡逻值班,工作人员做到每天人走灯熄、关好门窗，定期对大楼设施进行安全隐患排查，落实消防器材配备，发现设施设备损坏及时维护、修理或更换，保证大楼供水、供电、供气正常，保障大楼健康运行；年内组织两期职工消防安全知识培训，开展应急疏散演练，提升广大职工的安全意识。</w:t>
      </w:r>
    </w:p>
    <w:p>
      <w:pPr>
        <w:ind w:firstLine="602"/>
        <w:rPr>
          <w:rFonts w:ascii="仿宋" w:hAnsi="仿宋" w:eastAsia="仿宋" w:cs="宋体"/>
          <w:b/>
          <w:kern w:val="0"/>
          <w:szCs w:val="30"/>
        </w:rPr>
      </w:pPr>
      <w:r>
        <w:rPr>
          <w:rFonts w:hint="eastAsia" w:ascii="仿宋" w:hAnsi="仿宋" w:eastAsia="仿宋" w:cs="宋体"/>
          <w:b/>
          <w:kern w:val="0"/>
          <w:szCs w:val="30"/>
        </w:rPr>
        <w:t>2</w:t>
      </w:r>
      <w:r>
        <w:rPr>
          <w:rFonts w:hint="eastAsia" w:ascii="仿宋" w:hAnsi="仿宋" w:eastAsia="仿宋" w:cs="宋体"/>
          <w:b/>
          <w:kern w:val="0"/>
          <w:szCs w:val="30"/>
          <w:lang w:val="en-US" w:eastAsia="zh-CN"/>
        </w:rPr>
        <w:t>.</w:t>
      </w:r>
      <w:r>
        <w:rPr>
          <w:rFonts w:hint="eastAsia" w:ascii="仿宋" w:hAnsi="仿宋" w:eastAsia="仿宋" w:cs="宋体"/>
          <w:b/>
          <w:kern w:val="0"/>
          <w:szCs w:val="30"/>
        </w:rPr>
        <w:t>持续开展疫情防控工作和保障服务中心大楼环境卫生</w:t>
      </w:r>
    </w:p>
    <w:p>
      <w:pPr>
        <w:ind w:firstLine="600"/>
        <w:rPr>
          <w:rFonts w:ascii="仿宋" w:hAnsi="仿宋" w:eastAsia="仿宋" w:cs="宋体"/>
          <w:kern w:val="0"/>
          <w:szCs w:val="30"/>
        </w:rPr>
      </w:pPr>
      <w:r>
        <w:rPr>
          <w:rFonts w:hint="eastAsia" w:ascii="仿宋" w:hAnsi="仿宋" w:eastAsia="仿宋" w:cs="宋体"/>
          <w:kern w:val="0"/>
          <w:szCs w:val="30"/>
        </w:rPr>
        <w:t>服务中心大楼由实行专人值班和领导带班制度，凡进出入大楼的来访人员必须测温、扫码、登记，方可能进入。大楼由保洁人员严格实行工作日1天2次全区域清扫、消毒，办公区域集中设置分类垃圾收集箱（桶），垃圾统一收集处理，卫生间门口设洗手台摆放专用消毒洗手液，方便来访群众及单位工作人员随时清洗双手，楼道、过道保持室内外空气流通，降低病毒传播风险。</w:t>
      </w:r>
    </w:p>
    <w:p>
      <w:pPr>
        <w:ind w:firstLine="602"/>
        <w:rPr>
          <w:rFonts w:ascii="仿宋" w:hAnsi="仿宋" w:eastAsia="仿宋" w:cs="宋体"/>
          <w:b/>
          <w:kern w:val="0"/>
          <w:szCs w:val="30"/>
        </w:rPr>
      </w:pPr>
      <w:r>
        <w:rPr>
          <w:rFonts w:hint="eastAsia" w:ascii="仿宋" w:hAnsi="仿宋" w:eastAsia="仿宋" w:cs="宋体"/>
          <w:b/>
          <w:kern w:val="0"/>
          <w:szCs w:val="30"/>
        </w:rPr>
        <w:t>3</w:t>
      </w:r>
      <w:r>
        <w:rPr>
          <w:rFonts w:hint="eastAsia" w:ascii="仿宋" w:hAnsi="仿宋" w:eastAsia="仿宋" w:cs="宋体"/>
          <w:b/>
          <w:kern w:val="0"/>
          <w:szCs w:val="30"/>
          <w:lang w:val="en-US" w:eastAsia="zh-CN"/>
        </w:rPr>
        <w:t>.</w:t>
      </w:r>
      <w:r>
        <w:rPr>
          <w:rFonts w:hint="eastAsia" w:ascii="仿宋" w:hAnsi="仿宋" w:eastAsia="仿宋" w:cs="宋体"/>
          <w:b/>
          <w:kern w:val="0"/>
          <w:szCs w:val="30"/>
        </w:rPr>
        <w:t>继续合作开展昆明市聋儿听力语言训练康复项目</w:t>
      </w:r>
    </w:p>
    <w:p>
      <w:pPr>
        <w:ind w:firstLine="600"/>
        <w:rPr>
          <w:rFonts w:ascii="仿宋" w:hAnsi="仿宋" w:eastAsia="仿宋" w:cs="宋体"/>
          <w:kern w:val="0"/>
          <w:szCs w:val="30"/>
        </w:rPr>
      </w:pPr>
      <w:r>
        <w:rPr>
          <w:rFonts w:hint="eastAsia" w:ascii="仿宋" w:hAnsi="仿宋" w:eastAsia="仿宋" w:cs="宋体"/>
          <w:kern w:val="0"/>
          <w:szCs w:val="30"/>
        </w:rPr>
        <w:t>2022年我单位继续同昆明博爱聋儿康复中心合作利用我中心场地共同开展昆明市聋儿听力语言训练康复项目，全年为我市55名（盘龙区4名）0-14岁残障聋儿提供了优质的听力、语言康复训练服务，我中心负责提供项目实施所需的场地，对项目的实施进行业务指导，对服务行为、服务质量等进行监督和评估。</w:t>
      </w:r>
    </w:p>
    <w:p>
      <w:pPr>
        <w:ind w:firstLine="602"/>
        <w:rPr>
          <w:rFonts w:ascii="仿宋" w:hAnsi="仿宋" w:eastAsia="仿宋" w:cs="宋体"/>
          <w:b/>
          <w:kern w:val="0"/>
          <w:szCs w:val="30"/>
        </w:rPr>
      </w:pPr>
      <w:r>
        <w:rPr>
          <w:rFonts w:hint="eastAsia" w:ascii="仿宋" w:hAnsi="仿宋" w:eastAsia="仿宋" w:cs="宋体"/>
          <w:b/>
          <w:kern w:val="0"/>
          <w:szCs w:val="30"/>
        </w:rPr>
        <w:t>4</w:t>
      </w:r>
      <w:r>
        <w:rPr>
          <w:rFonts w:hint="eastAsia" w:ascii="仿宋" w:hAnsi="仿宋" w:eastAsia="仿宋" w:cs="宋体"/>
          <w:b/>
          <w:kern w:val="0"/>
          <w:szCs w:val="30"/>
          <w:lang w:val="en-US" w:eastAsia="zh-CN"/>
        </w:rPr>
        <w:t>.</w:t>
      </w:r>
      <w:r>
        <w:rPr>
          <w:rFonts w:hint="eastAsia" w:ascii="仿宋" w:hAnsi="仿宋" w:eastAsia="仿宋" w:cs="宋体"/>
          <w:b/>
          <w:kern w:val="0"/>
          <w:szCs w:val="30"/>
        </w:rPr>
        <w:t>组织开展区残疾人合唱团文化活动</w:t>
      </w:r>
    </w:p>
    <w:p>
      <w:pPr>
        <w:ind w:firstLine="600"/>
        <w:rPr>
          <w:rFonts w:ascii="仿宋" w:hAnsi="仿宋" w:eastAsia="仿宋" w:cs="宋体"/>
          <w:kern w:val="0"/>
          <w:szCs w:val="30"/>
        </w:rPr>
      </w:pPr>
      <w:r>
        <w:rPr>
          <w:rFonts w:hint="eastAsia" w:ascii="仿宋" w:hAnsi="仿宋" w:eastAsia="仿宋" w:cs="宋体"/>
          <w:kern w:val="0"/>
          <w:szCs w:val="30"/>
        </w:rPr>
        <w:t>为区残疾人合唱团提供日常活动场地及中餐等后勤服务，负责聘请区文化馆、省歌舞团专业声乐老师为区残疾人合唱团演员教授唱歌练声的科学方法、传授歌唱技巧；全年组织各项排练、演出活动26场，预计参加活动演员487人次，丰富我区残疾人的精神文化生活。</w:t>
      </w:r>
    </w:p>
    <w:p>
      <w:pPr>
        <w:ind w:firstLine="602"/>
        <w:rPr>
          <w:rFonts w:ascii="仿宋" w:hAnsi="仿宋" w:eastAsia="仿宋" w:cs="宋体"/>
          <w:b/>
          <w:kern w:val="0"/>
          <w:szCs w:val="30"/>
        </w:rPr>
      </w:pPr>
      <w:r>
        <w:rPr>
          <w:rFonts w:hint="eastAsia" w:ascii="仿宋" w:hAnsi="仿宋" w:eastAsia="仿宋" w:cs="宋体"/>
          <w:b/>
          <w:kern w:val="0"/>
          <w:szCs w:val="30"/>
        </w:rPr>
        <w:t>5</w:t>
      </w:r>
      <w:r>
        <w:rPr>
          <w:rFonts w:hint="eastAsia" w:ascii="仿宋" w:hAnsi="仿宋" w:eastAsia="仿宋" w:cs="宋体"/>
          <w:b/>
          <w:kern w:val="0"/>
          <w:szCs w:val="30"/>
          <w:lang w:val="en-US" w:eastAsia="zh-CN"/>
        </w:rPr>
        <w:t>.</w:t>
      </w:r>
      <w:r>
        <w:rPr>
          <w:rFonts w:hint="eastAsia" w:ascii="仿宋" w:hAnsi="仿宋" w:eastAsia="仿宋" w:cs="宋体"/>
          <w:b/>
          <w:kern w:val="0"/>
          <w:szCs w:val="30"/>
        </w:rPr>
        <w:t>配合区残疾人就业服务站开展残疾人职业技能和生产实用技术培训工作</w:t>
      </w:r>
    </w:p>
    <w:p>
      <w:pPr>
        <w:ind w:firstLine="600"/>
        <w:rPr>
          <w:rFonts w:ascii="仿宋" w:hAnsi="仿宋" w:eastAsia="仿宋" w:cs="宋体"/>
          <w:kern w:val="0"/>
          <w:szCs w:val="30"/>
        </w:rPr>
      </w:pPr>
      <w:r>
        <w:rPr>
          <w:rFonts w:hint="eastAsia" w:ascii="仿宋" w:hAnsi="仿宋" w:eastAsia="仿宋" w:cs="宋体"/>
          <w:kern w:val="0"/>
          <w:szCs w:val="30"/>
        </w:rPr>
        <w:t>积极配合区残疾人就业服务站做好残疾人职业技能和生产实用技术培训教室的使用安排，提供完善的培训设施、设备（无线话筒、音响、投影、电视、Wifi等）和安排专人负责现场服务，供应饮用水、茶歇，每天两次清扫教室卫生，保持教室内清洁、空气清新，为残疾人提供优良的培训环境。</w:t>
      </w:r>
    </w:p>
    <w:p>
      <w:pPr>
        <w:ind w:firstLine="602"/>
        <w:rPr>
          <w:rFonts w:ascii="仿宋" w:hAnsi="仿宋" w:eastAsia="仿宋" w:cs="宋体"/>
          <w:b/>
          <w:kern w:val="0"/>
          <w:szCs w:val="30"/>
        </w:rPr>
      </w:pPr>
      <w:r>
        <w:rPr>
          <w:rFonts w:hint="eastAsia" w:ascii="仿宋" w:hAnsi="仿宋" w:eastAsia="仿宋" w:cs="宋体"/>
          <w:b/>
          <w:kern w:val="0"/>
          <w:szCs w:val="30"/>
        </w:rPr>
        <w:t>6</w:t>
      </w:r>
      <w:r>
        <w:rPr>
          <w:rFonts w:hint="eastAsia" w:ascii="仿宋" w:hAnsi="仿宋" w:eastAsia="仿宋" w:cs="宋体"/>
          <w:b/>
          <w:kern w:val="0"/>
          <w:szCs w:val="30"/>
          <w:lang w:val="en-US" w:eastAsia="zh-CN"/>
        </w:rPr>
        <w:t>.</w:t>
      </w:r>
      <w:bookmarkStart w:id="0" w:name="_GoBack"/>
      <w:bookmarkEnd w:id="0"/>
      <w:r>
        <w:rPr>
          <w:rFonts w:hint="eastAsia" w:ascii="仿宋" w:hAnsi="仿宋" w:eastAsia="仿宋" w:cs="宋体"/>
          <w:b/>
          <w:kern w:val="0"/>
          <w:szCs w:val="30"/>
        </w:rPr>
        <w:t>积极开展节约型机关和公共机构节水单位两项创建工作</w:t>
      </w:r>
    </w:p>
    <w:p>
      <w:pPr>
        <w:ind w:firstLine="600"/>
        <w:rPr>
          <w:rFonts w:ascii="仿宋" w:hAnsi="仿宋" w:eastAsia="仿宋" w:cs="宋体"/>
          <w:kern w:val="0"/>
          <w:szCs w:val="30"/>
        </w:rPr>
      </w:pPr>
      <w:r>
        <w:rPr>
          <w:rFonts w:hint="eastAsia" w:ascii="仿宋" w:hAnsi="仿宋" w:eastAsia="仿宋" w:cs="宋体"/>
          <w:kern w:val="0"/>
          <w:szCs w:val="30"/>
        </w:rPr>
        <w:t>为全面贯彻落实习近平生态文明思想，大力推进节约型机关建设，在残联领导的支持下，我中心多措并举积极组织开展节约型机关和公共机构节水单位两项创建工作，制定工作方案， 细化工作措施，开展节能宣传，动员广大干部职工切实增强资源忧患意识、节约意识和责任意识，从节约一度电、一滴水、一升油、一张纸等点滴小事做起，勤俭办事，逐步形成崇尚节约、厉行节约的良好氛围，2022年10月底已完成两项创建的前期申报工作。</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（四）部门管理制度</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盘龙区残疾人综合服务中心内部管理制度》、《盘龙区残疾人综合服务中心“三重一大”集体决策制度》、《盘龙区残疾人综合服务中心办公会议事规则》、《盘龙区残疾人综合服务中心财务管理制度（试行）》等。</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（五）部门资金来源及使用情况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1.部门资金来源。</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2022年盘龙区残疾人综合服务中心资金收入共计</w:t>
      </w:r>
      <w:r>
        <w:rPr>
          <w:rFonts w:ascii="仿宋_GB2312" w:hAnsi="仿宋_GB2312" w:cs="仿宋_GB2312"/>
          <w:sz w:val="32"/>
          <w:szCs w:val="32"/>
        </w:rPr>
        <w:t>97.96</w:t>
      </w:r>
      <w:r>
        <w:rPr>
          <w:rFonts w:hint="eastAsia" w:ascii="仿宋_GB2312" w:hAnsi="仿宋_GB2312" w:cs="仿宋_GB2312"/>
          <w:sz w:val="32"/>
          <w:szCs w:val="32"/>
        </w:rPr>
        <w:t>万元，来源主要有区级预算收入、纳入预算管理的非税收入和上级转移支付资金。</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2022年初下达预算收入73.36万元，年中追加预算收入24.60万元，年末执行预算收入合计97.96万元，其中：一般公共预算财政拨款收入67.20万元、其他收入：30.76万元。</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2.部门资金使用情况。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2022年经费共计95.83万元，其中：基本支出67.20万元、项目支出28.63万元（全部</w:t>
      </w:r>
      <w:r>
        <w:rPr>
          <w:rFonts w:ascii="仿宋_GB2312" w:hAnsi="仿宋_GB2312" w:cs="仿宋_GB2312"/>
          <w:sz w:val="32"/>
          <w:szCs w:val="32"/>
        </w:rPr>
        <w:t>为</w:t>
      </w:r>
      <w:r>
        <w:rPr>
          <w:rFonts w:hint="eastAsia" w:ascii="仿宋_GB2312" w:hAnsi="仿宋_GB2312" w:cs="仿宋_GB2312"/>
          <w:sz w:val="32"/>
          <w:szCs w:val="32"/>
        </w:rPr>
        <w:t>其他残疾人事业支出项目支出）。</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（六）政府采购情况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盘龙区残疾人综合服务中心2022年无政府采购。</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（七）固定资产情况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截至2022年12月31日，昆明市盘龙区残疾人综合服务中心固定资产原值</w:t>
      </w:r>
      <w:r>
        <w:rPr>
          <w:rFonts w:ascii="仿宋_GB2312" w:hAnsi="仿宋_GB2312" w:cs="仿宋_GB2312"/>
          <w:sz w:val="32"/>
          <w:szCs w:val="32"/>
        </w:rPr>
        <w:t>3.24</w:t>
      </w:r>
      <w:r>
        <w:rPr>
          <w:rFonts w:hint="eastAsia" w:ascii="仿宋_GB2312" w:hAnsi="仿宋_GB2312" w:cs="仿宋_GB2312"/>
          <w:sz w:val="32"/>
          <w:szCs w:val="32"/>
        </w:rPr>
        <w:t>万元，固定资产累计折旧</w:t>
      </w:r>
      <w:r>
        <w:rPr>
          <w:rFonts w:ascii="仿宋_GB2312" w:hAnsi="仿宋_GB2312" w:cs="仿宋_GB2312"/>
          <w:sz w:val="32"/>
          <w:szCs w:val="32"/>
        </w:rPr>
        <w:t>0.49</w:t>
      </w:r>
      <w:r>
        <w:rPr>
          <w:rFonts w:hint="eastAsia" w:ascii="仿宋_GB2312" w:hAnsi="仿宋_GB2312" w:cs="仿宋_GB2312"/>
          <w:sz w:val="32"/>
          <w:szCs w:val="32"/>
        </w:rPr>
        <w:t>万元，固定资产净值为</w:t>
      </w:r>
      <w:r>
        <w:rPr>
          <w:rFonts w:ascii="仿宋_GB2312" w:hAnsi="仿宋_GB2312" w:cs="仿宋_GB2312"/>
          <w:sz w:val="32"/>
          <w:szCs w:val="32"/>
        </w:rPr>
        <w:t>2.75</w:t>
      </w:r>
      <w:r>
        <w:rPr>
          <w:rFonts w:hint="eastAsia" w:ascii="仿宋_GB2312" w:hAnsi="仿宋_GB2312" w:cs="仿宋_GB2312"/>
          <w:sz w:val="32"/>
          <w:szCs w:val="32"/>
        </w:rPr>
        <w:t>万元；无形资产</w:t>
      </w:r>
      <w:r>
        <w:rPr>
          <w:rFonts w:ascii="仿宋_GB2312" w:hAnsi="仿宋_GB2312" w:cs="仿宋_GB2312"/>
          <w:sz w:val="32"/>
          <w:szCs w:val="32"/>
        </w:rPr>
        <w:t>0.68</w:t>
      </w:r>
      <w:r>
        <w:rPr>
          <w:rFonts w:hint="eastAsia" w:ascii="仿宋_GB2312" w:hAnsi="仿宋_GB2312" w:cs="仿宋_GB2312"/>
          <w:sz w:val="32"/>
          <w:szCs w:val="32"/>
        </w:rPr>
        <w:t>万元，无形资产累计摊销</w:t>
      </w:r>
      <w:r>
        <w:rPr>
          <w:rFonts w:ascii="仿宋_GB2312" w:hAnsi="仿宋_GB2312" w:cs="仿宋_GB2312"/>
          <w:sz w:val="32"/>
          <w:szCs w:val="32"/>
        </w:rPr>
        <w:t>0.53</w:t>
      </w:r>
      <w:r>
        <w:rPr>
          <w:rFonts w:hint="eastAsia" w:ascii="仿宋_GB2312" w:hAnsi="仿宋_GB2312" w:cs="仿宋_GB2312"/>
          <w:sz w:val="32"/>
          <w:szCs w:val="32"/>
        </w:rPr>
        <w:t>万元，无形资产净值为</w:t>
      </w:r>
      <w:r>
        <w:rPr>
          <w:rFonts w:ascii="仿宋_GB2312" w:hAnsi="仿宋_GB2312" w:cs="仿宋_GB2312"/>
          <w:sz w:val="32"/>
          <w:szCs w:val="32"/>
        </w:rPr>
        <w:t>0.15</w:t>
      </w:r>
      <w:r>
        <w:rPr>
          <w:rFonts w:hint="eastAsia" w:ascii="仿宋_GB2312" w:hAnsi="仿宋_GB2312" w:cs="仿宋_GB2312"/>
          <w:sz w:val="32"/>
          <w:szCs w:val="32"/>
        </w:rPr>
        <w:t>万元。2022年无新增固定资产和无形资产。</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二、绩效目标</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（一）部门总目标</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为辖区残疾人提供职业技能培训、职业介绍、康复治疗及训练、用品用具供应、法律援助、政策咨询、文化交流、文体娱乐等多方面服务的残疾人综合服务。</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（二）部门项目具体计划目标</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1.维护管理残疾人综合服务设施和做好安全保卫工作。</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2.持续开展疫情防控工作和保障服务中心大楼环境卫生。</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3.继续合作开展昆明市聋儿听力语言训练康复项目。</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4.组织开展区残疾人合唱团文化活动。</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5.配合区残疾人就业服务站开展残疾人职业技能和生产实用技术培训工作。</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6.积极开展节约型机关和公共机构节水单位两项创建工作。</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三、评价思路和过程</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（一）评价思路</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确认当年度部门整体支出的绩效目标→梳理部门内部管理制度及存量资源→分析确定当年度部门整体支出的评价重点→构建绩效评价指标体系。</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（二）评价目的</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通过收集单位基本情况、2022年预算制定与预算明细、2022年年度工作计划及组织架构等信息，分析本单位资源配置的合理性及中长期规划目标完成与履职情况，总结经验做法，找出预算绩效管理中的薄弱环节，提出改进建议，提高财政资金的使用效益。</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（三）评价依据</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盘龙区残疾人综合服务中心2022年整体绩效评价主要依据是参照：《昆明市盘龙区财政局关于下达2022年部门预算的批复》（盘财〔2022〕1号）、《昆明市盘龙区财政局关于开展2022年度区级预算支出绩效自评工作的通知》（盘财绩〔2023〕14号）、《盘龙区区级部门预算绩效自评管理暂行办法》（盘财〔2018〕71号）、2022年度盘龙区残疾人综合服务中心预算执行情况表、2022年1-12月预算绩效跟踪表、中央、省、市、区党委政府对于部门或该项目的相关要求等，对2022年度预算支出情况进行分析评价。</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（四）评价对象及评价时段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盘龙区残疾人综合服务中心对2022年度区级预算安排的基本支出、项目支出进行评价。评价分为季度评价和年度评价，每个季度对整体支出绩效和项目支出绩效跟踪，及时将跟踪结果反馈区级财政部门，年度终了，对整个会计年度的支出情况做全面绩效分析。</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四、评价结论和绩效分析</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spacing w:line="560" w:lineRule="exact"/>
        <w:ind w:firstLine="643"/>
        <w:rPr>
          <w:rFonts w:ascii="仿宋_GB2312" w:hAnsi="仿宋_GB2312" w:cs="仿宋_GB2312"/>
          <w:b/>
          <w:bCs/>
          <w:sz w:val="32"/>
          <w:szCs w:val="32"/>
        </w:rPr>
      </w:pPr>
      <w:r>
        <w:rPr>
          <w:rFonts w:hint="eastAsia" w:ascii="仿宋_GB2312" w:hAnsi="仿宋_GB2312" w:cs="仿宋_GB2312"/>
          <w:b/>
          <w:bCs/>
          <w:sz w:val="32"/>
          <w:szCs w:val="32"/>
        </w:rPr>
        <w:t>1.评价结果。</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2022年残疾人基本支出和项目支出资金使用严格按照《预算法》、《会计法》执行，符合中央、省、市文件要求，财政资金的投入，进一步完善了为残疾人服务体系，提高了残疾人服务水平，不断改善对残疾人的服务，增加残疾人幸福感和社会参与感，促进残疾人全面发展。本单位整体绩效指标评价体系总分100分，自评得分100分。</w:t>
      </w:r>
    </w:p>
    <w:p>
      <w:pPr>
        <w:spacing w:line="560" w:lineRule="exact"/>
        <w:ind w:firstLine="643"/>
        <w:rPr>
          <w:rFonts w:ascii="仿宋_GB2312" w:hAnsi="仿宋_GB2312" w:cs="仿宋_GB2312"/>
          <w:b/>
          <w:bCs/>
          <w:sz w:val="32"/>
          <w:szCs w:val="32"/>
        </w:rPr>
      </w:pPr>
      <w:r>
        <w:rPr>
          <w:rFonts w:hint="eastAsia" w:ascii="仿宋_GB2312" w:hAnsi="仿宋_GB2312" w:cs="仿宋_GB2312"/>
          <w:b/>
          <w:bCs/>
          <w:sz w:val="32"/>
          <w:szCs w:val="32"/>
        </w:rPr>
        <w:t>2.主要绩效。</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1.维护管理残疾人综合服务设施和做好安全保卫工作,保证大楼供水、供电、供气正常，保障大楼健康运行。</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2.持续开展疫情防控工作和保障服务中心大楼环境卫生,实行专人值班和领导带班制度，降低病毒传播风险。</w:t>
      </w:r>
    </w:p>
    <w:p>
      <w:pPr>
        <w:spacing w:line="560" w:lineRule="exact"/>
        <w:ind w:firstLine="640"/>
        <w:rPr>
          <w:rFonts w:hint="eastAsia" w:ascii="仿宋_GB2312" w:hAnsi="仿宋_GB2312" w:cs="仿宋_GB2312"/>
          <w:sz w:val="32"/>
          <w:szCs w:val="32"/>
        </w:rPr>
      </w:pPr>
      <w:r>
        <w:rPr>
          <w:rFonts w:hint="eastAsia" w:ascii="仿宋_GB2312" w:hAnsi="仿宋_GB2312" w:cs="仿宋_GB2312"/>
          <w:sz w:val="32"/>
          <w:szCs w:val="32"/>
        </w:rPr>
        <w:t>3.继续合作开展昆明市聋儿听力语言训练康复项目</w:t>
      </w:r>
      <w:r>
        <w:rPr>
          <w:rFonts w:ascii="仿宋_GB2312" w:hAnsi="仿宋_GB2312" w:cs="仿宋_GB2312"/>
          <w:sz w:val="32"/>
          <w:szCs w:val="32"/>
        </w:rPr>
        <w:t>,</w:t>
      </w:r>
      <w:r>
        <w:rPr>
          <w:rFonts w:hint="eastAsia" w:ascii="仿宋_GB2312" w:hAnsi="仿宋_GB2312" w:cs="仿宋_GB2312"/>
          <w:sz w:val="32"/>
          <w:szCs w:val="32"/>
        </w:rPr>
        <w:t>全年为我市55名（盘龙区4名）0-14岁残障聋儿提供了优质的听力、语言康复训练服务。</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4.组织开展区残疾人合唱团文化活动，全年组织各项排练、演出活动26场，预计参加活动演员487人次，丰富我区残疾人的精神文化生活。</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5.配合区残疾人就业服务站开展残疾人职业技能和生产实用技术培训工作提供完善的培训设施、设备（无线话筒、音响、投影、电视、Wifi等）和安排专人负责现场服务，供应饮用水、茶歇，每天两次清扫教室卫生，保持教室内清洁、空气清新，为残疾人提供优良的培训环境。</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6.积极开展节约型机关和公共机构节水单位两项创建工作，2022年10月底已完成两项创建的前期申报。</w:t>
      </w:r>
    </w:p>
    <w:p>
      <w:pPr>
        <w:spacing w:line="560" w:lineRule="exact"/>
        <w:ind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评价组对本单位整体绩效从部门决策、部门管理和部门绩效三个方面设立11个二级指标、45个三级指标，按照不同权重对项目绩效进行量化评价，具体评价情况如下：</w:t>
      </w:r>
    </w:p>
    <w:p>
      <w:pPr>
        <w:spacing w:line="560" w:lineRule="exact"/>
        <w:ind w:firstLine="643"/>
        <w:rPr>
          <w:rFonts w:ascii="仿宋_GB2312" w:hAnsi="仿宋_GB2312" w:cs="仿宋_GB2312"/>
          <w:b/>
          <w:bCs/>
          <w:sz w:val="32"/>
          <w:szCs w:val="32"/>
        </w:rPr>
      </w:pPr>
      <w:r>
        <w:rPr>
          <w:rFonts w:hint="eastAsia" w:ascii="仿宋_GB2312" w:hAnsi="仿宋_GB2312" w:cs="仿宋_GB2312"/>
          <w:b/>
          <w:bCs/>
          <w:sz w:val="32"/>
          <w:szCs w:val="32"/>
        </w:rPr>
        <w:t>1.部门决策（总分35分，评价得分35分）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部门目标：部门中长期规划目标、年度规划目标明确，部门详细工作计划与年度工作目标对应匹配，绩效目标合理可量化，符合部门制定的中长期实施规划计，符合部门“三定”方案确定的职责，与部门年度工作目标、任务相一致。（总分12分，评价得分12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部门职能：①职能明确、设定依据充分，有“三定”文件，部门详细工作目标与部门职能对应匹配，部门年度具体工作与部门职能对应匹配，部门内设科室及下属单位具体职责明确。（总分10分，评价得分10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3）资源配置：部门年度基本支出预算根据人员经费、公用经费标准进行合理编制，部门年度项目支出预算程序、预算依据、适用范围合理，部门核定人员的编制与部门工作内容合理，部门现有办公资源能否满足部门日常工作需求。（总分13分，评价得分13分）</w:t>
      </w:r>
    </w:p>
    <w:p>
      <w:pPr>
        <w:spacing w:line="560" w:lineRule="exact"/>
        <w:ind w:firstLine="643"/>
        <w:rPr>
          <w:rFonts w:ascii="仿宋_GB2312" w:hAnsi="仿宋_GB2312" w:cs="仿宋_GB2312"/>
          <w:b/>
          <w:bCs/>
          <w:sz w:val="32"/>
          <w:szCs w:val="32"/>
        </w:rPr>
      </w:pPr>
      <w:r>
        <w:rPr>
          <w:rFonts w:hint="eastAsia" w:ascii="仿宋_GB2312" w:hAnsi="仿宋_GB2312" w:cs="仿宋_GB2312"/>
          <w:b/>
          <w:bCs/>
          <w:sz w:val="32"/>
          <w:szCs w:val="32"/>
        </w:rPr>
        <w:t>2.部门管理（总分20分，评价得分20分）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预算管理：部门基本支出本年度决算数与预算数的比率为100%，项目支出本年度决算数与预算数的比率100%；部门本年度“三公”经费预算数与上年度“三公”经费预算数的变动比率0%；根据年中预算实际执行情况及时合规进行预算调整。（总分7分，评价得分7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（2）财务管理：财务管理制度健全；资金使用合规；有明确的财务监控监督措施，监控、监督措施执行有效。（总分6分，评价得分6分）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（3）人力资源管理：部门本年度实际在职人员数与编制数的比率为95%；有具体的人力资源管理制度文件和参照文件；严格按照相关文件对各类型人员进行管理和考核。（总分2分，评价得分2分）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（4）资产管理：固定资产在用率98%；已制定固定资产管理办法、资产使用办法等管理制度，相关管理制度合法、合规、完整，相关管理制度得到有效执行。（总分2分，评价得分2分）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（5）业务管理：已制定业务管理、项目管理等管理制度，相关管理制度合法、合规、完整，能得到有效执行；政府采购方式、程序都规范；有定期指导记录、考核结果。（总分3分，评价得分3分）</w:t>
      </w:r>
    </w:p>
    <w:p>
      <w:pPr>
        <w:spacing w:line="560" w:lineRule="exact"/>
        <w:ind w:firstLine="643"/>
        <w:rPr>
          <w:rFonts w:ascii="仿宋_GB2312" w:hAnsi="仿宋_GB2312" w:cs="仿宋_GB2312"/>
          <w:b/>
          <w:bCs/>
          <w:sz w:val="32"/>
          <w:szCs w:val="32"/>
        </w:rPr>
      </w:pPr>
      <w:r>
        <w:rPr>
          <w:rFonts w:hint="eastAsia" w:ascii="仿宋_GB2312" w:hAnsi="仿宋_GB2312" w:cs="仿宋_GB2312"/>
          <w:b/>
          <w:bCs/>
          <w:sz w:val="32"/>
          <w:szCs w:val="32"/>
        </w:rPr>
        <w:t>3.部门绩效（总分45分，评价得分45分）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部门产出：重点项目全部完成；帮困、医疗补贴等社会保障工作全部完成；残疾人助学工作全部完成；各类康复服务计划全部完成；就业安置及培训计划全部完成；残疾人信息化统计、阳光关爱服务等政府采购项目按制度严格执行政府采购流程；年度内部门实际完成工作数中达到上级部门和同级政府目标要求。（总分18分，评价得分18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部门效果：投诉信访事件有所减少：助困、助学等社会保障项目在各类残疾人保障中的覆盖率达90%以上；各类康复服务项目有明显的康复效果；有效促进残疾人就业；残疾人对区残联现提供服务及补贴政策的知晓程度达80%以上；残联系统相关人员及辖区内残疾人对残联工作的满意达85%。（总分21分，评价得分21分）</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（3）部门可持续发展：部门管理人员能期接受培训；按规定内容、规定时限公开预决算信息、绩效信息及其他信息，各处室、下属单位等信息共享。（总分6分，评价得分6分）</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五、主要经验做法</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残疾人综合服务中心作为残疾人服务</w:t>
      </w:r>
      <w:r>
        <w:rPr>
          <w:rFonts w:ascii="仿宋_GB2312" w:hAnsi="仿宋_GB2312" w:cs="仿宋_GB2312"/>
          <w:sz w:val="32"/>
          <w:szCs w:val="32"/>
        </w:rPr>
        <w:t>的机构</w:t>
      </w:r>
      <w:r>
        <w:rPr>
          <w:rFonts w:hint="eastAsia" w:ascii="仿宋_GB2312" w:hAnsi="仿宋_GB2312" w:cs="仿宋_GB2312"/>
          <w:sz w:val="32"/>
          <w:szCs w:val="32"/>
        </w:rPr>
        <w:t>，是联系残疾人群众的桥梁和纽带，必须积极履职尽责，大胆实践，勇于开拓创新。</w:t>
      </w:r>
    </w:p>
    <w:p>
      <w:pPr>
        <w:spacing w:line="560" w:lineRule="exact"/>
        <w:ind w:firstLine="643"/>
        <w:rPr>
          <w:rFonts w:ascii="仿宋_GB2312" w:hAnsi="仿宋_GB2312" w:cs="仿宋_GB2312"/>
          <w:sz w:val="32"/>
          <w:szCs w:val="32"/>
        </w:rPr>
      </w:pPr>
      <w:r>
        <w:rPr>
          <w:rFonts w:hint="eastAsia" w:ascii="仿宋_GB2312" w:hAnsi="仿宋_GB2312" w:cs="仿宋_GB2312"/>
          <w:b/>
          <w:bCs/>
          <w:sz w:val="32"/>
          <w:szCs w:val="32"/>
        </w:rPr>
        <w:t>一是</w:t>
      </w:r>
      <w:r>
        <w:rPr>
          <w:rFonts w:hint="eastAsia" w:ascii="仿宋_GB2312" w:hAnsi="仿宋_GB2312" w:cs="仿宋_GB2312"/>
          <w:sz w:val="32"/>
          <w:szCs w:val="32"/>
        </w:rPr>
        <w:t>加强工作宣传力度，增强社会公众对残疾人服务中心的认知和残疾人群体的接纳程度；</w:t>
      </w:r>
    </w:p>
    <w:p>
      <w:pPr>
        <w:spacing w:line="560" w:lineRule="exact"/>
        <w:ind w:firstLine="643"/>
        <w:rPr>
          <w:rFonts w:ascii="仿宋_GB2312" w:hAnsi="仿宋_GB2312" w:cs="仿宋_GB2312"/>
          <w:sz w:val="32"/>
          <w:szCs w:val="32"/>
        </w:rPr>
      </w:pPr>
      <w:r>
        <w:rPr>
          <w:rFonts w:hint="eastAsia" w:ascii="仿宋_GB2312" w:hAnsi="仿宋_GB2312" w:cs="仿宋_GB2312"/>
          <w:b/>
          <w:bCs/>
          <w:sz w:val="32"/>
          <w:szCs w:val="32"/>
        </w:rPr>
        <w:t>二是</w:t>
      </w:r>
      <w:r>
        <w:rPr>
          <w:rFonts w:hint="eastAsia" w:ascii="仿宋_GB2312" w:hAnsi="仿宋_GB2312" w:cs="仿宋_GB2312"/>
          <w:sz w:val="32"/>
          <w:szCs w:val="32"/>
        </w:rPr>
        <w:t>精细管理，提供工作质量和效率，全面落实绩效管理目标责任制，多部门协作，共同推进项目各项任务指标的落实；</w:t>
      </w:r>
    </w:p>
    <w:p>
      <w:pPr>
        <w:spacing w:line="560" w:lineRule="exact"/>
        <w:ind w:firstLine="643"/>
        <w:rPr>
          <w:rFonts w:ascii="仿宋_GB2312" w:hAnsi="仿宋_GB2312" w:cs="仿宋_GB2312"/>
          <w:sz w:val="32"/>
          <w:szCs w:val="32"/>
        </w:rPr>
      </w:pPr>
      <w:r>
        <w:rPr>
          <w:rFonts w:hint="eastAsia" w:ascii="仿宋_GB2312" w:hAnsi="仿宋_GB2312" w:cs="仿宋_GB2312"/>
          <w:b/>
          <w:bCs/>
          <w:sz w:val="32"/>
          <w:szCs w:val="32"/>
        </w:rPr>
        <w:t>三是</w:t>
      </w:r>
      <w:r>
        <w:rPr>
          <w:rFonts w:hint="eastAsia" w:ascii="仿宋_GB2312" w:hAnsi="仿宋_GB2312" w:cs="仿宋_GB2312"/>
          <w:sz w:val="32"/>
          <w:szCs w:val="32"/>
        </w:rPr>
        <w:t>根据实际服务人数进行费用结算，保证财政资金使用效率；</w:t>
      </w:r>
    </w:p>
    <w:p>
      <w:pPr>
        <w:spacing w:line="560" w:lineRule="exact"/>
        <w:ind w:firstLine="643"/>
        <w:rPr>
          <w:rFonts w:ascii="仿宋_GB2312" w:hAnsi="仿宋_GB2312" w:cs="仿宋_GB2312"/>
          <w:sz w:val="32"/>
          <w:szCs w:val="32"/>
        </w:rPr>
      </w:pPr>
      <w:r>
        <w:rPr>
          <w:rFonts w:hint="eastAsia" w:ascii="仿宋_GB2312" w:hAnsi="仿宋_GB2312" w:cs="仿宋_GB2312"/>
          <w:b/>
          <w:bCs/>
          <w:sz w:val="32"/>
          <w:szCs w:val="32"/>
        </w:rPr>
        <w:t>四是</w:t>
      </w:r>
      <w:r>
        <w:rPr>
          <w:rFonts w:hint="eastAsia" w:ascii="仿宋_GB2312" w:hAnsi="仿宋_GB2312" w:cs="仿宋_GB2312"/>
          <w:sz w:val="32"/>
          <w:szCs w:val="32"/>
        </w:rPr>
        <w:t>严格执行资金使用管理的相关规定。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80%以上的指标进行量化；考评过程与考评结果相结合。</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六、存在的问题</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残疾人事业项目经费主要由上级项目经费和区级预算组成，残疾人对项目效果期望值高，而残疾人综合服务群体大，投入成本高，残疾人事业项目经费保障与广大残疾人服务需求矛盾突出。</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七、改进措施及建议</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1.加强政策学习，提高思想认识。加强单位对《预算法》等相关法规、制度的学习，提高单位领导对全面预算管理的重视程度，增强单位各业务科室及财务人员的预算意识，坚持先有预算、后有支出，没有预算不得支出的支出理念。</w:t>
      </w:r>
    </w:p>
    <w:p>
      <w:pPr>
        <w:spacing w:line="560" w:lineRule="exact"/>
        <w:ind w:firstLine="640"/>
        <w:rPr>
          <w:rFonts w:ascii="仿宋_GB2312" w:hAnsi="仿宋_GB2312" w:cs="仿宋_GB2312"/>
          <w:sz w:val="32"/>
          <w:szCs w:val="32"/>
        </w:rPr>
      </w:pPr>
      <w:r>
        <w:rPr>
          <w:rFonts w:hint="eastAsia" w:ascii="仿宋_GB2312" w:hAnsi="仿宋_GB2312" w:cs="仿宋_GB2312"/>
          <w:sz w:val="32"/>
          <w:szCs w:val="32"/>
        </w:rPr>
        <w:t>2.结合工作实际，提高预算科学性。预算编制前根据年度内单位可预见的工作任务，确定单位年度预算目标，细化预算指标，科学合理编制部门预算，推进预算编制科学化、准确化。</w:t>
      </w:r>
    </w:p>
    <w:p>
      <w:pPr>
        <w:spacing w:line="560" w:lineRule="exact"/>
        <w:ind w:firstLine="640"/>
        <w:rPr>
          <w:szCs w:val="30"/>
          <w:highlight w:val="yellow"/>
        </w:rPr>
      </w:pPr>
      <w:r>
        <w:rPr>
          <w:rFonts w:hint="eastAsia" w:ascii="仿宋_GB2312" w:hAnsi="仿宋_GB2312" w:cs="仿宋_GB2312"/>
          <w:sz w:val="32"/>
          <w:szCs w:val="32"/>
        </w:rPr>
        <w:t>3.加大对残疾人工作的经费投入，提高残疾人工作者业务能力，提升残疾人服务水平，更好的为残疾人提供服务。</w:t>
      </w:r>
    </w:p>
    <w:sectPr>
      <w:pgSz w:w="11906" w:h="16838"/>
      <w:pgMar w:top="1587"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ind w:firstLine="360"/>
                          </w:pPr>
                          <w:r>
                            <w:fldChar w:fldCharType="begin"/>
                          </w:r>
                          <w:r>
                            <w:instrText xml:space="preserve"> PAGE   \* MERGEFORMAT </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ind w:firstLine="60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98SzkFgIAABUEAAAOAAAAAAAA&#10;AAEAIAAAAB8BAABkcnMvZTJvRG9jLnhtbFBLBQYAAAAABgAGAFkBAACnBQAAAAA=&#10;">
              <v:fill on="f" focussize="0,0"/>
              <v:stroke on="f" weight="0.5pt"/>
              <v:imagedata o:title=""/>
              <o:lock v:ext="edit" aspectratio="f"/>
              <v:textbox inset="0mm,0mm,0mm,0mm" style="mso-fit-shape-to-text:t;">
                <w:txbxContent>
                  <w:p>
                    <w:pPr>
                      <w:ind w:firstLine="600"/>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hMmQ3NjRjNmRhYjg2N2Y4NDgyOTFhODcxNGM5NDUifQ=="/>
  </w:docVars>
  <w:rsids>
    <w:rsidRoot w:val="00203805"/>
    <w:rsid w:val="00064F87"/>
    <w:rsid w:val="00121B7E"/>
    <w:rsid w:val="001311BD"/>
    <w:rsid w:val="001E1CC0"/>
    <w:rsid w:val="00203805"/>
    <w:rsid w:val="00235A05"/>
    <w:rsid w:val="00256ECF"/>
    <w:rsid w:val="002A4077"/>
    <w:rsid w:val="002A57AF"/>
    <w:rsid w:val="002C7F15"/>
    <w:rsid w:val="003B2444"/>
    <w:rsid w:val="004229B8"/>
    <w:rsid w:val="0047317D"/>
    <w:rsid w:val="0051283A"/>
    <w:rsid w:val="005721C3"/>
    <w:rsid w:val="005A227A"/>
    <w:rsid w:val="0060079F"/>
    <w:rsid w:val="00746E9A"/>
    <w:rsid w:val="008D00AF"/>
    <w:rsid w:val="00982615"/>
    <w:rsid w:val="009D5E4E"/>
    <w:rsid w:val="009F1440"/>
    <w:rsid w:val="009F4DA9"/>
    <w:rsid w:val="00A4314C"/>
    <w:rsid w:val="00A95646"/>
    <w:rsid w:val="00B3064F"/>
    <w:rsid w:val="00BC758C"/>
    <w:rsid w:val="00D311F5"/>
    <w:rsid w:val="00D76980"/>
    <w:rsid w:val="00D805D4"/>
    <w:rsid w:val="00D90862"/>
    <w:rsid w:val="00DD4165"/>
    <w:rsid w:val="00DE3E65"/>
    <w:rsid w:val="00F066CB"/>
    <w:rsid w:val="00F10387"/>
    <w:rsid w:val="00F41600"/>
    <w:rsid w:val="00F93EE3"/>
    <w:rsid w:val="00FB3959"/>
    <w:rsid w:val="02B64773"/>
    <w:rsid w:val="08792779"/>
    <w:rsid w:val="08874479"/>
    <w:rsid w:val="09E65F21"/>
    <w:rsid w:val="0AC91726"/>
    <w:rsid w:val="0B430E5C"/>
    <w:rsid w:val="0C7B4653"/>
    <w:rsid w:val="0ECE3874"/>
    <w:rsid w:val="12562F32"/>
    <w:rsid w:val="1465358E"/>
    <w:rsid w:val="14AC5EC1"/>
    <w:rsid w:val="1798478C"/>
    <w:rsid w:val="1A2746E7"/>
    <w:rsid w:val="1BB43181"/>
    <w:rsid w:val="1DF77F84"/>
    <w:rsid w:val="1FD13917"/>
    <w:rsid w:val="1FD36BDF"/>
    <w:rsid w:val="20746A5E"/>
    <w:rsid w:val="20C157EC"/>
    <w:rsid w:val="21C32357"/>
    <w:rsid w:val="27EF494B"/>
    <w:rsid w:val="2B090312"/>
    <w:rsid w:val="2B0F45C8"/>
    <w:rsid w:val="2B160365"/>
    <w:rsid w:val="2C5C2091"/>
    <w:rsid w:val="2CCD48C1"/>
    <w:rsid w:val="2CEA1E31"/>
    <w:rsid w:val="2D9E681D"/>
    <w:rsid w:val="2DCC55E9"/>
    <w:rsid w:val="2DE56A43"/>
    <w:rsid w:val="2E1D55C2"/>
    <w:rsid w:val="2E9B17B7"/>
    <w:rsid w:val="2F1B0C91"/>
    <w:rsid w:val="300D7A86"/>
    <w:rsid w:val="305A4261"/>
    <w:rsid w:val="31056813"/>
    <w:rsid w:val="34E36269"/>
    <w:rsid w:val="35BD4AC5"/>
    <w:rsid w:val="36861E7B"/>
    <w:rsid w:val="36885794"/>
    <w:rsid w:val="381432B1"/>
    <w:rsid w:val="38273008"/>
    <w:rsid w:val="388E693A"/>
    <w:rsid w:val="38A7274C"/>
    <w:rsid w:val="38F5389F"/>
    <w:rsid w:val="39394D72"/>
    <w:rsid w:val="3BEE2538"/>
    <w:rsid w:val="3BF15D13"/>
    <w:rsid w:val="3D8A0644"/>
    <w:rsid w:val="3E1638C8"/>
    <w:rsid w:val="3E521716"/>
    <w:rsid w:val="442D41F6"/>
    <w:rsid w:val="453741C8"/>
    <w:rsid w:val="48936351"/>
    <w:rsid w:val="48B11E62"/>
    <w:rsid w:val="494B5EE5"/>
    <w:rsid w:val="49E36398"/>
    <w:rsid w:val="4B6D462F"/>
    <w:rsid w:val="4D0E0A27"/>
    <w:rsid w:val="508349D1"/>
    <w:rsid w:val="519A5D3D"/>
    <w:rsid w:val="51D03A58"/>
    <w:rsid w:val="53880F5F"/>
    <w:rsid w:val="54CC7C15"/>
    <w:rsid w:val="56970990"/>
    <w:rsid w:val="59BB15D0"/>
    <w:rsid w:val="5AA0424C"/>
    <w:rsid w:val="5B395309"/>
    <w:rsid w:val="5B833A73"/>
    <w:rsid w:val="5E2558D5"/>
    <w:rsid w:val="5E841717"/>
    <w:rsid w:val="5FA016B7"/>
    <w:rsid w:val="5FAF1CA3"/>
    <w:rsid w:val="5FB8276B"/>
    <w:rsid w:val="641F7BE3"/>
    <w:rsid w:val="64587DE1"/>
    <w:rsid w:val="653D7CCA"/>
    <w:rsid w:val="6967468B"/>
    <w:rsid w:val="69944ACE"/>
    <w:rsid w:val="69E112AA"/>
    <w:rsid w:val="6A6715BE"/>
    <w:rsid w:val="6AD74018"/>
    <w:rsid w:val="6B146AB5"/>
    <w:rsid w:val="6EFE7E8F"/>
    <w:rsid w:val="70257B58"/>
    <w:rsid w:val="72C34A85"/>
    <w:rsid w:val="76C30D63"/>
    <w:rsid w:val="774D1D19"/>
    <w:rsid w:val="77E96C76"/>
    <w:rsid w:val="7865792A"/>
    <w:rsid w:val="7A3C0572"/>
    <w:rsid w:val="7D5269A4"/>
    <w:rsid w:val="7D666535"/>
    <w:rsid w:val="7D7D2B78"/>
    <w:rsid w:val="7E600133"/>
    <w:rsid w:val="7EA51C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jc w:val="left"/>
      <w:outlineLvl w:val="1"/>
    </w:pPr>
    <w:rPr>
      <w:rFonts w:ascii="Arial" w:hAnsi="Arial" w:eastAsia="黑体"/>
      <w:b/>
    </w:rPr>
  </w:style>
  <w:style w:type="paragraph" w:styleId="4">
    <w:name w:val="heading 3"/>
    <w:basedOn w:val="1"/>
    <w:next w:val="1"/>
    <w:link w:val="12"/>
    <w:unhideWhenUsed/>
    <w:qFormat/>
    <w:uiPriority w:val="0"/>
    <w:pPr>
      <w:keepNext/>
      <w:keepLines/>
      <w:jc w:val="left"/>
      <w:outlineLvl w:val="2"/>
    </w:pPr>
    <w:rPr>
      <w:rFonts w:eastAsia="楷体"/>
      <w:b/>
    </w:rPr>
  </w:style>
  <w:style w:type="character" w:default="1" w:styleId="8">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100" w:beforeAutospacing="1" w:after="100" w:afterAutospacing="1"/>
      <w:jc w:val="left"/>
    </w:pPr>
    <w:rPr>
      <w:kern w:val="0"/>
      <w:sz w:val="24"/>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字符"/>
    <w:link w:val="4"/>
    <w:qFormat/>
    <w:uiPriority w:val="0"/>
    <w:rPr>
      <w:rFonts w:eastAsia="楷体"/>
      <w:b/>
      <w:sz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962</Words>
  <Characters>5485</Characters>
  <Lines>45</Lines>
  <Paragraphs>12</Paragraphs>
  <TotalTime>69</TotalTime>
  <ScaleCrop>false</ScaleCrop>
  <LinksUpToDate>false</LinksUpToDate>
  <CharactersWithSpaces>6435</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2023-04-26T05:59:00Z</cp:lastPrinted>
  <dcterms:modified xsi:type="dcterms:W3CDTF">2023-09-28T07:37:35Z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9DE8B435E9024D4D840404EB92A196B3_13</vt:lpwstr>
  </property>
</Properties>
</file>