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bCs/>
          <w:color w:val="000000" w:themeColor="text1"/>
          <w:sz w:val="44"/>
          <w:szCs w:val="44"/>
          <w14:textFill>
            <w14:solidFill>
              <w14:schemeClr w14:val="tx1"/>
            </w14:solidFill>
          </w14:textFill>
        </w:rPr>
      </w:pPr>
      <w:r>
        <w:rPr>
          <w:rFonts w:hint="eastAsia" w:asciiTheme="majorEastAsia" w:hAnsiTheme="majorEastAsia" w:eastAsiaTheme="majorEastAsia" w:cstheme="majorEastAsia"/>
          <w:b/>
          <w:bCs/>
          <w:color w:val="000000" w:themeColor="text1"/>
          <w:sz w:val="44"/>
          <w:szCs w:val="44"/>
          <w:lang w:val="en-US" w:eastAsia="zh-CN"/>
          <w14:textFill>
            <w14:solidFill>
              <w14:schemeClr w14:val="tx1"/>
            </w14:solidFill>
          </w14:textFill>
        </w:rPr>
        <w:t>2022</w:t>
      </w:r>
      <w:r>
        <w:rPr>
          <w:rFonts w:hint="eastAsia" w:asciiTheme="majorEastAsia" w:hAnsiTheme="majorEastAsia" w:eastAsiaTheme="majorEastAsia" w:cstheme="majorEastAsia"/>
          <w:b/>
          <w:bCs/>
          <w:color w:val="000000" w:themeColor="text1"/>
          <w:sz w:val="44"/>
          <w:szCs w:val="44"/>
          <w14:textFill>
            <w14:solidFill>
              <w14:schemeClr w14:val="tx1"/>
            </w14:solidFill>
          </w14:textFill>
        </w:rPr>
        <w:t>年盘龙区一般公共预算、政府性基金预算和国有资本经营预算执行变动情况说明</w:t>
      </w:r>
    </w:p>
    <w:p>
      <w:pPr>
        <w:numPr>
          <w:ilvl w:val="0"/>
          <w:numId w:val="1"/>
        </w:numPr>
        <w:ind w:firstLine="640" w:firstLineChars="200"/>
        <w:rPr>
          <w:rFonts w:hint="default" w:ascii="黑体" w:hAnsi="黑体" w:eastAsia="黑体"/>
          <w:color w:val="000000" w:themeColor="text1"/>
          <w:sz w:val="32"/>
          <w:szCs w:val="32"/>
          <w:lang w:val="en-US" w:eastAsia="zh-CN"/>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一般公共预算本级支</w:t>
      </w:r>
      <w:bookmarkStart w:id="0" w:name="_GoBack"/>
      <w:bookmarkEnd w:id="0"/>
      <w:r>
        <w:rPr>
          <w:rFonts w:hint="eastAsia" w:ascii="黑体" w:hAnsi="黑体" w:eastAsia="黑体"/>
          <w:color w:val="000000" w:themeColor="text1"/>
          <w:sz w:val="32"/>
          <w:szCs w:val="32"/>
          <w14:textFill>
            <w14:solidFill>
              <w14:schemeClr w14:val="tx1"/>
            </w14:solidFill>
          </w14:textFill>
        </w:rPr>
        <w:t>出执行变动情况</w:t>
      </w:r>
    </w:p>
    <w:p>
      <w:pPr>
        <w:ind w:firstLine="640" w:firstLineChars="200"/>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14:textFill>
            <w14:solidFill>
              <w14:schemeClr w14:val="tx1"/>
            </w14:solidFill>
          </w14:textFill>
        </w:rPr>
        <w:t>1.人大事务款比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41.36</w:t>
      </w:r>
      <w:r>
        <w:rPr>
          <w:rFonts w:hint="eastAsia" w:ascii="仿宋_GB2312" w:eastAsia="仿宋_GB2312" w:hAnsiTheme="minorEastAsia"/>
          <w:color w:val="000000" w:themeColor="text1"/>
          <w:sz w:val="32"/>
          <w:szCs w:val="32"/>
          <w14:textFill>
            <w14:solidFill>
              <w14:schemeClr w14:val="tx1"/>
            </w14:solidFill>
          </w14:textFill>
        </w:rPr>
        <w:t>%</w:t>
      </w:r>
      <w:r>
        <w:rPr>
          <w:rFonts w:hint="eastAsia" w:ascii="仿宋_GB2312" w:eastAsia="仿宋_GB2312" w:hAnsiTheme="minorEastAsia"/>
          <w:color w:val="000000" w:themeColor="text1"/>
          <w:sz w:val="32"/>
          <w:szCs w:val="32"/>
          <w:lang w:eastAsia="zh-CN"/>
          <w14:textFill>
            <w14:solidFill>
              <w14:schemeClr w14:val="tx1"/>
            </w14:solidFill>
          </w14:textFill>
        </w:rPr>
        <w:t>，</w:t>
      </w:r>
      <w:r>
        <w:rPr>
          <w:rFonts w:hint="eastAsia" w:ascii="仿宋_GB2312" w:eastAsia="仿宋_GB2312" w:hAnsiTheme="minorEastAsia"/>
          <w:color w:val="000000" w:themeColor="text1"/>
          <w:sz w:val="32"/>
          <w:szCs w:val="32"/>
          <w14:textFill>
            <w14:solidFill>
              <w14:schemeClr w14:val="tx1"/>
            </w14:solidFill>
          </w14:textFill>
        </w:rPr>
        <w:t>主要原因是：一般行政管理事务</w:t>
      </w:r>
      <w:r>
        <w:rPr>
          <w:rFonts w:hint="eastAsia" w:ascii="仿宋_GB2312" w:eastAsia="仿宋_GB2312" w:hAnsiTheme="minorEastAsia"/>
          <w:color w:val="000000" w:themeColor="text1"/>
          <w:sz w:val="32"/>
          <w:szCs w:val="32"/>
          <w:lang w:eastAsia="zh-CN"/>
          <w14:textFill>
            <w14:solidFill>
              <w14:schemeClr w14:val="tx1"/>
            </w14:solidFill>
          </w14:textFill>
        </w:rPr>
        <w:t>支出减少</w:t>
      </w:r>
      <w:r>
        <w:rPr>
          <w:rFonts w:hint="eastAsia" w:ascii="仿宋_GB2312" w:eastAsia="仿宋_GB2312" w:hAnsiTheme="minorEastAsia"/>
          <w:color w:val="000000" w:themeColor="text1"/>
          <w:sz w:val="32"/>
          <w:szCs w:val="32"/>
          <w:lang w:val="en-US" w:eastAsia="zh-CN"/>
          <w14:textFill>
            <w14:solidFill>
              <w14:schemeClr w14:val="tx1"/>
            </w14:solidFill>
          </w14:textFill>
        </w:rPr>
        <w:t>428万元, 代表工作支出减少271万元。</w:t>
      </w:r>
    </w:p>
    <w:p>
      <w:pPr>
        <w:ind w:firstLine="640" w:firstLineChars="200"/>
        <w:rPr>
          <w:rFonts w:hint="eastAsia" w:ascii="仿宋_GB2312" w:eastAsia="仿宋_GB2312" w:hAnsiTheme="minorEastAsia"/>
          <w:color w:val="000000" w:themeColor="text1"/>
          <w:sz w:val="32"/>
          <w:szCs w:val="32"/>
          <w:lang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2</w:t>
      </w:r>
      <w:r>
        <w:rPr>
          <w:rFonts w:hint="eastAsia" w:ascii="仿宋_GB2312" w:eastAsia="仿宋_GB2312" w:hAnsiTheme="minorEastAsia"/>
          <w:color w:val="000000" w:themeColor="text1"/>
          <w:sz w:val="32"/>
          <w:szCs w:val="32"/>
          <w14:textFill>
            <w14:solidFill>
              <w14:schemeClr w14:val="tx1"/>
            </w14:solidFill>
          </w14:textFill>
        </w:rPr>
        <w:t>.发展与改革事务款比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50.42%，</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eastAsia="zh-CN"/>
          <w14:textFill>
            <w14:solidFill>
              <w14:schemeClr w14:val="tx1"/>
            </w14:solidFill>
          </w14:textFill>
        </w:rPr>
        <w:t>一般行政管理事务支出减少</w:t>
      </w:r>
      <w:r>
        <w:rPr>
          <w:rFonts w:hint="eastAsia" w:ascii="仿宋_GB2312" w:eastAsia="仿宋_GB2312" w:hAnsiTheme="minorEastAsia"/>
          <w:color w:val="000000" w:themeColor="text1"/>
          <w:sz w:val="32"/>
          <w:szCs w:val="32"/>
          <w:lang w:val="en-US" w:eastAsia="zh-CN"/>
          <w14:textFill>
            <w14:solidFill>
              <w14:schemeClr w14:val="tx1"/>
            </w14:solidFill>
          </w14:textFill>
        </w:rPr>
        <w:t>112万元，</w:t>
      </w:r>
      <w:r>
        <w:rPr>
          <w:rFonts w:hint="eastAsia" w:ascii="仿宋_GB2312" w:eastAsia="仿宋_GB2312" w:hAnsiTheme="minorEastAsia"/>
          <w:color w:val="000000" w:themeColor="text1"/>
          <w:sz w:val="32"/>
          <w:szCs w:val="32"/>
          <w14:textFill>
            <w14:solidFill>
              <w14:schemeClr w14:val="tx1"/>
            </w14:solidFill>
          </w14:textFill>
        </w:rPr>
        <w:t>行政运行支出</w:t>
      </w:r>
      <w:r>
        <w:rPr>
          <w:rFonts w:hint="eastAsia" w:ascii="仿宋_GB2312" w:eastAsia="仿宋_GB2312" w:hAnsiTheme="minorEastAsia"/>
          <w:color w:val="000000" w:themeColor="text1"/>
          <w:sz w:val="32"/>
          <w:szCs w:val="32"/>
          <w:lang w:eastAsia="zh-CN"/>
          <w14:textFill>
            <w14:solidFill>
              <w14:schemeClr w14:val="tx1"/>
            </w14:solidFill>
          </w14:textFill>
        </w:rPr>
        <w:t>减少</w:t>
      </w:r>
      <w:r>
        <w:rPr>
          <w:rFonts w:hint="eastAsia" w:ascii="仿宋_GB2312" w:eastAsia="仿宋_GB2312" w:hAnsiTheme="minorEastAsia"/>
          <w:color w:val="000000" w:themeColor="text1"/>
          <w:sz w:val="32"/>
          <w:szCs w:val="32"/>
          <w:lang w:val="en-US" w:eastAsia="zh-CN"/>
          <w14:textFill>
            <w14:solidFill>
              <w14:schemeClr w14:val="tx1"/>
            </w14:solidFill>
          </w14:textFill>
        </w:rPr>
        <w:t>45万元</w:t>
      </w:r>
      <w:r>
        <w:rPr>
          <w:rFonts w:hint="eastAsia" w:ascii="仿宋_GB2312" w:eastAsia="仿宋_GB2312" w:hAnsiTheme="minorEastAsia"/>
          <w:color w:val="000000" w:themeColor="text1"/>
          <w:sz w:val="32"/>
          <w:szCs w:val="32"/>
          <w:lang w:eastAsia="zh-CN"/>
          <w14:textFill>
            <w14:solidFill>
              <w14:schemeClr w14:val="tx1"/>
            </w14:solidFill>
          </w14:textFill>
        </w:rPr>
        <w:t>。</w:t>
      </w:r>
    </w:p>
    <w:p>
      <w:pPr>
        <w:ind w:firstLine="640" w:firstLineChars="200"/>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3</w:t>
      </w:r>
      <w:r>
        <w:rPr>
          <w:rFonts w:hint="eastAsia" w:ascii="仿宋_GB2312" w:eastAsia="仿宋_GB2312" w:hAnsiTheme="minorEastAsia"/>
          <w:color w:val="000000" w:themeColor="text1"/>
          <w:sz w:val="32"/>
          <w:szCs w:val="32"/>
          <w14:textFill>
            <w14:solidFill>
              <w14:schemeClr w14:val="tx1"/>
            </w14:solidFill>
          </w14:textFill>
        </w:rPr>
        <w:t>.统计信息事务款比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65.17</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eastAsia="zh-CN"/>
          <w14:textFill>
            <w14:solidFill>
              <w14:schemeClr w14:val="tx1"/>
            </w14:solidFill>
          </w14:textFill>
        </w:rPr>
        <w:t>行政运行支出减少</w:t>
      </w:r>
      <w:r>
        <w:rPr>
          <w:rFonts w:hint="eastAsia" w:ascii="仿宋_GB2312" w:eastAsia="仿宋_GB2312" w:hAnsiTheme="minorEastAsia"/>
          <w:color w:val="000000" w:themeColor="text1"/>
          <w:sz w:val="32"/>
          <w:szCs w:val="32"/>
          <w:lang w:val="en-US" w:eastAsia="zh-CN"/>
          <w14:textFill>
            <w14:solidFill>
              <w14:schemeClr w14:val="tx1"/>
            </w14:solidFill>
          </w14:textFill>
        </w:rPr>
        <w:t>194万元，专项统计业务支出减少376万元，专项普查活动支出减少1027万元。</w:t>
      </w:r>
    </w:p>
    <w:p>
      <w:pPr>
        <w:ind w:firstLine="640" w:firstLineChars="200"/>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4.财政事务款比2021年总决算数降低85.76%，主要原因是：一般行政管理事务支出减少12443万元。</w:t>
      </w:r>
    </w:p>
    <w:p>
      <w:pPr>
        <w:ind w:firstLine="640" w:firstLineChars="200"/>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5.税收事务款比2021年总决算增长100%，主要原因是：2022年税收工作经费支出710万元。</w:t>
      </w:r>
    </w:p>
    <w:p>
      <w:pPr>
        <w:ind w:firstLine="640" w:firstLineChars="200"/>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6</w:t>
      </w:r>
      <w:r>
        <w:rPr>
          <w:rFonts w:hint="eastAsia" w:ascii="仿宋_GB2312" w:eastAsia="仿宋_GB2312" w:hAnsiTheme="minorEastAsia"/>
          <w:color w:val="000000" w:themeColor="text1"/>
          <w:sz w:val="32"/>
          <w:szCs w:val="32"/>
          <w14:textFill>
            <w14:solidFill>
              <w14:schemeClr w14:val="tx1"/>
            </w14:solidFill>
          </w14:textFill>
        </w:rPr>
        <w:t>.审计事务款比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66.67</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eastAsia="zh-CN"/>
          <w14:textFill>
            <w14:solidFill>
              <w14:schemeClr w14:val="tx1"/>
            </w14:solidFill>
          </w14:textFill>
        </w:rPr>
        <w:t>：</w:t>
      </w:r>
      <w:r>
        <w:rPr>
          <w:rFonts w:hint="eastAsia" w:ascii="仿宋_GB2312" w:eastAsia="仿宋_GB2312" w:hAnsiTheme="minorEastAsia"/>
          <w:color w:val="000000" w:themeColor="text1"/>
          <w:sz w:val="32"/>
          <w:szCs w:val="32"/>
          <w:lang w:val="en-US" w:eastAsia="zh-CN"/>
          <w14:textFill>
            <w14:solidFill>
              <w14:schemeClr w14:val="tx1"/>
            </w14:solidFill>
          </w14:textFill>
        </w:rPr>
        <w:t>2022年审计业务经费无支出</w:t>
      </w:r>
      <w:r>
        <w:rPr>
          <w:rFonts w:hint="eastAsia" w:ascii="仿宋_GB2312" w:eastAsia="仿宋_GB2312" w:hAnsiTheme="minorEastAsia"/>
          <w:color w:val="000000" w:themeColor="text1"/>
          <w:sz w:val="32"/>
          <w:szCs w:val="32"/>
          <w14:textFill>
            <w14:solidFill>
              <w14:schemeClr w14:val="tx1"/>
            </w14:solidFill>
          </w14:textFill>
        </w:rPr>
        <w:t>。</w:t>
      </w:r>
    </w:p>
    <w:p>
      <w:pPr>
        <w:ind w:firstLine="640" w:firstLineChars="200"/>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7.商贸事务</w:t>
      </w:r>
      <w:r>
        <w:rPr>
          <w:rFonts w:hint="eastAsia" w:ascii="仿宋_GB2312" w:eastAsia="仿宋_GB2312" w:hAnsiTheme="minorEastAsia"/>
          <w:color w:val="000000" w:themeColor="text1"/>
          <w:sz w:val="32"/>
          <w:szCs w:val="32"/>
          <w14:textFill>
            <w14:solidFill>
              <w14:schemeClr w14:val="tx1"/>
            </w14:solidFill>
          </w14:textFill>
        </w:rPr>
        <w:t>款比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42.36</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val="en-US" w:eastAsia="zh-CN"/>
          <w14:textFill>
            <w14:solidFill>
              <w14:schemeClr w14:val="tx1"/>
            </w14:solidFill>
          </w14:textFill>
        </w:rPr>
        <w:t>楼宇经济和现代服务业发展补助资金支出减少1144万元</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w:t>
      </w:r>
    </w:p>
    <w:p>
      <w:pPr>
        <w:ind w:firstLine="640" w:firstLineChars="200"/>
        <w:rPr>
          <w:rFonts w:hint="default" w:ascii="仿宋_GB2312" w:eastAsia="仿宋_GB2312" w:hAnsiTheme="minorEastAsia"/>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8.知识产权事务款比</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50</w:t>
      </w:r>
      <w:r>
        <w:rPr>
          <w:rFonts w:hint="eastAsia" w:ascii="仿宋_GB2312" w:eastAsia="仿宋_GB2312" w:hAnsiTheme="minorEastAsia"/>
          <w:color w:val="000000" w:themeColor="text1"/>
          <w:sz w:val="32"/>
          <w:szCs w:val="32"/>
          <w14:textFill>
            <w14:solidFill>
              <w14:schemeClr w14:val="tx1"/>
            </w14:solidFill>
          </w14:textFill>
        </w:rPr>
        <w:t>%，</w:t>
      </w:r>
      <w:r>
        <w:rPr>
          <w:rFonts w:hint="eastAsia" w:ascii="仿宋_GB2312" w:eastAsia="仿宋_GB2312" w:hAnsiTheme="minorEastAsia"/>
          <w:color w:val="000000" w:themeColor="text1"/>
          <w:sz w:val="32"/>
          <w:szCs w:val="32"/>
          <w:lang w:eastAsia="zh-CN"/>
          <w14:textFill>
            <w14:solidFill>
              <w14:schemeClr w14:val="tx1"/>
            </w14:solidFill>
          </w14:textFill>
        </w:rPr>
        <w:t>主要原因是：</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知识产权战略和规划支出减少2万元。</w:t>
      </w:r>
    </w:p>
    <w:p>
      <w:pPr>
        <w:ind w:firstLine="640" w:firstLineChars="200"/>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9.市场监督管理事务款比2021年总决算数降低11.1%，主要原因是：行政运行支出减少491万元，市场主体管理支出减少777万元。</w:t>
      </w:r>
    </w:p>
    <w:p>
      <w:pPr>
        <w:ind w:firstLine="640" w:firstLineChars="200"/>
        <w:rPr>
          <w:rFonts w:hint="eastAsia" w:ascii="仿宋_GB2312" w:eastAsia="仿宋_GB2312" w:hAnsiTheme="minorEastAsia"/>
          <w:color w:val="000000" w:themeColor="text1"/>
          <w:sz w:val="32"/>
          <w:szCs w:val="32"/>
          <w:highlight w:val="none"/>
          <w14:textFill>
            <w14:solidFill>
              <w14:schemeClr w14:val="tx1"/>
            </w14:solidFill>
          </w14:textFill>
        </w:rPr>
      </w:pP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10</w:t>
      </w:r>
      <w:r>
        <w:rPr>
          <w:rFonts w:hint="eastAsia" w:ascii="仿宋_GB2312" w:eastAsia="仿宋_GB2312" w:hAnsiTheme="minorEastAsia"/>
          <w:color w:val="000000" w:themeColor="text1"/>
          <w:sz w:val="32"/>
          <w:szCs w:val="32"/>
          <w:highlight w:val="none"/>
          <w14:textFill>
            <w14:solidFill>
              <w14:schemeClr w14:val="tx1"/>
            </w14:solidFill>
          </w14:textFill>
        </w:rPr>
        <w:t>.教育管理事务款比</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6.13</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highlight w:val="none"/>
          <w:lang w:eastAsia="zh-CN"/>
          <w14:textFill>
            <w14:solidFill>
              <w14:schemeClr w14:val="tx1"/>
            </w14:solidFill>
          </w14:textFill>
        </w:rPr>
        <w:t>行政运行支出减少</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1156万元</w:t>
      </w:r>
      <w:r>
        <w:rPr>
          <w:rFonts w:hint="eastAsia" w:ascii="仿宋_GB2312" w:eastAsia="仿宋_GB2312" w:hAnsiTheme="minorEastAsia"/>
          <w:color w:val="000000" w:themeColor="text1"/>
          <w:sz w:val="32"/>
          <w:szCs w:val="32"/>
          <w:highlight w:val="none"/>
          <w14:textFill>
            <w14:solidFill>
              <w14:schemeClr w14:val="tx1"/>
            </w14:solidFill>
          </w14:textFill>
        </w:rPr>
        <w:t>。</w:t>
      </w:r>
    </w:p>
    <w:p>
      <w:pPr>
        <w:ind w:firstLine="640" w:firstLineChars="200"/>
        <w:rPr>
          <w:rFonts w:hint="default" w:ascii="仿宋_GB2312" w:eastAsia="仿宋_GB2312" w:hAnsiTheme="minorEastAsia"/>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11.</w:t>
      </w:r>
      <w:r>
        <w:rPr>
          <w:rFonts w:hint="eastAsia" w:ascii="仿宋_GB2312" w:eastAsia="仿宋_GB2312" w:hAnsiTheme="minorEastAsia"/>
          <w:color w:val="000000" w:themeColor="text1"/>
          <w:sz w:val="32"/>
          <w:szCs w:val="32"/>
          <w:highlight w:val="none"/>
          <w:lang w:eastAsia="zh-CN"/>
          <w14:textFill>
            <w14:solidFill>
              <w14:schemeClr w14:val="tx1"/>
            </w14:solidFill>
          </w14:textFill>
        </w:rPr>
        <w:t>普通教育</w:t>
      </w:r>
      <w:r>
        <w:rPr>
          <w:rFonts w:hint="eastAsia" w:ascii="仿宋_GB2312" w:eastAsia="仿宋_GB2312" w:hAnsiTheme="minorEastAsia"/>
          <w:color w:val="000000" w:themeColor="text1"/>
          <w:sz w:val="32"/>
          <w:szCs w:val="32"/>
          <w:highlight w:val="none"/>
          <w14:textFill>
            <w14:solidFill>
              <w14:schemeClr w14:val="tx1"/>
            </w14:solidFill>
          </w14:textFill>
        </w:rPr>
        <w:t>款比</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总决算数增长</w:t>
      </w:r>
      <w:r>
        <w:rPr>
          <w:rFonts w:hint="eastAsia" w:ascii="仿宋_GB2312" w:eastAsia="仿宋_GB2312" w:hAnsiTheme="minorEastAsia"/>
          <w:color w:val="000000" w:themeColor="text1"/>
          <w:sz w:val="32"/>
          <w:szCs w:val="32"/>
          <w:lang w:val="en-US" w:eastAsia="zh-CN"/>
          <w14:textFill>
            <w14:solidFill>
              <w14:schemeClr w14:val="tx1"/>
            </w14:solidFill>
          </w14:textFill>
        </w:rPr>
        <w:t>8.23</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highlight w:val="none"/>
          <w14:textFill>
            <w14:solidFill>
              <w14:schemeClr w14:val="tx1"/>
            </w14:solidFill>
          </w14:textFill>
        </w:rPr>
        <w:t>：</w:t>
      </w:r>
      <w:r>
        <w:rPr>
          <w:rFonts w:hint="eastAsia" w:ascii="仿宋_GB2312" w:eastAsia="仿宋_GB2312" w:hAnsiTheme="minorEastAsia"/>
          <w:color w:val="000000" w:themeColor="text1"/>
          <w:sz w:val="32"/>
          <w:szCs w:val="32"/>
          <w:highlight w:val="none"/>
          <w:lang w:eastAsia="zh-CN"/>
          <w14:textFill>
            <w14:solidFill>
              <w14:schemeClr w14:val="tx1"/>
            </w14:solidFill>
          </w14:textFill>
        </w:rPr>
        <w:t>新增义务</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教育薄弱环节改善与能力提升中央补助资金支出4429万元。</w:t>
      </w:r>
    </w:p>
    <w:p>
      <w:pPr>
        <w:ind w:firstLine="640" w:firstLineChars="200"/>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12</w:t>
      </w:r>
      <w:r>
        <w:rPr>
          <w:rFonts w:hint="eastAsia" w:ascii="仿宋_GB2312" w:eastAsia="仿宋_GB2312" w:hAnsiTheme="minorEastAsia"/>
          <w:color w:val="000000" w:themeColor="text1"/>
          <w:sz w:val="32"/>
          <w:szCs w:val="32"/>
          <w14:textFill>
            <w14:solidFill>
              <w14:schemeClr w14:val="tx1"/>
            </w14:solidFill>
          </w14:textFill>
        </w:rPr>
        <w:t>.职业教育款比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w:t>
      </w:r>
      <w:r>
        <w:rPr>
          <w:rFonts w:hint="eastAsia" w:ascii="仿宋_GB2312" w:eastAsia="仿宋_GB2312" w:hAnsiTheme="minorEastAsia"/>
          <w:color w:val="000000" w:themeColor="text1"/>
          <w:sz w:val="32"/>
          <w:szCs w:val="32"/>
          <w:lang w:eastAsia="zh-CN"/>
          <w14:textFill>
            <w14:solidFill>
              <w14:schemeClr w14:val="tx1"/>
            </w14:solidFill>
          </w14:textFill>
        </w:rPr>
        <w:t>数增长</w:t>
      </w:r>
      <w:r>
        <w:rPr>
          <w:rFonts w:hint="eastAsia" w:ascii="仿宋_GB2312" w:eastAsia="仿宋_GB2312" w:hAnsiTheme="minorEastAsia"/>
          <w:color w:val="000000" w:themeColor="text1"/>
          <w:sz w:val="32"/>
          <w:szCs w:val="32"/>
          <w:lang w:val="en-US" w:eastAsia="zh-CN"/>
          <w14:textFill>
            <w14:solidFill>
              <w14:schemeClr w14:val="tx1"/>
            </w14:solidFill>
          </w14:textFill>
        </w:rPr>
        <w:t>20.47</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eastAsia="zh-CN"/>
          <w14:textFill>
            <w14:solidFill>
              <w14:schemeClr w14:val="tx1"/>
            </w14:solidFill>
          </w14:textFill>
        </w:rPr>
        <w:t>：</w:t>
      </w:r>
      <w:r>
        <w:rPr>
          <w:rFonts w:hint="eastAsia" w:ascii="仿宋_GB2312" w:eastAsia="仿宋_GB2312" w:hAnsiTheme="minorEastAsia"/>
          <w:color w:val="000000" w:themeColor="text1"/>
          <w:sz w:val="32"/>
          <w:szCs w:val="32"/>
          <w:highlight w:val="none"/>
          <w14:textFill>
            <w14:solidFill>
              <w14:schemeClr w14:val="tx1"/>
            </w14:solidFill>
          </w14:textFill>
        </w:rPr>
        <w:t>中等职业教育</w:t>
      </w:r>
      <w:r>
        <w:rPr>
          <w:rFonts w:hint="eastAsia" w:ascii="仿宋_GB2312" w:eastAsia="仿宋_GB2312" w:hAnsiTheme="minorEastAsia"/>
          <w:color w:val="000000" w:themeColor="text1"/>
          <w:sz w:val="32"/>
          <w:szCs w:val="32"/>
          <w:highlight w:val="none"/>
          <w:lang w:eastAsia="zh-CN"/>
          <w14:textFill>
            <w14:solidFill>
              <w14:schemeClr w14:val="tx1"/>
            </w14:solidFill>
          </w14:textFill>
        </w:rPr>
        <w:t>支出增加</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544万元。</w:t>
      </w:r>
    </w:p>
    <w:p>
      <w:pPr>
        <w:ind w:firstLine="640" w:firstLineChars="200"/>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13.特殊教育款比2021年总决算数增长8.29%，主要原因是：特殊学校教育支出增加49万元。</w:t>
      </w:r>
    </w:p>
    <w:p>
      <w:pPr>
        <w:ind w:firstLine="640" w:firstLineChars="200"/>
        <w:rPr>
          <w:rFonts w:hint="eastAsia" w:ascii="仿宋_GB2312" w:eastAsia="仿宋_GB2312" w:hAnsiTheme="minorEastAsia"/>
          <w:b w:val="0"/>
          <w:bCs w:val="0"/>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14.其他教育支出款</w:t>
      </w:r>
      <w:r>
        <w:rPr>
          <w:rFonts w:hint="eastAsia" w:ascii="仿宋_GB2312" w:eastAsia="仿宋_GB2312" w:hAnsiTheme="minorEastAsia"/>
          <w:b w:val="0"/>
          <w:bCs w:val="0"/>
          <w:color w:val="000000" w:themeColor="text1"/>
          <w:sz w:val="32"/>
          <w:szCs w:val="32"/>
          <w14:textFill>
            <w14:solidFill>
              <w14:schemeClr w14:val="tx1"/>
            </w14:solidFill>
          </w14:textFill>
        </w:rPr>
        <w:t>比</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2021</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年</w:t>
      </w:r>
      <w:r>
        <w:rPr>
          <w:rFonts w:hint="eastAsia" w:ascii="仿宋_GB2312" w:eastAsia="仿宋_GB2312" w:hAnsiTheme="minorEastAsia"/>
          <w:b w:val="0"/>
          <w:bCs w:val="0"/>
          <w:color w:val="000000" w:themeColor="text1"/>
          <w:sz w:val="32"/>
          <w:szCs w:val="32"/>
          <w14:textFill>
            <w14:solidFill>
              <w14:schemeClr w14:val="tx1"/>
            </w14:solidFill>
          </w14:textFill>
        </w:rPr>
        <w:t>总决算数</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降低</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86.14</w:t>
      </w:r>
      <w:r>
        <w:rPr>
          <w:rFonts w:hint="eastAsia" w:ascii="仿宋_GB2312" w:eastAsia="仿宋_GB2312" w:hAnsiTheme="minorEastAsia"/>
          <w:b w:val="0"/>
          <w:bCs w:val="0"/>
          <w:color w:val="000000" w:themeColor="text1"/>
          <w:sz w:val="32"/>
          <w:szCs w:val="32"/>
          <w14:textFill>
            <w14:solidFill>
              <w14:schemeClr w14:val="tx1"/>
            </w14:solidFill>
          </w14:textFill>
        </w:rPr>
        <w:t>%，主要原因是</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2021年</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现代职业教育质量提升计划中央专项资金、春季学期中等职业学校学生资助专项资金、城乡义务教育补助经费校舍维修改造长效机制支出</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445万元</w:t>
      </w:r>
      <w:r>
        <w:rPr>
          <w:rFonts w:hint="eastAsia" w:ascii="仿宋_GB2312" w:eastAsia="仿宋_GB2312" w:hAnsiTheme="minorEastAsia"/>
          <w:b w:val="0"/>
          <w:bCs w:val="0"/>
          <w:color w:val="000000" w:themeColor="text1"/>
          <w:sz w:val="32"/>
          <w:szCs w:val="32"/>
          <w:highlight w:val="none"/>
          <w:lang w:val="en-US" w:eastAsia="zh-CN"/>
          <w14:textFill>
            <w14:solidFill>
              <w14:schemeClr w14:val="tx1"/>
            </w14:solidFill>
          </w14:textFill>
        </w:rPr>
        <w:t>。</w:t>
      </w:r>
    </w:p>
    <w:p>
      <w:pPr>
        <w:ind w:firstLine="640" w:firstLineChars="200"/>
        <w:rPr>
          <w:rFonts w:hint="eastAsia" w:ascii="仿宋_GB2312" w:eastAsia="仿宋_GB2312" w:hAnsiTheme="minorEastAsia"/>
          <w:b w:val="0"/>
          <w:bCs w:val="0"/>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15</w:t>
      </w:r>
      <w:r>
        <w:rPr>
          <w:rFonts w:hint="eastAsia" w:ascii="仿宋_GB2312" w:eastAsia="仿宋_GB2312" w:hAnsiTheme="minorEastAsia"/>
          <w:b w:val="0"/>
          <w:bCs w:val="0"/>
          <w:color w:val="000000" w:themeColor="text1"/>
          <w:sz w:val="32"/>
          <w:szCs w:val="32"/>
          <w14:textFill>
            <w14:solidFill>
              <w14:schemeClr w14:val="tx1"/>
            </w14:solidFill>
          </w14:textFill>
        </w:rPr>
        <w:t>.</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科学技术管理事务款</w:t>
      </w:r>
      <w:r>
        <w:rPr>
          <w:rFonts w:hint="eastAsia" w:ascii="仿宋_GB2312" w:eastAsia="仿宋_GB2312" w:hAnsiTheme="minorEastAsia"/>
          <w:b w:val="0"/>
          <w:bCs w:val="0"/>
          <w:color w:val="000000" w:themeColor="text1"/>
          <w:sz w:val="32"/>
          <w:szCs w:val="32"/>
          <w14:textFill>
            <w14:solidFill>
              <w14:schemeClr w14:val="tx1"/>
            </w14:solidFill>
          </w14:textFill>
        </w:rPr>
        <w:t>比</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2021</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年</w:t>
      </w:r>
      <w:r>
        <w:rPr>
          <w:rFonts w:hint="eastAsia" w:ascii="仿宋_GB2312" w:eastAsia="仿宋_GB2312" w:hAnsiTheme="minorEastAsia"/>
          <w:b w:val="0"/>
          <w:bCs w:val="0"/>
          <w:color w:val="000000" w:themeColor="text1"/>
          <w:sz w:val="32"/>
          <w:szCs w:val="32"/>
          <w14:textFill>
            <w14:solidFill>
              <w14:schemeClr w14:val="tx1"/>
            </w14:solidFill>
          </w14:textFill>
        </w:rPr>
        <w:t>总决算数</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增长</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12.94</w:t>
      </w:r>
      <w:r>
        <w:rPr>
          <w:rFonts w:hint="eastAsia" w:ascii="仿宋_GB2312" w:eastAsia="仿宋_GB2312" w:hAnsiTheme="minorEastAsia"/>
          <w:b w:val="0"/>
          <w:bCs w:val="0"/>
          <w:color w:val="000000" w:themeColor="text1"/>
          <w:sz w:val="32"/>
          <w:szCs w:val="32"/>
          <w:highlight w:val="none"/>
          <w14:textFill>
            <w14:solidFill>
              <w14:schemeClr w14:val="tx1"/>
            </w14:solidFill>
          </w14:textFill>
        </w:rPr>
        <w:t>%，主要原因是</w:t>
      </w:r>
      <w:r>
        <w:rPr>
          <w:rFonts w:hint="eastAsia" w:ascii="仿宋_GB2312" w:eastAsia="仿宋_GB2312" w:hAnsiTheme="minorEastAsia"/>
          <w:b w:val="0"/>
          <w:bCs w:val="0"/>
          <w:color w:val="000000" w:themeColor="text1"/>
          <w:sz w:val="32"/>
          <w:szCs w:val="32"/>
          <w:highlight w:val="none"/>
          <w:lang w:eastAsia="zh-CN"/>
          <w14:textFill>
            <w14:solidFill>
              <w14:schemeClr w14:val="tx1"/>
            </w14:solidFill>
          </w14:textFill>
        </w:rPr>
        <w:t>：</w:t>
      </w:r>
      <w:r>
        <w:rPr>
          <w:rFonts w:hint="eastAsia" w:ascii="仿宋_GB2312" w:eastAsia="仿宋_GB2312" w:hAnsiTheme="minorEastAsia"/>
          <w:b w:val="0"/>
          <w:bCs w:val="0"/>
          <w:color w:val="000000" w:themeColor="text1"/>
          <w:sz w:val="32"/>
          <w:szCs w:val="32"/>
          <w:highlight w:val="none"/>
          <w:lang w:val="en-US" w:eastAsia="zh-CN"/>
          <w14:textFill>
            <w14:solidFill>
              <w14:schemeClr w14:val="tx1"/>
            </w14:solidFill>
          </w14:textFill>
        </w:rPr>
        <w:t>行政运行支出减少37万元。</w:t>
      </w:r>
    </w:p>
    <w:p>
      <w:pPr>
        <w:ind w:firstLine="640" w:firstLineChars="200"/>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pP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16.技术研究与开发款比2021年总决算数降低46.11%，主要原因是：科技成果转化与扩散支出减少4508万元。</w:t>
      </w:r>
    </w:p>
    <w:p>
      <w:pPr>
        <w:ind w:firstLine="640" w:firstLineChars="200"/>
        <w:rPr>
          <w:rFonts w:hint="default" w:ascii="仿宋_GB2312" w:eastAsia="仿宋_GB2312" w:hAnsiTheme="minorEastAsia"/>
          <w:b w:val="0"/>
          <w:bCs w:val="0"/>
          <w:color w:val="000000" w:themeColor="text1"/>
          <w:sz w:val="32"/>
          <w:szCs w:val="32"/>
          <w:lang w:val="en-US" w:eastAsia="zh-CN"/>
          <w14:textFill>
            <w14:solidFill>
              <w14:schemeClr w14:val="tx1"/>
            </w14:solidFill>
          </w14:textFill>
        </w:rPr>
      </w:pP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17.其他科学技术支出(款)比2021年总决算数降低100%，主要原因是：2022年无此项支出。</w:t>
      </w:r>
    </w:p>
    <w:p>
      <w:pPr>
        <w:ind w:firstLine="640" w:firstLineChars="200"/>
        <w:rPr>
          <w:rFonts w:hint="eastAsia" w:ascii="仿宋_GB2312" w:eastAsia="仿宋_GB2312" w:hAnsiTheme="minorEastAsia"/>
          <w:b w:val="0"/>
          <w:bCs w:val="0"/>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18</w:t>
      </w:r>
      <w:r>
        <w:rPr>
          <w:rFonts w:hint="eastAsia" w:ascii="仿宋_GB2312" w:eastAsia="仿宋_GB2312" w:hAnsiTheme="minorEastAsia"/>
          <w:b w:val="0"/>
          <w:bCs w:val="0"/>
          <w:color w:val="000000" w:themeColor="text1"/>
          <w:sz w:val="32"/>
          <w:szCs w:val="32"/>
          <w14:textFill>
            <w14:solidFill>
              <w14:schemeClr w14:val="tx1"/>
            </w14:solidFill>
          </w14:textFill>
        </w:rPr>
        <w:t>.</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新闻出版电影款</w:t>
      </w:r>
      <w:r>
        <w:rPr>
          <w:rFonts w:hint="eastAsia" w:ascii="仿宋_GB2312" w:eastAsia="仿宋_GB2312" w:hAnsiTheme="minorEastAsia"/>
          <w:b w:val="0"/>
          <w:bCs w:val="0"/>
          <w:color w:val="000000" w:themeColor="text1"/>
          <w:sz w:val="32"/>
          <w:szCs w:val="32"/>
          <w14:textFill>
            <w14:solidFill>
              <w14:schemeClr w14:val="tx1"/>
            </w14:solidFill>
          </w14:textFill>
        </w:rPr>
        <w:t>支出比</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2021</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年</w:t>
      </w:r>
      <w:r>
        <w:rPr>
          <w:rFonts w:hint="eastAsia" w:ascii="仿宋_GB2312" w:eastAsia="仿宋_GB2312" w:hAnsiTheme="minorEastAsia"/>
          <w:b w:val="0"/>
          <w:bCs w:val="0"/>
          <w:color w:val="000000" w:themeColor="text1"/>
          <w:sz w:val="32"/>
          <w:szCs w:val="32"/>
          <w14:textFill>
            <w14:solidFill>
              <w14:schemeClr w14:val="tx1"/>
            </w14:solidFill>
          </w14:textFill>
        </w:rPr>
        <w:t>总决算数</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增长</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39.23</w:t>
      </w:r>
      <w:r>
        <w:rPr>
          <w:rFonts w:hint="eastAsia" w:ascii="仿宋_GB2312" w:eastAsia="仿宋_GB2312" w:hAnsiTheme="minorEastAsia"/>
          <w:b w:val="0"/>
          <w:bCs w:val="0"/>
          <w:color w:val="000000" w:themeColor="text1"/>
          <w:sz w:val="32"/>
          <w:szCs w:val="32"/>
          <w14:textFill>
            <w14:solidFill>
              <w14:schemeClr w14:val="tx1"/>
            </w14:solidFill>
          </w14:textFill>
        </w:rPr>
        <w:t>%</w:t>
      </w:r>
      <w:r>
        <w:rPr>
          <w:rFonts w:hint="eastAsia" w:ascii="仿宋_GB2312" w:eastAsia="仿宋_GB2312" w:hAnsiTheme="minorEastAsia"/>
          <w:b w:val="0"/>
          <w:bCs w:val="0"/>
          <w:color w:val="000000" w:themeColor="text1"/>
          <w:sz w:val="32"/>
          <w:szCs w:val="32"/>
          <w:highlight w:val="none"/>
          <w14:textFill>
            <w14:solidFill>
              <w14:schemeClr w14:val="tx1"/>
            </w14:solidFill>
          </w14:textFill>
        </w:rPr>
        <w:t>，主要原因是：</w:t>
      </w:r>
      <w:r>
        <w:rPr>
          <w:rFonts w:hint="eastAsia" w:ascii="仿宋_GB2312" w:eastAsia="仿宋_GB2312" w:hAnsiTheme="minorEastAsia"/>
          <w:b w:val="0"/>
          <w:bCs w:val="0"/>
          <w:color w:val="000000" w:themeColor="text1"/>
          <w:sz w:val="32"/>
          <w:szCs w:val="32"/>
          <w:highlight w:val="none"/>
          <w:lang w:eastAsia="zh-CN"/>
          <w14:textFill>
            <w14:solidFill>
              <w14:schemeClr w14:val="tx1"/>
            </w14:solidFill>
          </w14:textFill>
        </w:rPr>
        <w:t>对外宣传经费支出增加</w:t>
      </w:r>
      <w:r>
        <w:rPr>
          <w:rFonts w:hint="eastAsia" w:ascii="仿宋_GB2312" w:eastAsia="仿宋_GB2312" w:hAnsiTheme="minorEastAsia"/>
          <w:b w:val="0"/>
          <w:bCs w:val="0"/>
          <w:color w:val="000000" w:themeColor="text1"/>
          <w:sz w:val="32"/>
          <w:szCs w:val="32"/>
          <w:highlight w:val="none"/>
          <w:lang w:val="en-US" w:eastAsia="zh-CN"/>
          <w14:textFill>
            <w14:solidFill>
              <w14:schemeClr w14:val="tx1"/>
            </w14:solidFill>
          </w14:textFill>
        </w:rPr>
        <w:t>350万元。</w:t>
      </w:r>
    </w:p>
    <w:p>
      <w:pPr>
        <w:ind w:firstLine="640" w:firstLineChars="200"/>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pP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19</w:t>
      </w:r>
      <w:r>
        <w:rPr>
          <w:rFonts w:hint="eastAsia" w:ascii="仿宋_GB2312" w:eastAsia="仿宋_GB2312" w:hAnsiTheme="minorEastAsia"/>
          <w:b w:val="0"/>
          <w:bCs w:val="0"/>
          <w:color w:val="000000" w:themeColor="text1"/>
          <w:sz w:val="32"/>
          <w:szCs w:val="32"/>
          <w14:textFill>
            <w14:solidFill>
              <w14:schemeClr w14:val="tx1"/>
            </w14:solidFill>
          </w14:textFill>
        </w:rPr>
        <w:t>.其他文化旅游体育与传媒支出款比</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2021</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年</w:t>
      </w:r>
      <w:r>
        <w:rPr>
          <w:rFonts w:hint="eastAsia" w:ascii="仿宋_GB2312" w:eastAsia="仿宋_GB2312" w:hAnsiTheme="minorEastAsia"/>
          <w:b w:val="0"/>
          <w:bCs w:val="0"/>
          <w:color w:val="000000" w:themeColor="text1"/>
          <w:sz w:val="32"/>
          <w:szCs w:val="32"/>
          <w14:textFill>
            <w14:solidFill>
              <w14:schemeClr w14:val="tx1"/>
            </w14:solidFill>
          </w14:textFill>
        </w:rPr>
        <w:t>总决算数</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增长</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261.73</w:t>
      </w:r>
      <w:r>
        <w:rPr>
          <w:rFonts w:hint="eastAsia" w:ascii="仿宋_GB2312" w:eastAsia="仿宋_GB2312" w:hAnsiTheme="minorEastAsia"/>
          <w:b w:val="0"/>
          <w:bCs w:val="0"/>
          <w:color w:val="000000" w:themeColor="text1"/>
          <w:sz w:val="32"/>
          <w:szCs w:val="32"/>
          <w14:textFill>
            <w14:solidFill>
              <w14:schemeClr w14:val="tx1"/>
            </w14:solidFill>
          </w14:textFill>
        </w:rPr>
        <w:t>%，</w:t>
      </w:r>
      <w:r>
        <w:rPr>
          <w:rFonts w:hint="eastAsia" w:ascii="仿宋_GB2312" w:eastAsia="仿宋_GB2312" w:hAnsiTheme="minorEastAsia"/>
          <w:b w:val="0"/>
          <w:bCs w:val="0"/>
          <w:color w:val="000000" w:themeColor="text1"/>
          <w:sz w:val="32"/>
          <w:szCs w:val="32"/>
          <w:highlight w:val="none"/>
          <w14:textFill>
            <w14:solidFill>
              <w14:schemeClr w14:val="tx1"/>
            </w14:solidFill>
          </w14:textFill>
        </w:rPr>
        <w:t>主要原因是：文化产业发展专项支出</w:t>
      </w:r>
      <w:r>
        <w:rPr>
          <w:rFonts w:hint="eastAsia" w:ascii="仿宋_GB2312" w:eastAsia="仿宋_GB2312" w:hAnsiTheme="minorEastAsia"/>
          <w:b w:val="0"/>
          <w:bCs w:val="0"/>
          <w:color w:val="000000" w:themeColor="text1"/>
          <w:sz w:val="32"/>
          <w:szCs w:val="32"/>
          <w:highlight w:val="none"/>
          <w:lang w:eastAsia="zh-CN"/>
          <w14:textFill>
            <w14:solidFill>
              <w14:schemeClr w14:val="tx1"/>
            </w14:solidFill>
          </w14:textFill>
        </w:rPr>
        <w:t>增加</w:t>
      </w:r>
      <w:r>
        <w:rPr>
          <w:rFonts w:hint="eastAsia" w:ascii="仿宋_GB2312" w:eastAsia="仿宋_GB2312" w:hAnsiTheme="minorEastAsia"/>
          <w:b w:val="0"/>
          <w:bCs w:val="0"/>
          <w:color w:val="000000" w:themeColor="text1"/>
          <w:sz w:val="32"/>
          <w:szCs w:val="32"/>
          <w:highlight w:val="none"/>
          <w:lang w:val="en-US" w:eastAsia="zh-CN"/>
          <w14:textFill>
            <w14:solidFill>
              <w14:schemeClr w14:val="tx1"/>
            </w14:solidFill>
          </w14:textFill>
        </w:rPr>
        <w:t>894</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万元。</w:t>
      </w:r>
    </w:p>
    <w:p>
      <w:pPr>
        <w:ind w:firstLine="640" w:firstLineChars="200"/>
        <w:rPr>
          <w:rFonts w:hint="eastAsia" w:ascii="仿宋_GB2312" w:eastAsia="仿宋_GB2312" w:hAnsiTheme="minorEastAsia"/>
          <w:b w:val="0"/>
          <w:bCs w:val="0"/>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20</w:t>
      </w:r>
      <w:r>
        <w:rPr>
          <w:rFonts w:hint="eastAsia" w:ascii="仿宋_GB2312" w:eastAsia="仿宋_GB2312" w:hAnsiTheme="minorEastAsia"/>
          <w:b w:val="0"/>
          <w:bCs w:val="0"/>
          <w:color w:val="000000" w:themeColor="text1"/>
          <w:sz w:val="32"/>
          <w:szCs w:val="32"/>
          <w14:textFill>
            <w14:solidFill>
              <w14:schemeClr w14:val="tx1"/>
            </w14:solidFill>
          </w14:textFill>
        </w:rPr>
        <w:t>.</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人力资源和社会保障管理事务</w:t>
      </w:r>
      <w:r>
        <w:rPr>
          <w:rFonts w:hint="eastAsia" w:ascii="仿宋_GB2312" w:eastAsia="仿宋_GB2312" w:hAnsiTheme="minorEastAsia"/>
          <w:b w:val="0"/>
          <w:bCs w:val="0"/>
          <w:color w:val="000000" w:themeColor="text1"/>
          <w:sz w:val="32"/>
          <w:szCs w:val="32"/>
          <w14:textFill>
            <w14:solidFill>
              <w14:schemeClr w14:val="tx1"/>
            </w14:solidFill>
          </w14:textFill>
        </w:rPr>
        <w:t>款比</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2021</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年</w:t>
      </w:r>
      <w:r>
        <w:rPr>
          <w:rFonts w:hint="eastAsia" w:ascii="仿宋_GB2312" w:eastAsia="仿宋_GB2312" w:hAnsiTheme="minorEastAsia"/>
          <w:b w:val="0"/>
          <w:bCs w:val="0"/>
          <w:color w:val="000000" w:themeColor="text1"/>
          <w:sz w:val="32"/>
          <w:szCs w:val="32"/>
          <w14:textFill>
            <w14:solidFill>
              <w14:schemeClr w14:val="tx1"/>
            </w14:solidFill>
          </w14:textFill>
        </w:rPr>
        <w:t>总决算数</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降低</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11.58</w:t>
      </w:r>
      <w:r>
        <w:rPr>
          <w:rFonts w:hint="eastAsia" w:ascii="仿宋_GB2312" w:eastAsia="仿宋_GB2312" w:hAnsiTheme="minorEastAsia"/>
          <w:b w:val="0"/>
          <w:bCs w:val="0"/>
          <w:color w:val="000000" w:themeColor="text1"/>
          <w:sz w:val="32"/>
          <w:szCs w:val="32"/>
          <w14:textFill>
            <w14:solidFill>
              <w14:schemeClr w14:val="tx1"/>
            </w14:solidFill>
          </w14:textFill>
        </w:rPr>
        <w:t>%，主要原因</w:t>
      </w:r>
      <w:r>
        <w:rPr>
          <w:rFonts w:hint="eastAsia" w:ascii="仿宋_GB2312" w:eastAsia="仿宋_GB2312" w:hAnsiTheme="minorEastAsia"/>
          <w:b w:val="0"/>
          <w:bCs w:val="0"/>
          <w:color w:val="000000" w:themeColor="text1"/>
          <w:sz w:val="32"/>
          <w:szCs w:val="32"/>
          <w:highlight w:val="none"/>
          <w14:textFill>
            <w14:solidFill>
              <w14:schemeClr w14:val="tx1"/>
            </w14:solidFill>
          </w14:textFill>
        </w:rPr>
        <w:t>是：</w:t>
      </w:r>
      <w:r>
        <w:rPr>
          <w:rFonts w:hint="eastAsia" w:ascii="仿宋_GB2312" w:eastAsia="仿宋_GB2312" w:hAnsiTheme="minorEastAsia"/>
          <w:b w:val="0"/>
          <w:bCs w:val="0"/>
          <w:color w:val="000000" w:themeColor="text1"/>
          <w:sz w:val="32"/>
          <w:szCs w:val="32"/>
          <w:highlight w:val="none"/>
          <w:lang w:val="en-US" w:eastAsia="zh-CN"/>
          <w14:textFill>
            <w14:solidFill>
              <w14:schemeClr w14:val="tx1"/>
            </w14:solidFill>
          </w14:textFill>
        </w:rPr>
        <w:t>社会保险经办机构支出减少239万元，就业管理事务支出减少153万元。</w:t>
      </w:r>
    </w:p>
    <w:p>
      <w:pPr>
        <w:ind w:firstLine="640" w:firstLineChars="200"/>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pPr>
      <w:r>
        <w:rPr>
          <w:rFonts w:hint="eastAsia" w:ascii="仿宋_GB2312" w:eastAsia="仿宋_GB2312" w:hAnsiTheme="minorEastAsia"/>
          <w:b w:val="0"/>
          <w:bCs w:val="0"/>
          <w:color w:val="000000" w:themeColor="text1"/>
          <w:sz w:val="32"/>
          <w:szCs w:val="32"/>
          <w:highlight w:val="none"/>
          <w:lang w:val="en-US" w:eastAsia="zh-CN"/>
          <w14:textFill>
            <w14:solidFill>
              <w14:schemeClr w14:val="tx1"/>
            </w14:solidFill>
          </w14:textFill>
        </w:rPr>
        <w:t>21.民政管理事务款</w:t>
      </w:r>
      <w:r>
        <w:rPr>
          <w:rFonts w:hint="eastAsia" w:ascii="仿宋_GB2312" w:eastAsia="仿宋_GB2312" w:hAnsiTheme="minorEastAsia"/>
          <w:b w:val="0"/>
          <w:bCs w:val="0"/>
          <w:color w:val="000000" w:themeColor="text1"/>
          <w:sz w:val="32"/>
          <w:szCs w:val="32"/>
          <w14:textFill>
            <w14:solidFill>
              <w14:schemeClr w14:val="tx1"/>
            </w14:solidFill>
          </w14:textFill>
        </w:rPr>
        <w:t>比</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2021</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年</w:t>
      </w:r>
      <w:r>
        <w:rPr>
          <w:rFonts w:hint="eastAsia" w:ascii="仿宋_GB2312" w:eastAsia="仿宋_GB2312" w:hAnsiTheme="minorEastAsia"/>
          <w:b w:val="0"/>
          <w:bCs w:val="0"/>
          <w:color w:val="000000" w:themeColor="text1"/>
          <w:sz w:val="32"/>
          <w:szCs w:val="32"/>
          <w14:textFill>
            <w14:solidFill>
              <w14:schemeClr w14:val="tx1"/>
            </w14:solidFill>
          </w14:textFill>
        </w:rPr>
        <w:t>总决算数</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降低</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18.12</w:t>
      </w:r>
      <w:r>
        <w:rPr>
          <w:rFonts w:hint="eastAsia" w:ascii="仿宋_GB2312" w:eastAsia="仿宋_GB2312" w:hAnsiTheme="minorEastAsia"/>
          <w:b w:val="0"/>
          <w:bCs w:val="0"/>
          <w:color w:val="000000" w:themeColor="text1"/>
          <w:sz w:val="32"/>
          <w:szCs w:val="32"/>
          <w14:textFill>
            <w14:solidFill>
              <w14:schemeClr w14:val="tx1"/>
            </w14:solidFill>
          </w14:textFill>
        </w:rPr>
        <w:t>%</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，主要原因是：行政区划和地名管理支出减少</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69万元</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，基层政权建设和社区治理支出减少</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100万元</w:t>
      </w:r>
      <w:r>
        <w:rPr>
          <w:rFonts w:hint="eastAsia" w:ascii="仿宋_GB2312" w:eastAsia="仿宋_GB2312" w:hAnsiTheme="minorEastAsia"/>
          <w:b w:val="0"/>
          <w:bCs w:val="0"/>
          <w:color w:val="000000" w:themeColor="text1"/>
          <w:sz w:val="32"/>
          <w:szCs w:val="32"/>
          <w:lang w:eastAsia="zh-CN"/>
          <w14:textFill>
            <w14:solidFill>
              <w14:schemeClr w14:val="tx1"/>
            </w14:solidFill>
          </w14:textFill>
        </w:rPr>
        <w:t>，其他民政管理事务支出减少</w:t>
      </w:r>
      <w:r>
        <w:rPr>
          <w:rFonts w:hint="eastAsia" w:ascii="仿宋_GB2312" w:eastAsia="仿宋_GB2312" w:hAnsiTheme="minorEastAsia"/>
          <w:b w:val="0"/>
          <w:bCs w:val="0"/>
          <w:color w:val="000000" w:themeColor="text1"/>
          <w:sz w:val="32"/>
          <w:szCs w:val="32"/>
          <w:lang w:val="en-US" w:eastAsia="zh-CN"/>
          <w14:textFill>
            <w14:solidFill>
              <w14:schemeClr w14:val="tx1"/>
            </w14:solidFill>
          </w14:textFill>
        </w:rPr>
        <w:t>284万元。</w:t>
      </w:r>
    </w:p>
    <w:p>
      <w:pPr>
        <w:ind w:firstLine="640" w:firstLineChars="200"/>
        <w:rPr>
          <w:rFonts w:hint="default" w:ascii="仿宋_GB2312" w:eastAsia="仿宋_GB2312" w:hAnsiTheme="minorEastAsia"/>
          <w:b w:val="0"/>
          <w:bCs w:val="0"/>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22.</w:t>
      </w:r>
      <w:r>
        <w:rPr>
          <w:rFonts w:hint="eastAsia" w:ascii="仿宋_GB2312" w:eastAsia="仿宋_GB2312" w:hAnsiTheme="minorEastAsia"/>
          <w:color w:val="000000" w:themeColor="text1"/>
          <w:sz w:val="32"/>
          <w:szCs w:val="32"/>
          <w14:textFill>
            <w14:solidFill>
              <w14:schemeClr w14:val="tx1"/>
            </w14:solidFill>
          </w14:textFill>
        </w:rPr>
        <w:t>行政事业单位养老支出</w:t>
      </w:r>
      <w:r>
        <w:rPr>
          <w:rFonts w:hint="eastAsia" w:ascii="仿宋_GB2312" w:eastAsia="仿宋_GB2312" w:hAnsiTheme="minorEastAsia"/>
          <w:color w:val="000000" w:themeColor="text1"/>
          <w:sz w:val="32"/>
          <w:szCs w:val="32"/>
          <w:lang w:eastAsia="zh-CN"/>
          <w14:textFill>
            <w14:solidFill>
              <w14:schemeClr w14:val="tx1"/>
            </w14:solidFill>
          </w14:textFill>
        </w:rPr>
        <w:t>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总决算数增长</w:t>
      </w:r>
      <w:r>
        <w:rPr>
          <w:rFonts w:hint="eastAsia" w:ascii="仿宋_GB2312" w:eastAsia="仿宋_GB2312" w:hAnsiTheme="minorEastAsia"/>
          <w:color w:val="000000" w:themeColor="text1"/>
          <w:sz w:val="32"/>
          <w:szCs w:val="32"/>
          <w:lang w:val="en-US" w:eastAsia="zh-CN"/>
          <w14:textFill>
            <w14:solidFill>
              <w14:schemeClr w14:val="tx1"/>
            </w14:solidFill>
          </w14:textFill>
        </w:rPr>
        <w:t>23.66</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eastAsia="zh-CN"/>
          <w14:textFill>
            <w14:solidFill>
              <w14:schemeClr w14:val="tx1"/>
            </w14:solidFill>
          </w14:textFill>
        </w:rPr>
        <w:t>：行政单位离退休</w:t>
      </w:r>
      <w:r>
        <w:rPr>
          <w:rFonts w:hint="eastAsia" w:ascii="仿宋_GB2312" w:eastAsia="仿宋_GB2312" w:hAnsiTheme="minorEastAsia"/>
          <w:color w:val="000000" w:themeColor="text1"/>
          <w:sz w:val="32"/>
          <w:szCs w:val="32"/>
          <w14:textFill>
            <w14:solidFill>
              <w14:schemeClr w14:val="tx1"/>
            </w14:solidFill>
          </w14:textFill>
        </w:rPr>
        <w:t>增加</w:t>
      </w:r>
      <w:r>
        <w:rPr>
          <w:rFonts w:hint="eastAsia" w:ascii="仿宋_GB2312" w:eastAsia="仿宋_GB2312" w:hAnsiTheme="minorEastAsia"/>
          <w:color w:val="000000" w:themeColor="text1"/>
          <w:sz w:val="32"/>
          <w:szCs w:val="32"/>
          <w:lang w:val="en-US" w:eastAsia="zh-CN"/>
          <w14:textFill>
            <w14:solidFill>
              <w14:schemeClr w14:val="tx1"/>
            </w14:solidFill>
          </w14:textFill>
        </w:rPr>
        <w:t>7208万元，事业单位离退休增加7679万元</w:t>
      </w:r>
      <w:r>
        <w:rPr>
          <w:rFonts w:hint="eastAsia" w:ascii="仿宋_GB2312" w:eastAsia="仿宋_GB2312" w:hAnsiTheme="minorEastAsia"/>
          <w:color w:val="000000" w:themeColor="text1"/>
          <w:sz w:val="32"/>
          <w:szCs w:val="32"/>
          <w14:textFill>
            <w14:solidFill>
              <w14:schemeClr w14:val="tx1"/>
            </w14:solidFill>
          </w14:textFill>
        </w:rPr>
        <w:t>。</w:t>
      </w:r>
    </w:p>
    <w:p>
      <w:pPr>
        <w:ind w:firstLine="640" w:firstLineChars="200"/>
        <w:rPr>
          <w:rFonts w:hint="eastAsia"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23</w:t>
      </w:r>
      <w:r>
        <w:rPr>
          <w:rFonts w:hint="eastAsia" w:ascii="仿宋_GB2312" w:eastAsia="仿宋_GB2312" w:hAnsiTheme="minorEastAsia"/>
          <w:color w:val="000000" w:themeColor="text1"/>
          <w:sz w:val="32"/>
          <w:szCs w:val="32"/>
          <w14:textFill>
            <w14:solidFill>
              <w14:schemeClr w14:val="tx1"/>
            </w14:solidFill>
          </w14:textFill>
        </w:rPr>
        <w:t>. 社会福利</w:t>
      </w:r>
      <w:r>
        <w:rPr>
          <w:rFonts w:hint="eastAsia" w:ascii="仿宋_GB2312" w:eastAsia="仿宋_GB2312" w:hAnsiTheme="minorEastAsia"/>
          <w:color w:val="000000" w:themeColor="text1"/>
          <w:sz w:val="32"/>
          <w:szCs w:val="32"/>
          <w:lang w:eastAsia="zh-CN"/>
          <w14:textFill>
            <w14:solidFill>
              <w14:schemeClr w14:val="tx1"/>
            </w14:solidFill>
          </w14:textFill>
        </w:rPr>
        <w:t>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41.65</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eastAsia="zh-CN"/>
          <w14:textFill>
            <w14:solidFill>
              <w14:schemeClr w14:val="tx1"/>
            </w14:solidFill>
          </w14:textFill>
        </w:rPr>
        <w:t>：</w:t>
      </w:r>
      <w:r>
        <w:rPr>
          <w:rFonts w:hint="eastAsia" w:ascii="仿宋_GB2312" w:eastAsia="仿宋_GB2312" w:hAnsiTheme="minorEastAsia"/>
          <w:color w:val="000000" w:themeColor="text1"/>
          <w:sz w:val="32"/>
          <w:szCs w:val="32"/>
          <w14:textFill>
            <w14:solidFill>
              <w14:schemeClr w14:val="tx1"/>
            </w14:solidFill>
          </w14:textFill>
        </w:rPr>
        <w:t>养老服务</w:t>
      </w:r>
      <w:r>
        <w:rPr>
          <w:rFonts w:hint="eastAsia" w:ascii="仿宋_GB2312" w:eastAsia="仿宋_GB2312" w:hAnsiTheme="minorEastAsia"/>
          <w:color w:val="000000" w:themeColor="text1"/>
          <w:sz w:val="32"/>
          <w:szCs w:val="32"/>
          <w:lang w:eastAsia="zh-CN"/>
          <w14:textFill>
            <w14:solidFill>
              <w14:schemeClr w14:val="tx1"/>
            </w14:solidFill>
          </w14:textFill>
        </w:rPr>
        <w:t>支出减少</w:t>
      </w:r>
      <w:r>
        <w:rPr>
          <w:rFonts w:hint="eastAsia" w:ascii="仿宋_GB2312" w:eastAsia="仿宋_GB2312" w:hAnsiTheme="minorEastAsia"/>
          <w:color w:val="000000" w:themeColor="text1"/>
          <w:sz w:val="32"/>
          <w:szCs w:val="32"/>
          <w:lang w:val="en-US" w:eastAsia="zh-CN"/>
          <w14:textFill>
            <w14:solidFill>
              <w14:schemeClr w14:val="tx1"/>
            </w14:solidFill>
          </w14:textFill>
        </w:rPr>
        <w:t>1819万元，老年福利支出减少258万元</w:t>
      </w:r>
      <w:r>
        <w:rPr>
          <w:rFonts w:hint="eastAsia" w:ascii="仿宋_GB2312" w:eastAsia="仿宋_GB2312" w:hAnsiTheme="minorEastAsia"/>
          <w:color w:val="000000" w:themeColor="text1"/>
          <w:sz w:val="32"/>
          <w:szCs w:val="32"/>
          <w14:textFill>
            <w14:solidFill>
              <w14:schemeClr w14:val="tx1"/>
            </w14:solidFill>
          </w14:textFill>
        </w:rPr>
        <w:t>。</w:t>
      </w:r>
    </w:p>
    <w:p>
      <w:pPr>
        <w:ind w:firstLine="640" w:firstLineChars="200"/>
        <w:rPr>
          <w:rFonts w:hint="eastAsia"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24</w:t>
      </w:r>
      <w:r>
        <w:rPr>
          <w:rFonts w:hint="eastAsia" w:ascii="仿宋_GB2312" w:eastAsia="仿宋_GB2312" w:hAnsiTheme="minorEastAsia"/>
          <w:color w:val="000000" w:themeColor="text1"/>
          <w:sz w:val="32"/>
          <w:szCs w:val="32"/>
          <w14:textFill>
            <w14:solidFill>
              <w14:schemeClr w14:val="tx1"/>
            </w14:solidFill>
          </w14:textFill>
        </w:rPr>
        <w:t>. 最低生活保障</w:t>
      </w:r>
      <w:r>
        <w:rPr>
          <w:rFonts w:hint="eastAsia" w:ascii="仿宋_GB2312" w:eastAsia="仿宋_GB2312" w:hAnsiTheme="minorEastAsia"/>
          <w:color w:val="000000" w:themeColor="text1"/>
          <w:sz w:val="32"/>
          <w:szCs w:val="32"/>
          <w:lang w:eastAsia="zh-CN"/>
          <w14:textFill>
            <w14:solidFill>
              <w14:schemeClr w14:val="tx1"/>
            </w14:solidFill>
          </w14:textFill>
        </w:rPr>
        <w:t>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33.37</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eastAsia="zh-CN"/>
          <w14:textFill>
            <w14:solidFill>
              <w14:schemeClr w14:val="tx1"/>
            </w14:solidFill>
          </w14:textFill>
        </w:rPr>
        <w:t>：</w:t>
      </w:r>
      <w:r>
        <w:rPr>
          <w:rFonts w:hint="eastAsia" w:ascii="仿宋_GB2312" w:eastAsia="仿宋_GB2312" w:hAnsiTheme="minorEastAsia"/>
          <w:color w:val="000000" w:themeColor="text1"/>
          <w:sz w:val="32"/>
          <w:szCs w:val="32"/>
          <w14:textFill>
            <w14:solidFill>
              <w14:schemeClr w14:val="tx1"/>
            </w14:solidFill>
          </w14:textFill>
        </w:rPr>
        <w:t>城市最低生活保障金支出</w:t>
      </w:r>
      <w:r>
        <w:rPr>
          <w:rFonts w:hint="eastAsia" w:ascii="仿宋_GB2312" w:eastAsia="仿宋_GB2312" w:hAnsiTheme="minorEastAsia"/>
          <w:color w:val="000000" w:themeColor="text1"/>
          <w:sz w:val="32"/>
          <w:szCs w:val="32"/>
          <w:lang w:eastAsia="zh-CN"/>
          <w14:textFill>
            <w14:solidFill>
              <w14:schemeClr w14:val="tx1"/>
            </w14:solidFill>
          </w14:textFill>
        </w:rPr>
        <w:t>减少</w:t>
      </w:r>
      <w:r>
        <w:rPr>
          <w:rFonts w:hint="eastAsia" w:ascii="仿宋_GB2312" w:eastAsia="仿宋_GB2312" w:hAnsiTheme="minorEastAsia"/>
          <w:color w:val="000000" w:themeColor="text1"/>
          <w:sz w:val="32"/>
          <w:szCs w:val="32"/>
          <w:lang w:val="en-US" w:eastAsia="zh-CN"/>
          <w14:textFill>
            <w14:solidFill>
              <w14:schemeClr w14:val="tx1"/>
            </w14:solidFill>
          </w14:textFill>
        </w:rPr>
        <w:t>1799万元</w:t>
      </w:r>
      <w:r>
        <w:rPr>
          <w:rFonts w:hint="eastAsia" w:ascii="仿宋_GB2312" w:eastAsia="仿宋_GB2312" w:hAnsiTheme="minorEastAsia"/>
          <w:color w:val="000000" w:themeColor="text1"/>
          <w:sz w:val="32"/>
          <w:szCs w:val="32"/>
          <w14:textFill>
            <w14:solidFill>
              <w14:schemeClr w14:val="tx1"/>
            </w14:solidFill>
          </w14:textFill>
        </w:rPr>
        <w:t>。</w:t>
      </w:r>
    </w:p>
    <w:p>
      <w:pPr>
        <w:ind w:firstLine="640" w:firstLineChars="200"/>
        <w:rPr>
          <w:rFonts w:hint="eastAsia"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25</w:t>
      </w:r>
      <w:r>
        <w:rPr>
          <w:rFonts w:hint="eastAsia" w:ascii="仿宋_GB2312" w:eastAsia="仿宋_GB2312" w:hAnsiTheme="minorEastAsia"/>
          <w:color w:val="000000" w:themeColor="text1"/>
          <w:sz w:val="32"/>
          <w:szCs w:val="32"/>
          <w14:textFill>
            <w14:solidFill>
              <w14:schemeClr w14:val="tx1"/>
            </w14:solidFill>
          </w14:textFill>
        </w:rPr>
        <w:t>.特困人员救助供养</w:t>
      </w:r>
      <w:r>
        <w:rPr>
          <w:rFonts w:hint="eastAsia" w:ascii="仿宋_GB2312" w:eastAsia="仿宋_GB2312" w:hAnsiTheme="minorEastAsia"/>
          <w:color w:val="000000" w:themeColor="text1"/>
          <w:sz w:val="32"/>
          <w:szCs w:val="32"/>
          <w:lang w:eastAsia="zh-CN"/>
          <w14:textFill>
            <w14:solidFill>
              <w14:schemeClr w14:val="tx1"/>
            </w14:solidFill>
          </w14:textFill>
        </w:rPr>
        <w:t>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42.34</w:t>
      </w:r>
      <w:r>
        <w:rPr>
          <w:rFonts w:hint="eastAsia" w:ascii="仿宋_GB2312" w:eastAsia="仿宋_GB2312" w:hAnsiTheme="minorEastAsia"/>
          <w:color w:val="000000" w:themeColor="text1"/>
          <w:sz w:val="32"/>
          <w:szCs w:val="32"/>
          <w14:textFill>
            <w14:solidFill>
              <w14:schemeClr w14:val="tx1"/>
            </w14:solidFill>
          </w14:textFill>
        </w:rPr>
        <w:t>%，主要原因是：城市特困人员救助供养经费支出</w:t>
      </w:r>
      <w:r>
        <w:rPr>
          <w:rFonts w:hint="eastAsia" w:ascii="仿宋_GB2312" w:eastAsia="仿宋_GB2312" w:hAnsiTheme="minorEastAsia"/>
          <w:color w:val="000000" w:themeColor="text1"/>
          <w:sz w:val="32"/>
          <w:szCs w:val="32"/>
          <w:lang w:eastAsia="zh-CN"/>
          <w14:textFill>
            <w14:solidFill>
              <w14:schemeClr w14:val="tx1"/>
            </w14:solidFill>
          </w14:textFill>
        </w:rPr>
        <w:t>减少</w:t>
      </w:r>
      <w:r>
        <w:rPr>
          <w:rFonts w:hint="eastAsia" w:ascii="仿宋_GB2312" w:eastAsia="仿宋_GB2312" w:hAnsiTheme="minorEastAsia"/>
          <w:color w:val="000000" w:themeColor="text1"/>
          <w:sz w:val="32"/>
          <w:szCs w:val="32"/>
          <w:lang w:val="en-US" w:eastAsia="zh-CN"/>
          <w14:textFill>
            <w14:solidFill>
              <w14:schemeClr w14:val="tx1"/>
            </w14:solidFill>
          </w14:textFill>
        </w:rPr>
        <w:t>268万元</w:t>
      </w:r>
      <w:r>
        <w:rPr>
          <w:rFonts w:hint="eastAsia" w:ascii="仿宋_GB2312" w:eastAsia="仿宋_GB2312" w:hAnsiTheme="minorEastAsia"/>
          <w:color w:val="000000" w:themeColor="text1"/>
          <w:sz w:val="32"/>
          <w:szCs w:val="32"/>
          <w14:textFill>
            <w14:solidFill>
              <w14:schemeClr w14:val="tx1"/>
            </w14:solidFill>
          </w14:textFill>
        </w:rPr>
        <w:t>。</w:t>
      </w:r>
    </w:p>
    <w:p>
      <w:pPr>
        <w:ind w:firstLine="640" w:firstLineChars="200"/>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26</w:t>
      </w:r>
      <w:r>
        <w:rPr>
          <w:rFonts w:hint="eastAsia" w:ascii="仿宋_GB2312" w:eastAsia="仿宋_GB2312" w:hAnsiTheme="minorEastAsia"/>
          <w:color w:val="000000" w:themeColor="text1"/>
          <w:sz w:val="32"/>
          <w:szCs w:val="32"/>
          <w14:textFill>
            <w14:solidFill>
              <w14:schemeClr w14:val="tx1"/>
            </w14:solidFill>
          </w14:textFill>
        </w:rPr>
        <w:t>.</w:t>
      </w:r>
      <w:r>
        <w:rPr>
          <w:rFonts w:hint="eastAsia" w:ascii="仿宋_GB2312" w:eastAsia="仿宋_GB2312" w:hAnsiTheme="minorEastAsia"/>
          <w:color w:val="000000" w:themeColor="text1"/>
          <w:sz w:val="32"/>
          <w:szCs w:val="32"/>
          <w:lang w:eastAsia="zh-CN"/>
          <w14:textFill>
            <w14:solidFill>
              <w14:schemeClr w14:val="tx1"/>
            </w14:solidFill>
          </w14:textFill>
        </w:rPr>
        <w:t>财政对其他社会保险基金的补助款比</w:t>
      </w:r>
      <w:r>
        <w:rPr>
          <w:rFonts w:hint="eastAsia" w:ascii="仿宋_GB2312" w:eastAsia="仿宋_GB2312" w:hAnsiTheme="minorEastAsia"/>
          <w:color w:val="000000" w:themeColor="text1"/>
          <w:sz w:val="32"/>
          <w:szCs w:val="32"/>
          <w:lang w:val="en-US" w:eastAsia="zh-CN"/>
          <w14:textFill>
            <w14:solidFill>
              <w14:schemeClr w14:val="tx1"/>
            </w14:solidFill>
          </w14:textFill>
        </w:rPr>
        <w:t>2021年总决算降低83.35%</w:t>
      </w:r>
      <w:r>
        <w:rPr>
          <w:rFonts w:hint="eastAsia" w:ascii="仿宋_GB2312" w:eastAsia="仿宋_GB2312" w:hAnsiTheme="minorEastAsia"/>
          <w:color w:val="000000" w:themeColor="text1"/>
          <w:sz w:val="32"/>
          <w:szCs w:val="32"/>
          <w:lang w:eastAsia="zh-CN"/>
          <w14:textFill>
            <w14:solidFill>
              <w14:schemeClr w14:val="tx1"/>
            </w14:solidFill>
          </w14:textFill>
        </w:rPr>
        <w:t>，</w:t>
      </w:r>
      <w:r>
        <w:rPr>
          <w:rFonts w:hint="eastAsia" w:ascii="仿宋_GB2312" w:eastAsia="仿宋_GB2312" w:hAnsiTheme="minorEastAsia"/>
          <w:color w:val="000000" w:themeColor="text1"/>
          <w:sz w:val="32"/>
          <w:szCs w:val="32"/>
          <w:highlight w:val="none"/>
          <w14:textFill>
            <w14:solidFill>
              <w14:schemeClr w14:val="tx1"/>
            </w14:solidFill>
          </w14:textFill>
        </w:rPr>
        <w:t>主要原因是</w:t>
      </w:r>
      <w:r>
        <w:rPr>
          <w:rFonts w:hint="eastAsia" w:ascii="仿宋_GB2312" w:eastAsia="仿宋_GB2312" w:hAnsiTheme="minorEastAsia"/>
          <w:color w:val="000000" w:themeColor="text1"/>
          <w:sz w:val="32"/>
          <w:szCs w:val="32"/>
          <w:highlight w:val="none"/>
          <w:lang w:eastAsia="zh-CN"/>
          <w14:textFill>
            <w14:solidFill>
              <w14:schemeClr w14:val="tx1"/>
            </w14:solidFill>
          </w14:textFill>
        </w:rPr>
        <w:t>：</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2021年支出</w:t>
      </w:r>
      <w:r>
        <w:rPr>
          <w:rFonts w:hint="eastAsia" w:ascii="仿宋_GB2312" w:eastAsia="仿宋_GB2312" w:hAnsiTheme="minorEastAsia"/>
          <w:color w:val="000000" w:themeColor="text1"/>
          <w:sz w:val="32"/>
          <w:szCs w:val="32"/>
          <w:lang w:eastAsia="zh-CN"/>
          <w14:textFill>
            <w14:solidFill>
              <w14:schemeClr w14:val="tx1"/>
            </w14:solidFill>
          </w14:textFill>
        </w:rPr>
        <w:t>财政对机关事业单位职业年金记账利息补助资金</w:t>
      </w:r>
      <w:r>
        <w:rPr>
          <w:rFonts w:hint="eastAsia" w:ascii="仿宋_GB2312" w:eastAsia="仿宋_GB2312" w:hAnsiTheme="minorEastAsia"/>
          <w:color w:val="000000" w:themeColor="text1"/>
          <w:sz w:val="32"/>
          <w:szCs w:val="32"/>
          <w:lang w:val="en-US" w:eastAsia="zh-CN"/>
          <w14:textFill>
            <w14:solidFill>
              <w14:schemeClr w14:val="tx1"/>
            </w14:solidFill>
          </w14:textFill>
        </w:rPr>
        <w:t>2427万元。</w:t>
      </w:r>
    </w:p>
    <w:p>
      <w:pPr>
        <w:ind w:firstLine="640" w:firstLineChars="200"/>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27</w:t>
      </w:r>
      <w:r>
        <w:rPr>
          <w:rFonts w:hint="eastAsia" w:ascii="仿宋_GB2312" w:eastAsia="仿宋_GB2312" w:hAnsiTheme="minorEastAsia"/>
          <w:color w:val="000000" w:themeColor="text1"/>
          <w:sz w:val="32"/>
          <w:szCs w:val="32"/>
          <w14:textFill>
            <w14:solidFill>
              <w14:schemeClr w14:val="tx1"/>
            </w14:solidFill>
          </w14:textFill>
        </w:rPr>
        <w:t>.公立医院</w:t>
      </w:r>
      <w:r>
        <w:rPr>
          <w:rFonts w:hint="eastAsia" w:ascii="仿宋_GB2312" w:eastAsia="仿宋_GB2312" w:hAnsiTheme="minorEastAsia"/>
          <w:color w:val="000000" w:themeColor="text1"/>
          <w:sz w:val="32"/>
          <w:szCs w:val="32"/>
          <w:lang w:eastAsia="zh-CN"/>
          <w14:textFill>
            <w14:solidFill>
              <w14:schemeClr w14:val="tx1"/>
            </w14:solidFill>
          </w14:textFill>
        </w:rPr>
        <w:t>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总决算数增长</w:t>
      </w:r>
      <w:r>
        <w:rPr>
          <w:rFonts w:hint="eastAsia" w:ascii="仿宋_GB2312" w:eastAsia="仿宋_GB2312" w:hAnsiTheme="minorEastAsia"/>
          <w:color w:val="000000" w:themeColor="text1"/>
          <w:sz w:val="32"/>
          <w:szCs w:val="32"/>
          <w:lang w:val="en-US" w:eastAsia="zh-CN"/>
          <w14:textFill>
            <w14:solidFill>
              <w14:schemeClr w14:val="tx1"/>
            </w14:solidFill>
          </w14:textFill>
        </w:rPr>
        <w:t>50.16</w:t>
      </w:r>
      <w:r>
        <w:rPr>
          <w:rFonts w:hint="eastAsia" w:ascii="仿宋_GB2312" w:eastAsia="仿宋_GB2312" w:hAnsiTheme="minorEastAsia"/>
          <w:color w:val="000000" w:themeColor="text1"/>
          <w:sz w:val="32"/>
          <w:szCs w:val="32"/>
          <w14:textFill>
            <w14:solidFill>
              <w14:schemeClr w14:val="tx1"/>
            </w14:solidFill>
          </w14:textFill>
        </w:rPr>
        <w:t>%，主要原因是：盘龙区人民医院改扩建项目配套专项资金</w:t>
      </w:r>
      <w:r>
        <w:rPr>
          <w:rFonts w:hint="eastAsia" w:ascii="仿宋_GB2312" w:eastAsia="仿宋_GB2312" w:hAnsiTheme="minorEastAsia"/>
          <w:color w:val="000000" w:themeColor="text1"/>
          <w:sz w:val="32"/>
          <w:szCs w:val="32"/>
          <w:lang w:eastAsia="zh-CN"/>
          <w14:textFill>
            <w14:solidFill>
              <w14:schemeClr w14:val="tx1"/>
            </w14:solidFill>
          </w14:textFill>
        </w:rPr>
        <w:t>支出</w:t>
      </w:r>
      <w:r>
        <w:rPr>
          <w:rFonts w:hint="eastAsia" w:ascii="仿宋_GB2312" w:eastAsia="仿宋_GB2312" w:hAnsiTheme="minorEastAsia"/>
          <w:color w:val="000000" w:themeColor="text1"/>
          <w:sz w:val="32"/>
          <w:szCs w:val="32"/>
          <w:lang w:val="en-US" w:eastAsia="zh-CN"/>
          <w14:textFill>
            <w14:solidFill>
              <w14:schemeClr w14:val="tx1"/>
            </w14:solidFill>
          </w14:textFill>
        </w:rPr>
        <w:t>1000万元。</w:t>
      </w:r>
    </w:p>
    <w:p>
      <w:pPr>
        <w:ind w:firstLine="640" w:firstLineChars="200"/>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28.公共卫生款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增长</w:t>
      </w:r>
      <w:r>
        <w:rPr>
          <w:rFonts w:hint="eastAsia" w:ascii="仿宋_GB2312" w:eastAsia="仿宋_GB2312" w:hAnsiTheme="minorEastAsia"/>
          <w:color w:val="000000" w:themeColor="text1"/>
          <w:sz w:val="32"/>
          <w:szCs w:val="32"/>
          <w:lang w:val="en-US" w:eastAsia="zh-CN"/>
          <w14:textFill>
            <w14:solidFill>
              <w14:schemeClr w14:val="tx1"/>
            </w14:solidFill>
          </w14:textFill>
        </w:rPr>
        <w:t>12.57</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eastAsia="zh-CN"/>
          <w14:textFill>
            <w14:solidFill>
              <w14:schemeClr w14:val="tx1"/>
            </w14:solidFill>
          </w14:textFill>
        </w:rPr>
        <w:t>突发公共卫生事件应急处理支出增加</w:t>
      </w:r>
      <w:r>
        <w:rPr>
          <w:rFonts w:hint="eastAsia" w:ascii="仿宋_GB2312" w:eastAsia="仿宋_GB2312" w:hAnsiTheme="minorEastAsia"/>
          <w:color w:val="000000" w:themeColor="text1"/>
          <w:sz w:val="32"/>
          <w:szCs w:val="32"/>
          <w:lang w:val="en-US" w:eastAsia="zh-CN"/>
          <w14:textFill>
            <w14:solidFill>
              <w14:schemeClr w14:val="tx1"/>
            </w14:solidFill>
          </w14:textFill>
        </w:rPr>
        <w:t>8842万元</w:t>
      </w:r>
      <w:r>
        <w:rPr>
          <w:rFonts w:hint="eastAsia" w:ascii="仿宋_GB2312" w:eastAsia="仿宋_GB2312" w:hAnsiTheme="minorEastAsia"/>
          <w:color w:val="000000" w:themeColor="text1"/>
          <w:sz w:val="32"/>
          <w:szCs w:val="32"/>
          <w:lang w:eastAsia="zh-CN"/>
          <w14:textFill>
            <w14:solidFill>
              <w14:schemeClr w14:val="tx1"/>
            </w14:solidFill>
          </w14:textFill>
        </w:rPr>
        <w:t>。</w:t>
      </w:r>
    </w:p>
    <w:p>
      <w:pPr>
        <w:ind w:firstLine="640" w:firstLineChars="200"/>
        <w:rPr>
          <w:rFonts w:hint="eastAsia"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29</w:t>
      </w:r>
      <w:r>
        <w:rPr>
          <w:rFonts w:hint="eastAsia" w:ascii="仿宋_GB2312" w:eastAsia="仿宋_GB2312" w:hAnsiTheme="minorEastAsia"/>
          <w:color w:val="000000" w:themeColor="text1"/>
          <w:sz w:val="32"/>
          <w:szCs w:val="32"/>
          <w14:textFill>
            <w14:solidFill>
              <w14:schemeClr w14:val="tx1"/>
            </w14:solidFill>
          </w14:textFill>
        </w:rPr>
        <w:t>.中医药</w:t>
      </w:r>
      <w:r>
        <w:rPr>
          <w:rFonts w:hint="eastAsia" w:ascii="仿宋_GB2312" w:eastAsia="仿宋_GB2312" w:hAnsiTheme="minorEastAsia"/>
          <w:color w:val="000000" w:themeColor="text1"/>
          <w:sz w:val="32"/>
          <w:szCs w:val="32"/>
          <w:lang w:eastAsia="zh-CN"/>
          <w14:textFill>
            <w14:solidFill>
              <w14:schemeClr w14:val="tx1"/>
            </w14:solidFill>
          </w14:textFill>
        </w:rPr>
        <w:t>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总决算数增长</w:t>
      </w:r>
      <w:r>
        <w:rPr>
          <w:rFonts w:hint="eastAsia" w:ascii="仿宋_GB2312" w:eastAsia="仿宋_GB2312" w:hAnsiTheme="minorEastAsia"/>
          <w:color w:val="000000" w:themeColor="text1"/>
          <w:sz w:val="32"/>
          <w:szCs w:val="32"/>
          <w:lang w:val="en-US" w:eastAsia="zh-CN"/>
          <w14:textFill>
            <w14:solidFill>
              <w14:schemeClr w14:val="tx1"/>
            </w14:solidFill>
          </w14:textFill>
        </w:rPr>
        <w:t>31.25</w:t>
      </w:r>
      <w:r>
        <w:rPr>
          <w:rFonts w:hint="eastAsia" w:ascii="仿宋_GB2312" w:eastAsia="仿宋_GB2312" w:hAnsiTheme="minorEastAsia"/>
          <w:color w:val="000000" w:themeColor="text1"/>
          <w:sz w:val="32"/>
          <w:szCs w:val="32"/>
          <w14:textFill>
            <w14:solidFill>
              <w14:schemeClr w14:val="tx1"/>
            </w14:solidFill>
          </w14:textFill>
        </w:rPr>
        <w:t>%，主要原因是：中医药事业发展市级专项补助资金</w:t>
      </w:r>
      <w:r>
        <w:rPr>
          <w:rFonts w:hint="eastAsia" w:ascii="仿宋_GB2312" w:eastAsia="仿宋_GB2312" w:hAnsiTheme="minorEastAsia"/>
          <w:color w:val="000000" w:themeColor="text1"/>
          <w:sz w:val="32"/>
          <w:szCs w:val="32"/>
          <w:lang w:eastAsia="zh-CN"/>
          <w14:textFill>
            <w14:solidFill>
              <w14:schemeClr w14:val="tx1"/>
            </w14:solidFill>
          </w14:textFill>
        </w:rPr>
        <w:t>增加</w:t>
      </w:r>
      <w:r>
        <w:rPr>
          <w:rFonts w:hint="eastAsia" w:ascii="仿宋_GB2312" w:eastAsia="仿宋_GB2312" w:hAnsiTheme="minorEastAsia"/>
          <w:color w:val="000000" w:themeColor="text1"/>
          <w:sz w:val="32"/>
          <w:szCs w:val="32"/>
          <w:lang w:val="en-US" w:eastAsia="zh-CN"/>
          <w14:textFill>
            <w14:solidFill>
              <w14:schemeClr w14:val="tx1"/>
            </w14:solidFill>
          </w14:textFill>
        </w:rPr>
        <w:t>10万</w:t>
      </w:r>
      <w:r>
        <w:rPr>
          <w:rFonts w:hint="eastAsia" w:ascii="仿宋_GB2312" w:eastAsia="仿宋_GB2312" w:hAnsiTheme="minorEastAsia"/>
          <w:color w:val="000000" w:themeColor="text1"/>
          <w:sz w:val="32"/>
          <w:szCs w:val="32"/>
          <w14:textFill>
            <w14:solidFill>
              <w14:schemeClr w14:val="tx1"/>
            </w14:solidFill>
          </w14:textFill>
        </w:rPr>
        <w:t>。</w:t>
      </w:r>
    </w:p>
    <w:p>
      <w:pPr>
        <w:ind w:firstLine="640" w:firstLineChars="200"/>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30</w:t>
      </w:r>
      <w:r>
        <w:rPr>
          <w:rFonts w:hint="eastAsia" w:ascii="仿宋_GB2312" w:eastAsia="仿宋_GB2312" w:hAnsiTheme="minorEastAsia"/>
          <w:color w:val="000000" w:themeColor="text1"/>
          <w:sz w:val="32"/>
          <w:szCs w:val="32"/>
          <w14:textFill>
            <w14:solidFill>
              <w14:schemeClr w14:val="tx1"/>
            </w14:solidFill>
          </w14:textFill>
        </w:rPr>
        <w:t>.财政对基本医疗保险基金的补助</w:t>
      </w:r>
      <w:r>
        <w:rPr>
          <w:rFonts w:hint="eastAsia" w:ascii="仿宋_GB2312" w:eastAsia="仿宋_GB2312" w:hAnsiTheme="minorEastAsia"/>
          <w:color w:val="000000" w:themeColor="text1"/>
          <w:sz w:val="32"/>
          <w:szCs w:val="32"/>
          <w:lang w:eastAsia="zh-CN"/>
          <w14:textFill>
            <w14:solidFill>
              <w14:schemeClr w14:val="tx1"/>
            </w14:solidFill>
          </w14:textFill>
        </w:rPr>
        <w:t>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22.27</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val="en-US" w:eastAsia="zh-CN"/>
          <w14:textFill>
            <w14:solidFill>
              <w14:schemeClr w14:val="tx1"/>
            </w14:solidFill>
          </w14:textFill>
        </w:rPr>
        <w:t>2021年</w:t>
      </w:r>
      <w:r>
        <w:rPr>
          <w:rFonts w:hint="eastAsia" w:ascii="仿宋_GB2312" w:eastAsia="仿宋_GB2312" w:hAnsiTheme="minorEastAsia"/>
          <w:color w:val="000000" w:themeColor="text1"/>
          <w:sz w:val="32"/>
          <w:szCs w:val="32"/>
          <w:lang w:eastAsia="zh-CN"/>
          <w14:textFill>
            <w14:solidFill>
              <w14:schemeClr w14:val="tx1"/>
            </w14:solidFill>
          </w14:textFill>
        </w:rPr>
        <w:t>新增</w:t>
      </w:r>
      <w:r>
        <w:rPr>
          <w:rFonts w:hint="eastAsia" w:ascii="仿宋_GB2312" w:eastAsia="仿宋_GB2312" w:hAnsiTheme="minorEastAsia"/>
          <w:color w:val="000000" w:themeColor="text1"/>
          <w:sz w:val="32"/>
          <w:szCs w:val="32"/>
          <w14:textFill>
            <w14:solidFill>
              <w14:schemeClr w14:val="tx1"/>
            </w14:solidFill>
          </w14:textFill>
        </w:rPr>
        <w:t>财政对职工基本医疗保险基金的补助</w:t>
      </w:r>
      <w:r>
        <w:rPr>
          <w:rFonts w:hint="eastAsia" w:ascii="仿宋_GB2312" w:eastAsia="仿宋_GB2312" w:hAnsiTheme="minorEastAsia"/>
          <w:color w:val="000000" w:themeColor="text1"/>
          <w:sz w:val="32"/>
          <w:szCs w:val="32"/>
          <w:lang w:val="en-US" w:eastAsia="zh-CN"/>
          <w14:textFill>
            <w14:solidFill>
              <w14:schemeClr w14:val="tx1"/>
            </w14:solidFill>
          </w14:textFill>
        </w:rPr>
        <w:t>1026万元，2022年无此项支出。</w:t>
      </w:r>
    </w:p>
    <w:p>
      <w:pPr>
        <w:ind w:firstLine="640" w:firstLineChars="200"/>
        <w:rPr>
          <w:rFonts w:hint="eastAsia"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31</w:t>
      </w:r>
      <w:r>
        <w:rPr>
          <w:rFonts w:hint="eastAsia" w:ascii="仿宋_GB2312" w:eastAsia="仿宋_GB2312" w:hAnsiTheme="minorEastAsia"/>
          <w:color w:val="000000" w:themeColor="text1"/>
          <w:sz w:val="32"/>
          <w:szCs w:val="32"/>
          <w14:textFill>
            <w14:solidFill>
              <w14:schemeClr w14:val="tx1"/>
            </w14:solidFill>
          </w14:textFill>
        </w:rPr>
        <w:t>.医疗救助款比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99.74</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val="en-US" w:eastAsia="zh-CN"/>
          <w14:textFill>
            <w14:solidFill>
              <w14:schemeClr w14:val="tx1"/>
            </w14:solidFill>
          </w14:textFill>
        </w:rPr>
        <w:t>2021年</w:t>
      </w:r>
      <w:r>
        <w:rPr>
          <w:rFonts w:hint="eastAsia" w:ascii="仿宋_GB2312" w:eastAsia="仿宋_GB2312" w:hAnsiTheme="minorEastAsia"/>
          <w:color w:val="000000" w:themeColor="text1"/>
          <w:sz w:val="32"/>
          <w:szCs w:val="32"/>
          <w14:textFill>
            <w14:solidFill>
              <w14:schemeClr w14:val="tx1"/>
            </w14:solidFill>
          </w14:textFill>
        </w:rPr>
        <w:t>中央财政医疗救助补助资金</w:t>
      </w:r>
      <w:r>
        <w:rPr>
          <w:rFonts w:hint="eastAsia" w:ascii="仿宋_GB2312" w:eastAsia="仿宋_GB2312" w:hAnsiTheme="minorEastAsia"/>
          <w:color w:val="000000" w:themeColor="text1"/>
          <w:sz w:val="32"/>
          <w:szCs w:val="32"/>
          <w:lang w:eastAsia="zh-CN"/>
          <w14:textFill>
            <w14:solidFill>
              <w14:schemeClr w14:val="tx1"/>
            </w14:solidFill>
          </w14:textFill>
        </w:rPr>
        <w:t>支出</w:t>
      </w:r>
      <w:r>
        <w:rPr>
          <w:rFonts w:hint="eastAsia" w:ascii="仿宋_GB2312" w:eastAsia="仿宋_GB2312" w:hAnsiTheme="minorEastAsia"/>
          <w:color w:val="000000" w:themeColor="text1"/>
          <w:sz w:val="32"/>
          <w:szCs w:val="32"/>
          <w:lang w:val="en-US" w:eastAsia="zh-CN"/>
          <w14:textFill>
            <w14:solidFill>
              <w14:schemeClr w14:val="tx1"/>
            </w14:solidFill>
          </w14:textFill>
        </w:rPr>
        <w:t>741万元，2022年无此项支出</w:t>
      </w:r>
      <w:r>
        <w:rPr>
          <w:rFonts w:hint="eastAsia" w:ascii="仿宋_GB2312" w:eastAsia="仿宋_GB2312" w:hAnsiTheme="minorEastAsia"/>
          <w:color w:val="000000" w:themeColor="text1"/>
          <w:sz w:val="32"/>
          <w:szCs w:val="32"/>
          <w14:textFill>
            <w14:solidFill>
              <w14:schemeClr w14:val="tx1"/>
            </w14:solidFill>
          </w14:textFill>
        </w:rPr>
        <w:t>。</w:t>
      </w:r>
    </w:p>
    <w:p>
      <w:pPr>
        <w:ind w:firstLine="640" w:firstLineChars="200"/>
        <w:rPr>
          <w:rFonts w:hint="eastAsia"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32</w:t>
      </w:r>
      <w:r>
        <w:rPr>
          <w:rFonts w:hint="eastAsia" w:ascii="仿宋_GB2312" w:eastAsia="仿宋_GB2312" w:hAnsiTheme="minorEastAsia"/>
          <w:color w:val="000000" w:themeColor="text1"/>
          <w:sz w:val="32"/>
          <w:szCs w:val="32"/>
          <w14:textFill>
            <w14:solidFill>
              <w14:schemeClr w14:val="tx1"/>
            </w14:solidFill>
          </w14:textFill>
        </w:rPr>
        <w:t>.优抚对象医疗</w:t>
      </w:r>
      <w:r>
        <w:rPr>
          <w:rFonts w:hint="eastAsia" w:ascii="仿宋_GB2312" w:eastAsia="仿宋_GB2312" w:hAnsiTheme="minorEastAsia"/>
          <w:color w:val="000000" w:themeColor="text1"/>
          <w:sz w:val="32"/>
          <w:szCs w:val="32"/>
          <w:lang w:eastAsia="zh-CN"/>
          <w14:textFill>
            <w14:solidFill>
              <w14:schemeClr w14:val="tx1"/>
            </w14:solidFill>
          </w14:textFill>
        </w:rPr>
        <w:t>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39.89%</w:t>
      </w:r>
      <w:r>
        <w:rPr>
          <w:rFonts w:hint="eastAsia" w:ascii="仿宋_GB2312" w:eastAsia="仿宋_GB2312" w:hAnsiTheme="minorEastAsia"/>
          <w:color w:val="000000" w:themeColor="text1"/>
          <w:sz w:val="32"/>
          <w:szCs w:val="32"/>
          <w14:textFill>
            <w14:solidFill>
              <w14:schemeClr w14:val="tx1"/>
            </w14:solidFill>
          </w14:textFill>
        </w:rPr>
        <w:t>，主要原因是：优抚对象医疗补助</w:t>
      </w:r>
      <w:r>
        <w:rPr>
          <w:rFonts w:hint="eastAsia" w:ascii="仿宋_GB2312" w:eastAsia="仿宋_GB2312" w:hAnsiTheme="minorEastAsia"/>
          <w:color w:val="000000" w:themeColor="text1"/>
          <w:sz w:val="32"/>
          <w:szCs w:val="32"/>
          <w:lang w:eastAsia="zh-CN"/>
          <w14:textFill>
            <w14:solidFill>
              <w14:schemeClr w14:val="tx1"/>
            </w14:solidFill>
          </w14:textFill>
        </w:rPr>
        <w:t>支出减少</w:t>
      </w:r>
      <w:r>
        <w:rPr>
          <w:rFonts w:hint="eastAsia" w:ascii="仿宋_GB2312" w:eastAsia="仿宋_GB2312" w:hAnsiTheme="minorEastAsia"/>
          <w:color w:val="000000" w:themeColor="text1"/>
          <w:sz w:val="32"/>
          <w:szCs w:val="32"/>
          <w:lang w:val="en-US" w:eastAsia="zh-CN"/>
          <w14:textFill>
            <w14:solidFill>
              <w14:schemeClr w14:val="tx1"/>
            </w14:solidFill>
          </w14:textFill>
        </w:rPr>
        <w:t>71万元</w:t>
      </w:r>
      <w:r>
        <w:rPr>
          <w:rFonts w:hint="eastAsia" w:ascii="仿宋_GB2312" w:eastAsia="仿宋_GB2312" w:hAnsiTheme="minorEastAsia"/>
          <w:color w:val="000000" w:themeColor="text1"/>
          <w:sz w:val="32"/>
          <w:szCs w:val="32"/>
          <w14:textFill>
            <w14:solidFill>
              <w14:schemeClr w14:val="tx1"/>
            </w14:solidFill>
          </w14:textFill>
        </w:rPr>
        <w:t>。</w:t>
      </w:r>
    </w:p>
    <w:p>
      <w:pPr>
        <w:ind w:firstLine="640" w:firstLineChars="200"/>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33.老龄卫生健康事务(款)比2021年总决算数降低100%，主要原因是：2021年老龄健康项目专项市对下转移支付补助资金支出1万元，2022年无此项支出。</w:t>
      </w:r>
    </w:p>
    <w:p>
      <w:pPr>
        <w:ind w:firstLine="640" w:firstLineChars="200"/>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34</w:t>
      </w:r>
      <w:r>
        <w:rPr>
          <w:rFonts w:hint="eastAsia" w:ascii="仿宋_GB2312" w:eastAsia="仿宋_GB2312" w:hAnsiTheme="minorEastAsia"/>
          <w:color w:val="000000" w:themeColor="text1"/>
          <w:sz w:val="32"/>
          <w:szCs w:val="32"/>
          <w:highlight w:val="none"/>
          <w14:textFill>
            <w14:solidFill>
              <w14:schemeClr w14:val="tx1"/>
            </w14:solidFill>
          </w14:textFill>
        </w:rPr>
        <w:t>.其他卫生健康支出(款)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增长</w:t>
      </w:r>
      <w:r>
        <w:rPr>
          <w:rFonts w:hint="eastAsia" w:ascii="仿宋_GB2312" w:eastAsia="仿宋_GB2312" w:hAnsiTheme="minorEastAsia"/>
          <w:color w:val="000000" w:themeColor="text1"/>
          <w:sz w:val="32"/>
          <w:szCs w:val="32"/>
          <w:lang w:val="en-US" w:eastAsia="zh-CN"/>
          <w14:textFill>
            <w14:solidFill>
              <w14:schemeClr w14:val="tx1"/>
            </w14:solidFill>
          </w14:textFill>
        </w:rPr>
        <w:t>77.91</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eastAsia="zh-CN"/>
          <w14:textFill>
            <w14:solidFill>
              <w14:schemeClr w14:val="tx1"/>
            </w14:solidFill>
          </w14:textFill>
        </w:rPr>
        <w:t>新增医疗服务与保障能力提升支出</w:t>
      </w:r>
      <w:r>
        <w:rPr>
          <w:rFonts w:hint="eastAsia" w:ascii="仿宋_GB2312" w:eastAsia="仿宋_GB2312" w:hAnsiTheme="minorEastAsia"/>
          <w:color w:val="000000" w:themeColor="text1"/>
          <w:sz w:val="32"/>
          <w:szCs w:val="32"/>
          <w:lang w:val="en-US" w:eastAsia="zh-CN"/>
          <w14:textFill>
            <w14:solidFill>
              <w14:schemeClr w14:val="tx1"/>
            </w14:solidFill>
          </w14:textFill>
        </w:rPr>
        <w:t>200万元。</w:t>
      </w:r>
    </w:p>
    <w:p>
      <w:pPr>
        <w:ind w:firstLine="640" w:firstLineChars="200"/>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35</w:t>
      </w:r>
      <w:r>
        <w:rPr>
          <w:rFonts w:hint="eastAsia" w:ascii="仿宋_GB2312" w:eastAsia="仿宋_GB2312" w:hAnsiTheme="minorEastAsia"/>
          <w:color w:val="000000" w:themeColor="text1"/>
          <w:sz w:val="32"/>
          <w:szCs w:val="32"/>
          <w14:textFill>
            <w14:solidFill>
              <w14:schemeClr w14:val="tx1"/>
            </w14:solidFill>
          </w14:textFill>
        </w:rPr>
        <w:t>.环境保护管理事务</w:t>
      </w:r>
      <w:r>
        <w:rPr>
          <w:rFonts w:hint="eastAsia" w:ascii="仿宋_GB2312" w:eastAsia="仿宋_GB2312" w:hAnsiTheme="minorEastAsia"/>
          <w:color w:val="000000" w:themeColor="text1"/>
          <w:sz w:val="32"/>
          <w:szCs w:val="32"/>
          <w:lang w:eastAsia="zh-CN"/>
          <w14:textFill>
            <w14:solidFill>
              <w14:schemeClr w14:val="tx1"/>
            </w14:solidFill>
          </w14:textFill>
        </w:rPr>
        <w:t>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增长</w:t>
      </w:r>
      <w:r>
        <w:rPr>
          <w:rFonts w:hint="eastAsia" w:ascii="仿宋_GB2312" w:eastAsia="仿宋_GB2312" w:hAnsiTheme="minorEastAsia"/>
          <w:color w:val="000000" w:themeColor="text1"/>
          <w:sz w:val="32"/>
          <w:szCs w:val="32"/>
          <w:lang w:val="en-US" w:eastAsia="zh-CN"/>
          <w14:textFill>
            <w14:solidFill>
              <w14:schemeClr w14:val="tx1"/>
            </w14:solidFill>
          </w14:textFill>
        </w:rPr>
        <w:t>528.76</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highlight w:val="none"/>
          <w:lang w:eastAsia="zh-CN"/>
          <w14:textFill>
            <w14:solidFill>
              <w14:schemeClr w14:val="tx1"/>
            </w14:solidFill>
          </w14:textFill>
        </w:rPr>
        <w:t>城市管网及污水处理补助资金支出</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2350万元。</w:t>
      </w:r>
    </w:p>
    <w:p>
      <w:pPr>
        <w:ind w:firstLine="640" w:firstLineChars="200"/>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36.环境监测与监察款比2021年总决算降低100%，主要原因是：2022年无此项支出。</w:t>
      </w:r>
    </w:p>
    <w:p>
      <w:pPr>
        <w:ind w:firstLine="640" w:firstLineChars="200"/>
        <w:rPr>
          <w:rFonts w:hint="default" w:ascii="仿宋_GB2312" w:eastAsia="仿宋_GB2312" w:hAnsiTheme="minorEastAsia"/>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37.污染防治款比2021年总决算增长54.38%，主要原因是：防洪排涝提升及雨污分流改造工程省级补助资金支出4000万元。</w:t>
      </w:r>
    </w:p>
    <w:p>
      <w:pPr>
        <w:ind w:firstLine="640" w:firstLineChars="200"/>
        <w:rPr>
          <w:rFonts w:hint="eastAsia"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38</w:t>
      </w:r>
      <w:r>
        <w:rPr>
          <w:rFonts w:hint="eastAsia" w:ascii="仿宋_GB2312" w:eastAsia="仿宋_GB2312" w:hAnsiTheme="minorEastAsia"/>
          <w:color w:val="000000" w:themeColor="text1"/>
          <w:sz w:val="32"/>
          <w:szCs w:val="32"/>
          <w14:textFill>
            <w14:solidFill>
              <w14:schemeClr w14:val="tx1"/>
            </w14:solidFill>
          </w14:textFill>
        </w:rPr>
        <w:t>.自然生态保护</w:t>
      </w:r>
      <w:r>
        <w:rPr>
          <w:rFonts w:hint="eastAsia" w:ascii="仿宋_GB2312" w:eastAsia="仿宋_GB2312" w:hAnsiTheme="minorEastAsia"/>
          <w:color w:val="000000" w:themeColor="text1"/>
          <w:sz w:val="32"/>
          <w:szCs w:val="32"/>
          <w:lang w:eastAsia="zh-CN"/>
          <w14:textFill>
            <w14:solidFill>
              <w14:schemeClr w14:val="tx1"/>
            </w14:solidFill>
          </w14:textFill>
        </w:rPr>
        <w:t>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增长</w:t>
      </w:r>
      <w:r>
        <w:rPr>
          <w:rFonts w:hint="eastAsia" w:ascii="仿宋_GB2312" w:eastAsia="仿宋_GB2312" w:hAnsiTheme="minorEastAsia"/>
          <w:color w:val="000000" w:themeColor="text1"/>
          <w:sz w:val="32"/>
          <w:szCs w:val="32"/>
          <w:lang w:val="en-US" w:eastAsia="zh-CN"/>
          <w14:textFill>
            <w14:solidFill>
              <w14:schemeClr w14:val="tx1"/>
            </w14:solidFill>
          </w14:textFill>
        </w:rPr>
        <w:t>731.82</w:t>
      </w:r>
      <w:r>
        <w:rPr>
          <w:rFonts w:hint="eastAsia" w:ascii="仿宋_GB2312" w:eastAsia="仿宋_GB2312" w:hAnsiTheme="minorEastAsia"/>
          <w:color w:val="000000" w:themeColor="text1"/>
          <w:sz w:val="32"/>
          <w:szCs w:val="32"/>
          <w14:textFill>
            <w14:solidFill>
              <w14:schemeClr w14:val="tx1"/>
            </w14:solidFill>
          </w14:textFill>
        </w:rPr>
        <w:t>%，主要原因是：中央财政林业草原生态恢复专项资金</w:t>
      </w:r>
      <w:r>
        <w:rPr>
          <w:rFonts w:hint="eastAsia" w:ascii="仿宋_GB2312" w:eastAsia="仿宋_GB2312" w:hAnsiTheme="minorEastAsia"/>
          <w:color w:val="000000" w:themeColor="text1"/>
          <w:sz w:val="32"/>
          <w:szCs w:val="32"/>
          <w:lang w:eastAsia="zh-CN"/>
          <w14:textFill>
            <w14:solidFill>
              <w14:schemeClr w14:val="tx1"/>
            </w14:solidFill>
          </w14:textFill>
        </w:rPr>
        <w:t>支出</w:t>
      </w:r>
      <w:r>
        <w:rPr>
          <w:rFonts w:hint="eastAsia" w:ascii="仿宋_GB2312" w:eastAsia="仿宋_GB2312" w:hAnsiTheme="minorEastAsia"/>
          <w:color w:val="000000" w:themeColor="text1"/>
          <w:sz w:val="32"/>
          <w:szCs w:val="32"/>
          <w:lang w:val="en-US" w:eastAsia="zh-CN"/>
          <w14:textFill>
            <w14:solidFill>
              <w14:schemeClr w14:val="tx1"/>
            </w14:solidFill>
          </w14:textFill>
        </w:rPr>
        <w:t>110万元</w:t>
      </w:r>
      <w:r>
        <w:rPr>
          <w:rFonts w:hint="eastAsia" w:ascii="仿宋_GB2312" w:eastAsia="仿宋_GB2312" w:hAnsiTheme="minorEastAsia"/>
          <w:color w:val="000000" w:themeColor="text1"/>
          <w:sz w:val="32"/>
          <w:szCs w:val="32"/>
          <w14:textFill>
            <w14:solidFill>
              <w14:schemeClr w14:val="tx1"/>
            </w14:solidFill>
          </w14:textFill>
        </w:rPr>
        <w:t>。</w:t>
      </w:r>
    </w:p>
    <w:p>
      <w:pPr>
        <w:ind w:firstLine="640" w:firstLineChars="200"/>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39.其他节能环保支出(款)比2021年总决算降低87.25%，主要原因是：一是2021年金色大道北辰大道排洪箱涵汇流区污水提能增效和清水网格项目专项经费支出1271万元，二是2021年城市管网及污水治理补助资金（城市黑臭水体治理示范项目）支出1346万元。</w:t>
      </w:r>
    </w:p>
    <w:p>
      <w:pPr>
        <w:ind w:firstLine="640" w:firstLineChars="200"/>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40.城乡社区规划与管理(款)比2021年总决算增长较多，主要原因是：2022年新增自建房专项整治经费13万元。</w:t>
      </w:r>
    </w:p>
    <w:p>
      <w:pPr>
        <w:ind w:firstLine="640" w:firstLineChars="200"/>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41.城乡社区公共设施款比2021年总决算数增长36.09%，主要原因是：2022年新增城市燃气管道等老化更新改造支出11535万元。</w:t>
      </w:r>
    </w:p>
    <w:p>
      <w:pPr>
        <w:ind w:firstLine="640" w:firstLineChars="200"/>
        <w:rPr>
          <w:rFonts w:hint="eastAsia" w:ascii="仿宋_GB2312" w:eastAsia="仿宋_GB2312" w:hAnsiTheme="minorEastAsia"/>
          <w:color w:val="000000" w:themeColor="text1"/>
          <w:sz w:val="32"/>
          <w:szCs w:val="32"/>
          <w:highlight w:val="none"/>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42</w:t>
      </w:r>
      <w:r>
        <w:rPr>
          <w:rFonts w:hint="eastAsia" w:ascii="仿宋_GB2312" w:eastAsia="仿宋_GB2312" w:hAnsiTheme="minorEastAsia"/>
          <w:color w:val="000000" w:themeColor="text1"/>
          <w:sz w:val="32"/>
          <w:szCs w:val="32"/>
          <w14:textFill>
            <w14:solidFill>
              <w14:schemeClr w14:val="tx1"/>
            </w14:solidFill>
          </w14:textFill>
        </w:rPr>
        <w:t>.城乡社区环境卫生(款) 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23.05</w:t>
      </w:r>
      <w:r>
        <w:rPr>
          <w:rFonts w:hint="eastAsia" w:ascii="仿宋_GB2312" w:eastAsia="仿宋_GB2312" w:hAnsiTheme="minorEastAsia"/>
          <w:color w:val="000000" w:themeColor="text1"/>
          <w:sz w:val="32"/>
          <w:szCs w:val="32"/>
          <w14:textFill>
            <w14:solidFill>
              <w14:schemeClr w14:val="tx1"/>
            </w14:solidFill>
          </w14:textFill>
        </w:rPr>
        <w:t>%，主要原</w:t>
      </w:r>
      <w:r>
        <w:rPr>
          <w:rFonts w:hint="eastAsia" w:ascii="仿宋_GB2312" w:eastAsia="仿宋_GB2312" w:hAnsiTheme="minorEastAsia"/>
          <w:color w:val="000000" w:themeColor="text1"/>
          <w:sz w:val="32"/>
          <w:szCs w:val="32"/>
          <w:highlight w:val="none"/>
          <w14:textFill>
            <w14:solidFill>
              <w14:schemeClr w14:val="tx1"/>
            </w14:solidFill>
          </w14:textFill>
        </w:rPr>
        <w:t>因是</w:t>
      </w:r>
      <w:r>
        <w:rPr>
          <w:rFonts w:hint="eastAsia" w:ascii="仿宋_GB2312" w:eastAsia="仿宋_GB2312" w:hAnsiTheme="minorEastAsia"/>
          <w:color w:val="000000" w:themeColor="text1"/>
          <w:sz w:val="32"/>
          <w:szCs w:val="32"/>
          <w:highlight w:val="none"/>
          <w:lang w:eastAsia="zh-CN"/>
          <w14:textFill>
            <w14:solidFill>
              <w14:schemeClr w14:val="tx1"/>
            </w14:solidFill>
          </w14:textFill>
        </w:rPr>
        <w:t>：一是</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2022年环卫一体化运行经费减少2000万元，二是2021年追加综合环境整治工程1730万元</w:t>
      </w:r>
      <w:r>
        <w:rPr>
          <w:rFonts w:hint="eastAsia" w:ascii="仿宋_GB2312" w:eastAsia="仿宋_GB2312" w:hAnsiTheme="minorEastAsia"/>
          <w:color w:val="000000" w:themeColor="text1"/>
          <w:sz w:val="32"/>
          <w:szCs w:val="32"/>
          <w:highlight w:val="none"/>
          <w14:textFill>
            <w14:solidFill>
              <w14:schemeClr w14:val="tx1"/>
            </w14:solidFill>
          </w14:textFill>
        </w:rPr>
        <w:t>。</w:t>
      </w:r>
    </w:p>
    <w:p>
      <w:pPr>
        <w:ind w:firstLine="640" w:firstLineChars="200"/>
        <w:rPr>
          <w:rFonts w:hint="default" w:ascii="仿宋_GB2312" w:eastAsia="仿宋_GB2312" w:hAnsiTheme="minorEastAsia"/>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43.其他城乡社区支出(款)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增长</w:t>
      </w:r>
      <w:r>
        <w:rPr>
          <w:rFonts w:hint="eastAsia" w:ascii="仿宋_GB2312" w:eastAsia="仿宋_GB2312" w:hAnsiTheme="minorEastAsia"/>
          <w:color w:val="000000" w:themeColor="text1"/>
          <w:sz w:val="32"/>
          <w:szCs w:val="32"/>
          <w:lang w:val="en-US" w:eastAsia="zh-CN"/>
          <w14:textFill>
            <w14:solidFill>
              <w14:schemeClr w14:val="tx1"/>
            </w14:solidFill>
          </w14:textFill>
        </w:rPr>
        <w:t>8.19</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highlight w:val="none"/>
          <w14:textFill>
            <w14:solidFill>
              <w14:schemeClr w14:val="tx1"/>
            </w14:solidFill>
          </w14:textFill>
        </w:rPr>
        <w:t>：</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2022年支出</w:t>
      </w:r>
      <w:r>
        <w:rPr>
          <w:rFonts w:hint="eastAsia" w:ascii="仿宋_GB2312" w:eastAsia="仿宋_GB2312" w:hAnsiTheme="minorEastAsia"/>
          <w:color w:val="000000" w:themeColor="text1"/>
          <w:sz w:val="32"/>
          <w:szCs w:val="32"/>
          <w:lang w:val="en-US" w:eastAsia="zh-CN"/>
          <w14:textFill>
            <w14:solidFill>
              <w14:schemeClr w14:val="tx1"/>
            </w14:solidFill>
          </w14:textFill>
        </w:rPr>
        <w:t>机场路（虹桥立交至两面寺立交段）主路及虹桥立交下层提升整治项目专项资金625万元，盘龙202号路项目（寺瓦路至盘龙200号路）东半幅道路工程资金742万元</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w:t>
      </w:r>
    </w:p>
    <w:p>
      <w:pPr>
        <w:ind w:firstLine="640" w:firstLineChars="200"/>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44.农业农村款比2021年总决算增长40.74%，主要原因是：一是2022年追加无害化户厕建设第一批经费支出895万元，一事一议项目专项资金支出514万元；二是2022年乡村振兴项目专项经费支出500万元，生态农业发展扶持补助资金支出281万元。</w:t>
      </w:r>
    </w:p>
    <w:p>
      <w:pPr>
        <w:ind w:firstLine="640" w:firstLineChars="200"/>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45.林业和草原款比2021年总决算数降低47.66%，主要原因是：一是森林资源管理支出减少1799万元，二是森林资源培育支出减少722万元。</w:t>
      </w:r>
    </w:p>
    <w:p>
      <w:pPr>
        <w:ind w:firstLine="640" w:firstLineChars="200"/>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46.水利款比2021年总决算降低56.15%，主要原因是：一是水利工程建设支出减少9034万元，二是水资源节约管理与保护支出减少1876万元。</w:t>
      </w:r>
    </w:p>
    <w:p>
      <w:pPr>
        <w:ind w:firstLine="640" w:firstLineChars="200"/>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47.巩固脱贫衔接乡村振兴款比2021年总决算增长29.62%，主要原因是：农村基础设施建设增加998万元，其他巩固脱贫衔接乡村振兴支出增加411万元。</w:t>
      </w:r>
    </w:p>
    <w:p>
      <w:pPr>
        <w:ind w:firstLine="564"/>
        <w:rPr>
          <w:rFonts w:hint="eastAsia"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48</w:t>
      </w:r>
      <w:r>
        <w:rPr>
          <w:rFonts w:hint="eastAsia" w:ascii="仿宋_GB2312" w:eastAsia="仿宋_GB2312" w:hAnsiTheme="minorEastAsia"/>
          <w:color w:val="000000" w:themeColor="text1"/>
          <w:sz w:val="32"/>
          <w:szCs w:val="32"/>
          <w14:textFill>
            <w14:solidFill>
              <w14:schemeClr w14:val="tx1"/>
            </w14:solidFill>
          </w14:textFill>
        </w:rPr>
        <w:t>.普惠金融发展支出</w:t>
      </w:r>
      <w:r>
        <w:rPr>
          <w:rFonts w:hint="eastAsia" w:ascii="仿宋_GB2312" w:eastAsia="仿宋_GB2312" w:hAnsiTheme="minorEastAsia"/>
          <w:color w:val="000000" w:themeColor="text1"/>
          <w:sz w:val="32"/>
          <w:szCs w:val="32"/>
          <w:lang w:eastAsia="zh-CN"/>
          <w14:textFill>
            <w14:solidFill>
              <w14:schemeClr w14:val="tx1"/>
            </w14:solidFill>
          </w14:textFill>
        </w:rPr>
        <w:t>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降低</w:t>
      </w:r>
      <w:r>
        <w:rPr>
          <w:rFonts w:hint="eastAsia" w:ascii="仿宋_GB2312" w:eastAsia="仿宋_GB2312" w:hAnsiTheme="minorEastAsia"/>
          <w:color w:val="000000" w:themeColor="text1"/>
          <w:sz w:val="32"/>
          <w:szCs w:val="32"/>
          <w:lang w:val="en-US" w:eastAsia="zh-CN"/>
          <w14:textFill>
            <w14:solidFill>
              <w14:schemeClr w14:val="tx1"/>
            </w14:solidFill>
          </w14:textFill>
        </w:rPr>
        <w:t>24.59</w:t>
      </w:r>
      <w:r>
        <w:rPr>
          <w:rFonts w:hint="eastAsia" w:ascii="仿宋_GB2312" w:eastAsia="仿宋_GB2312" w:hAnsiTheme="minorEastAsia"/>
          <w:color w:val="000000" w:themeColor="text1"/>
          <w:sz w:val="32"/>
          <w:szCs w:val="32"/>
          <w14:textFill>
            <w14:solidFill>
              <w14:schemeClr w14:val="tx1"/>
            </w14:solidFill>
          </w14:textFill>
        </w:rPr>
        <w:t>%，主要原因是：财政创业担保贷款贴息专项资金</w:t>
      </w:r>
      <w:r>
        <w:rPr>
          <w:rFonts w:hint="eastAsia" w:ascii="仿宋_GB2312" w:eastAsia="仿宋_GB2312" w:hAnsiTheme="minorEastAsia"/>
          <w:color w:val="000000" w:themeColor="text1"/>
          <w:sz w:val="32"/>
          <w:szCs w:val="32"/>
          <w:lang w:eastAsia="zh-CN"/>
          <w14:textFill>
            <w14:solidFill>
              <w14:schemeClr w14:val="tx1"/>
            </w14:solidFill>
          </w14:textFill>
        </w:rPr>
        <w:t>和</w:t>
      </w:r>
      <w:r>
        <w:rPr>
          <w:rFonts w:hint="eastAsia" w:ascii="仿宋_GB2312" w:eastAsia="仿宋_GB2312" w:hAnsiTheme="minorEastAsia"/>
          <w:color w:val="000000" w:themeColor="text1"/>
          <w:sz w:val="32"/>
          <w:szCs w:val="32"/>
          <w14:textFill>
            <w14:solidFill>
              <w14:schemeClr w14:val="tx1"/>
            </w14:solidFill>
          </w14:textFill>
        </w:rPr>
        <w:t>普惠金融发展专项资金</w:t>
      </w:r>
      <w:r>
        <w:rPr>
          <w:rFonts w:hint="eastAsia" w:ascii="仿宋_GB2312" w:eastAsia="仿宋_GB2312" w:hAnsiTheme="minorEastAsia"/>
          <w:color w:val="000000" w:themeColor="text1"/>
          <w:sz w:val="32"/>
          <w:szCs w:val="32"/>
          <w:lang w:eastAsia="zh-CN"/>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2021年减少540万元</w:t>
      </w:r>
      <w:r>
        <w:rPr>
          <w:rFonts w:hint="eastAsia" w:ascii="仿宋_GB2312" w:eastAsia="仿宋_GB2312" w:hAnsiTheme="minorEastAsia"/>
          <w:color w:val="000000" w:themeColor="text1"/>
          <w:sz w:val="32"/>
          <w:szCs w:val="32"/>
          <w14:textFill>
            <w14:solidFill>
              <w14:schemeClr w14:val="tx1"/>
            </w14:solidFill>
          </w14:textFill>
        </w:rPr>
        <w:t>。</w:t>
      </w:r>
    </w:p>
    <w:p>
      <w:pPr>
        <w:ind w:firstLine="564"/>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49.其他农林水支出(款)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增长</w:t>
      </w:r>
      <w:r>
        <w:rPr>
          <w:rFonts w:hint="eastAsia" w:ascii="仿宋_GB2312" w:eastAsia="仿宋_GB2312" w:hAnsiTheme="minorEastAsia"/>
          <w:color w:val="000000" w:themeColor="text1"/>
          <w:sz w:val="32"/>
          <w:szCs w:val="32"/>
          <w:lang w:val="en-US" w:eastAsia="zh-CN"/>
          <w14:textFill>
            <w14:solidFill>
              <w14:schemeClr w14:val="tx1"/>
            </w14:solidFill>
          </w14:textFill>
        </w:rPr>
        <w:t>206.25</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val="en-US" w:eastAsia="zh-CN"/>
          <w14:textFill>
            <w14:solidFill>
              <w14:schemeClr w14:val="tx1"/>
            </w14:solidFill>
          </w14:textFill>
        </w:rPr>
        <w:t>2022年转拨2022年省级民族团结保障经费49万元。</w:t>
      </w:r>
    </w:p>
    <w:p>
      <w:pPr>
        <w:ind w:firstLine="564"/>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50.公路水路运输款比2021年总决算数增长10.27%，主要原因是：2022年追加清峪路建设工程专项经费支出171万元。</w:t>
      </w:r>
      <w:r>
        <w:rPr>
          <w:rFonts w:hint="eastAsia" w:ascii="仿宋_GB2312" w:eastAsia="仿宋_GB2312" w:hAnsiTheme="minorEastAsia"/>
          <w:color w:val="000000" w:themeColor="text1"/>
          <w:sz w:val="32"/>
          <w:szCs w:val="32"/>
          <w:lang w:val="en-US" w:eastAsia="zh-CN"/>
          <w14:textFill>
            <w14:solidFill>
              <w14:schemeClr w14:val="tx1"/>
            </w14:solidFill>
          </w14:textFill>
        </w:rPr>
        <w:tab/>
      </w:r>
    </w:p>
    <w:p>
      <w:pPr>
        <w:ind w:firstLine="564"/>
        <w:rPr>
          <w:rFonts w:hint="default" w:ascii="仿宋_GB2312" w:eastAsia="仿宋_GB2312" w:hAnsiTheme="minorEastAsia"/>
          <w:b/>
          <w:bCs/>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51.工业和信息产业监管款比2021年总决算数下降81.44%，主要原因是：产业发展支出减少803万元。</w:t>
      </w:r>
    </w:p>
    <w:p>
      <w:pPr>
        <w:ind w:firstLine="564"/>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52.国有资产监管款比2021年总决算数降低63.14%，主要原因是：2021年支出国有企业办职教幼教退休教师生活待遇差补助经费293万元。</w:t>
      </w:r>
    </w:p>
    <w:p>
      <w:pPr>
        <w:ind w:firstLine="564"/>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53.支持中小企业发展和管理支出款比2021年总决算数增长445.38%，主要原因是：2022年中小微企业纾困发展以奖代补资金、中小企业发展专项资金支出1887万元。</w:t>
      </w:r>
    </w:p>
    <w:p>
      <w:pPr>
        <w:ind w:firstLine="564"/>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54.商业流通事务款比2021年总决算数增长181.24%，主要原因是：2022年追加2021年度盘龙区促进经济平稳健康发展22条措施奖励资金支出947万元。</w:t>
      </w:r>
    </w:p>
    <w:p>
      <w:pPr>
        <w:ind w:firstLine="564"/>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55.其他商业服务业等支出(款) 比2021年总决算数降低78.69%，主要原因是：2021年昆明市知识产权运营服务体系建设补助资金，促消费稳增长扶持奖励专项资金、昆明市商贸类服务业奖励专项资金1253万元。</w:t>
      </w:r>
    </w:p>
    <w:p>
      <w:pPr>
        <w:ind w:firstLine="564"/>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56.其他金融支出(款)</w:t>
      </w:r>
      <w:r>
        <w:rPr>
          <w:rFonts w:hint="eastAsia" w:ascii="仿宋_GB2312" w:eastAsia="仿宋_GB2312" w:hAnsiTheme="minorEastAsia"/>
          <w:color w:val="000000" w:themeColor="text1"/>
          <w:sz w:val="32"/>
          <w:szCs w:val="32"/>
          <w:lang w:val="en-US" w:eastAsia="zh-CN"/>
          <w14:textFill>
            <w14:solidFill>
              <w14:schemeClr w14:val="tx1"/>
            </w14:solidFill>
          </w14:textFill>
        </w:rPr>
        <w:tab/>
      </w:r>
      <w:r>
        <w:rPr>
          <w:rFonts w:hint="eastAsia" w:ascii="仿宋_GB2312" w:eastAsia="仿宋_GB2312" w:hAnsiTheme="minorEastAsia"/>
          <w:color w:val="000000" w:themeColor="text1"/>
          <w:sz w:val="32"/>
          <w:szCs w:val="32"/>
          <w:lang w:val="en-US" w:eastAsia="zh-CN"/>
          <w14:textFill>
            <w14:solidFill>
              <w14:schemeClr w14:val="tx1"/>
            </w14:solidFill>
          </w14:textFill>
        </w:rPr>
        <w:t>比2021年总决算数降低99.75%，主要原因是：2021年支出疫情防控重点企业贷款省级财政贴息专项资金395万元。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hAnsiTheme="minorEastAsia"/>
          <w:color w:val="000000" w:themeColor="text1"/>
          <w:sz w:val="32"/>
          <w:szCs w:val="32"/>
          <w:highlight w:val="none"/>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57.自然资源事务支出比2021年总决算数增长24.73%，主要原因是：一般行政管理事务比2021年增加98万元，自然资源规划及管理支出增加163万元，自然资源行业业务管理增加137万元。</w:t>
      </w:r>
    </w:p>
    <w:p>
      <w:pPr>
        <w:ind w:firstLine="564"/>
        <w:rPr>
          <w:rFonts w:hint="eastAsia"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58.气象事务款比2021年总决算数增长108.14%，主要原因是：新增气象装备保障维护支出100万元。</w:t>
      </w:r>
    </w:p>
    <w:p>
      <w:pPr>
        <w:ind w:firstLine="564"/>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59.保障性安居工程支出款比2021年总决算数增长52.01%，主要原因是：2022年预拨中央财政城镇保障性安居工程补助资金4443万元。</w:t>
      </w:r>
    </w:p>
    <w:p>
      <w:pPr>
        <w:ind w:firstLine="564"/>
        <w:rPr>
          <w:rFonts w:hint="default" w:ascii="仿宋_GB2312" w:eastAsia="仿宋_GB2312" w:hAnsiTheme="minorEastAsia"/>
          <w:color w:val="000000" w:themeColor="text1"/>
          <w:sz w:val="32"/>
          <w:szCs w:val="32"/>
          <w:highlight w:val="yellow"/>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60.粮油事务款比2021年总决算数降低13.71%，主要原因是：2021年支出粮食应急供应网点建设项目经费16万元。</w:t>
      </w:r>
    </w:p>
    <w:p>
      <w:pPr>
        <w:ind w:firstLine="564"/>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61.粮油储备事务款比2021年总决算数增长48.81%，主要原因是：储备粮油补贴支出增加470万元。</w:t>
      </w:r>
    </w:p>
    <w:p>
      <w:pPr>
        <w:ind w:firstLine="564"/>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62.消防救援事务款比2021年总决算增长57.33%，主要原因是：消防应急救援新增支出1446万元。</w:t>
      </w:r>
    </w:p>
    <w:p>
      <w:pPr>
        <w:ind w:firstLine="564"/>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63.自然灾害救灾及恢复重建支出款比2021年总决算数降低100%，主要原因是：2021年支出冬春救助专项资金49万元，2022年无此项支出。</w:t>
      </w:r>
    </w:p>
    <w:p>
      <w:pPr>
        <w:ind w:firstLine="564"/>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64.地方政府一般债务发行费用支出款比2021年总决算增长较多，主要原因是：2022年地方政府一般债务发行费用支出1万元，2021年无此项支出。</w:t>
      </w:r>
    </w:p>
    <w:p>
      <w:pPr>
        <w:ind w:firstLine="640" w:firstLineChars="200"/>
        <w:rPr>
          <w:rFonts w:hint="eastAsia"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二、政府性基金预算本级支出执行变动情况</w:t>
      </w:r>
    </w:p>
    <w:p>
      <w:pPr>
        <w:autoSpaceDE w:val="0"/>
        <w:autoSpaceDN w:val="0"/>
        <w:adjustRightInd w:val="0"/>
        <w:ind w:firstLine="640" w:firstLineChars="200"/>
        <w:jc w:val="left"/>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1.国家电影事业发展专项资金安排的支出款比2021年总决算数增长191.03%，主要原因是：资助国产影片放映比2021年支出增加108万元。</w:t>
      </w:r>
    </w:p>
    <w:p>
      <w:pPr>
        <w:autoSpaceDE w:val="0"/>
        <w:autoSpaceDN w:val="0"/>
        <w:adjustRightInd w:val="0"/>
        <w:ind w:firstLine="640" w:firstLineChars="200"/>
        <w:jc w:val="left"/>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2.大中型水库移民后期扶持基金支出款比2021年总决算数降低13.24%，主要原因是：移民补助支出减少45万元。</w:t>
      </w:r>
    </w:p>
    <w:p>
      <w:pPr>
        <w:autoSpaceDE w:val="0"/>
        <w:autoSpaceDN w:val="0"/>
        <w:adjustRightInd w:val="0"/>
        <w:ind w:firstLine="640" w:firstLineChars="200"/>
        <w:jc w:val="left"/>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3</w:t>
      </w:r>
      <w:r>
        <w:rPr>
          <w:rFonts w:hint="eastAsia" w:ascii="仿宋_GB2312" w:eastAsia="仿宋_GB2312" w:hAnsiTheme="minorEastAsia"/>
          <w:color w:val="000000" w:themeColor="text1"/>
          <w:sz w:val="32"/>
          <w:szCs w:val="32"/>
          <w14:textFill>
            <w14:solidFill>
              <w14:schemeClr w14:val="tx1"/>
            </w14:solidFill>
          </w14:textFill>
        </w:rPr>
        <w:t>.有土地使用权出让收入安排的支出</w:t>
      </w:r>
      <w:r>
        <w:rPr>
          <w:rFonts w:hint="eastAsia" w:ascii="仿宋_GB2312" w:eastAsia="仿宋_GB2312" w:hAnsiTheme="minorEastAsia"/>
          <w:color w:val="000000" w:themeColor="text1"/>
          <w:sz w:val="32"/>
          <w:szCs w:val="32"/>
          <w:lang w:eastAsia="zh-CN"/>
          <w14:textFill>
            <w14:solidFill>
              <w14:schemeClr w14:val="tx1"/>
            </w14:solidFill>
          </w14:textFill>
        </w:rPr>
        <w:t>款比</w:t>
      </w:r>
      <w:r>
        <w:rPr>
          <w:rFonts w:hint="eastAsia" w:ascii="仿宋_GB2312" w:eastAsia="仿宋_GB2312" w:hAnsiTheme="minorEastAsia"/>
          <w:color w:val="000000" w:themeColor="text1"/>
          <w:sz w:val="32"/>
          <w:szCs w:val="32"/>
          <w:lang w:val="en-US" w:eastAsia="zh-CN"/>
          <w14:textFill>
            <w14:solidFill>
              <w14:schemeClr w14:val="tx1"/>
            </w14:solidFill>
          </w14:textFill>
        </w:rPr>
        <w:t>2021年总决算数增长55.23%，主要原因是：农村基础设施建设支出增加163万元，其他国有土地使用权出让收入安排的支出增加508万元。</w:t>
      </w:r>
    </w:p>
    <w:p>
      <w:pPr>
        <w:autoSpaceDE w:val="0"/>
        <w:autoSpaceDN w:val="0"/>
        <w:adjustRightInd w:val="0"/>
        <w:ind w:firstLine="640" w:firstLineChars="200"/>
        <w:jc w:val="left"/>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4.城市基础设施配套费安排的支出比2021年总决算数增长12400%，主要原因是：新增城区雨污分流以奖代补市级补助资金支出2000万元。</w:t>
      </w:r>
    </w:p>
    <w:p>
      <w:pPr>
        <w:autoSpaceDE w:val="0"/>
        <w:autoSpaceDN w:val="0"/>
        <w:adjustRightInd w:val="0"/>
        <w:ind w:firstLine="640" w:firstLineChars="200"/>
        <w:jc w:val="left"/>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5.棚户区改造专项债券收入安排的支出比2021年总决算数降低100%，主要原因是：2021年追加2021年提前批次新增政府债券盘龙区任旗营城市棚户区改造项目专项债资金支出10000万元。</w:t>
      </w:r>
    </w:p>
    <w:p>
      <w:pPr>
        <w:autoSpaceDE w:val="0"/>
        <w:autoSpaceDN w:val="0"/>
        <w:adjustRightInd w:val="0"/>
        <w:ind w:firstLine="640" w:firstLineChars="200"/>
        <w:jc w:val="left"/>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6.大中型水库库区基金安排的支出款比2021年总决算数增长126.93%,主要原因是：中央水库移民扶持基金和大中型水库移民后期扶持资金支出增加161万元。</w:t>
      </w:r>
    </w:p>
    <w:p>
      <w:pPr>
        <w:ind w:firstLine="640" w:firstLineChars="200"/>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7.民航发展基金支出支出款比2021年总决算数降低47.81%，主要原因是：通用航空发展比2021年减少120万元。</w:t>
      </w:r>
    </w:p>
    <w:p>
      <w:pPr>
        <w:ind w:firstLine="640" w:firstLineChars="200"/>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8.其他政府性基金及对应专项债务收入安排的支出款比2021年总决算数增长240%，主要原因是：其他地方自行试点项目收益专项债券收入安排的支出增加52800万元。</w:t>
      </w:r>
    </w:p>
    <w:p>
      <w:pPr>
        <w:ind w:firstLine="640" w:firstLineChars="200"/>
        <w:rPr>
          <w:rFonts w:hint="eastAsia"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9.地方政府专项债务付息支出款比2021年总决算数增长216.43%，主要原因是:专项债付息及兑付费专项经费支出1837万元。</w:t>
      </w:r>
    </w:p>
    <w:p>
      <w:pPr>
        <w:ind w:firstLine="640" w:firstLineChars="200"/>
        <w:rPr>
          <w:rFonts w:hint="default" w:ascii="仿宋_GB2312" w:eastAsia="仿宋_GB2312" w:hAnsiTheme="minorEastAsia"/>
          <w:color w:val="000000" w:themeColor="text1"/>
          <w:sz w:val="32"/>
          <w:szCs w:val="32"/>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10. 基础设施建设支出比2021年总决算数降低较多，主要原因：2021年生态环境治理支出1272万元，2022年无此项支出。</w:t>
      </w:r>
    </w:p>
    <w:p>
      <w:pPr>
        <w:ind w:firstLine="640" w:firstLineChars="200"/>
        <w:rPr>
          <w:rFonts w:hint="eastAsia"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三、国有资本经营预算本级支出执行变动情况</w:t>
      </w:r>
    </w:p>
    <w:p>
      <w:pPr>
        <w:ind w:firstLine="640" w:firstLineChars="200"/>
        <w:rPr>
          <w:rFonts w:hint="default" w:ascii="仿宋_GB2312" w:eastAsia="仿宋_GB2312" w:hAnsiTheme="minorEastAsia"/>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color w:val="000000" w:themeColor="text1"/>
          <w:sz w:val="32"/>
          <w:szCs w:val="32"/>
          <w:lang w:val="en-US" w:eastAsia="zh-CN"/>
          <w14:textFill>
            <w14:solidFill>
              <w14:schemeClr w14:val="tx1"/>
            </w14:solidFill>
          </w14:textFill>
        </w:rPr>
        <w:t>1.</w:t>
      </w:r>
      <w:r>
        <w:rPr>
          <w:rFonts w:hint="eastAsia" w:ascii="仿宋_GB2312" w:eastAsia="仿宋_GB2312" w:hAnsiTheme="minorEastAsia"/>
          <w:color w:val="000000" w:themeColor="text1"/>
          <w:sz w:val="32"/>
          <w:szCs w:val="32"/>
          <w14:textFill>
            <w14:solidFill>
              <w14:schemeClr w14:val="tx1"/>
            </w14:solidFill>
          </w14:textFill>
        </w:rPr>
        <w:t>解决历史遗留问题及改革成本支出</w:t>
      </w:r>
      <w:r>
        <w:rPr>
          <w:rFonts w:hint="eastAsia" w:ascii="仿宋_GB2312" w:eastAsia="仿宋_GB2312" w:hAnsiTheme="minorEastAsia"/>
          <w:color w:val="000000" w:themeColor="text1"/>
          <w:sz w:val="32"/>
          <w:szCs w:val="32"/>
          <w:lang w:eastAsia="zh-CN"/>
          <w14:textFill>
            <w14:solidFill>
              <w14:schemeClr w14:val="tx1"/>
            </w14:solidFill>
          </w14:textFill>
        </w:rPr>
        <w:t>款</w:t>
      </w:r>
      <w:r>
        <w:rPr>
          <w:rFonts w:hint="eastAsia" w:ascii="仿宋_GB2312" w:eastAsia="仿宋_GB2312" w:hAnsiTheme="minorEastAsia"/>
          <w:color w:val="000000" w:themeColor="text1"/>
          <w:sz w:val="32"/>
          <w:szCs w:val="32"/>
          <w14:textFill>
            <w14:solidFill>
              <w14:schemeClr w14:val="tx1"/>
            </w14:solidFill>
          </w14:textFill>
        </w:rPr>
        <w:t>比</w:t>
      </w:r>
      <w:r>
        <w:rPr>
          <w:rFonts w:hint="eastAsia" w:ascii="仿宋_GB2312" w:eastAsia="仿宋_GB2312" w:hAnsiTheme="minorEastAsia"/>
          <w:color w:val="000000" w:themeColor="text1"/>
          <w:sz w:val="32"/>
          <w:szCs w:val="32"/>
          <w:lang w:val="en-US" w:eastAsia="zh-CN"/>
          <w14:textFill>
            <w14:solidFill>
              <w14:schemeClr w14:val="tx1"/>
            </w14:solidFill>
          </w14:textFill>
        </w:rPr>
        <w:t>2021</w:t>
      </w:r>
      <w:r>
        <w:rPr>
          <w:rFonts w:hint="eastAsia" w:ascii="仿宋_GB2312" w:eastAsia="仿宋_GB2312" w:hAnsiTheme="minorEastAsia"/>
          <w:color w:val="000000" w:themeColor="text1"/>
          <w:sz w:val="32"/>
          <w:szCs w:val="32"/>
          <w:lang w:eastAsia="zh-CN"/>
          <w14:textFill>
            <w14:solidFill>
              <w14:schemeClr w14:val="tx1"/>
            </w14:solidFill>
          </w14:textFill>
        </w:rPr>
        <w:t>年</w:t>
      </w:r>
      <w:r>
        <w:rPr>
          <w:rFonts w:hint="eastAsia" w:ascii="仿宋_GB2312" w:eastAsia="仿宋_GB2312" w:hAnsiTheme="minorEastAsia"/>
          <w:color w:val="000000" w:themeColor="text1"/>
          <w:sz w:val="32"/>
          <w:szCs w:val="32"/>
          <w14:textFill>
            <w14:solidFill>
              <w14:schemeClr w14:val="tx1"/>
            </w14:solidFill>
          </w14:textFill>
        </w:rPr>
        <w:t>总决算数</w:t>
      </w:r>
      <w:r>
        <w:rPr>
          <w:rFonts w:hint="eastAsia" w:ascii="仿宋_GB2312" w:eastAsia="仿宋_GB2312" w:hAnsiTheme="minorEastAsia"/>
          <w:color w:val="000000" w:themeColor="text1"/>
          <w:sz w:val="32"/>
          <w:szCs w:val="32"/>
          <w:lang w:eastAsia="zh-CN"/>
          <w14:textFill>
            <w14:solidFill>
              <w14:schemeClr w14:val="tx1"/>
            </w14:solidFill>
          </w14:textFill>
        </w:rPr>
        <w:t>增长</w:t>
      </w:r>
      <w:r>
        <w:rPr>
          <w:rFonts w:hint="eastAsia" w:ascii="仿宋_GB2312" w:eastAsia="仿宋_GB2312" w:hAnsiTheme="minorEastAsia"/>
          <w:color w:val="000000" w:themeColor="text1"/>
          <w:sz w:val="32"/>
          <w:szCs w:val="32"/>
          <w:lang w:val="en-US" w:eastAsia="zh-CN"/>
          <w14:textFill>
            <w14:solidFill>
              <w14:schemeClr w14:val="tx1"/>
            </w14:solidFill>
          </w14:textFill>
        </w:rPr>
        <w:t>9662</w:t>
      </w:r>
      <w:r>
        <w:rPr>
          <w:rFonts w:hint="eastAsia" w:ascii="仿宋_GB2312" w:eastAsia="仿宋_GB2312" w:hAnsiTheme="minorEastAsia"/>
          <w:color w:val="000000" w:themeColor="text1"/>
          <w:sz w:val="32"/>
          <w:szCs w:val="32"/>
          <w14:textFill>
            <w14:solidFill>
              <w14:schemeClr w14:val="tx1"/>
            </w14:solidFill>
          </w14:textFill>
        </w:rPr>
        <w:t>%，主要原因是</w:t>
      </w:r>
      <w:r>
        <w:rPr>
          <w:rFonts w:hint="eastAsia" w:ascii="仿宋_GB2312" w:eastAsia="仿宋_GB2312" w:hAnsiTheme="minorEastAsia"/>
          <w:color w:val="000000" w:themeColor="text1"/>
          <w:sz w:val="32"/>
          <w:szCs w:val="32"/>
          <w:lang w:eastAsia="zh-CN"/>
          <w14:textFill>
            <w14:solidFill>
              <w14:schemeClr w14:val="tx1"/>
            </w14:solidFill>
          </w14:textFill>
        </w:rPr>
        <w:t>：</w:t>
      </w: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国有企业退休人员社会化管理补助支出增加1003万元。</w:t>
      </w:r>
    </w:p>
    <w:p>
      <w:pPr>
        <w:ind w:firstLine="640" w:firstLineChars="200"/>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2.国有企业资本金注入款比2021年总决算数下降100%，主要原因是：2021年国有经济结构调整支出支出353万元，2022年无此项支出。</w:t>
      </w:r>
    </w:p>
    <w:p>
      <w:pPr>
        <w:ind w:firstLine="640" w:firstLineChars="200"/>
        <w:rPr>
          <w:rFonts w:hint="default" w:ascii="仿宋_GB2312" w:eastAsia="仿宋_GB2312" w:hAnsiTheme="minorEastAsia"/>
          <w:color w:val="000000" w:themeColor="text1"/>
          <w:sz w:val="32"/>
          <w:szCs w:val="32"/>
          <w:highlight w:val="none"/>
          <w:lang w:val="en-US" w:eastAsia="zh-CN"/>
          <w14:textFill>
            <w14:solidFill>
              <w14:schemeClr w14:val="tx1"/>
            </w14:solidFill>
          </w14:textFill>
        </w:rPr>
      </w:pPr>
      <w:r>
        <w:rPr>
          <w:rFonts w:hint="eastAsia" w:ascii="仿宋_GB2312" w:eastAsia="仿宋_GB2312" w:hAnsiTheme="minorEastAsia"/>
          <w:color w:val="000000" w:themeColor="text1"/>
          <w:sz w:val="32"/>
          <w:szCs w:val="32"/>
          <w:highlight w:val="none"/>
          <w:lang w:val="en-US" w:eastAsia="zh-CN"/>
          <w14:textFill>
            <w14:solidFill>
              <w14:schemeClr w14:val="tx1"/>
            </w14:solidFill>
          </w14:textFill>
        </w:rPr>
        <w:t>3.其他国有资本经营预算支出(款)比2021年总决算数增长较多，主要原因是：2022年支出经营性资产托管管理经费支出594万元。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73F9F8"/>
    <w:multiLevelType w:val="singleLevel"/>
    <w:tmpl w:val="1073F9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F34"/>
    <w:rsid w:val="00014712"/>
    <w:rsid w:val="00015A16"/>
    <w:rsid w:val="00025C3D"/>
    <w:rsid w:val="000340D2"/>
    <w:rsid w:val="000457E1"/>
    <w:rsid w:val="0005513D"/>
    <w:rsid w:val="0008599E"/>
    <w:rsid w:val="00086B77"/>
    <w:rsid w:val="0008767A"/>
    <w:rsid w:val="000A2403"/>
    <w:rsid w:val="000B2588"/>
    <w:rsid w:val="000D3574"/>
    <w:rsid w:val="000F2741"/>
    <w:rsid w:val="000F52E0"/>
    <w:rsid w:val="00122764"/>
    <w:rsid w:val="00125073"/>
    <w:rsid w:val="00127A7F"/>
    <w:rsid w:val="0013575F"/>
    <w:rsid w:val="00140CB6"/>
    <w:rsid w:val="0015051B"/>
    <w:rsid w:val="00154BC3"/>
    <w:rsid w:val="00192AF2"/>
    <w:rsid w:val="001D288F"/>
    <w:rsid w:val="001D44E0"/>
    <w:rsid w:val="001D4CE1"/>
    <w:rsid w:val="001E27C7"/>
    <w:rsid w:val="002154EF"/>
    <w:rsid w:val="002238D4"/>
    <w:rsid w:val="00224F29"/>
    <w:rsid w:val="002348B8"/>
    <w:rsid w:val="00234951"/>
    <w:rsid w:val="00235419"/>
    <w:rsid w:val="00264403"/>
    <w:rsid w:val="002656E9"/>
    <w:rsid w:val="0027091A"/>
    <w:rsid w:val="0027335A"/>
    <w:rsid w:val="00286442"/>
    <w:rsid w:val="00291DF0"/>
    <w:rsid w:val="002946A7"/>
    <w:rsid w:val="002A0BF9"/>
    <w:rsid w:val="002B3A2D"/>
    <w:rsid w:val="002B49DC"/>
    <w:rsid w:val="002C0A9F"/>
    <w:rsid w:val="002C6526"/>
    <w:rsid w:val="002E24E1"/>
    <w:rsid w:val="002E7411"/>
    <w:rsid w:val="00300FF0"/>
    <w:rsid w:val="003018C7"/>
    <w:rsid w:val="00314B2C"/>
    <w:rsid w:val="00317B52"/>
    <w:rsid w:val="00323C24"/>
    <w:rsid w:val="00327B3E"/>
    <w:rsid w:val="00360668"/>
    <w:rsid w:val="00360B59"/>
    <w:rsid w:val="0036575A"/>
    <w:rsid w:val="003769EA"/>
    <w:rsid w:val="00381ECD"/>
    <w:rsid w:val="003D206A"/>
    <w:rsid w:val="004033BB"/>
    <w:rsid w:val="00443E1A"/>
    <w:rsid w:val="00444F05"/>
    <w:rsid w:val="00457A8B"/>
    <w:rsid w:val="004750E4"/>
    <w:rsid w:val="004773F2"/>
    <w:rsid w:val="004862C2"/>
    <w:rsid w:val="00491378"/>
    <w:rsid w:val="004C193E"/>
    <w:rsid w:val="004E199A"/>
    <w:rsid w:val="004E6729"/>
    <w:rsid w:val="004F62FB"/>
    <w:rsid w:val="00501573"/>
    <w:rsid w:val="005038C5"/>
    <w:rsid w:val="0050560E"/>
    <w:rsid w:val="0051108E"/>
    <w:rsid w:val="0052006A"/>
    <w:rsid w:val="005222AF"/>
    <w:rsid w:val="00526B0E"/>
    <w:rsid w:val="00543017"/>
    <w:rsid w:val="00550FBC"/>
    <w:rsid w:val="005A0180"/>
    <w:rsid w:val="005C3BF5"/>
    <w:rsid w:val="005E2037"/>
    <w:rsid w:val="005E4D6A"/>
    <w:rsid w:val="005F2E92"/>
    <w:rsid w:val="005F49A8"/>
    <w:rsid w:val="005F5A91"/>
    <w:rsid w:val="0060541C"/>
    <w:rsid w:val="0061575D"/>
    <w:rsid w:val="00643690"/>
    <w:rsid w:val="006507B6"/>
    <w:rsid w:val="00653441"/>
    <w:rsid w:val="00672461"/>
    <w:rsid w:val="00672B3A"/>
    <w:rsid w:val="0067322C"/>
    <w:rsid w:val="006C047D"/>
    <w:rsid w:val="006C2989"/>
    <w:rsid w:val="006E5FF3"/>
    <w:rsid w:val="006F52E3"/>
    <w:rsid w:val="00704D44"/>
    <w:rsid w:val="007076B2"/>
    <w:rsid w:val="0071728D"/>
    <w:rsid w:val="007242A3"/>
    <w:rsid w:val="00732113"/>
    <w:rsid w:val="00745014"/>
    <w:rsid w:val="00764851"/>
    <w:rsid w:val="00771E07"/>
    <w:rsid w:val="00784E83"/>
    <w:rsid w:val="007877CE"/>
    <w:rsid w:val="007A2009"/>
    <w:rsid w:val="007A2999"/>
    <w:rsid w:val="007B7BE2"/>
    <w:rsid w:val="007C2775"/>
    <w:rsid w:val="007C6BC1"/>
    <w:rsid w:val="007D0A75"/>
    <w:rsid w:val="007D36E5"/>
    <w:rsid w:val="007F1C83"/>
    <w:rsid w:val="00802752"/>
    <w:rsid w:val="00803C8E"/>
    <w:rsid w:val="00845127"/>
    <w:rsid w:val="0084787A"/>
    <w:rsid w:val="00860121"/>
    <w:rsid w:val="00860357"/>
    <w:rsid w:val="00864A4D"/>
    <w:rsid w:val="00874E75"/>
    <w:rsid w:val="00876261"/>
    <w:rsid w:val="0088604D"/>
    <w:rsid w:val="00886FE9"/>
    <w:rsid w:val="00891FA0"/>
    <w:rsid w:val="0089591B"/>
    <w:rsid w:val="00897F17"/>
    <w:rsid w:val="008A0EBC"/>
    <w:rsid w:val="008A2788"/>
    <w:rsid w:val="008B182F"/>
    <w:rsid w:val="008E1073"/>
    <w:rsid w:val="008E6E5A"/>
    <w:rsid w:val="00903290"/>
    <w:rsid w:val="00912B70"/>
    <w:rsid w:val="00921ECE"/>
    <w:rsid w:val="009340DA"/>
    <w:rsid w:val="0095094F"/>
    <w:rsid w:val="00951850"/>
    <w:rsid w:val="009872F7"/>
    <w:rsid w:val="009A1A2B"/>
    <w:rsid w:val="009A1F34"/>
    <w:rsid w:val="009B2839"/>
    <w:rsid w:val="009B4C1B"/>
    <w:rsid w:val="009B5D05"/>
    <w:rsid w:val="009E3C23"/>
    <w:rsid w:val="009F74E6"/>
    <w:rsid w:val="00A533A2"/>
    <w:rsid w:val="00A5781F"/>
    <w:rsid w:val="00A94531"/>
    <w:rsid w:val="00AB0A2E"/>
    <w:rsid w:val="00AC7236"/>
    <w:rsid w:val="00AD63C4"/>
    <w:rsid w:val="00AE436C"/>
    <w:rsid w:val="00B1186A"/>
    <w:rsid w:val="00B40EE2"/>
    <w:rsid w:val="00B52D5D"/>
    <w:rsid w:val="00B6577C"/>
    <w:rsid w:val="00B730C1"/>
    <w:rsid w:val="00B97B75"/>
    <w:rsid w:val="00BA2A3F"/>
    <w:rsid w:val="00BA6D56"/>
    <w:rsid w:val="00BB3BBA"/>
    <w:rsid w:val="00BD3A81"/>
    <w:rsid w:val="00C11176"/>
    <w:rsid w:val="00C14797"/>
    <w:rsid w:val="00C21726"/>
    <w:rsid w:val="00C3449E"/>
    <w:rsid w:val="00C55487"/>
    <w:rsid w:val="00C9328C"/>
    <w:rsid w:val="00CB1905"/>
    <w:rsid w:val="00CC0215"/>
    <w:rsid w:val="00CC3BA0"/>
    <w:rsid w:val="00CE7788"/>
    <w:rsid w:val="00D02724"/>
    <w:rsid w:val="00D04FFA"/>
    <w:rsid w:val="00D06130"/>
    <w:rsid w:val="00D06A03"/>
    <w:rsid w:val="00D13862"/>
    <w:rsid w:val="00D417F6"/>
    <w:rsid w:val="00D52C90"/>
    <w:rsid w:val="00D54F58"/>
    <w:rsid w:val="00D610B2"/>
    <w:rsid w:val="00D7570B"/>
    <w:rsid w:val="00D8384A"/>
    <w:rsid w:val="00D85732"/>
    <w:rsid w:val="00DA738B"/>
    <w:rsid w:val="00DB243A"/>
    <w:rsid w:val="00DB34FC"/>
    <w:rsid w:val="00DC7861"/>
    <w:rsid w:val="00DF4BB7"/>
    <w:rsid w:val="00DF7F26"/>
    <w:rsid w:val="00E10092"/>
    <w:rsid w:val="00E158F8"/>
    <w:rsid w:val="00E173C6"/>
    <w:rsid w:val="00E373DA"/>
    <w:rsid w:val="00E47136"/>
    <w:rsid w:val="00E6025F"/>
    <w:rsid w:val="00E81548"/>
    <w:rsid w:val="00E9424E"/>
    <w:rsid w:val="00EA1671"/>
    <w:rsid w:val="00EA3594"/>
    <w:rsid w:val="00EB2756"/>
    <w:rsid w:val="00EB2CB4"/>
    <w:rsid w:val="00ED2564"/>
    <w:rsid w:val="00ED4283"/>
    <w:rsid w:val="00EE1A2B"/>
    <w:rsid w:val="00EF4CB3"/>
    <w:rsid w:val="00F179CE"/>
    <w:rsid w:val="00F33F16"/>
    <w:rsid w:val="00F365B7"/>
    <w:rsid w:val="00F526D5"/>
    <w:rsid w:val="00F76EB8"/>
    <w:rsid w:val="00FB3B1D"/>
    <w:rsid w:val="00FB51E8"/>
    <w:rsid w:val="00FC47D8"/>
    <w:rsid w:val="00FC47F3"/>
    <w:rsid w:val="00FC5B8D"/>
    <w:rsid w:val="00FD45E9"/>
    <w:rsid w:val="00FD78CC"/>
    <w:rsid w:val="00FF19CD"/>
    <w:rsid w:val="01DB7ED5"/>
    <w:rsid w:val="030411B7"/>
    <w:rsid w:val="05C36005"/>
    <w:rsid w:val="05DA1CBE"/>
    <w:rsid w:val="074455BB"/>
    <w:rsid w:val="09FF5F0A"/>
    <w:rsid w:val="0A2C26C1"/>
    <w:rsid w:val="0A8D2B24"/>
    <w:rsid w:val="0C5267C3"/>
    <w:rsid w:val="12530EDD"/>
    <w:rsid w:val="126122B6"/>
    <w:rsid w:val="128577FB"/>
    <w:rsid w:val="14846AB8"/>
    <w:rsid w:val="14B04E74"/>
    <w:rsid w:val="14F628FB"/>
    <w:rsid w:val="153F5A71"/>
    <w:rsid w:val="15C93092"/>
    <w:rsid w:val="16C947D6"/>
    <w:rsid w:val="175D0A05"/>
    <w:rsid w:val="18646795"/>
    <w:rsid w:val="19C00F4E"/>
    <w:rsid w:val="1A0503BE"/>
    <w:rsid w:val="1BDF56C5"/>
    <w:rsid w:val="1ED2558C"/>
    <w:rsid w:val="20791657"/>
    <w:rsid w:val="208B5C14"/>
    <w:rsid w:val="21BA3F55"/>
    <w:rsid w:val="23934CFC"/>
    <w:rsid w:val="24F805F6"/>
    <w:rsid w:val="25AB575C"/>
    <w:rsid w:val="260645FD"/>
    <w:rsid w:val="263375EF"/>
    <w:rsid w:val="26A227A9"/>
    <w:rsid w:val="26E35E30"/>
    <w:rsid w:val="278227EB"/>
    <w:rsid w:val="27A7649B"/>
    <w:rsid w:val="2D7A613D"/>
    <w:rsid w:val="2DA54363"/>
    <w:rsid w:val="2EA73AA4"/>
    <w:rsid w:val="2F46399F"/>
    <w:rsid w:val="32283884"/>
    <w:rsid w:val="326B422B"/>
    <w:rsid w:val="32CA75F1"/>
    <w:rsid w:val="33F151B2"/>
    <w:rsid w:val="368D1C58"/>
    <w:rsid w:val="38201EBE"/>
    <w:rsid w:val="393328E5"/>
    <w:rsid w:val="3C36393E"/>
    <w:rsid w:val="3C491598"/>
    <w:rsid w:val="3C547F7E"/>
    <w:rsid w:val="3D5C30E1"/>
    <w:rsid w:val="3F2C09B1"/>
    <w:rsid w:val="403B0B6F"/>
    <w:rsid w:val="40C93950"/>
    <w:rsid w:val="40CE13E2"/>
    <w:rsid w:val="40F55A1F"/>
    <w:rsid w:val="429B2D52"/>
    <w:rsid w:val="44FA4EF7"/>
    <w:rsid w:val="44FF1E9B"/>
    <w:rsid w:val="450C36B4"/>
    <w:rsid w:val="51346822"/>
    <w:rsid w:val="514875D7"/>
    <w:rsid w:val="51F96A8C"/>
    <w:rsid w:val="52FC115D"/>
    <w:rsid w:val="533D4814"/>
    <w:rsid w:val="5394549E"/>
    <w:rsid w:val="53B17DDF"/>
    <w:rsid w:val="543C7F40"/>
    <w:rsid w:val="562A0556"/>
    <w:rsid w:val="58855B05"/>
    <w:rsid w:val="589B33CB"/>
    <w:rsid w:val="593C292F"/>
    <w:rsid w:val="5CB97030"/>
    <w:rsid w:val="5CCD6FD2"/>
    <w:rsid w:val="5D980CE8"/>
    <w:rsid w:val="5E5E6B7A"/>
    <w:rsid w:val="5EFD02B7"/>
    <w:rsid w:val="5F1B0D98"/>
    <w:rsid w:val="5FCC05D5"/>
    <w:rsid w:val="60D86F35"/>
    <w:rsid w:val="619E02B3"/>
    <w:rsid w:val="61EF6BBC"/>
    <w:rsid w:val="64775961"/>
    <w:rsid w:val="651A0D6E"/>
    <w:rsid w:val="654B73EA"/>
    <w:rsid w:val="65A36F98"/>
    <w:rsid w:val="67027031"/>
    <w:rsid w:val="6935599C"/>
    <w:rsid w:val="69756340"/>
    <w:rsid w:val="69B75AF8"/>
    <w:rsid w:val="6C117AD9"/>
    <w:rsid w:val="6C465F32"/>
    <w:rsid w:val="6E3A7667"/>
    <w:rsid w:val="71EA3F31"/>
    <w:rsid w:val="72A32A67"/>
    <w:rsid w:val="73E60393"/>
    <w:rsid w:val="748928BF"/>
    <w:rsid w:val="75681359"/>
    <w:rsid w:val="75CE76D3"/>
    <w:rsid w:val="76575E5F"/>
    <w:rsid w:val="765D1540"/>
    <w:rsid w:val="774C7C53"/>
    <w:rsid w:val="7766769F"/>
    <w:rsid w:val="790A7EA5"/>
    <w:rsid w:val="7BDD39A2"/>
    <w:rsid w:val="7C941670"/>
    <w:rsid w:val="7D8D5962"/>
    <w:rsid w:val="7F1A3A11"/>
    <w:rsid w:val="7F2A077C"/>
    <w:rsid w:val="7F7943C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8"/>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标题 1 Char"/>
    <w:basedOn w:val="7"/>
    <w:link w:val="2"/>
    <w:qFormat/>
    <w:uiPriority w:val="9"/>
    <w:rPr>
      <w:b/>
      <w:bCs/>
      <w:kern w:val="44"/>
      <w:sz w:val="44"/>
      <w:szCs w:val="44"/>
    </w:rPr>
  </w:style>
  <w:style w:type="paragraph" w:styleId="9">
    <w:name w:val="List Paragraph"/>
    <w:basedOn w:val="1"/>
    <w:qFormat/>
    <w:uiPriority w:val="34"/>
    <w:pPr>
      <w:ind w:firstLine="420" w:firstLineChars="200"/>
    </w:pPr>
  </w:style>
  <w:style w:type="character" w:customStyle="1" w:styleId="10">
    <w:name w:val="页眉 Char"/>
    <w:basedOn w:val="7"/>
    <w:link w:val="5"/>
    <w:qFormat/>
    <w:uiPriority w:val="99"/>
    <w:rPr>
      <w:sz w:val="18"/>
      <w:szCs w:val="18"/>
    </w:rPr>
  </w:style>
  <w:style w:type="character" w:customStyle="1" w:styleId="11">
    <w:name w:val="页脚 Char"/>
    <w:basedOn w:val="7"/>
    <w:link w:val="4"/>
    <w:qFormat/>
    <w:uiPriority w:val="99"/>
    <w:rPr>
      <w:sz w:val="18"/>
      <w:szCs w:val="18"/>
    </w:rPr>
  </w:style>
  <w:style w:type="character" w:customStyle="1" w:styleId="12">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AF776-7F9B-41B9-AD85-F69D61E400D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736</Words>
  <Characters>4198</Characters>
  <Lines>34</Lines>
  <Paragraphs>9</Paragraphs>
  <TotalTime>17</TotalTime>
  <ScaleCrop>false</ScaleCrop>
  <LinksUpToDate>false</LinksUpToDate>
  <CharactersWithSpaces>4925</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2019-10-11T03:52:00Z</dcterms:created>
  <dc:creator>pc</dc:creator>
  <cp:lastModifiedBy>肖勰</cp:lastModifiedBy>
  <dcterms:modified xsi:type="dcterms:W3CDTF">2023-09-22T02:41:06Z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4324DB1FFEF348558213F0B0EB965F46</vt:lpwstr>
  </property>
</Properties>
</file>