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840" w:hanging="840" w:hangingChars="300"/>
        <w:jc w:val="left"/>
        <w:rPr>
          <w:rFonts w:ascii="方正小标宋_GBK" w:hAnsi="Calibri" w:eastAsia="方正小标宋_GBK" w:cs="Times New Roman"/>
          <w:sz w:val="28"/>
          <w:szCs w:val="28"/>
        </w:rPr>
      </w:pPr>
      <w:r>
        <w:rPr>
          <w:rFonts w:hint="eastAsia" w:ascii="方正小标宋_GBK" w:hAnsi="Calibri" w:eastAsia="方正小标宋_GBK" w:cs="Times New Roman"/>
          <w:sz w:val="28"/>
          <w:szCs w:val="28"/>
        </w:rPr>
        <w:t>附件5：项目支出绩效评价报告（范本）</w:t>
      </w:r>
    </w:p>
    <w:p>
      <w:pPr>
        <w:spacing w:before="120" w:after="120" w:line="480" w:lineRule="auto"/>
        <w:jc w:val="center"/>
        <w:rPr>
          <w:rFonts w:ascii="Times New Roman" w:hAnsi="Times New Roman" w:eastAsia="黑体" w:cs="Times New Roman"/>
          <w:b/>
          <w:bCs/>
          <w:sz w:val="52"/>
          <w:szCs w:val="52"/>
        </w:rPr>
      </w:pPr>
    </w:p>
    <w:p>
      <w:pPr>
        <w:jc w:val="center"/>
        <w:rPr>
          <w:rFonts w:hint="eastAsia" w:ascii="黑体" w:hAnsi="黑体" w:eastAsia="黑体" w:cs="黑体"/>
          <w:bCs/>
          <w:sz w:val="52"/>
          <w:szCs w:val="52"/>
        </w:rPr>
      </w:pPr>
      <w:r>
        <w:rPr>
          <w:rFonts w:hint="eastAsia" w:ascii="黑体" w:hAnsi="黑体" w:eastAsia="黑体" w:cs="黑体"/>
          <w:bCs/>
          <w:sz w:val="52"/>
          <w:szCs w:val="52"/>
        </w:rPr>
        <w:t>城乡居民基本养老保险</w:t>
      </w:r>
      <w:r>
        <w:rPr>
          <w:rFonts w:hint="eastAsia" w:ascii="黑体" w:hAnsi="黑体" w:eastAsia="黑体" w:cs="黑体"/>
          <w:bCs/>
          <w:sz w:val="52"/>
          <w:szCs w:val="52"/>
          <w:lang w:eastAsia="zh-CN"/>
        </w:rPr>
        <w:t>区级</w:t>
      </w:r>
      <w:r>
        <w:rPr>
          <w:rFonts w:hint="eastAsia" w:ascii="黑体" w:hAnsi="黑体" w:eastAsia="黑体" w:cs="黑体"/>
          <w:bCs/>
          <w:sz w:val="52"/>
          <w:szCs w:val="52"/>
        </w:rPr>
        <w:t>补助</w:t>
      </w:r>
    </w:p>
    <w:p>
      <w:pPr>
        <w:jc w:val="center"/>
        <w:rPr>
          <w:rFonts w:ascii="黑体" w:hAnsi="黑体" w:eastAsia="黑体" w:cs="黑体"/>
          <w:bCs/>
          <w:sz w:val="52"/>
          <w:szCs w:val="52"/>
        </w:rPr>
      </w:pPr>
      <w:r>
        <w:rPr>
          <w:rFonts w:hint="eastAsia" w:ascii="黑体" w:hAnsi="黑体" w:eastAsia="黑体" w:cs="黑体"/>
          <w:bCs/>
          <w:sz w:val="52"/>
          <w:szCs w:val="52"/>
        </w:rPr>
        <w:t>项目支出绩效自评报告</w:t>
      </w:r>
    </w:p>
    <w:p>
      <w:pPr>
        <w:ind w:firstLine="2600" w:firstLineChars="500"/>
        <w:jc w:val="both"/>
        <w:rPr>
          <w:rFonts w:ascii="黑体" w:hAnsi="黑体" w:eastAsia="黑体" w:cs="Times New Roman"/>
          <w:bCs/>
          <w:sz w:val="52"/>
          <w:szCs w:val="52"/>
        </w:rPr>
      </w:pPr>
      <w:r>
        <w:rPr>
          <w:rFonts w:hint="eastAsia" w:ascii="黑体" w:hAnsi="黑体" w:eastAsia="黑体" w:cs="黑体"/>
          <w:bCs/>
          <w:sz w:val="52"/>
          <w:szCs w:val="52"/>
        </w:rPr>
        <w:t>（20</w:t>
      </w:r>
      <w:r>
        <w:rPr>
          <w:rFonts w:hint="eastAsia" w:ascii="黑体" w:hAnsi="黑体" w:eastAsia="黑体" w:cs="黑体"/>
          <w:bCs/>
          <w:sz w:val="52"/>
          <w:szCs w:val="52"/>
          <w:lang w:val="en-US" w:eastAsia="zh-CN"/>
        </w:rPr>
        <w:t>22</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cs="Times New Roman"/>
          <w:b/>
          <w:bCs/>
          <w:sz w:val="52"/>
          <w:szCs w:val="52"/>
        </w:rPr>
      </w:pPr>
    </w:p>
    <w:p>
      <w:pPr>
        <w:spacing w:before="120" w:after="120" w:line="480" w:lineRule="auto"/>
        <w:jc w:val="center"/>
        <w:rPr>
          <w:rFonts w:ascii="Times New Roman" w:hAnsi="Times New Roman" w:eastAsia="宋体" w:cs="Times New Roman"/>
          <w:b/>
          <w:bCs/>
          <w:sz w:val="44"/>
          <w:szCs w:val="44"/>
        </w:rPr>
      </w:pPr>
    </w:p>
    <w:p>
      <w:pPr>
        <w:spacing w:before="120" w:after="120" w:line="480" w:lineRule="auto"/>
        <w:jc w:val="center"/>
        <w:rPr>
          <w:rFonts w:ascii="Times New Roman" w:hAnsi="Times New Roman" w:eastAsia="宋体" w:cs="Times New Roman"/>
          <w:b/>
          <w:bCs/>
          <w:sz w:val="44"/>
          <w:szCs w:val="44"/>
        </w:rPr>
      </w:pPr>
    </w:p>
    <w:p>
      <w:pPr>
        <w:spacing w:before="120" w:after="120" w:line="480" w:lineRule="auto"/>
        <w:jc w:val="center"/>
        <w:rPr>
          <w:rFonts w:ascii="Times New Roman" w:hAnsi="Times New Roman" w:eastAsia="黑体" w:cs="Times New Roman"/>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KXqXKDXAAAACQEAAA8AAAAAAAAA&#10;AQAgAAAAIgAAAGRycy9kb3ducmV2LnhtbFBLAQIUABQAAAAIAIdO4kD2cZDw2QEAAHADAAAOAAAA&#10;AAAAAAEAIAAAACYBAABkcnMvZTJvRG9jLnhtbFBLBQYAAAAABgAGAFkBAABx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部门名称（公章）：昆明市盘龙区城乡居民社会养老保险局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xhF2DXAAAACQEAAA8AAAAAAAAA&#10;AQAgAAAAIgAAAGRycy9kb3ducmV2LnhtbFBLAQIUABQAAAAIAIdO4kDYTeOo2QEAAHADAAAOAAAA&#10;AAAAAAEAIAAAACYBAABkcnMvZTJvRG9jLnhtbFBLBQYAAAAABgAGAFkBAABx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项目单位：昆明市盘龙区城乡居民社会养老保险局</w:t>
      </w:r>
    </w:p>
    <w:p>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0IL+71wAAAAkBAAAPAAAAAAAA&#10;AAEAIAAAACIAAABkcnMvZG93bnJldi54bWxQSwECFAAUAAAACACHTuJAU//L+toBAABwAwAADgAA&#10;AAAAAAABACAAAAAmAQAAZHJzL2Uyb0RvYy54bWxQSwUGAAAAAAYABgBZAQAAcg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cs="Times New Roman"/>
          <w:b/>
          <w:bCs/>
          <w:sz w:val="28"/>
          <w:szCs w:val="28"/>
        </w:rPr>
        <w:t xml:space="preserve"> </w:t>
      </w:r>
      <w:r>
        <w:rPr>
          <w:rFonts w:hint="eastAsia" w:ascii="Times New Roman" w:hAnsi="Times New Roman" w:eastAsia="黑体" w:cs="Times New Roman"/>
          <w:b/>
          <w:bCs/>
          <w:sz w:val="28"/>
          <w:szCs w:val="28"/>
        </w:rPr>
        <w:t>昆明市盘龙区人力资源和社会保障局</w:t>
      </w:r>
    </w:p>
    <w:p>
      <w:pPr>
        <w:adjustRightInd w:val="0"/>
        <w:snapToGrid w:val="0"/>
        <w:spacing w:line="360" w:lineRule="auto"/>
        <w:ind w:left="1260" w:leftChars="600"/>
        <w:rPr>
          <w:rFonts w:ascii="Times New Roman" w:hAnsi="Times New Roman" w:eastAsia="黑体" w:cs="Times New Roman"/>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LQgv7vXAAAACQEAAA8AAAAAAAAA&#10;AQAgAAAAIgAAAGRycy9kb3ducmV2LnhtbFBLAQIUABQAAAAIAIdO4kB9w7ii2QEAAHADAAAOAAAA&#10;AAAAAAEAIAAAACYBAABkcnMvZTJvRG9jLnhtbFBLBQYAAAAABgAGAFkBAABx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cs="Times New Roman"/>
          <w:b/>
          <w:bCs/>
          <w:sz w:val="28"/>
          <w:szCs w:val="28"/>
        </w:rPr>
        <w:t xml:space="preserve"> </w:t>
      </w:r>
      <w:r>
        <w:rPr>
          <w:rFonts w:hint="eastAsia" w:ascii="Times New Roman" w:hAnsi="Times New Roman" w:eastAsia="黑体" w:cs="黑体"/>
          <w:b/>
          <w:bCs/>
          <w:sz w:val="28"/>
          <w:szCs w:val="28"/>
          <w:lang w:val="en-US" w:eastAsia="zh-CN"/>
        </w:rPr>
        <w:t>城乡居民基本养老保险区级补助</w:t>
      </w:r>
    </w:p>
    <w:p>
      <w:pPr>
        <w:adjustRightInd w:val="0"/>
        <w:snapToGrid w:val="0"/>
        <w:spacing w:line="360" w:lineRule="auto"/>
        <w:ind w:left="1260" w:leftChars="600"/>
        <w:rPr>
          <w:rFonts w:hint="default" w:ascii="Times New Roman" w:hAnsi="Times New Roman" w:eastAsia="黑体" w:cs="Times New Roman"/>
          <w:b/>
          <w:bCs/>
          <w:sz w:val="28"/>
          <w:szCs w:val="28"/>
          <w:lang w:val="en-US" w:eastAsia="zh-CN"/>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249555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tCC/u9cAAAAJAQAADwAAAAAAAAAB&#10;ACAAAAAiAAAAZHJzL2Rvd25yZXYueG1sUEsBAhQAFAAAAAgAh07iQA+HLUrYAQAAcAMAAA4AAAAA&#10;AAAAAQAgAAAAJgEAAGRycy9lMm9Eb2MueG1sUEsFBgAAAAAGAAYAWQEAAHA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cs="Times New Roman"/>
          <w:b/>
          <w:bCs/>
          <w:sz w:val="28"/>
          <w:szCs w:val="28"/>
        </w:rPr>
        <w:t xml:space="preserve"> </w:t>
      </w:r>
      <w:r>
        <w:rPr>
          <w:rFonts w:hint="eastAsia" w:ascii="Times New Roman" w:hAnsi="Times New Roman" w:eastAsia="黑体" w:cs="Times New Roman"/>
          <w:b/>
          <w:bCs/>
          <w:sz w:val="28"/>
          <w:szCs w:val="28"/>
        </w:rPr>
        <w:t>202</w:t>
      </w:r>
      <w:r>
        <w:rPr>
          <w:rFonts w:hint="eastAsia" w:ascii="Times New Roman" w:hAnsi="Times New Roman" w:eastAsia="黑体" w:cs="Times New Roman"/>
          <w:b/>
          <w:bCs/>
          <w:sz w:val="28"/>
          <w:szCs w:val="28"/>
          <w:lang w:val="en-US" w:eastAsia="zh-CN"/>
        </w:rPr>
        <w:t>3</w:t>
      </w:r>
      <w:r>
        <w:rPr>
          <w:rFonts w:hint="eastAsia" w:ascii="Times New Roman" w:hAnsi="Times New Roman" w:eastAsia="黑体" w:cs="Times New Roman"/>
          <w:b/>
          <w:bCs/>
          <w:sz w:val="28"/>
          <w:szCs w:val="28"/>
        </w:rPr>
        <w:t>-</w:t>
      </w:r>
      <w:r>
        <w:rPr>
          <w:rFonts w:hint="eastAsia" w:ascii="Times New Roman" w:hAnsi="Times New Roman" w:eastAsia="黑体" w:cs="Times New Roman"/>
          <w:b/>
          <w:bCs/>
          <w:sz w:val="28"/>
          <w:szCs w:val="28"/>
          <w:lang w:val="en-US" w:eastAsia="zh-CN"/>
        </w:rPr>
        <w:t>4</w:t>
      </w:r>
      <w:r>
        <w:rPr>
          <w:rFonts w:hint="eastAsia" w:ascii="Times New Roman" w:hAnsi="Times New Roman" w:eastAsia="黑体" w:cs="Times New Roman"/>
          <w:b/>
          <w:bCs/>
          <w:sz w:val="28"/>
          <w:szCs w:val="28"/>
        </w:rPr>
        <w:t>-</w:t>
      </w:r>
      <w:r>
        <w:rPr>
          <w:rFonts w:hint="eastAsia" w:ascii="Times New Roman" w:hAnsi="Times New Roman" w:eastAsia="黑体" w:cs="Times New Roman"/>
          <w:b/>
          <w:bCs/>
          <w:sz w:val="28"/>
          <w:szCs w:val="28"/>
          <w:lang w:val="en-US" w:eastAsia="zh-CN"/>
        </w:rPr>
        <w:t>23</w:t>
      </w:r>
    </w:p>
    <w:p>
      <w:pPr>
        <w:spacing w:line="360" w:lineRule="auto"/>
        <w:ind w:left="1218" w:leftChars="580"/>
        <w:rPr>
          <w:rFonts w:ascii="Times New Roman" w:hAnsi="Times New Roman" w:eastAsia="黑体" w:cs="Times New Roman"/>
          <w:b/>
          <w:bCs/>
          <w:sz w:val="28"/>
          <w:szCs w:val="28"/>
        </w:rPr>
      </w:pPr>
    </w:p>
    <w:p>
      <w:pPr>
        <w:spacing w:line="360" w:lineRule="auto"/>
        <w:ind w:left="1218" w:leftChars="580"/>
        <w:rPr>
          <w:rFonts w:ascii="Times New Roman" w:hAnsi="Times New Roman" w:eastAsia="黑体" w:cs="Times New Roman"/>
          <w:b/>
          <w:bCs/>
          <w:sz w:val="28"/>
          <w:szCs w:val="28"/>
        </w:rPr>
      </w:pPr>
    </w:p>
    <w:p>
      <w:pPr>
        <w:jc w:val="center"/>
        <w:rPr>
          <w:rFonts w:ascii="Times New Roman" w:hAnsi="Times New Roman" w:eastAsia="黑体" w:cs="黑体"/>
          <w:b/>
          <w:bCs/>
          <w:sz w:val="28"/>
          <w:szCs w:val="28"/>
        </w:rPr>
      </w:pPr>
      <w:r>
        <w:rPr>
          <w:rFonts w:ascii="Times New Roman" w:hAnsi="Times New Roman" w:eastAsia="黑体" w:cs="Times New Roman"/>
          <w:b/>
          <w:bCs/>
          <w:sz w:val="28"/>
          <w:szCs w:val="28"/>
        </w:rPr>
        <w:t>20</w:t>
      </w:r>
      <w:r>
        <w:rPr>
          <w:rFonts w:hint="eastAsia" w:ascii="Times New Roman" w:hAnsi="Times New Roman" w:eastAsia="黑体" w:cs="Times New Roman"/>
          <w:b/>
          <w:bCs/>
          <w:sz w:val="28"/>
          <w:szCs w:val="28"/>
        </w:rPr>
        <w:t>2</w:t>
      </w:r>
      <w:r>
        <w:rPr>
          <w:rFonts w:hint="eastAsia" w:ascii="Times New Roman" w:hAnsi="Times New Roman" w:eastAsia="黑体" w:cs="Times New Roman"/>
          <w:b/>
          <w:bCs/>
          <w:sz w:val="28"/>
          <w:szCs w:val="28"/>
          <w:lang w:val="en-US" w:eastAsia="zh-CN"/>
        </w:rPr>
        <w:t>3</w:t>
      </w:r>
      <w:r>
        <w:rPr>
          <w:rFonts w:hint="eastAsia" w:ascii="Times New Roman" w:hAnsi="Times New Roman" w:eastAsia="黑体" w:cs="黑体"/>
          <w:b/>
          <w:bCs/>
          <w:sz w:val="28"/>
          <w:szCs w:val="28"/>
        </w:rPr>
        <w:t>年</w:t>
      </w:r>
      <w:r>
        <w:rPr>
          <w:rFonts w:hint="eastAsia" w:ascii="Times New Roman" w:hAnsi="Times New Roman" w:eastAsia="黑体" w:cs="Times New Roman"/>
          <w:b/>
          <w:bCs/>
          <w:sz w:val="28"/>
          <w:szCs w:val="28"/>
        </w:rPr>
        <w:t>0</w:t>
      </w:r>
      <w:r>
        <w:rPr>
          <w:rFonts w:hint="eastAsia" w:ascii="Times New Roman" w:hAnsi="Times New Roman" w:eastAsia="黑体" w:cs="Times New Roman"/>
          <w:b/>
          <w:bCs/>
          <w:sz w:val="28"/>
          <w:szCs w:val="28"/>
          <w:lang w:val="en-US" w:eastAsia="zh-CN"/>
        </w:rPr>
        <w:t>4</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widowControl/>
        <w:jc w:val="left"/>
        <w:rPr>
          <w:rFonts w:ascii="Times New Roman" w:hAnsi="Times New Roman" w:eastAsia="仿宋_GB2312" w:cs="Times New Roman"/>
          <w:b/>
          <w:bCs/>
          <w:sz w:val="28"/>
          <w:szCs w:val="28"/>
        </w:rPr>
        <w:sectPr>
          <w:headerReference r:id="rId3" w:type="default"/>
          <w:footerReference r:id="rId4" w:type="default"/>
          <w:pgSz w:w="11906" w:h="16838"/>
          <w:pgMar w:top="1440" w:right="1800" w:bottom="1440" w:left="1800" w:header="851" w:footer="992" w:gutter="0"/>
          <w:cols w:space="425" w:num="1"/>
          <w:titlePg/>
          <w:docGrid w:type="lines" w:linePitch="312" w:charSpace="0"/>
        </w:sectPr>
      </w:pPr>
    </w:p>
    <w:p>
      <w:pPr>
        <w:pageBreakBefore w:val="0"/>
        <w:kinsoku/>
        <w:overflowPunct/>
        <w:autoSpaceDE/>
        <w:autoSpaceDN/>
        <w:bidi w:val="0"/>
        <w:spacing w:line="560" w:lineRule="exact"/>
        <w:ind w:left="420" w:leftChars="200"/>
        <w:textAlignment w:val="auto"/>
        <w:rPr>
          <w:rFonts w:ascii="Times New Roman" w:hAnsi="Times New Roman" w:eastAsia="黑体" w:cs="Times New Roman"/>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TW"/>
        </w:rPr>
        <w:t>评价小组成员：</w:t>
      </w:r>
    </w:p>
    <w:tbl>
      <w:tblPr>
        <w:tblStyle w:val="6"/>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366"/>
        <w:gridCol w:w="2102"/>
        <w:gridCol w:w="1393"/>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评价小组</w:t>
            </w:r>
          </w:p>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机构职位</w:t>
            </w:r>
          </w:p>
        </w:tc>
        <w:tc>
          <w:tcPr>
            <w:tcW w:w="1366" w:type="dxa"/>
            <w:vAlign w:val="center"/>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姓名</w:t>
            </w:r>
          </w:p>
        </w:tc>
        <w:tc>
          <w:tcPr>
            <w:tcW w:w="2102" w:type="dxa"/>
            <w:vAlign w:val="center"/>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职务/职称</w:t>
            </w:r>
          </w:p>
        </w:tc>
        <w:tc>
          <w:tcPr>
            <w:tcW w:w="1393" w:type="dxa"/>
            <w:vAlign w:val="center"/>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所属</w:t>
            </w:r>
          </w:p>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单位/处室</w:t>
            </w:r>
          </w:p>
        </w:tc>
        <w:tc>
          <w:tcPr>
            <w:tcW w:w="1621" w:type="dxa"/>
            <w:vAlign w:val="center"/>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atLeast"/>
        </w:trPr>
        <w:tc>
          <w:tcPr>
            <w:tcW w:w="1620" w:type="dxa"/>
            <w:vAlign w:val="center"/>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组长</w:t>
            </w:r>
          </w:p>
        </w:tc>
        <w:tc>
          <w:tcPr>
            <w:tcW w:w="1366" w:type="dxa"/>
            <w:vAlign w:val="top"/>
          </w:tcPr>
          <w:p>
            <w:pPr>
              <w:pageBreakBefore w:val="0"/>
              <w:kinsoku/>
              <w:overflowPunct/>
              <w:autoSpaceDE/>
              <w:autoSpaceDN/>
              <w:bidi w:val="0"/>
              <w:spacing w:line="560" w:lineRule="exact"/>
              <w:jc w:val="center"/>
              <w:textAlignment w:val="auto"/>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eastAsia="zh-CN"/>
              </w:rPr>
              <w:t>施镜美</w:t>
            </w:r>
          </w:p>
        </w:tc>
        <w:tc>
          <w:tcPr>
            <w:tcW w:w="2102" w:type="dxa"/>
            <w:vAlign w:val="top"/>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局长</w:t>
            </w:r>
          </w:p>
        </w:tc>
        <w:tc>
          <w:tcPr>
            <w:tcW w:w="1393" w:type="dxa"/>
            <w:vAlign w:val="top"/>
          </w:tcPr>
          <w:p>
            <w:pPr>
              <w:pageBreakBefore w:val="0"/>
              <w:kinsoku/>
              <w:overflowPunct/>
              <w:autoSpaceDE/>
              <w:autoSpaceDN/>
              <w:bidi w:val="0"/>
              <w:spacing w:line="560" w:lineRule="exact"/>
              <w:textAlignment w:val="auto"/>
              <w:rPr>
                <w:rFonts w:ascii="Times New Roman" w:hAnsi="Times New Roman" w:eastAsia="黑体" w:cs="黑体"/>
                <w:color w:val="000000"/>
                <w:sz w:val="24"/>
                <w:szCs w:val="24"/>
                <w:u w:color="000000"/>
                <w:lang w:val="zh-TW" w:eastAsia="zh-TW"/>
              </w:rPr>
            </w:pPr>
          </w:p>
        </w:tc>
        <w:tc>
          <w:tcPr>
            <w:tcW w:w="1621" w:type="dxa"/>
          </w:tcPr>
          <w:p>
            <w:pPr>
              <w:pageBreakBefore w:val="0"/>
              <w:kinsoku/>
              <w:overflowPunct/>
              <w:autoSpaceDE/>
              <w:autoSpaceDN/>
              <w:bidi w:val="0"/>
              <w:spacing w:line="560" w:lineRule="exact"/>
              <w:textAlignment w:val="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366" w:type="dxa"/>
            <w:vAlign w:val="top"/>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刘荣</w:t>
            </w:r>
          </w:p>
        </w:tc>
        <w:tc>
          <w:tcPr>
            <w:tcW w:w="2102" w:type="dxa"/>
            <w:vAlign w:val="top"/>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副局长</w:t>
            </w:r>
          </w:p>
        </w:tc>
        <w:tc>
          <w:tcPr>
            <w:tcW w:w="1393" w:type="dxa"/>
            <w:vAlign w:val="top"/>
          </w:tcPr>
          <w:p>
            <w:pPr>
              <w:pageBreakBefore w:val="0"/>
              <w:kinsoku/>
              <w:overflowPunct/>
              <w:autoSpaceDE/>
              <w:autoSpaceDN/>
              <w:bidi w:val="0"/>
              <w:spacing w:line="560" w:lineRule="exact"/>
              <w:textAlignment w:val="auto"/>
              <w:rPr>
                <w:rFonts w:ascii="Times New Roman" w:hAnsi="Times New Roman" w:eastAsia="黑体" w:cs="黑体"/>
                <w:color w:val="000000"/>
                <w:sz w:val="24"/>
                <w:szCs w:val="24"/>
                <w:u w:color="000000"/>
                <w:lang w:val="zh-TW" w:eastAsia="zh-TW"/>
              </w:rPr>
            </w:pPr>
          </w:p>
        </w:tc>
        <w:tc>
          <w:tcPr>
            <w:tcW w:w="1621" w:type="dxa"/>
          </w:tcPr>
          <w:p>
            <w:pPr>
              <w:pageBreakBefore w:val="0"/>
              <w:kinsoku/>
              <w:overflowPunct/>
              <w:autoSpaceDE/>
              <w:autoSpaceDN/>
              <w:bidi w:val="0"/>
              <w:spacing w:line="560" w:lineRule="exact"/>
              <w:textAlignment w:val="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366" w:type="dxa"/>
            <w:vAlign w:val="top"/>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陈蕾</w:t>
            </w:r>
          </w:p>
        </w:tc>
        <w:tc>
          <w:tcPr>
            <w:tcW w:w="2102" w:type="dxa"/>
            <w:vAlign w:val="top"/>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办公室主任</w:t>
            </w:r>
          </w:p>
        </w:tc>
        <w:tc>
          <w:tcPr>
            <w:tcW w:w="1393" w:type="dxa"/>
            <w:vAlign w:val="top"/>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办公室</w:t>
            </w:r>
          </w:p>
        </w:tc>
        <w:tc>
          <w:tcPr>
            <w:tcW w:w="1621" w:type="dxa"/>
          </w:tcPr>
          <w:p>
            <w:pPr>
              <w:pageBreakBefore w:val="0"/>
              <w:kinsoku/>
              <w:overflowPunct/>
              <w:autoSpaceDE/>
              <w:autoSpaceDN/>
              <w:bidi w:val="0"/>
              <w:spacing w:line="560" w:lineRule="exact"/>
              <w:textAlignment w:val="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366" w:type="dxa"/>
            <w:vAlign w:val="top"/>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en-US" w:eastAsia="zh-CN"/>
              </w:rPr>
              <w:t>王红云</w:t>
            </w:r>
          </w:p>
        </w:tc>
        <w:tc>
          <w:tcPr>
            <w:tcW w:w="2102" w:type="dxa"/>
            <w:vAlign w:val="top"/>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业务科科长</w:t>
            </w:r>
          </w:p>
        </w:tc>
        <w:tc>
          <w:tcPr>
            <w:tcW w:w="1393" w:type="dxa"/>
            <w:vAlign w:val="top"/>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业务科</w:t>
            </w:r>
          </w:p>
        </w:tc>
        <w:tc>
          <w:tcPr>
            <w:tcW w:w="1621" w:type="dxa"/>
          </w:tcPr>
          <w:p>
            <w:pPr>
              <w:pageBreakBefore w:val="0"/>
              <w:kinsoku/>
              <w:overflowPunct/>
              <w:autoSpaceDE/>
              <w:autoSpaceDN/>
              <w:bidi w:val="0"/>
              <w:spacing w:line="560" w:lineRule="exact"/>
              <w:textAlignment w:val="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366" w:type="dxa"/>
            <w:vAlign w:val="top"/>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kern w:val="2"/>
                <w:sz w:val="24"/>
                <w:szCs w:val="24"/>
                <w:u w:color="000000"/>
                <w:lang w:val="en-US" w:eastAsia="zh-CN" w:bidi="ar-SA"/>
              </w:rPr>
              <w:t>刘娜</w:t>
            </w:r>
          </w:p>
        </w:tc>
        <w:tc>
          <w:tcPr>
            <w:tcW w:w="2102" w:type="dxa"/>
            <w:vAlign w:val="top"/>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稽核科科长</w:t>
            </w:r>
          </w:p>
        </w:tc>
        <w:tc>
          <w:tcPr>
            <w:tcW w:w="1393" w:type="dxa"/>
            <w:vAlign w:val="top"/>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稽核科</w:t>
            </w:r>
          </w:p>
        </w:tc>
        <w:tc>
          <w:tcPr>
            <w:tcW w:w="1621" w:type="dxa"/>
          </w:tcPr>
          <w:p>
            <w:pPr>
              <w:pageBreakBefore w:val="0"/>
              <w:kinsoku/>
              <w:overflowPunct/>
              <w:autoSpaceDE/>
              <w:autoSpaceDN/>
              <w:bidi w:val="0"/>
              <w:spacing w:line="560" w:lineRule="exact"/>
              <w:textAlignment w:val="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366" w:type="dxa"/>
            <w:vAlign w:val="top"/>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en-US" w:eastAsia="zh-CN"/>
              </w:rPr>
              <w:t>罗姗昀</w:t>
            </w:r>
          </w:p>
        </w:tc>
        <w:tc>
          <w:tcPr>
            <w:tcW w:w="2102" w:type="dxa"/>
            <w:vAlign w:val="top"/>
          </w:tcPr>
          <w:p>
            <w:pPr>
              <w:pageBreakBefore w:val="0"/>
              <w:kinsoku/>
              <w:overflowPunct/>
              <w:autoSpaceDE/>
              <w:autoSpaceDN/>
              <w:bidi w:val="0"/>
              <w:spacing w:line="560" w:lineRule="exact"/>
              <w:jc w:val="center"/>
              <w:textAlignment w:val="auto"/>
              <w:rPr>
                <w:rFonts w:hint="eastAsia" w:ascii="Times New Roman" w:hAnsi="Times New Roman" w:eastAsia="黑体" w:cs="黑体"/>
                <w:color w:val="000000"/>
                <w:sz w:val="24"/>
                <w:szCs w:val="24"/>
                <w:u w:color="000000"/>
                <w:lang w:val="zh-TW" w:eastAsia="zh-CN"/>
              </w:rPr>
            </w:pPr>
            <w:r>
              <w:rPr>
                <w:rFonts w:hint="eastAsia" w:ascii="Times New Roman" w:hAnsi="Times New Roman" w:eastAsia="黑体" w:cs="黑体"/>
                <w:color w:val="000000"/>
                <w:sz w:val="24"/>
                <w:szCs w:val="24"/>
                <w:u w:color="000000"/>
                <w:lang w:val="zh-TW"/>
              </w:rPr>
              <w:t>财务科</w:t>
            </w:r>
            <w:r>
              <w:rPr>
                <w:rFonts w:hint="eastAsia" w:ascii="Times New Roman" w:hAnsi="Times New Roman" w:eastAsia="黑体" w:cs="黑体"/>
                <w:color w:val="000000"/>
                <w:sz w:val="24"/>
                <w:szCs w:val="24"/>
                <w:u w:color="000000"/>
                <w:lang w:val="zh-TW" w:eastAsia="zh-CN"/>
              </w:rPr>
              <w:t>科长</w:t>
            </w:r>
            <w:bookmarkStart w:id="0" w:name="_GoBack"/>
            <w:bookmarkEnd w:id="0"/>
          </w:p>
        </w:tc>
        <w:tc>
          <w:tcPr>
            <w:tcW w:w="1393" w:type="dxa"/>
            <w:vAlign w:val="top"/>
          </w:tcPr>
          <w:p>
            <w:pPr>
              <w:pageBreakBefore w:val="0"/>
              <w:kinsoku/>
              <w:overflowPunct/>
              <w:autoSpaceDE/>
              <w:autoSpaceDN/>
              <w:bidi w:val="0"/>
              <w:spacing w:line="560" w:lineRule="exact"/>
              <w:jc w:val="center"/>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财务科</w:t>
            </w:r>
          </w:p>
        </w:tc>
        <w:tc>
          <w:tcPr>
            <w:tcW w:w="1621" w:type="dxa"/>
          </w:tcPr>
          <w:p>
            <w:pPr>
              <w:pageBreakBefore w:val="0"/>
              <w:kinsoku/>
              <w:overflowPunct/>
              <w:autoSpaceDE/>
              <w:autoSpaceDN/>
              <w:bidi w:val="0"/>
              <w:spacing w:line="560" w:lineRule="exact"/>
              <w:textAlignment w:val="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ageBreakBefore w:val="0"/>
              <w:kinsoku/>
              <w:overflowPunct/>
              <w:autoSpaceDE/>
              <w:autoSpaceDN/>
              <w:bidi w:val="0"/>
              <w:spacing w:line="560" w:lineRule="exact"/>
              <w:jc w:val="center"/>
              <w:textAlignment w:val="auto"/>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成员</w:t>
            </w:r>
          </w:p>
        </w:tc>
        <w:tc>
          <w:tcPr>
            <w:tcW w:w="1366" w:type="dxa"/>
            <w:vAlign w:val="top"/>
          </w:tcPr>
          <w:p>
            <w:pPr>
              <w:pageBreakBefore w:val="0"/>
              <w:kinsoku/>
              <w:overflowPunct/>
              <w:autoSpaceDE/>
              <w:autoSpaceDN/>
              <w:bidi w:val="0"/>
              <w:spacing w:line="560" w:lineRule="exact"/>
              <w:jc w:val="center"/>
              <w:textAlignment w:val="auto"/>
              <w:rPr>
                <w:rFonts w:hint="eastAsia" w:ascii="Times New Roman" w:hAnsi="Times New Roman" w:eastAsia="黑体" w:cs="黑体"/>
                <w:color w:val="000000"/>
                <w:sz w:val="24"/>
                <w:szCs w:val="24"/>
                <w:u w:color="000000"/>
                <w:lang w:val="en-US" w:eastAsia="zh-CN"/>
              </w:rPr>
            </w:pPr>
            <w:r>
              <w:rPr>
                <w:rFonts w:hint="eastAsia" w:ascii="Times New Roman" w:hAnsi="Times New Roman" w:eastAsia="黑体" w:cs="黑体"/>
                <w:color w:val="000000"/>
                <w:sz w:val="24"/>
                <w:szCs w:val="24"/>
                <w:u w:color="000000"/>
                <w:lang w:val="en-US" w:eastAsia="zh-CN"/>
              </w:rPr>
              <w:t>洪玉莲</w:t>
            </w:r>
          </w:p>
        </w:tc>
        <w:tc>
          <w:tcPr>
            <w:tcW w:w="2102" w:type="dxa"/>
            <w:vAlign w:val="top"/>
          </w:tcPr>
          <w:p>
            <w:pPr>
              <w:pageBreakBefore w:val="0"/>
              <w:kinsoku/>
              <w:overflowPunct/>
              <w:autoSpaceDE/>
              <w:autoSpaceDN/>
              <w:bidi w:val="0"/>
              <w:spacing w:line="560" w:lineRule="exact"/>
              <w:jc w:val="center"/>
              <w:textAlignment w:val="auto"/>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财务科</w:t>
            </w:r>
            <w:r>
              <w:rPr>
                <w:rFonts w:hint="eastAsia" w:ascii="Times New Roman" w:hAnsi="Times New Roman" w:eastAsia="黑体" w:cs="黑体"/>
                <w:color w:val="000000"/>
                <w:sz w:val="24"/>
                <w:szCs w:val="24"/>
                <w:u w:color="000000"/>
                <w:lang w:val="zh-TW" w:eastAsia="zh-CN"/>
              </w:rPr>
              <w:t>经费会计</w:t>
            </w:r>
          </w:p>
        </w:tc>
        <w:tc>
          <w:tcPr>
            <w:tcW w:w="1393" w:type="dxa"/>
            <w:vAlign w:val="top"/>
          </w:tcPr>
          <w:p>
            <w:pPr>
              <w:pageBreakBefore w:val="0"/>
              <w:kinsoku/>
              <w:overflowPunct/>
              <w:autoSpaceDE/>
              <w:autoSpaceDN/>
              <w:bidi w:val="0"/>
              <w:spacing w:line="560" w:lineRule="exact"/>
              <w:jc w:val="center"/>
              <w:textAlignment w:val="auto"/>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财务科</w:t>
            </w:r>
          </w:p>
        </w:tc>
        <w:tc>
          <w:tcPr>
            <w:tcW w:w="1621" w:type="dxa"/>
          </w:tcPr>
          <w:p>
            <w:pPr>
              <w:pageBreakBefore w:val="0"/>
              <w:kinsoku/>
              <w:overflowPunct/>
              <w:autoSpaceDE/>
              <w:autoSpaceDN/>
              <w:bidi w:val="0"/>
              <w:spacing w:line="560" w:lineRule="exact"/>
              <w:textAlignment w:val="auto"/>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pageBreakBefore w:val="0"/>
              <w:kinsoku/>
              <w:overflowPunct/>
              <w:autoSpaceDE/>
              <w:autoSpaceDN/>
              <w:bidi w:val="0"/>
              <w:spacing w:line="560" w:lineRule="exact"/>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报告撰写人（签字）：</w:t>
            </w:r>
          </w:p>
          <w:p>
            <w:pPr>
              <w:pageBreakBefore w:val="0"/>
              <w:kinsoku/>
              <w:overflowPunct/>
              <w:autoSpaceDE/>
              <w:autoSpaceDN/>
              <w:bidi w:val="0"/>
              <w:spacing w:line="560" w:lineRule="exact"/>
              <w:textAlignment w:val="auto"/>
              <w:rPr>
                <w:rFonts w:ascii="Times New Roman" w:hAnsi="Times New Roman" w:eastAsia="黑体" w:cs="黑体"/>
                <w:color w:val="000000"/>
                <w:sz w:val="24"/>
                <w:szCs w:val="24"/>
                <w:u w:color="000000"/>
                <w:lang w:val="zh-TW"/>
              </w:rPr>
            </w:pPr>
          </w:p>
          <w:p>
            <w:pPr>
              <w:pageBreakBefore w:val="0"/>
              <w:kinsoku/>
              <w:overflowPunct/>
              <w:autoSpaceDE/>
              <w:autoSpaceDN/>
              <w:bidi w:val="0"/>
              <w:spacing w:line="560" w:lineRule="exact"/>
              <w:textAlignment w:val="auto"/>
              <w:rPr>
                <w:rFonts w:ascii="Times New Roman" w:hAnsi="Times New Roman" w:eastAsia="黑体" w:cs="黑体"/>
                <w:color w:val="000000"/>
                <w:sz w:val="24"/>
                <w:szCs w:val="24"/>
                <w:u w:color="000000"/>
                <w:lang w:val="zh-TW"/>
              </w:rPr>
            </w:pPr>
          </w:p>
          <w:p>
            <w:pPr>
              <w:pageBreakBefore w:val="0"/>
              <w:kinsoku/>
              <w:wordWrap w:val="0"/>
              <w:overflowPunct/>
              <w:autoSpaceDE/>
              <w:autoSpaceDN/>
              <w:bidi w:val="0"/>
              <w:spacing w:line="560" w:lineRule="exact"/>
              <w:jc w:val="right"/>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pageBreakBefore w:val="0"/>
              <w:kinsoku/>
              <w:overflowPunct/>
              <w:autoSpaceDE/>
              <w:autoSpaceDN/>
              <w:bidi w:val="0"/>
              <w:spacing w:line="560" w:lineRule="exact"/>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评价工作负责人（签字）：</w:t>
            </w:r>
          </w:p>
          <w:p>
            <w:pPr>
              <w:pageBreakBefore w:val="0"/>
              <w:kinsoku/>
              <w:overflowPunct/>
              <w:autoSpaceDE/>
              <w:autoSpaceDN/>
              <w:bidi w:val="0"/>
              <w:spacing w:line="560" w:lineRule="exact"/>
              <w:textAlignment w:val="auto"/>
              <w:rPr>
                <w:rFonts w:ascii="Times New Roman" w:hAnsi="Times New Roman" w:eastAsia="黑体" w:cs="黑体"/>
                <w:color w:val="000000"/>
                <w:sz w:val="24"/>
                <w:szCs w:val="24"/>
                <w:u w:color="000000"/>
                <w:lang w:val="zh-TW"/>
              </w:rPr>
            </w:pPr>
          </w:p>
          <w:p>
            <w:pPr>
              <w:pageBreakBefore w:val="0"/>
              <w:kinsoku/>
              <w:overflowPunct/>
              <w:autoSpaceDE/>
              <w:autoSpaceDN/>
              <w:bidi w:val="0"/>
              <w:spacing w:line="560" w:lineRule="exact"/>
              <w:textAlignment w:val="auto"/>
              <w:rPr>
                <w:rFonts w:ascii="Times New Roman" w:hAnsi="Times New Roman" w:eastAsia="黑体" w:cs="黑体"/>
                <w:color w:val="000000"/>
                <w:sz w:val="24"/>
                <w:szCs w:val="24"/>
                <w:u w:color="000000"/>
                <w:lang w:val="zh-TW"/>
              </w:rPr>
            </w:pPr>
          </w:p>
          <w:p>
            <w:pPr>
              <w:pageBreakBefore w:val="0"/>
              <w:kinsoku/>
              <w:wordWrap w:val="0"/>
              <w:overflowPunct/>
              <w:autoSpaceDE/>
              <w:autoSpaceDN/>
              <w:bidi w:val="0"/>
              <w:spacing w:line="560" w:lineRule="exact"/>
              <w:jc w:val="right"/>
              <w:textAlignment w:val="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bl>
    <w:p>
      <w:pPr>
        <w:pageBreakBefore w:val="0"/>
        <w:kinsoku/>
        <w:overflowPunct/>
        <w:autoSpaceDE/>
        <w:autoSpaceDN/>
        <w:bidi w:val="0"/>
        <w:spacing w:line="560" w:lineRule="exact"/>
        <w:ind w:firstLine="566" w:firstLineChars="236"/>
        <w:textAlignment w:val="auto"/>
        <w:rPr>
          <w:rFonts w:ascii="Times New Roman" w:hAnsi="Times New Roman" w:eastAsia="PMingLiU" w:cs="Times New Roman"/>
          <w:color w:val="000000"/>
          <w:sz w:val="24"/>
          <w:szCs w:val="24"/>
          <w:u w:color="000000"/>
          <w:lang w:val="zh-TW" w:eastAsia="zh-TW"/>
        </w:rPr>
      </w:pPr>
    </w:p>
    <w:p>
      <w:pPr>
        <w:pageBreakBefore w:val="0"/>
        <w:kinsoku/>
        <w:overflowPunct/>
        <w:autoSpaceDE/>
        <w:autoSpaceDN/>
        <w:bidi w:val="0"/>
        <w:spacing w:line="560" w:lineRule="exact"/>
        <w:ind w:firstLine="566" w:firstLineChars="236"/>
        <w:textAlignment w:val="auto"/>
        <w:rPr>
          <w:rFonts w:ascii="Times New Roman" w:hAnsi="Times New Roman" w:eastAsia="PMingLiU" w:cs="Times New Roman"/>
          <w:color w:val="000000"/>
          <w:sz w:val="24"/>
          <w:szCs w:val="24"/>
          <w:u w:color="000000"/>
          <w:lang w:val="zh-TW" w:eastAsia="zh-TW"/>
        </w:rPr>
      </w:pPr>
    </w:p>
    <w:p>
      <w:pPr>
        <w:pageBreakBefore w:val="0"/>
        <w:kinsoku/>
        <w:overflowPunct/>
        <w:autoSpaceDE/>
        <w:autoSpaceDN/>
        <w:bidi w:val="0"/>
        <w:spacing w:line="560" w:lineRule="exact"/>
        <w:textAlignment w:val="auto"/>
        <w:rPr>
          <w:rFonts w:ascii="Times New Roman" w:hAnsi="Times New Roman" w:eastAsia="宋体" w:cs="Times New Roman"/>
          <w:color w:val="000000"/>
          <w:sz w:val="24"/>
          <w:szCs w:val="24"/>
          <w:u w:color="000000"/>
          <w:lang w:val="zh-TW"/>
        </w:rPr>
        <w:sectPr>
          <w:headerReference r:id="rId5" w:type="default"/>
          <w:footerReference r:id="rId6" w:type="default"/>
          <w:pgSz w:w="11906" w:h="16838"/>
          <w:pgMar w:top="1440" w:right="1800" w:bottom="1440" w:left="1800" w:header="851" w:footer="992" w:gutter="0"/>
          <w:cols w:space="425" w:num="1"/>
          <w:docGrid w:type="lines" w:linePitch="312" w:charSpace="0"/>
        </w:sectPr>
      </w:pPr>
    </w:p>
    <w:p>
      <w:pPr>
        <w:keepNext/>
        <w:keepLines/>
        <w:pageBreakBefore w:val="0"/>
        <w:widowControl/>
        <w:kinsoku/>
        <w:overflowPunct/>
        <w:autoSpaceDE/>
        <w:autoSpaceDN/>
        <w:bidi w:val="0"/>
        <w:spacing w:before="480" w:line="560" w:lineRule="exact"/>
        <w:jc w:val="center"/>
        <w:textAlignment w:val="auto"/>
        <w:rPr>
          <w:rFonts w:ascii="Times New Roman" w:hAnsi="Times New Roman" w:eastAsia="宋体" w:cs="Times New Roman"/>
          <w:b/>
          <w:bCs/>
          <w:kern w:val="0"/>
          <w:sz w:val="28"/>
          <w:szCs w:val="28"/>
          <w:lang w:val="zh-CN" w:eastAsia="zh-CN"/>
        </w:rPr>
      </w:pPr>
      <w:r>
        <w:rPr>
          <w:rFonts w:hint="eastAsia" w:ascii="Times New Roman" w:hAnsi="Times New Roman" w:eastAsia="宋体" w:cs="宋体"/>
          <w:b/>
          <w:bCs/>
          <w:kern w:val="0"/>
          <w:sz w:val="28"/>
          <w:szCs w:val="28"/>
          <w:lang w:val="zh-CN" w:eastAsia="zh-CN"/>
        </w:rPr>
        <w:t>目录</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摘要</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一、 项目基本情况</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（一）项目立项背景</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 xml:space="preserve">（二）项目立项依据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（三）项目实施内容</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（四）项目实施计划及完成情况</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（五）项目的组织及管理</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 xml:space="preserve">（六）项目绩效目标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二、绩效评价工作情况</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(一)评价的目的和依据</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(二)绩效评价工作方案制定过程</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(三)绩效评价原则、评价方法等</w:t>
      </w:r>
      <w:r>
        <w:rPr>
          <w:rFonts w:hint="eastAsia" w:ascii="黑体" w:hAnsi="黑体" w:eastAsia="黑体" w:cs="Times New Roman"/>
          <w:sz w:val="22"/>
          <w:szCs w:val="32"/>
        </w:rPr>
        <w:tab/>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(四)绩效评价实施过程</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(五)绩效评价的局限性</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 xml:space="preserve">三、评价结论及绩效分析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(一)评价结论</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(二)绩效分析</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 xml:space="preserve">四、项目主要经验及做法、存在的问题和建议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(一)主要经验及做法</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(二)存在的问题</w:t>
      </w:r>
      <w:r>
        <w:rPr>
          <w:rFonts w:hint="eastAsia" w:ascii="黑体" w:hAnsi="黑体" w:eastAsia="黑体" w:cs="Times New Roman"/>
          <w:sz w:val="22"/>
          <w:szCs w:val="32"/>
        </w:rPr>
        <w:tab/>
      </w:r>
      <w:r>
        <w:rPr>
          <w:rFonts w:hint="eastAsia" w:ascii="黑体" w:hAnsi="黑体" w:eastAsia="黑体" w:cs="Times New Roman"/>
          <w:sz w:val="22"/>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40" w:firstLineChars="200"/>
        <w:jc w:val="left"/>
        <w:textAlignment w:val="auto"/>
        <w:rPr>
          <w:rFonts w:ascii="黑体" w:hAnsi="黑体" w:eastAsia="黑体" w:cs="Times New Roman"/>
          <w:sz w:val="22"/>
          <w:szCs w:val="32"/>
        </w:rPr>
      </w:pPr>
      <w:r>
        <w:rPr>
          <w:rFonts w:hint="eastAsia" w:ascii="黑体" w:hAnsi="黑体" w:eastAsia="黑体" w:cs="Times New Roman"/>
          <w:sz w:val="22"/>
          <w:szCs w:val="32"/>
        </w:rPr>
        <w:t xml:space="preserve">(三)建议和改进措施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黑体" w:hAnsi="黑体" w:eastAsia="黑体" w:cs="Times New Roman"/>
          <w:szCs w:val="32"/>
        </w:rPr>
      </w:pPr>
      <w:r>
        <w:rPr>
          <w:rFonts w:hint="eastAsia" w:ascii="黑体" w:hAnsi="黑体" w:eastAsia="黑体" w:cs="Times New Roman"/>
          <w:szCs w:val="32"/>
        </w:rPr>
        <w:t>五、附件</w:t>
      </w:r>
      <w:r>
        <w:rPr>
          <w:rFonts w:hint="eastAsia" w:ascii="黑体" w:hAnsi="黑体" w:eastAsia="黑体" w:cs="Times New Roman"/>
          <w:szCs w:val="32"/>
        </w:rPr>
        <w:tab/>
      </w:r>
      <w:r>
        <w:rPr>
          <w:rFonts w:hint="eastAsia" w:ascii="黑体" w:hAnsi="黑体" w:eastAsia="黑体" w:cs="Times New Roman"/>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黑体" w:hAnsi="黑体" w:eastAsia="黑体" w:cs="Times New Roman"/>
          <w:szCs w:val="32"/>
        </w:rPr>
      </w:pPr>
      <w:r>
        <w:rPr>
          <w:rFonts w:hint="eastAsia" w:ascii="黑体" w:hAnsi="黑体" w:eastAsia="黑体" w:cs="Times New Roman"/>
          <w:szCs w:val="32"/>
        </w:rPr>
        <w:t>附件一：项目支出绩效评价共性指标体系框架</w:t>
      </w:r>
      <w:r>
        <w:rPr>
          <w:rFonts w:hint="eastAsia" w:ascii="黑体" w:hAnsi="黑体" w:eastAsia="黑体" w:cs="Times New Roman"/>
          <w:szCs w:val="32"/>
        </w:rPr>
        <w:tab/>
      </w:r>
      <w:r>
        <w:rPr>
          <w:rFonts w:hint="eastAsia" w:ascii="黑体" w:hAnsi="黑体" w:eastAsia="黑体" w:cs="Times New Roman"/>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黑体" w:hAnsi="黑体" w:eastAsia="黑体" w:cs="Times New Roman"/>
          <w:szCs w:val="32"/>
        </w:rPr>
      </w:pPr>
      <w:r>
        <w:rPr>
          <w:rFonts w:hint="eastAsia" w:ascii="黑体" w:hAnsi="黑体" w:eastAsia="黑体" w:cs="Times New Roman"/>
          <w:szCs w:val="32"/>
        </w:rPr>
        <w:t>附件二：项目申报表</w:t>
      </w:r>
      <w:r>
        <w:rPr>
          <w:rFonts w:hint="eastAsia" w:ascii="黑体" w:hAnsi="黑体" w:eastAsia="黑体" w:cs="Times New Roman"/>
          <w:szCs w:val="32"/>
        </w:rPr>
        <w:tab/>
      </w:r>
      <w:r>
        <w:rPr>
          <w:rFonts w:hint="eastAsia" w:ascii="黑体" w:hAnsi="黑体" w:eastAsia="黑体" w:cs="Times New Roman"/>
          <w:szCs w:val="32"/>
        </w:rPr>
        <w:t xml:space="preserve"> </w:t>
      </w:r>
    </w:p>
    <w:p>
      <w:pPr>
        <w:pageBreakBefore w:val="0"/>
        <w:kinsoku/>
        <w:overflowPunct/>
        <w:autoSpaceDE/>
        <w:autoSpaceDN/>
        <w:bidi w:val="0"/>
        <w:spacing w:line="560" w:lineRule="exact"/>
        <w:textAlignment w:val="auto"/>
        <w:rPr>
          <w:rFonts w:ascii="方正小标宋_GBK" w:hAnsi="黑体" w:eastAsia="方正小标宋_GBK" w:cs="Times New Roman"/>
          <w:szCs w:val="32"/>
        </w:rPr>
      </w:pPr>
    </w:p>
    <w:p>
      <w:pPr>
        <w:pageBreakBefore w:val="0"/>
        <w:kinsoku/>
        <w:overflowPunct/>
        <w:autoSpaceDE/>
        <w:autoSpaceDN/>
        <w:bidi w:val="0"/>
        <w:spacing w:line="560" w:lineRule="exact"/>
        <w:ind w:firstLine="420" w:firstLineChars="200"/>
        <w:jc w:val="left"/>
        <w:textAlignment w:val="auto"/>
        <w:rPr>
          <w:rFonts w:ascii="黑体" w:hAnsi="黑体" w:eastAsia="黑体" w:cs="Times New Roman"/>
          <w:szCs w:val="32"/>
        </w:rPr>
      </w:pPr>
      <w:r>
        <w:rPr>
          <w:rFonts w:hint="eastAsia" w:ascii="黑体" w:hAnsi="黑体" w:eastAsia="黑体" w:cs="Times New Roman"/>
          <w:szCs w:val="32"/>
        </w:rPr>
        <w:tab/>
      </w:r>
      <w:r>
        <w:rPr>
          <w:rFonts w:hint="eastAsia" w:ascii="黑体" w:hAnsi="黑体" w:eastAsia="黑体" w:cs="Times New Roman"/>
          <w:szCs w:val="32"/>
        </w:rPr>
        <w:t xml:space="preserve">  </w:t>
      </w:r>
    </w:p>
    <w:p>
      <w:pPr>
        <w:pageBreakBefore w:val="0"/>
        <w:kinsoku/>
        <w:overflowPunct/>
        <w:autoSpaceDE/>
        <w:autoSpaceDN/>
        <w:bidi w:val="0"/>
        <w:spacing w:line="560" w:lineRule="exact"/>
        <w:jc w:val="center"/>
        <w:textAlignment w:val="auto"/>
        <w:rPr>
          <w:rFonts w:hint="eastAsia" w:ascii="方正小标宋_GBK" w:hAnsi="Calibri" w:eastAsia="方正小标宋_GBK" w:cs="Times New Roman"/>
          <w:sz w:val="44"/>
          <w:szCs w:val="44"/>
        </w:rPr>
      </w:pPr>
    </w:p>
    <w:p>
      <w:pPr>
        <w:pageBreakBefore w:val="0"/>
        <w:kinsoku/>
        <w:overflowPunct/>
        <w:autoSpaceDE/>
        <w:autoSpaceDN/>
        <w:bidi w:val="0"/>
        <w:spacing w:line="560" w:lineRule="exact"/>
        <w:jc w:val="center"/>
        <w:textAlignment w:val="auto"/>
        <w:rPr>
          <w:rFonts w:hint="eastAsia" w:ascii="方正小标宋_GBK" w:hAnsi="Calibri" w:eastAsia="方正小标宋_GBK" w:cs="Times New Roman"/>
          <w:sz w:val="44"/>
          <w:szCs w:val="44"/>
        </w:rPr>
      </w:pPr>
    </w:p>
    <w:p>
      <w:pPr>
        <w:pageBreakBefore w:val="0"/>
        <w:kinsoku/>
        <w:overflowPunct/>
        <w:autoSpaceDE/>
        <w:autoSpaceDN/>
        <w:bidi w:val="0"/>
        <w:spacing w:line="560" w:lineRule="exact"/>
        <w:jc w:val="center"/>
        <w:textAlignment w:val="auto"/>
        <w:rPr>
          <w:rFonts w:ascii="方正小标宋_GBK" w:hAnsi="Calibri" w:eastAsia="方正小标宋_GBK" w:cs="Times New Roman"/>
          <w:sz w:val="44"/>
          <w:szCs w:val="44"/>
        </w:rPr>
      </w:pPr>
      <w:r>
        <w:rPr>
          <w:rFonts w:hint="eastAsia" w:ascii="方正小标宋_GBK" w:hAnsi="Calibri" w:eastAsia="方正小标宋_GBK" w:cs="Times New Roman"/>
          <w:sz w:val="44"/>
          <w:szCs w:val="44"/>
          <w:lang w:val="en-US" w:eastAsia="zh-CN"/>
        </w:rPr>
        <w:t>城乡居民基本养老保险区级补助</w:t>
      </w:r>
      <w:r>
        <w:rPr>
          <w:rFonts w:hint="eastAsia" w:ascii="方正小标宋_GBK" w:hAnsi="Calibri" w:eastAsia="方正小标宋_GBK" w:cs="Times New Roman"/>
          <w:sz w:val="44"/>
          <w:szCs w:val="44"/>
        </w:rPr>
        <w:t>项目支出绩效自评报告</w:t>
      </w:r>
    </w:p>
    <w:p>
      <w:pPr>
        <w:pageBreakBefore w:val="0"/>
        <w:kinsoku/>
        <w:overflowPunct/>
        <w:autoSpaceDE/>
        <w:autoSpaceDN/>
        <w:bidi w:val="0"/>
        <w:spacing w:line="560" w:lineRule="exact"/>
        <w:ind w:firstLine="420" w:firstLineChars="200"/>
        <w:jc w:val="left"/>
        <w:textAlignment w:val="auto"/>
        <w:rPr>
          <w:rFonts w:ascii="黑体" w:hAnsi="黑体" w:eastAsia="黑体" w:cs="Times New Roman"/>
          <w:szCs w:val="32"/>
        </w:rPr>
      </w:pPr>
    </w:p>
    <w:p>
      <w:pPr>
        <w:pageBreakBefore w:val="0"/>
        <w:kinsoku/>
        <w:overflowPunct/>
        <w:autoSpaceDE/>
        <w:autoSpaceDN/>
        <w:bidi w:val="0"/>
        <w:spacing w:line="560" w:lineRule="exact"/>
        <w:jc w:val="center"/>
        <w:textAlignment w:val="auto"/>
        <w:rPr>
          <w:rFonts w:hint="eastAsia" w:ascii="方正小标宋_GBK" w:hAnsi="黑体" w:eastAsia="方正小标宋_GBK"/>
          <w:sz w:val="32"/>
          <w:szCs w:val="32"/>
        </w:rPr>
      </w:pPr>
      <w:r>
        <w:rPr>
          <w:rFonts w:hint="eastAsia" w:ascii="方正小标宋_GBK" w:hAnsi="黑体" w:eastAsia="方正小标宋_GBK"/>
          <w:sz w:val="32"/>
          <w:szCs w:val="32"/>
        </w:rPr>
        <w:t>摘要</w:t>
      </w:r>
    </w:p>
    <w:p>
      <w:pPr>
        <w:pageBreakBefore w:val="0"/>
        <w:kinsoku/>
        <w:overflowPunct/>
        <w:autoSpaceDE/>
        <w:autoSpaceDN/>
        <w:bidi w:val="0"/>
        <w:spacing w:line="560" w:lineRule="exact"/>
        <w:ind w:firstLine="640" w:firstLineChars="200"/>
        <w:jc w:val="center"/>
        <w:textAlignment w:val="auto"/>
        <w:rPr>
          <w:rFonts w:hint="eastAsia" w:ascii="方正小标宋_GBK" w:hAnsi="黑体" w:eastAsia="方正小标宋_GBK"/>
          <w:sz w:val="32"/>
          <w:szCs w:val="32"/>
        </w:rPr>
      </w:pPr>
    </w:p>
    <w:p>
      <w:pPr>
        <w:pageBreakBefore w:val="0"/>
        <w:numPr>
          <w:ilvl w:val="0"/>
          <w:numId w:val="0"/>
        </w:numPr>
        <w:kinsoku/>
        <w:overflowPunct/>
        <w:autoSpaceDE/>
        <w:autoSpaceDN/>
        <w:bidi w:val="0"/>
        <w:spacing w:line="560" w:lineRule="exact"/>
        <w:ind w:firstLine="640" w:firstLineChars="200"/>
        <w:jc w:val="left"/>
        <w:textAlignment w:val="auto"/>
        <w:rPr>
          <w:rFonts w:hint="eastAsia" w:ascii="仿宋_GB2312" w:hAnsi="黑体" w:eastAsia="仿宋_GB2312"/>
          <w:szCs w:val="32"/>
        </w:rPr>
      </w:pPr>
      <w:r>
        <w:rPr>
          <w:rFonts w:hint="eastAsia" w:ascii="黑体" w:hAnsi="黑体" w:eastAsia="黑体"/>
          <w:sz w:val="32"/>
          <w:szCs w:val="32"/>
          <w:lang w:eastAsia="zh-CN"/>
        </w:rPr>
        <w:t>一、</w:t>
      </w:r>
      <w:r>
        <w:rPr>
          <w:rFonts w:hint="eastAsia" w:ascii="黑体" w:hAnsi="黑体" w:eastAsia="黑体"/>
          <w:sz w:val="32"/>
          <w:szCs w:val="32"/>
        </w:rPr>
        <w:t>项目概况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相关</w:t>
      </w:r>
      <w:r>
        <w:rPr>
          <w:rFonts w:hint="eastAsia" w:ascii="仿宋_GB2312" w:hAnsi="仿宋_GB2312" w:eastAsia="仿宋_GB2312" w:cs="仿宋_GB2312"/>
          <w:sz w:val="32"/>
          <w:szCs w:val="32"/>
        </w:rPr>
        <w:t>文件精神，城乡居民基本养老保险基金由个人缴费、政府补贴构成。参保人按规定缴费，享受缴费补贴。选择</w:t>
      </w:r>
      <w:r>
        <w:rPr>
          <w:rFonts w:hint="eastAsia" w:ascii="仿宋_GB2312" w:hAnsi="仿宋_GB2312" w:eastAsia="仿宋_GB2312" w:cs="仿宋_GB2312"/>
          <w:sz w:val="32"/>
          <w:szCs w:val="32"/>
          <w:lang w:eastAsia="zh-CN"/>
        </w:rPr>
        <w:t>一定的</w:t>
      </w:r>
      <w:r>
        <w:rPr>
          <w:rFonts w:hint="eastAsia" w:ascii="仿宋_GB2312" w:hAnsi="仿宋_GB2312" w:eastAsia="仿宋_GB2312" w:cs="仿宋_GB2312"/>
          <w:sz w:val="32"/>
          <w:szCs w:val="32"/>
        </w:rPr>
        <w:t>缴费档次，给予</w:t>
      </w:r>
      <w:r>
        <w:rPr>
          <w:rFonts w:hint="eastAsia" w:ascii="仿宋_GB2312" w:hAnsi="仿宋_GB2312" w:eastAsia="仿宋_GB2312" w:cs="仿宋_GB2312"/>
          <w:sz w:val="32"/>
          <w:szCs w:val="32"/>
          <w:lang w:eastAsia="zh-CN"/>
        </w:rPr>
        <w:t>相应</w:t>
      </w:r>
      <w:r>
        <w:rPr>
          <w:rFonts w:hint="eastAsia" w:ascii="仿宋_GB2312" w:hAnsi="仿宋_GB2312" w:eastAsia="仿宋_GB2312" w:cs="仿宋_GB2312"/>
          <w:sz w:val="32"/>
          <w:szCs w:val="32"/>
        </w:rPr>
        <w:t>的缴费补贴，所需资金由省、市、区三级财政承担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缴费档次为100</w:t>
      </w:r>
      <w:r>
        <w:rPr>
          <w:rFonts w:hint="eastAsia" w:ascii="仿宋_GB2312" w:hAnsi="仿宋_GB2312" w:eastAsia="仿宋_GB2312" w:cs="仿宋_GB2312"/>
          <w:sz w:val="32"/>
          <w:szCs w:val="32"/>
          <w:lang w:val="en-US" w:eastAsia="zh-CN"/>
        </w:rPr>
        <w:t>-3000</w:t>
      </w:r>
      <w:r>
        <w:rPr>
          <w:rFonts w:hint="eastAsia" w:ascii="仿宋_GB2312" w:hAnsi="仿宋_GB2312" w:eastAsia="仿宋_GB2312" w:cs="仿宋_GB2312"/>
          <w:sz w:val="32"/>
          <w:szCs w:val="32"/>
        </w:rPr>
        <w:t>元共十三个档次，参保人自主选择，按年缴纳、多缴多得，享受</w:t>
      </w:r>
      <w:r>
        <w:rPr>
          <w:rFonts w:hint="eastAsia" w:ascii="仿宋_GB2312" w:hAnsi="仿宋_GB2312" w:eastAsia="仿宋_GB2312" w:cs="仿宋_GB2312"/>
          <w:sz w:val="32"/>
          <w:szCs w:val="32"/>
          <w:lang w:eastAsia="zh-CN"/>
        </w:rPr>
        <w:t>相应</w:t>
      </w:r>
      <w:r>
        <w:rPr>
          <w:rFonts w:hint="eastAsia" w:ascii="仿宋_GB2312" w:hAnsi="仿宋_GB2312" w:eastAsia="仿宋_GB2312" w:cs="仿宋_GB2312"/>
          <w:sz w:val="32"/>
          <w:szCs w:val="32"/>
        </w:rPr>
        <w:t>的缴费补贴；城乡居民基本养老保险待遇由基础养老金和个人账户养老金组成，支付终身</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基础养老金由中央、省、市、区财政按规定承担，20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，基础养老金由中央财政支付</w:t>
      </w:r>
      <w:r>
        <w:rPr>
          <w:rFonts w:hint="eastAsia" w:ascii="仿宋_GB2312" w:hAnsi="仿宋_GB2312" w:eastAsia="仿宋_GB2312" w:cs="仿宋_GB2312"/>
          <w:sz w:val="32"/>
          <w:szCs w:val="32"/>
          <w:lang w:val="en-US" w:eastAsia="zh-CN"/>
        </w:rPr>
        <w:t>98</w:t>
      </w:r>
      <w:r>
        <w:rPr>
          <w:rFonts w:hint="eastAsia" w:ascii="仿宋_GB2312" w:hAnsi="仿宋_GB2312" w:eastAsia="仿宋_GB2312" w:cs="仿宋_GB2312"/>
          <w:sz w:val="32"/>
          <w:szCs w:val="32"/>
        </w:rPr>
        <w:t>元/月，省级财政支付15元/月、市级财政支付</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元/月，区财政支付2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元/月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对于参保人员死亡后，给与其继承人或指定受益人一次性丧葬抚恤补助费</w:t>
      </w:r>
      <w:r>
        <w:rPr>
          <w:rFonts w:hint="eastAsia" w:ascii="仿宋_GB2312" w:hAnsi="仿宋_GB2312" w:eastAsia="仿宋_GB2312" w:cs="仿宋_GB2312"/>
          <w:sz w:val="32"/>
          <w:szCs w:val="32"/>
          <w:lang w:val="en-US" w:eastAsia="zh-CN"/>
        </w:rPr>
        <w:t>1356</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市级财政承担40%，区级财政承担60%。</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2022年，盘龙区区级</w:t>
      </w:r>
      <w:r>
        <w:rPr>
          <w:rFonts w:hint="eastAsia" w:ascii="仿宋_GB2312" w:hAnsi="仿宋_GB2312" w:eastAsia="仿宋_GB2312" w:cs="仿宋_GB2312"/>
          <w:sz w:val="32"/>
          <w:szCs w:val="32"/>
          <w:lang w:eastAsia="zh-CN"/>
        </w:rPr>
        <w:t>年初预算</w:t>
      </w:r>
      <w:r>
        <w:rPr>
          <w:rFonts w:hint="eastAsia" w:ascii="仿宋_GB2312" w:hAnsi="黑体" w:eastAsia="仿宋_GB2312" w:cs="Times New Roman"/>
          <w:color w:val="auto"/>
          <w:sz w:val="32"/>
          <w:szCs w:val="32"/>
          <w:lang w:val="en-US" w:eastAsia="zh-CN"/>
        </w:rPr>
        <w:t>1259.81万</w:t>
      </w:r>
      <w:r>
        <w:rPr>
          <w:rFonts w:hint="eastAsia" w:ascii="仿宋_GB2312" w:hAnsi="仿宋_GB2312" w:eastAsia="仿宋_GB2312" w:cs="仿宋_GB2312"/>
          <w:sz w:val="32"/>
          <w:szCs w:val="32"/>
          <w:lang w:val="en-US" w:eastAsia="zh-CN"/>
        </w:rPr>
        <w:t>元，实际支出</w:t>
      </w:r>
      <w:r>
        <w:rPr>
          <w:rFonts w:hint="eastAsia" w:ascii="仿宋_GB2312" w:hAnsi="黑体" w:eastAsia="仿宋_GB2312" w:cs="Times New Roman"/>
          <w:color w:val="auto"/>
          <w:sz w:val="32"/>
          <w:szCs w:val="32"/>
          <w:lang w:eastAsia="zh-CN"/>
        </w:rPr>
        <w:t>10</w:t>
      </w:r>
      <w:r>
        <w:rPr>
          <w:rFonts w:hint="eastAsia" w:ascii="仿宋_GB2312" w:hAnsi="黑体" w:eastAsia="仿宋_GB2312" w:cs="Times New Roman"/>
          <w:color w:val="auto"/>
          <w:sz w:val="32"/>
          <w:szCs w:val="32"/>
          <w:lang w:val="en-US" w:eastAsia="zh-CN"/>
        </w:rPr>
        <w:t>92.46</w:t>
      </w:r>
      <w:r>
        <w:rPr>
          <w:rFonts w:hint="eastAsia" w:ascii="仿宋_GB2312" w:hAnsi="黑体" w:eastAsia="仿宋_GB2312" w:cs="Times New Roman"/>
          <w:color w:val="auto"/>
          <w:sz w:val="32"/>
          <w:szCs w:val="32"/>
          <w:lang w:eastAsia="zh-CN"/>
        </w:rPr>
        <w:t>万</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p>
    <w:p>
      <w:pPr>
        <w:pageBreakBefore w:val="0"/>
        <w:numPr>
          <w:ilvl w:val="0"/>
          <w:numId w:val="0"/>
        </w:numPr>
        <w:kinsoku/>
        <w:overflowPunct/>
        <w:autoSpaceDE/>
        <w:autoSpaceDN/>
        <w:bidi w:val="0"/>
        <w:spacing w:line="560" w:lineRule="exact"/>
        <w:ind w:firstLine="640" w:firstLineChars="200"/>
        <w:jc w:val="left"/>
        <w:textAlignment w:val="auto"/>
        <w:rPr>
          <w:rFonts w:hint="eastAsia" w:ascii="黑体" w:hAnsi="黑体" w:eastAsia="黑体"/>
          <w:sz w:val="32"/>
          <w:szCs w:val="32"/>
          <w:lang w:eastAsia="zh-CN"/>
        </w:rPr>
      </w:pPr>
      <w:r>
        <w:rPr>
          <w:rFonts w:hint="eastAsia" w:ascii="黑体" w:hAnsi="黑体" w:eastAsia="黑体"/>
          <w:sz w:val="32"/>
          <w:szCs w:val="32"/>
          <w:lang w:eastAsia="zh-CN"/>
        </w:rPr>
        <w:t>二、评价结论</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支出绩效评价指标确定的内容，经评价组综合评价，城乡居民基本养老保险</w:t>
      </w:r>
      <w:r>
        <w:rPr>
          <w:rFonts w:hint="eastAsia" w:ascii="仿宋_GB2312" w:hAnsi="仿宋_GB2312" w:eastAsia="仿宋_GB2312" w:cs="仿宋_GB2312"/>
          <w:sz w:val="32"/>
          <w:szCs w:val="32"/>
          <w:lang w:eastAsia="zh-CN"/>
        </w:rPr>
        <w:t>区级</w:t>
      </w:r>
      <w:r>
        <w:rPr>
          <w:rFonts w:hint="eastAsia" w:ascii="仿宋_GB2312" w:hAnsi="仿宋_GB2312" w:eastAsia="仿宋_GB2312" w:cs="仿宋_GB2312"/>
          <w:sz w:val="32"/>
          <w:szCs w:val="32"/>
        </w:rPr>
        <w:t>补助</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支出绩效评为 “优”</w:t>
      </w:r>
      <w:r>
        <w:rPr>
          <w:rFonts w:hint="eastAsia" w:ascii="仿宋_GB2312" w:hAnsi="仿宋_GB2312" w:eastAsia="仿宋_GB2312" w:cs="仿宋_GB2312"/>
          <w:sz w:val="32"/>
          <w:szCs w:val="32"/>
          <w:lang w:eastAsia="zh-CN"/>
        </w:rPr>
        <w:t>。</w:t>
      </w:r>
    </w:p>
    <w:p>
      <w:pPr>
        <w:pageBreakBefore w:val="0"/>
        <w:kinsoku/>
        <w:overflowPunct/>
        <w:autoSpaceDE/>
        <w:autoSpaceDN/>
        <w:bidi w:val="0"/>
        <w:spacing w:line="560" w:lineRule="exact"/>
        <w:ind w:firstLine="640" w:firstLineChars="200"/>
        <w:jc w:val="left"/>
        <w:textAlignment w:val="auto"/>
        <w:rPr>
          <w:rFonts w:hint="eastAsia" w:ascii="黑体" w:hAnsi="黑体" w:eastAsia="黑体"/>
          <w:sz w:val="32"/>
          <w:szCs w:val="32"/>
          <w:lang w:eastAsia="zh-CN"/>
        </w:rPr>
      </w:pPr>
      <w:r>
        <w:rPr>
          <w:rFonts w:hint="eastAsia" w:ascii="黑体" w:hAnsi="黑体" w:eastAsia="黑体"/>
          <w:sz w:val="32"/>
          <w:szCs w:val="32"/>
          <w:lang w:eastAsia="zh-CN"/>
        </w:rPr>
        <w:t>三、经验、问题和建议</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1.主要经验及做法</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建立健全基金内部控制制度，规范经办流程，确保社会保险基金安全。</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存在的问题</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城乡居民基本养老保险待遇领取水平较低，参保群众满意度不高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城乡居民保险缴费</w:t>
      </w:r>
      <w:r>
        <w:rPr>
          <w:rFonts w:hint="eastAsia" w:ascii="仿宋_GB2312" w:hAnsi="仿宋_GB2312" w:eastAsia="仿宋_GB2312" w:cs="仿宋_GB2312"/>
          <w:sz w:val="32"/>
          <w:szCs w:val="32"/>
          <w:lang w:eastAsia="zh-CN"/>
        </w:rPr>
        <w:t>人数</w:t>
      </w:r>
      <w:r>
        <w:rPr>
          <w:rFonts w:hint="eastAsia" w:ascii="仿宋_GB2312" w:hAnsi="仿宋_GB2312" w:eastAsia="仿宋_GB2312" w:cs="仿宋_GB2312"/>
          <w:sz w:val="32"/>
          <w:szCs w:val="32"/>
        </w:rPr>
        <w:t>有</w:t>
      </w:r>
      <w:r>
        <w:rPr>
          <w:rFonts w:hint="eastAsia" w:ascii="仿宋_GB2312" w:hAnsi="仿宋_GB2312" w:eastAsia="仿宋_GB2312" w:cs="仿宋_GB2312"/>
          <w:sz w:val="32"/>
          <w:szCs w:val="32"/>
          <w:lang w:eastAsia="zh-CN"/>
        </w:rPr>
        <w:t>所</w:t>
      </w:r>
      <w:r>
        <w:rPr>
          <w:rFonts w:hint="eastAsia" w:ascii="仿宋_GB2312" w:hAnsi="仿宋_GB2312" w:eastAsia="仿宋_GB2312" w:cs="仿宋_GB2312"/>
          <w:sz w:val="32"/>
          <w:szCs w:val="32"/>
        </w:rPr>
        <w:t>下降。</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3.改进措施及建议。</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一是拓宽业务</w:t>
      </w:r>
      <w:r>
        <w:rPr>
          <w:rFonts w:hint="eastAsia" w:ascii="仿宋_GB2312" w:hAnsi="仿宋_GB2312" w:eastAsia="仿宋_GB2312" w:cs="仿宋_GB2312"/>
          <w:sz w:val="32"/>
          <w:szCs w:val="32"/>
        </w:rPr>
        <w:t>培训范围，加大政策的普及和宣传力度。</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二是</w:t>
      </w:r>
      <w:r>
        <w:rPr>
          <w:rFonts w:hint="eastAsia" w:ascii="仿宋_GB2312" w:hAnsi="仿宋_GB2312" w:eastAsia="仿宋_GB2312" w:cs="仿宋_GB2312"/>
          <w:sz w:val="32"/>
          <w:szCs w:val="32"/>
        </w:rPr>
        <w:t>加大参保缴费</w:t>
      </w:r>
      <w:r>
        <w:rPr>
          <w:rFonts w:hint="eastAsia" w:ascii="仿宋_GB2312" w:hAnsi="仿宋_GB2312" w:eastAsia="仿宋_GB2312" w:cs="仿宋_GB2312"/>
          <w:sz w:val="32"/>
          <w:szCs w:val="32"/>
          <w:lang w:eastAsia="zh-CN"/>
        </w:rPr>
        <w:t>及水源区缴费补贴</w:t>
      </w:r>
      <w:r>
        <w:rPr>
          <w:rFonts w:hint="eastAsia" w:ascii="仿宋_GB2312" w:hAnsi="仿宋_GB2312" w:eastAsia="仿宋_GB2312" w:cs="仿宋_GB2312"/>
          <w:sz w:val="32"/>
          <w:szCs w:val="32"/>
        </w:rPr>
        <w:t>宣传力度，积极与税局、财政对账，保障参保人及时享受缴费补贴、领取养老待遇。</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三是</w:t>
      </w:r>
      <w:r>
        <w:rPr>
          <w:rFonts w:hint="eastAsia" w:ascii="仿宋_GB2312" w:hAnsi="仿宋_GB2312" w:eastAsia="仿宋_GB2312" w:cs="仿宋_GB2312"/>
          <w:sz w:val="32"/>
          <w:szCs w:val="32"/>
        </w:rPr>
        <w:t>建立城乡居民基本养老保险待遇确定和基础养老金正常调整机制，逐步提高城乡居民社会养老保险待遇水平，提高参保群众满意度。</w:t>
      </w:r>
    </w:p>
    <w:p>
      <w:pPr>
        <w:pageBreakBefore w:val="0"/>
        <w:kinsoku/>
        <w:overflowPunct/>
        <w:autoSpaceDE/>
        <w:autoSpaceDN/>
        <w:bidi w:val="0"/>
        <w:spacing w:line="560" w:lineRule="exact"/>
        <w:ind w:firstLine="420" w:firstLineChars="200"/>
        <w:jc w:val="left"/>
        <w:textAlignment w:val="auto"/>
        <w:rPr>
          <w:rFonts w:ascii="楷体" w:hAnsi="楷体" w:eastAsia="楷体"/>
          <w:szCs w:val="32"/>
        </w:rPr>
      </w:pPr>
    </w:p>
    <w:p>
      <w:pPr>
        <w:pageBreakBefore w:val="0"/>
        <w:kinsoku/>
        <w:overflowPunct/>
        <w:autoSpaceDE/>
        <w:autoSpaceDN/>
        <w:bidi w:val="0"/>
        <w:spacing w:line="560" w:lineRule="exact"/>
        <w:textAlignment w:val="auto"/>
        <w:rPr>
          <w:rFonts w:ascii="方正小标宋_GBK" w:hAnsi="黑体" w:eastAsia="方正小标宋_GBK" w:cs="Times New Roman"/>
          <w:szCs w:val="32"/>
        </w:rPr>
      </w:pPr>
    </w:p>
    <w:p>
      <w:pPr>
        <w:pageBreakBefore w:val="0"/>
        <w:kinsoku/>
        <w:overflowPunct/>
        <w:autoSpaceDE/>
        <w:autoSpaceDN/>
        <w:bidi w:val="0"/>
        <w:spacing w:line="560" w:lineRule="exact"/>
        <w:textAlignment w:val="auto"/>
        <w:rPr>
          <w:rFonts w:ascii="方正小标宋_GBK" w:hAnsi="黑体" w:eastAsia="方正小标宋_GBK" w:cs="Times New Roman"/>
          <w:szCs w:val="32"/>
        </w:rPr>
      </w:pPr>
    </w:p>
    <w:p>
      <w:pPr>
        <w:pageBreakBefore w:val="0"/>
        <w:kinsoku/>
        <w:overflowPunct/>
        <w:autoSpaceDE/>
        <w:autoSpaceDN/>
        <w:bidi w:val="0"/>
        <w:spacing w:line="560" w:lineRule="exact"/>
        <w:textAlignment w:val="auto"/>
        <w:rPr>
          <w:rFonts w:ascii="方正小标宋_GBK" w:hAnsi="黑体" w:eastAsia="方正小标宋_GBK" w:cs="Times New Roman"/>
          <w:szCs w:val="32"/>
        </w:rPr>
      </w:pPr>
    </w:p>
    <w:p>
      <w:pPr>
        <w:pageBreakBefore w:val="0"/>
        <w:kinsoku/>
        <w:overflowPunct/>
        <w:autoSpaceDE/>
        <w:autoSpaceDN/>
        <w:bidi w:val="0"/>
        <w:spacing w:line="560" w:lineRule="exact"/>
        <w:textAlignment w:val="auto"/>
        <w:rPr>
          <w:rFonts w:ascii="方正小标宋_GBK" w:hAnsi="黑体" w:eastAsia="方正小标宋_GBK" w:cs="Times New Roman"/>
          <w:szCs w:val="32"/>
        </w:rPr>
      </w:pPr>
    </w:p>
    <w:p>
      <w:pPr>
        <w:pageBreakBefore w:val="0"/>
        <w:kinsoku/>
        <w:overflowPunct/>
        <w:autoSpaceDE/>
        <w:autoSpaceDN/>
        <w:bidi w:val="0"/>
        <w:spacing w:line="560" w:lineRule="exact"/>
        <w:textAlignment w:val="auto"/>
        <w:rPr>
          <w:rFonts w:ascii="方正小标宋_GBK" w:hAnsi="黑体" w:eastAsia="方正小标宋_GBK" w:cs="Times New Roman"/>
          <w:szCs w:val="32"/>
        </w:rPr>
      </w:pPr>
    </w:p>
    <w:p>
      <w:pPr>
        <w:pageBreakBefore w:val="0"/>
        <w:kinsoku/>
        <w:overflowPunct/>
        <w:autoSpaceDE/>
        <w:autoSpaceDN/>
        <w:bidi w:val="0"/>
        <w:spacing w:line="560" w:lineRule="exact"/>
        <w:textAlignment w:val="auto"/>
        <w:rPr>
          <w:rFonts w:ascii="方正小标宋_GBK" w:hAnsi="黑体" w:eastAsia="方正小标宋_GBK" w:cs="Times New Roman"/>
          <w:szCs w:val="32"/>
        </w:rPr>
      </w:pPr>
    </w:p>
    <w:p>
      <w:pPr>
        <w:pageBreakBefore w:val="0"/>
        <w:kinsoku/>
        <w:overflowPunct/>
        <w:autoSpaceDE/>
        <w:autoSpaceDN/>
        <w:bidi w:val="0"/>
        <w:spacing w:line="560" w:lineRule="exact"/>
        <w:textAlignment w:val="auto"/>
        <w:rPr>
          <w:rFonts w:ascii="方正小标宋_GBK" w:hAnsi="黑体" w:eastAsia="方正小标宋_GBK" w:cs="Times New Roman"/>
          <w:szCs w:val="32"/>
        </w:rPr>
      </w:pPr>
    </w:p>
    <w:p>
      <w:pPr>
        <w:pageBreakBefore w:val="0"/>
        <w:kinsoku/>
        <w:overflowPunct/>
        <w:autoSpaceDE/>
        <w:autoSpaceDN/>
        <w:bidi w:val="0"/>
        <w:spacing w:line="560" w:lineRule="exact"/>
        <w:jc w:val="both"/>
        <w:textAlignment w:val="auto"/>
        <w:rPr>
          <w:rFonts w:hint="eastAsia" w:ascii="方正小标宋_GBK" w:hAnsi="Calibri" w:eastAsia="方正小标宋_GBK" w:cs="Times New Roman"/>
          <w:sz w:val="44"/>
          <w:szCs w:val="44"/>
        </w:rPr>
      </w:pPr>
    </w:p>
    <w:p>
      <w:pPr>
        <w:pageBreakBefore w:val="0"/>
        <w:kinsoku/>
        <w:overflowPunct/>
        <w:autoSpaceDE/>
        <w:autoSpaceDN/>
        <w:bidi w:val="0"/>
        <w:spacing w:line="560" w:lineRule="exact"/>
        <w:jc w:val="center"/>
        <w:textAlignment w:val="auto"/>
        <w:rPr>
          <w:rFonts w:ascii="方正小标宋_GBK" w:hAnsi="Calibri" w:eastAsia="方正小标宋_GBK" w:cs="Times New Roman"/>
          <w:sz w:val="44"/>
          <w:szCs w:val="44"/>
        </w:rPr>
      </w:pPr>
      <w:r>
        <w:rPr>
          <w:rFonts w:hint="eastAsia" w:ascii="方正小标宋_GBK" w:hAnsi="Calibri" w:eastAsia="方正小标宋_GBK" w:cs="Times New Roman"/>
          <w:sz w:val="44"/>
          <w:szCs w:val="44"/>
          <w:lang w:val="en-US" w:eastAsia="zh-CN"/>
        </w:rPr>
        <w:t>城乡居民基本养老保险区级补助</w:t>
      </w:r>
      <w:r>
        <w:rPr>
          <w:rFonts w:hint="eastAsia" w:ascii="方正小标宋_GBK" w:hAnsi="Calibri" w:eastAsia="方正小标宋_GBK" w:cs="Times New Roman"/>
          <w:sz w:val="44"/>
          <w:szCs w:val="44"/>
        </w:rPr>
        <w:t>项目支出绩效自评报告</w:t>
      </w:r>
    </w:p>
    <w:p>
      <w:pPr>
        <w:pageBreakBefore w:val="0"/>
        <w:kinsoku/>
        <w:overflowPunct/>
        <w:topLinePunct/>
        <w:autoSpaceDE/>
        <w:autoSpaceDN/>
        <w:bidi w:val="0"/>
        <w:spacing w:line="560" w:lineRule="exact"/>
        <w:ind w:firstLine="700" w:firstLineChars="250"/>
        <w:textAlignment w:val="auto"/>
        <w:rPr>
          <w:rFonts w:ascii="黑体" w:hAnsi="Calibri" w:eastAsia="黑体" w:cs="Times New Roman"/>
          <w:sz w:val="28"/>
          <w:szCs w:val="32"/>
        </w:rPr>
      </w:pP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黑体" w:hAnsi="黑体" w:eastAsia="黑体" w:cs="黑体"/>
          <w:sz w:val="32"/>
          <w:szCs w:val="32"/>
        </w:rPr>
      </w:pPr>
      <w:r>
        <w:rPr>
          <w:rFonts w:hint="eastAsia" w:ascii="黑体" w:hAnsi="黑体" w:eastAsia="黑体" w:cs="黑体"/>
          <w:sz w:val="32"/>
          <w:szCs w:val="32"/>
        </w:rPr>
        <w:t>一、项目基本情况</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sz w:val="32"/>
          <w:szCs w:val="32"/>
        </w:rPr>
        <w:t>（一）</w:t>
      </w:r>
      <w:r>
        <w:rPr>
          <w:rFonts w:hint="eastAsia" w:ascii="楷体_GB2312" w:hAnsi="楷体_GB2312" w:eastAsia="楷体_GB2312" w:cs="楷体_GB2312"/>
          <w:kern w:val="2"/>
          <w:sz w:val="32"/>
          <w:szCs w:val="32"/>
          <w:lang w:val="en-US" w:eastAsia="zh-CN" w:bidi="ar-SA"/>
        </w:rPr>
        <w:t>项目概况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立项背景及目的</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根据《国务院关于开展城镇居民社会养老保险试点的指导意见》(国发〔2011〕18号)、《云南省人民政府关于印发云南省城镇居民社会养老保险实施办法的通知》（云政发〔201</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w:t>
      </w:r>
      <w:r>
        <w:rPr>
          <w:rFonts w:hint="eastAsia" w:ascii="仿宋_GB2312" w:hAnsi="仿宋_GB2312" w:eastAsia="仿宋_GB2312" w:cs="仿宋_GB2312"/>
          <w:sz w:val="32"/>
          <w:szCs w:val="32"/>
        </w:rPr>
        <w:t>号）、《昆明市人力资源和社会保障局 昆明市财政局印发关于建立城乡居民基本养老保险待遇确定和基础养老金正常调整机制实施方案的通知》（昆人社通[2019]118号）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《昆明市盘龙区人民政府办公室关于印发盘龙区城乡居民基本养老保险工作实施方案的通知》（盘政办通〔2014〕145号）文件精神，</w:t>
      </w:r>
      <w:r>
        <w:rPr>
          <w:rFonts w:hint="eastAsia" w:ascii="仿宋_GB2312" w:hAnsi="仿宋_GB2312" w:eastAsia="仿宋_GB2312" w:cs="仿宋_GB2312"/>
          <w:sz w:val="32"/>
          <w:szCs w:val="32"/>
          <w:lang w:eastAsia="zh-CN"/>
        </w:rPr>
        <w:t>结合盘龙区“十四五”新城规划，至</w:t>
      </w:r>
      <w:r>
        <w:rPr>
          <w:rFonts w:hint="eastAsia" w:ascii="仿宋_GB2312" w:hAnsi="仿宋_GB2312" w:eastAsia="仿宋_GB2312" w:cs="仿宋_GB2312"/>
          <w:sz w:val="32"/>
          <w:szCs w:val="32"/>
          <w:lang w:val="en-US" w:eastAsia="zh-CN"/>
        </w:rPr>
        <w:t>2025年盘龙区</w:t>
      </w:r>
      <w:r>
        <w:rPr>
          <w:rFonts w:hint="eastAsia" w:ascii="仿宋_GB2312" w:hAnsi="仿宋_GB2312" w:eastAsia="仿宋_GB2312" w:cs="仿宋_GB2312"/>
          <w:sz w:val="32"/>
          <w:szCs w:val="32"/>
        </w:rPr>
        <w:t>城乡居民基本养老保险</w:t>
      </w:r>
      <w:r>
        <w:rPr>
          <w:rFonts w:hint="eastAsia" w:ascii="仿宋_GB2312" w:hAnsi="仿宋_GB2312" w:eastAsia="仿宋_GB2312" w:cs="仿宋_GB2312"/>
          <w:sz w:val="32"/>
          <w:szCs w:val="32"/>
          <w:lang w:eastAsia="zh-CN"/>
        </w:rPr>
        <w:t>基础养老金保持全省领先的要求，</w:t>
      </w:r>
      <w:r>
        <w:rPr>
          <w:rFonts w:hint="eastAsia" w:ascii="仿宋_GB2312" w:hAnsi="仿宋_GB2312" w:eastAsia="仿宋_GB2312" w:cs="仿宋_GB2312"/>
          <w:sz w:val="32"/>
          <w:szCs w:val="32"/>
        </w:rPr>
        <w:t>城乡居民基本养老保险基金由个人缴费、政府补贴构成。参保人按规定缴费，</w:t>
      </w:r>
      <w:r>
        <w:rPr>
          <w:rFonts w:hint="eastAsia" w:ascii="仿宋_GB2312" w:hAnsi="仿宋_GB2312" w:eastAsia="仿宋_GB2312" w:cs="仿宋_GB2312"/>
          <w:sz w:val="32"/>
          <w:szCs w:val="32"/>
          <w:lang w:eastAsia="zh-CN"/>
        </w:rPr>
        <w:t>依据</w:t>
      </w:r>
      <w:r>
        <w:rPr>
          <w:rFonts w:hint="eastAsia" w:ascii="仿宋_GB2312" w:hAnsi="仿宋_GB2312" w:eastAsia="仿宋_GB2312" w:cs="仿宋_GB2312"/>
          <w:sz w:val="32"/>
          <w:szCs w:val="32"/>
        </w:rPr>
        <w:t>缴费档次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享受</w:t>
      </w:r>
      <w:r>
        <w:rPr>
          <w:rFonts w:hint="eastAsia" w:ascii="仿宋_GB2312" w:hAnsi="仿宋_GB2312" w:eastAsia="仿宋_GB2312" w:cs="仿宋_GB2312"/>
          <w:sz w:val="32"/>
          <w:szCs w:val="32"/>
          <w:lang w:eastAsia="zh-CN"/>
        </w:rPr>
        <w:t>相应数额</w:t>
      </w:r>
      <w:r>
        <w:rPr>
          <w:rFonts w:hint="eastAsia" w:ascii="仿宋_GB2312" w:hAnsi="仿宋_GB2312" w:eastAsia="仿宋_GB2312" w:cs="仿宋_GB2312"/>
          <w:sz w:val="32"/>
          <w:szCs w:val="32"/>
        </w:rPr>
        <w:t>的缴费补贴，所需资金由省、市、区三级财政承担；城乡居民基本养老保险待遇由基础养老金和个人账户养老金组成，支付终身。基础养老金由中央、省、市、区财政按规定承担，</w:t>
      </w:r>
      <w:r>
        <w:rPr>
          <w:rFonts w:hint="eastAsia" w:ascii="仿宋_GB2312" w:hAnsi="仿宋_GB2312" w:eastAsia="仿宋_GB2312" w:cs="仿宋_GB2312"/>
          <w:sz w:val="32"/>
          <w:szCs w:val="32"/>
          <w:lang w:eastAsia="zh-CN"/>
        </w:rPr>
        <w:t>自</w:t>
      </w:r>
      <w:r>
        <w:rPr>
          <w:rFonts w:hint="eastAsia" w:ascii="仿宋_GB2312" w:hAnsi="仿宋_GB2312" w:eastAsia="仿宋_GB2312" w:cs="仿宋_GB2312"/>
          <w:sz w:val="32"/>
          <w:szCs w:val="32"/>
        </w:rPr>
        <w:t>盘龙区城乡居民基本养老保险</w:t>
      </w:r>
      <w:r>
        <w:rPr>
          <w:rFonts w:hint="eastAsia" w:ascii="仿宋_GB2312" w:hAnsi="仿宋_GB2312" w:eastAsia="仿宋_GB2312" w:cs="仿宋_GB2312"/>
          <w:sz w:val="32"/>
          <w:szCs w:val="32"/>
          <w:lang w:eastAsia="zh-CN"/>
        </w:rPr>
        <w:t>制度启动以来，分别于</w:t>
      </w:r>
      <w:r>
        <w:rPr>
          <w:rFonts w:hint="eastAsia" w:ascii="仿宋_GB2312" w:hAnsi="仿宋_GB2312" w:eastAsia="仿宋_GB2312" w:cs="仿宋_GB2312"/>
          <w:sz w:val="32"/>
          <w:szCs w:val="32"/>
          <w:lang w:val="en-US" w:eastAsia="zh-CN"/>
        </w:rPr>
        <w:t>2011年、2015年、2016年、2017年和2020年五次上调基础养老金，</w:t>
      </w:r>
      <w:r>
        <w:rPr>
          <w:rFonts w:hint="eastAsia" w:ascii="仿宋_GB2312" w:hAnsi="仿宋_GB2312" w:eastAsia="仿宋_GB2312" w:cs="仿宋_GB2312"/>
          <w:sz w:val="32"/>
          <w:szCs w:val="32"/>
        </w:rPr>
        <w:t>缴费达到或超过15年的参保人再享受相应奖励性基础养老金：缴费达到15年的，增加5元基础养老金，由区财政承担。缴费超过15年的，每增加1年，增加4元基础养老金，其中2元由市财政承担，2元由区财政承担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截止2022年12月</w:t>
      </w:r>
      <w:r>
        <w:rPr>
          <w:rFonts w:hint="eastAsia" w:ascii="仿宋_GB2312" w:hAnsi="仿宋_GB2312" w:eastAsia="仿宋_GB2312" w:cs="仿宋_GB2312"/>
          <w:sz w:val="32"/>
          <w:szCs w:val="32"/>
        </w:rPr>
        <w:t>，盘龙区城乡居民基本养老保险</w:t>
      </w:r>
      <w:r>
        <w:rPr>
          <w:rFonts w:hint="eastAsia" w:ascii="仿宋_GB2312" w:hAnsi="仿宋_GB2312" w:eastAsia="仿宋_GB2312" w:cs="仿宋_GB2312"/>
          <w:sz w:val="32"/>
          <w:szCs w:val="32"/>
          <w:lang w:eastAsia="zh-CN"/>
        </w:rPr>
        <w:t>基础养老金一直保持全省最高水平，为每人每月</w:t>
      </w:r>
      <w:r>
        <w:rPr>
          <w:rFonts w:hint="eastAsia" w:ascii="仿宋_GB2312" w:hAnsi="仿宋_GB2312" w:eastAsia="仿宋_GB2312" w:cs="仿宋_GB2312"/>
          <w:sz w:val="32"/>
          <w:szCs w:val="32"/>
          <w:lang w:val="en-US" w:eastAsia="zh-CN"/>
        </w:rPr>
        <w:t>149元。</w:t>
      </w:r>
      <w:r>
        <w:rPr>
          <w:rFonts w:hint="eastAsia" w:ascii="仿宋_GB2312" w:hAnsi="仿宋_GB2312" w:eastAsia="仿宋_GB2312" w:cs="仿宋_GB2312"/>
          <w:sz w:val="32"/>
          <w:szCs w:val="32"/>
        </w:rPr>
        <w:t>参保人死亡的，按照殡葬改革相关规定安葬的，其遗属可以凭民政部门出具的相关证明，领取一次性丧葬抚恤补助费，补助标准为每人1</w:t>
      </w:r>
      <w:r>
        <w:rPr>
          <w:rFonts w:hint="eastAsia" w:ascii="仿宋_GB2312" w:hAnsi="仿宋_GB2312" w:eastAsia="仿宋_GB2312" w:cs="仿宋_GB2312"/>
          <w:sz w:val="32"/>
          <w:szCs w:val="32"/>
          <w:lang w:val="en-US" w:eastAsia="zh-CN"/>
        </w:rPr>
        <w:t>356</w:t>
      </w:r>
      <w:r>
        <w:rPr>
          <w:rFonts w:hint="eastAsia" w:ascii="仿宋_GB2312" w:hAnsi="仿宋_GB2312" w:eastAsia="仿宋_GB2312" w:cs="仿宋_GB2312"/>
          <w:sz w:val="32"/>
          <w:szCs w:val="32"/>
        </w:rPr>
        <w:t>元，市级财政承担40%，区级财政承担60%。</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2.项目实施情况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按照城乡居民基本养老保险相关规定，为参保人做好财政资金补助工作。缴费档次为100元、200元、300元、400元、500元、600元、700元、800元、900元、1000元、1500元、2000元、3000元共十三个缴费档次，参保人自主选择，按年缴纳、多缴多得，</w:t>
      </w:r>
      <w:r>
        <w:rPr>
          <w:rFonts w:hint="eastAsia" w:ascii="仿宋_GB2312" w:hAnsi="仿宋_GB2312" w:eastAsia="仿宋_GB2312" w:cs="仿宋_GB2312"/>
          <w:sz w:val="32"/>
          <w:szCs w:val="32"/>
          <w:lang w:eastAsia="zh-CN"/>
        </w:rPr>
        <w:t>按照</w:t>
      </w:r>
      <w:r>
        <w:rPr>
          <w:rFonts w:hint="eastAsia" w:ascii="仿宋_GB2312" w:hAnsi="仿宋_GB2312" w:eastAsia="仿宋_GB2312" w:cs="仿宋_GB2312"/>
          <w:sz w:val="32"/>
          <w:szCs w:val="32"/>
        </w:rPr>
        <w:t>缴费档次享受</w:t>
      </w:r>
      <w:r>
        <w:rPr>
          <w:rFonts w:hint="eastAsia" w:ascii="仿宋_GB2312" w:hAnsi="仿宋_GB2312" w:eastAsia="仿宋_GB2312" w:cs="仿宋_GB2312"/>
          <w:sz w:val="32"/>
          <w:szCs w:val="32"/>
          <w:lang w:eastAsia="zh-CN"/>
        </w:rPr>
        <w:t>相应</w:t>
      </w:r>
      <w:r>
        <w:rPr>
          <w:rFonts w:hint="eastAsia" w:ascii="仿宋_GB2312" w:hAnsi="仿宋_GB2312" w:eastAsia="仿宋_GB2312" w:cs="仿宋_GB2312"/>
          <w:sz w:val="32"/>
          <w:szCs w:val="32"/>
        </w:rPr>
        <w:t>的缴费补贴。待遇领取由基础养老金和个人账户养老金组成，支付终身，20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lang w:eastAsia="zh-CN"/>
        </w:rPr>
        <w:t>年</w:t>
      </w:r>
      <w:r>
        <w:rPr>
          <w:rFonts w:hint="eastAsia" w:ascii="仿宋_GB2312" w:hAnsi="仿宋_GB2312" w:eastAsia="仿宋_GB2312" w:cs="仿宋_GB2312"/>
          <w:sz w:val="32"/>
          <w:szCs w:val="32"/>
        </w:rPr>
        <w:t>，基础养老金由中央财政支付</w:t>
      </w:r>
      <w:r>
        <w:rPr>
          <w:rFonts w:hint="eastAsia" w:ascii="仿宋_GB2312" w:hAnsi="仿宋_GB2312" w:eastAsia="仿宋_GB2312" w:cs="仿宋_GB2312"/>
          <w:sz w:val="32"/>
          <w:szCs w:val="32"/>
          <w:lang w:val="en-US" w:eastAsia="zh-CN"/>
        </w:rPr>
        <w:t>98</w:t>
      </w:r>
      <w:r>
        <w:rPr>
          <w:rFonts w:hint="eastAsia" w:ascii="仿宋_GB2312" w:hAnsi="仿宋_GB2312" w:eastAsia="仿宋_GB2312" w:cs="仿宋_GB2312"/>
          <w:sz w:val="32"/>
          <w:szCs w:val="32"/>
        </w:rPr>
        <w:t>元/月，省级财政支付15元/月、市级财政支付</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元/月，区财政支付2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元/月。对于参保人员死亡后，给与其继承人或指定受益人一次性丧葬抚恤补助费</w:t>
      </w:r>
      <w:r>
        <w:rPr>
          <w:rFonts w:hint="eastAsia" w:ascii="仿宋_GB2312" w:hAnsi="仿宋_GB2312" w:eastAsia="仿宋_GB2312" w:cs="仿宋_GB2312"/>
          <w:sz w:val="32"/>
          <w:szCs w:val="32"/>
          <w:lang w:val="en-US" w:eastAsia="zh-CN"/>
        </w:rPr>
        <w:t>1356</w:t>
      </w:r>
      <w:r>
        <w:rPr>
          <w:rFonts w:hint="eastAsia" w:ascii="仿宋_GB2312" w:hAnsi="仿宋_GB2312" w:eastAsia="仿宋_GB2312" w:cs="仿宋_GB2312"/>
          <w:sz w:val="32"/>
          <w:szCs w:val="32"/>
        </w:rPr>
        <w:t>元。</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截止202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年12月，城乡居民基本养老保险当年参保缴费、续费、待遇领取总人数达</w:t>
      </w:r>
      <w:r>
        <w:rPr>
          <w:rFonts w:hint="eastAsia" w:ascii="仿宋_GB2312" w:hAnsi="仿宋_GB2312" w:eastAsia="仿宋_GB2312" w:cs="仿宋_GB2312"/>
          <w:sz w:val="32"/>
          <w:szCs w:val="32"/>
          <w:lang w:val="en-US" w:eastAsia="zh-CN"/>
        </w:rPr>
        <w:t>10万</w:t>
      </w:r>
      <w:r>
        <w:rPr>
          <w:rFonts w:hint="eastAsia" w:ascii="仿宋_GB2312" w:hAnsi="仿宋_GB2312" w:eastAsia="仿宋_GB2312" w:cs="仿宋_GB2312"/>
          <w:sz w:val="32"/>
          <w:szCs w:val="32"/>
        </w:rPr>
        <w:t>人（完成市居保局下达目标任务9.</w:t>
      </w:r>
      <w:r>
        <w:rPr>
          <w:rFonts w:hint="eastAsia" w:ascii="仿宋_GB2312" w:hAnsi="仿宋_GB2312" w:eastAsia="仿宋_GB2312" w:cs="仿宋_GB2312"/>
          <w:sz w:val="32"/>
          <w:szCs w:val="32"/>
          <w:lang w:val="en-US" w:eastAsia="zh-CN"/>
        </w:rPr>
        <w:t>79</w:t>
      </w:r>
      <w:r>
        <w:rPr>
          <w:rFonts w:hint="eastAsia" w:ascii="仿宋_GB2312" w:hAnsi="仿宋_GB2312" w:eastAsia="仿宋_GB2312" w:cs="仿宋_GB2312"/>
          <w:sz w:val="32"/>
          <w:szCs w:val="32"/>
        </w:rPr>
        <w:t>万人的10</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rPr>
        <w:t>%），缴费人数</w:t>
      </w:r>
      <w:r>
        <w:rPr>
          <w:rFonts w:hint="eastAsia" w:ascii="仿宋_GB2312" w:hAnsi="黑体" w:eastAsia="仿宋_GB2312" w:cs="Times New Roman"/>
          <w:color w:val="auto"/>
          <w:sz w:val="32"/>
          <w:szCs w:val="32"/>
          <w:lang w:val="en-US" w:eastAsia="zh-CN"/>
        </w:rPr>
        <w:t>66049</w:t>
      </w:r>
      <w:r>
        <w:rPr>
          <w:rFonts w:hint="eastAsia" w:ascii="仿宋_GB2312" w:hAnsi="仿宋_GB2312" w:eastAsia="仿宋_GB2312" w:cs="仿宋_GB2312"/>
          <w:sz w:val="32"/>
          <w:szCs w:val="32"/>
        </w:rPr>
        <w:t>人，领取养老金人数</w:t>
      </w:r>
      <w:r>
        <w:rPr>
          <w:rFonts w:hint="eastAsia" w:ascii="仿宋_GB2312" w:hAnsi="仿宋_GB2312" w:eastAsia="仿宋_GB2312" w:cs="仿宋_GB2312"/>
          <w:sz w:val="32"/>
          <w:szCs w:val="32"/>
          <w:lang w:val="en-US" w:eastAsia="zh-CN"/>
        </w:rPr>
        <w:t>26589</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区级补助资金年初预算</w:t>
      </w:r>
      <w:r>
        <w:rPr>
          <w:rFonts w:hint="eastAsia" w:ascii="仿宋_GB2312" w:hAnsi="黑体" w:eastAsia="仿宋_GB2312" w:cs="Times New Roman"/>
          <w:color w:val="auto"/>
          <w:sz w:val="32"/>
          <w:szCs w:val="32"/>
          <w:lang w:val="en-US" w:eastAsia="zh-CN"/>
        </w:rPr>
        <w:t>1259.81万</w:t>
      </w:r>
      <w:r>
        <w:rPr>
          <w:rFonts w:hint="eastAsia" w:ascii="仿宋_GB2312" w:hAnsi="仿宋_GB2312" w:eastAsia="仿宋_GB2312" w:cs="仿宋_GB2312"/>
          <w:sz w:val="32"/>
          <w:szCs w:val="32"/>
          <w:lang w:val="en-US" w:eastAsia="zh-CN"/>
        </w:rPr>
        <w:t>元，实际</w:t>
      </w:r>
      <w:r>
        <w:rPr>
          <w:rFonts w:hint="eastAsia" w:ascii="仿宋_GB2312" w:hAnsi="仿宋_GB2312" w:eastAsia="仿宋_GB2312" w:cs="仿宋_GB2312"/>
          <w:sz w:val="32"/>
          <w:szCs w:val="32"/>
        </w:rPr>
        <w:t>共计支出</w:t>
      </w:r>
      <w:r>
        <w:rPr>
          <w:rFonts w:hint="eastAsia" w:ascii="仿宋_GB2312" w:hAnsi="仿宋_GB2312" w:eastAsia="仿宋_GB2312" w:cs="仿宋_GB2312"/>
          <w:sz w:val="32"/>
          <w:szCs w:val="32"/>
          <w:lang w:val="en-US" w:eastAsia="zh-CN"/>
        </w:rPr>
        <w:t>1092.46万</w:t>
      </w:r>
      <w:r>
        <w:rPr>
          <w:rFonts w:hint="eastAsia" w:ascii="仿宋_GB2312" w:hAnsi="仿宋_GB2312" w:eastAsia="仿宋_GB2312" w:cs="仿宋_GB2312"/>
          <w:sz w:val="32"/>
          <w:szCs w:val="32"/>
        </w:rPr>
        <w:t>元（由区财政局代编决算），实际支出中：区级基础养老金</w:t>
      </w:r>
      <w:r>
        <w:rPr>
          <w:rFonts w:hint="eastAsia" w:ascii="仿宋_GB2312" w:hAnsi="仿宋_GB2312" w:eastAsia="仿宋_GB2312" w:cs="仿宋_GB2312"/>
          <w:sz w:val="32"/>
          <w:szCs w:val="32"/>
          <w:lang w:val="en-US" w:eastAsia="zh-CN"/>
        </w:rPr>
        <w:t>934.77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区级</w:t>
      </w:r>
      <w:r>
        <w:rPr>
          <w:rFonts w:hint="eastAsia" w:ascii="仿宋_GB2312" w:hAnsi="仿宋_GB2312" w:eastAsia="仿宋_GB2312" w:cs="仿宋_GB2312"/>
          <w:sz w:val="32"/>
          <w:szCs w:val="32"/>
        </w:rPr>
        <w:t>养老补助金及丧葬补助金合计支出</w:t>
      </w:r>
      <w:r>
        <w:rPr>
          <w:rFonts w:hint="eastAsia" w:ascii="仿宋_GB2312" w:hAnsi="仿宋_GB2312" w:eastAsia="仿宋_GB2312" w:cs="仿宋_GB2312"/>
          <w:sz w:val="32"/>
          <w:szCs w:val="32"/>
          <w:lang w:val="en-US" w:eastAsia="zh-CN"/>
        </w:rPr>
        <w:t>94.88</w:t>
      </w:r>
      <w:r>
        <w:rPr>
          <w:rFonts w:hint="eastAsia" w:ascii="仿宋_GB2312" w:hAnsi="仿宋_GB2312" w:eastAsia="仿宋_GB2312" w:cs="仿宋_GB2312"/>
          <w:sz w:val="32"/>
          <w:szCs w:val="32"/>
        </w:rPr>
        <w:t>万元，区级财政配套资金</w:t>
      </w:r>
      <w:r>
        <w:rPr>
          <w:rFonts w:hint="eastAsia" w:ascii="仿宋_GB2312" w:hAnsi="仿宋_GB2312" w:eastAsia="仿宋_GB2312" w:cs="仿宋_GB2312"/>
          <w:sz w:val="32"/>
          <w:szCs w:val="32"/>
          <w:lang w:val="en-US" w:eastAsia="zh-CN"/>
        </w:rPr>
        <w:t>62.81</w:t>
      </w:r>
      <w:r>
        <w:rPr>
          <w:rFonts w:hint="eastAsia" w:ascii="仿宋_GB2312" w:hAnsi="仿宋_GB2312" w:eastAsia="仿宋_GB2312" w:cs="仿宋_GB2312"/>
          <w:sz w:val="32"/>
          <w:szCs w:val="32"/>
        </w:rPr>
        <w:t>万元。</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4.组织及管理情况</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（1）城乡居民基本养老保险收缴</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2022年</w:t>
      </w:r>
      <w:r>
        <w:rPr>
          <w:rFonts w:hint="eastAsia" w:ascii="仿宋_GB2312" w:hAnsi="仿宋_GB2312" w:eastAsia="仿宋_GB2312" w:cs="仿宋_GB2312"/>
          <w:sz w:val="32"/>
          <w:szCs w:val="32"/>
        </w:rPr>
        <w:t>，城乡居民基本养老保险费征缴由地税</w:t>
      </w:r>
      <w:r>
        <w:rPr>
          <w:rFonts w:hint="eastAsia" w:ascii="仿宋_GB2312" w:hAnsi="仿宋_GB2312" w:eastAsia="仿宋_GB2312" w:cs="仿宋_GB2312"/>
          <w:sz w:val="32"/>
          <w:szCs w:val="32"/>
          <w:lang w:eastAsia="zh-CN"/>
        </w:rPr>
        <w:t>局</w:t>
      </w:r>
      <w:r>
        <w:rPr>
          <w:rFonts w:hint="eastAsia" w:ascii="仿宋_GB2312" w:hAnsi="仿宋_GB2312" w:eastAsia="仿宋_GB2312" w:cs="仿宋_GB2312"/>
          <w:sz w:val="32"/>
          <w:szCs w:val="32"/>
        </w:rPr>
        <w:t>代征。实行按年度（自然年度）缴纳，参保人应按照规定的缴费截止日前将当年的养老保险费</w:t>
      </w:r>
      <w:r>
        <w:rPr>
          <w:rFonts w:hint="eastAsia" w:ascii="仿宋_GB2312" w:hAnsi="仿宋_GB2312" w:eastAsia="仿宋_GB2312" w:cs="仿宋_GB2312"/>
          <w:sz w:val="32"/>
          <w:szCs w:val="32"/>
          <w:lang w:eastAsia="zh-CN"/>
        </w:rPr>
        <w:t>缴入税局</w:t>
      </w:r>
      <w:r>
        <w:rPr>
          <w:rFonts w:hint="eastAsia" w:ascii="仿宋_GB2312" w:hAnsi="仿宋_GB2312" w:eastAsia="仿宋_GB2312" w:cs="仿宋_GB2312"/>
          <w:sz w:val="32"/>
          <w:szCs w:val="32"/>
        </w:rPr>
        <w:t>。税局将</w:t>
      </w:r>
      <w:r>
        <w:rPr>
          <w:rFonts w:hint="eastAsia" w:ascii="仿宋_GB2312" w:hAnsi="仿宋_GB2312" w:eastAsia="仿宋_GB2312" w:cs="仿宋_GB2312"/>
          <w:sz w:val="32"/>
          <w:szCs w:val="32"/>
          <w:lang w:eastAsia="zh-CN"/>
        </w:rPr>
        <w:t>缴费及缴费信息</w:t>
      </w:r>
      <w:r>
        <w:rPr>
          <w:rFonts w:hint="eastAsia" w:ascii="仿宋_GB2312" w:hAnsi="仿宋_GB2312" w:eastAsia="仿宋_GB2312" w:cs="仿宋_GB2312"/>
          <w:sz w:val="32"/>
          <w:szCs w:val="32"/>
        </w:rPr>
        <w:t>推送给</w:t>
      </w:r>
      <w:r>
        <w:rPr>
          <w:rFonts w:hint="eastAsia" w:ascii="仿宋_GB2312" w:hAnsi="仿宋_GB2312" w:eastAsia="仿宋_GB2312" w:cs="仿宋_GB2312"/>
          <w:sz w:val="32"/>
          <w:szCs w:val="32"/>
          <w:lang w:eastAsia="zh-CN"/>
        </w:rPr>
        <w:t>财政局，财政局再将缴款</w:t>
      </w:r>
      <w:r>
        <w:rPr>
          <w:rFonts w:hint="eastAsia" w:ascii="仿宋_GB2312" w:hAnsi="仿宋_GB2312" w:eastAsia="仿宋_GB2312" w:cs="仿宋_GB2312"/>
          <w:sz w:val="32"/>
          <w:szCs w:val="32"/>
        </w:rPr>
        <w:t>信息推送给我局业务科，业务科收到信息后反馈给财务科，财务科同时与银行对账，对账一致</w:t>
      </w:r>
      <w:r>
        <w:rPr>
          <w:rFonts w:hint="eastAsia" w:ascii="仿宋_GB2312" w:hAnsi="仿宋_GB2312" w:eastAsia="仿宋_GB2312" w:cs="仿宋_GB2312"/>
          <w:sz w:val="32"/>
          <w:szCs w:val="32"/>
          <w:lang w:eastAsia="zh-CN"/>
        </w:rPr>
        <w:t>后</w:t>
      </w:r>
      <w:r>
        <w:rPr>
          <w:rFonts w:hint="eastAsia" w:ascii="仿宋_GB2312" w:hAnsi="仿宋_GB2312" w:eastAsia="仿宋_GB2312" w:cs="仿宋_GB2312"/>
          <w:sz w:val="32"/>
          <w:szCs w:val="32"/>
        </w:rPr>
        <w:t>业务科就做到账处理。月末，财务科出纳与业务科和财政局对账，对账结果提交领导审阅批示。年底，根据参保人缴费情况完成各级财政缴费补助资金配套。</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（2）城乡居民基本养老保险待遇支付</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每月16日以后业务科经办人员生成发放数据后，按政策规定进行基金的待遇支出（正常待遇支付、一次性待遇支付、补发）核定；业务科负责人对核定待遇发放金额进行复核；复核后提交基金稽核</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sz w:val="32"/>
          <w:szCs w:val="32"/>
        </w:rPr>
        <w:t>人员，基金稽核管理人员对业务科提供的数据进行审核，审核通过后提交领导审批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业务科将已审批的数据提交财务科。根据审批数据生成《城乡居民基本养老保险基金支付财务审核审批单》，审批单经经办人、会计、出纳签字确认后，提交局领导审批。</w:t>
      </w:r>
      <w:r>
        <w:rPr>
          <w:rFonts w:hint="eastAsia" w:ascii="仿宋_GB2312" w:hAnsi="仿宋_GB2312" w:eastAsia="仿宋_GB2312" w:cs="仿宋_GB2312"/>
          <w:sz w:val="32"/>
          <w:szCs w:val="32"/>
          <w:lang w:eastAsia="zh-CN"/>
        </w:rPr>
        <w:t>业务科</w:t>
      </w:r>
      <w:r>
        <w:rPr>
          <w:rFonts w:hint="eastAsia" w:ascii="仿宋_GB2312" w:hAnsi="仿宋_GB2312" w:eastAsia="仿宋_GB2312" w:cs="仿宋_GB2312"/>
          <w:sz w:val="32"/>
          <w:szCs w:val="32"/>
        </w:rPr>
        <w:t>按照审批后的数据，通过</w:t>
      </w:r>
      <w:r>
        <w:rPr>
          <w:rFonts w:hint="eastAsia" w:ascii="仿宋_GB2312" w:hAnsi="仿宋_GB2312" w:eastAsia="仿宋_GB2312" w:cs="仿宋_GB2312"/>
          <w:sz w:val="32"/>
          <w:szCs w:val="32"/>
          <w:lang w:eastAsia="zh-CN"/>
        </w:rPr>
        <w:t>社银推送系统</w:t>
      </w:r>
      <w:r>
        <w:rPr>
          <w:rFonts w:hint="eastAsia" w:ascii="仿宋_GB2312" w:hAnsi="仿宋_GB2312" w:eastAsia="仿宋_GB2312" w:cs="仿宋_GB2312"/>
          <w:sz w:val="32"/>
          <w:szCs w:val="32"/>
        </w:rPr>
        <w:t>提交发放</w:t>
      </w:r>
      <w:r>
        <w:rPr>
          <w:rFonts w:hint="eastAsia" w:ascii="仿宋_GB2312" w:hAnsi="仿宋_GB2312" w:eastAsia="仿宋_GB2312" w:cs="仿宋_GB2312"/>
          <w:sz w:val="32"/>
          <w:szCs w:val="32"/>
          <w:lang w:eastAsia="zh-CN"/>
        </w:rPr>
        <w:t>、财务</w:t>
      </w:r>
      <w:r>
        <w:rPr>
          <w:rFonts w:hint="eastAsia" w:ascii="仿宋_GB2312" w:hAnsi="仿宋_GB2312" w:eastAsia="仿宋_GB2312" w:cs="仿宋_GB2312"/>
          <w:sz w:val="32"/>
          <w:szCs w:val="32"/>
        </w:rPr>
        <w:t>审核、农信社审批等程序，及时将支付金额划入待遇领取人员银行存折等指定账户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财务科同步查看资金支付情况明细。财务科对待遇发放支出的基金进行核对并将待遇发放支出实际情况反馈业务科和稽核人员，月末，财务科出纳与业务科对账，对账结果提交领导审阅批示。</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（二）绩效目标</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1.总目标</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辖区内年满16周岁（不含在校学生）非国家机关和事业单位工作人员及不属于职工基本养老保险制度覆盖范围，具有盘龙区户籍的城乡居民，新增参保续费达到95%以上，做到应保尽保，实现老有所养，促进我区经济发展，维护社会和谐稳定。</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2.年度目标</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截止20</w:t>
      </w:r>
      <w:r>
        <w:rPr>
          <w:rFonts w:hint="eastAsia" w:ascii="仿宋_GB2312" w:hAnsi="仿宋_GB2312" w:eastAsia="仿宋_GB2312" w:cs="仿宋_GB2312"/>
          <w:sz w:val="32"/>
          <w:szCs w:val="32"/>
          <w:lang w:val="en-US" w:eastAsia="zh-CN"/>
        </w:rPr>
        <w:t>22</w:t>
      </w:r>
      <w:r>
        <w:rPr>
          <w:rFonts w:hint="eastAsia" w:ascii="仿宋_GB2312" w:hAnsi="仿宋_GB2312" w:eastAsia="仿宋_GB2312" w:cs="仿宋_GB2312"/>
          <w:sz w:val="32"/>
          <w:szCs w:val="32"/>
        </w:rPr>
        <w:t>年12月城乡居民基本养老保险新增参保、续费达到10</w:t>
      </w:r>
      <w:r>
        <w:rPr>
          <w:rFonts w:hint="eastAsia" w:ascii="仿宋_GB2312" w:hAnsi="仿宋_GB2312" w:eastAsia="仿宋_GB2312" w:cs="仿宋_GB2312"/>
          <w:sz w:val="32"/>
          <w:szCs w:val="32"/>
          <w:lang w:val="en-US" w:eastAsia="zh-CN"/>
        </w:rPr>
        <w:t>3.1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超额完成</w:t>
      </w:r>
      <w:r>
        <w:rPr>
          <w:rFonts w:hint="eastAsia" w:ascii="仿宋_GB2312" w:hAnsi="仿宋_GB2312" w:eastAsia="仿宋_GB2312" w:cs="仿宋_GB2312"/>
          <w:sz w:val="32"/>
          <w:szCs w:val="32"/>
        </w:rPr>
        <w:t>市区两级下达参加城乡居民基本养老保险人数9.</w:t>
      </w:r>
      <w:r>
        <w:rPr>
          <w:rFonts w:hint="eastAsia" w:ascii="仿宋_GB2312" w:hAnsi="仿宋_GB2312" w:eastAsia="仿宋_GB2312" w:cs="仿宋_GB2312"/>
          <w:sz w:val="32"/>
          <w:szCs w:val="32"/>
          <w:lang w:val="en-US" w:eastAsia="zh-CN"/>
        </w:rPr>
        <w:t>79</w:t>
      </w:r>
      <w:r>
        <w:rPr>
          <w:rFonts w:hint="eastAsia" w:ascii="仿宋_GB2312" w:hAnsi="仿宋_GB2312" w:eastAsia="仿宋_GB2312" w:cs="仿宋_GB2312"/>
          <w:sz w:val="32"/>
          <w:szCs w:val="32"/>
        </w:rPr>
        <w:t>万人的目标任务，按时足额发放养老金，完成四方对账工作，及时划拨资金，做到应保尽保，实现老有所养。</w:t>
      </w:r>
      <w:r>
        <w:rPr>
          <w:rFonts w:hint="eastAsia" w:ascii="仿宋_GB2312" w:hAnsi="仿宋_GB2312" w:eastAsia="仿宋_GB2312" w:cs="仿宋_GB2312"/>
          <w:sz w:val="32"/>
          <w:szCs w:val="32"/>
        </w:rPr>
        <w:tab/>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黑体" w:hAnsi="黑体" w:eastAsia="黑体" w:cs="黑体"/>
          <w:sz w:val="32"/>
          <w:szCs w:val="32"/>
        </w:rPr>
      </w:pPr>
      <w:r>
        <w:rPr>
          <w:rFonts w:hint="eastAsia" w:ascii="黑体" w:hAnsi="黑体" w:eastAsia="黑体" w:cs="黑体"/>
          <w:sz w:val="32"/>
          <w:szCs w:val="32"/>
        </w:rPr>
        <w:tab/>
      </w:r>
      <w:r>
        <w:rPr>
          <w:rFonts w:hint="eastAsia" w:ascii="黑体" w:hAnsi="黑体" w:eastAsia="黑体" w:cs="黑体"/>
          <w:sz w:val="32"/>
          <w:szCs w:val="32"/>
        </w:rPr>
        <w:t>二、绩效评价工作情况</w:t>
      </w:r>
    </w:p>
    <w:p>
      <w:pPr>
        <w:pStyle w:val="10"/>
        <w:keepNext w:val="0"/>
        <w:keepLines w:val="0"/>
        <w:pageBreakBefore w:val="0"/>
        <w:widowControl w:val="0"/>
        <w:numPr>
          <w:ilvl w:val="0"/>
          <w:numId w:val="1"/>
        </w:numPr>
        <w:kinsoku/>
        <w:wordWrap/>
        <w:overflowPunct/>
        <w:topLinePunct/>
        <w:autoSpaceDE/>
        <w:autoSpaceDN/>
        <w:bidi w:val="0"/>
        <w:adjustRightInd/>
        <w:snapToGrid/>
        <w:spacing w:line="560" w:lineRule="exact"/>
        <w:ind w:left="1350" w:leftChars="0" w:firstLineChars="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绩效评价目的</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（二）绩效评价工作方案制定过程</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1.前期调研。</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2.研究文件。</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3.绩效评价指标体系及工作方案的设计。</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（三）绩效评价原则、评价方法</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1.绩效评价原则。包括科学规范、公开公正、绩效相关等原则。</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2.绩效评价方法。包括指标评价、数据采集和社会调查中所采用的方法。</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sz w:val="32"/>
          <w:szCs w:val="32"/>
        </w:rPr>
        <w:t>（四）</w:t>
      </w:r>
      <w:r>
        <w:rPr>
          <w:rFonts w:hint="eastAsia" w:ascii="楷体_GB2312" w:hAnsi="楷体_GB2312" w:eastAsia="楷体_GB2312" w:cs="楷体_GB2312"/>
          <w:kern w:val="2"/>
          <w:sz w:val="32"/>
          <w:szCs w:val="32"/>
          <w:lang w:val="en-US" w:eastAsia="zh-CN" w:bidi="ar-SA"/>
        </w:rPr>
        <w:t>绩效评价实施过程</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1.数据填报和采集。</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2.社会调查。</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3.数据分析和撰写报告。</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sz w:val="32"/>
          <w:szCs w:val="32"/>
        </w:rPr>
        <w:t>（五）</w:t>
      </w:r>
      <w:r>
        <w:rPr>
          <w:rFonts w:hint="eastAsia" w:ascii="楷体_GB2312" w:hAnsi="楷体_GB2312" w:eastAsia="楷体_GB2312" w:cs="楷体_GB2312"/>
          <w:kern w:val="2"/>
          <w:sz w:val="32"/>
          <w:szCs w:val="32"/>
          <w:lang w:val="en-US" w:eastAsia="zh-CN" w:bidi="ar-SA"/>
        </w:rPr>
        <w:t>本次绩效评价的局限性。</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评价维度较为单一。</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三、评价结论和绩效分析</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sz w:val="32"/>
          <w:szCs w:val="32"/>
        </w:rPr>
        <w:t>（一）</w:t>
      </w:r>
      <w:r>
        <w:rPr>
          <w:rFonts w:hint="eastAsia" w:ascii="楷体_GB2312" w:hAnsi="楷体_GB2312" w:eastAsia="楷体_GB2312" w:cs="楷体_GB2312"/>
          <w:kern w:val="2"/>
          <w:sz w:val="32"/>
          <w:szCs w:val="32"/>
          <w:lang w:val="en-US" w:eastAsia="zh-CN" w:bidi="ar-SA"/>
        </w:rPr>
        <w:t>评价结论。</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1.评价结果</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截止20</w:t>
      </w:r>
      <w:r>
        <w:rPr>
          <w:rFonts w:hint="eastAsia" w:ascii="仿宋_GB2312" w:hAnsi="仿宋_GB2312" w:eastAsia="仿宋_GB2312" w:cs="仿宋_GB2312"/>
          <w:sz w:val="32"/>
          <w:szCs w:val="32"/>
          <w:lang w:val="en-US" w:eastAsia="zh-CN"/>
        </w:rPr>
        <w:t xml:space="preserve">22 </w:t>
      </w:r>
      <w:r>
        <w:rPr>
          <w:rFonts w:hint="eastAsia" w:ascii="仿宋_GB2312" w:hAnsi="仿宋_GB2312" w:eastAsia="仿宋_GB2312" w:cs="仿宋_GB2312"/>
          <w:sz w:val="32"/>
          <w:szCs w:val="32"/>
        </w:rPr>
        <w:t>年12</w:t>
      </w:r>
      <w:r>
        <w:rPr>
          <w:rFonts w:hint="eastAsia" w:ascii="仿宋_GB2312" w:hAnsi="仿宋_GB2312" w:eastAsia="仿宋_GB2312" w:cs="仿宋_GB2312"/>
          <w:sz w:val="32"/>
          <w:szCs w:val="32"/>
          <w:lang w:eastAsia="zh-CN"/>
        </w:rPr>
        <w:t>月</w:t>
      </w:r>
      <w:r>
        <w:rPr>
          <w:rFonts w:hint="eastAsia" w:ascii="仿宋_GB2312" w:hAnsi="仿宋_GB2312" w:eastAsia="仿宋_GB2312" w:cs="仿宋_GB2312"/>
          <w:sz w:val="32"/>
          <w:szCs w:val="32"/>
        </w:rPr>
        <w:t>全面</w:t>
      </w:r>
      <w:r>
        <w:rPr>
          <w:rFonts w:hint="eastAsia" w:ascii="仿宋_GB2312" w:hAnsi="仿宋_GB2312" w:eastAsia="仿宋_GB2312" w:cs="仿宋_GB2312"/>
          <w:sz w:val="32"/>
          <w:szCs w:val="32"/>
          <w:lang w:eastAsia="zh-CN"/>
        </w:rPr>
        <w:t>完成</w:t>
      </w:r>
      <w:r>
        <w:rPr>
          <w:rFonts w:hint="eastAsia" w:ascii="仿宋_GB2312" w:hAnsi="仿宋_GB2312" w:eastAsia="仿宋_GB2312" w:cs="仿宋_GB2312"/>
          <w:sz w:val="32"/>
          <w:szCs w:val="32"/>
        </w:rPr>
        <w:t>市区两级下达的目标任务，按时足额发放养老金，完成四方财政配套及对账工作，及时划拨资金，做到应保尽保，实现老有所养。根据</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支出绩效评价指标确定的内容，经评价组综合评价，城乡居民基本养老保险</w:t>
      </w:r>
      <w:r>
        <w:rPr>
          <w:rFonts w:hint="eastAsia" w:ascii="仿宋_GB2312" w:hAnsi="仿宋_GB2312" w:eastAsia="仿宋_GB2312" w:cs="仿宋_GB2312"/>
          <w:sz w:val="32"/>
          <w:szCs w:val="32"/>
          <w:lang w:eastAsia="zh-CN"/>
        </w:rPr>
        <w:t>区级</w:t>
      </w:r>
      <w:r>
        <w:rPr>
          <w:rFonts w:hint="eastAsia" w:ascii="仿宋_GB2312" w:hAnsi="仿宋_GB2312" w:eastAsia="仿宋_GB2312" w:cs="仿宋_GB2312"/>
          <w:sz w:val="32"/>
          <w:szCs w:val="32"/>
        </w:rPr>
        <w:t>补助</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支出绩效评为 “优”</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主要绩效</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全面完成市区下达目标任务。</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年盘龙区城乡居民基本养老保险目标任务为：参加城乡居民基本养老保险人数9.</w:t>
      </w:r>
      <w:r>
        <w:rPr>
          <w:rFonts w:hint="eastAsia" w:ascii="仿宋_GB2312" w:hAnsi="仿宋_GB2312" w:eastAsia="仿宋_GB2312" w:cs="仿宋_GB2312"/>
          <w:sz w:val="32"/>
          <w:szCs w:val="32"/>
          <w:lang w:val="en-US" w:eastAsia="zh-CN"/>
        </w:rPr>
        <w:t>79</w:t>
      </w:r>
      <w:r>
        <w:rPr>
          <w:rFonts w:hint="eastAsia" w:ascii="仿宋_GB2312" w:hAnsi="仿宋_GB2312" w:eastAsia="仿宋_GB2312" w:cs="仿宋_GB2312"/>
          <w:sz w:val="32"/>
          <w:szCs w:val="32"/>
        </w:rPr>
        <w:t>万人。截止202</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年12月，城乡居民基本养老保险当年参保缴费、续费、待遇领取总人数达</w:t>
      </w:r>
      <w:r>
        <w:rPr>
          <w:rFonts w:hint="eastAsia" w:ascii="仿宋_GB2312" w:hAnsi="仿宋_GB2312" w:eastAsia="仿宋_GB2312" w:cs="仿宋_GB2312"/>
          <w:sz w:val="32"/>
          <w:szCs w:val="32"/>
          <w:lang w:val="en-US" w:eastAsia="zh-CN"/>
        </w:rPr>
        <w:t>10万</w:t>
      </w:r>
      <w:r>
        <w:rPr>
          <w:rFonts w:hint="eastAsia" w:ascii="仿宋_GB2312" w:hAnsi="仿宋_GB2312" w:eastAsia="仿宋_GB2312" w:cs="仿宋_GB2312"/>
          <w:sz w:val="32"/>
          <w:szCs w:val="32"/>
        </w:rPr>
        <w:t>人（完成市居保局下达目标任务的10</w:t>
      </w:r>
      <w:r>
        <w:rPr>
          <w:rFonts w:hint="eastAsia" w:ascii="仿宋_GB2312" w:hAnsi="仿宋_GB2312" w:eastAsia="仿宋_GB2312" w:cs="仿宋_GB2312"/>
          <w:sz w:val="32"/>
          <w:szCs w:val="32"/>
          <w:lang w:val="en-US" w:eastAsia="zh-CN"/>
        </w:rPr>
        <w:t>0.61</w:t>
      </w:r>
      <w:r>
        <w:rPr>
          <w:rFonts w:hint="eastAsia" w:ascii="仿宋_GB2312" w:hAnsi="仿宋_GB2312" w:eastAsia="仿宋_GB2312" w:cs="仿宋_GB2312"/>
          <w:sz w:val="32"/>
          <w:szCs w:val="32"/>
        </w:rPr>
        <w:t>%），缴费人数</w:t>
      </w:r>
      <w:r>
        <w:rPr>
          <w:rFonts w:hint="eastAsia" w:ascii="仿宋_GB2312" w:hAnsi="黑体" w:eastAsia="仿宋_GB2312" w:cs="Times New Roman"/>
          <w:color w:val="auto"/>
          <w:sz w:val="32"/>
          <w:szCs w:val="32"/>
          <w:lang w:val="en-US" w:eastAsia="zh-CN"/>
        </w:rPr>
        <w:t>66049</w:t>
      </w:r>
      <w:r>
        <w:rPr>
          <w:rFonts w:hint="eastAsia" w:ascii="仿宋_GB2312" w:hAnsi="仿宋_GB2312" w:eastAsia="仿宋_GB2312" w:cs="仿宋_GB2312"/>
          <w:sz w:val="32"/>
          <w:szCs w:val="32"/>
        </w:rPr>
        <w:t>人，区级财政配套资金</w:t>
      </w:r>
      <w:r>
        <w:rPr>
          <w:rFonts w:hint="eastAsia" w:ascii="仿宋_GB2312" w:hAnsi="仿宋_GB2312" w:eastAsia="仿宋_GB2312" w:cs="仿宋_GB2312"/>
          <w:sz w:val="32"/>
          <w:szCs w:val="32"/>
          <w:lang w:val="en-US" w:eastAsia="zh-CN"/>
        </w:rPr>
        <w:t>62.81万</w:t>
      </w:r>
      <w:r>
        <w:rPr>
          <w:rFonts w:hint="eastAsia" w:ascii="仿宋_GB2312" w:hAnsi="仿宋_GB2312" w:eastAsia="仿宋_GB2312" w:cs="仿宋_GB2312"/>
          <w:sz w:val="32"/>
          <w:szCs w:val="32"/>
        </w:rPr>
        <w:t>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领取养老金人数</w:t>
      </w:r>
      <w:r>
        <w:rPr>
          <w:rFonts w:hint="eastAsia" w:ascii="仿宋_GB2312" w:hAnsi="仿宋_GB2312" w:eastAsia="仿宋_GB2312" w:cs="仿宋_GB2312"/>
          <w:sz w:val="32"/>
          <w:szCs w:val="32"/>
          <w:lang w:val="en-US" w:eastAsia="zh-CN"/>
        </w:rPr>
        <w:t>26589</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，发放</w:t>
      </w:r>
      <w:r>
        <w:rPr>
          <w:rFonts w:hint="eastAsia" w:ascii="仿宋_GB2312" w:hAnsi="仿宋_GB2312" w:eastAsia="仿宋_GB2312" w:cs="仿宋_GB2312"/>
          <w:sz w:val="32"/>
          <w:szCs w:val="32"/>
        </w:rPr>
        <w:t>区级基础养老金</w:t>
      </w:r>
      <w:r>
        <w:rPr>
          <w:rFonts w:hint="eastAsia" w:ascii="仿宋_GB2312" w:hAnsi="仿宋_GB2312" w:eastAsia="仿宋_GB2312" w:cs="仿宋_GB2312"/>
          <w:sz w:val="32"/>
          <w:szCs w:val="32"/>
          <w:lang w:val="en-US" w:eastAsia="zh-CN"/>
        </w:rPr>
        <w:t>934.77</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eastAsia="zh-CN"/>
        </w:rPr>
        <w:t>区级</w:t>
      </w:r>
      <w:r>
        <w:rPr>
          <w:rFonts w:hint="eastAsia" w:ascii="仿宋_GB2312" w:hAnsi="仿宋_GB2312" w:eastAsia="仿宋_GB2312" w:cs="仿宋_GB2312"/>
          <w:sz w:val="32"/>
          <w:szCs w:val="32"/>
        </w:rPr>
        <w:t>养老补助金及丧葬补助金合计支出</w:t>
      </w:r>
      <w:r>
        <w:rPr>
          <w:rFonts w:hint="eastAsia" w:ascii="仿宋_GB2312" w:hAnsi="仿宋_GB2312" w:eastAsia="仿宋_GB2312" w:cs="仿宋_GB2312"/>
          <w:sz w:val="32"/>
          <w:szCs w:val="32"/>
          <w:lang w:val="en-US" w:eastAsia="zh-CN"/>
        </w:rPr>
        <w:t>94.88</w:t>
      </w:r>
      <w:r>
        <w:rPr>
          <w:rFonts w:hint="eastAsia" w:ascii="仿宋_GB2312" w:hAnsi="仿宋_GB2312" w:eastAsia="仿宋_GB2312" w:cs="仿宋_GB2312"/>
          <w:sz w:val="32"/>
          <w:szCs w:val="32"/>
        </w:rPr>
        <w:t>万</w:t>
      </w:r>
      <w:r>
        <w:rPr>
          <w:rFonts w:hint="eastAsia" w:ascii="仿宋_GB2312" w:hAnsi="仿宋_GB2312" w:eastAsia="仿宋_GB2312" w:cs="仿宋_GB2312"/>
          <w:sz w:val="32"/>
          <w:szCs w:val="32"/>
          <w:lang w:val="en-US" w:eastAsia="zh-CN"/>
        </w:rPr>
        <w:t>元</w:t>
      </w:r>
      <w:r>
        <w:rPr>
          <w:rFonts w:hint="eastAsia" w:ascii="仿宋_GB2312" w:hAnsi="仿宋_GB2312" w:eastAsia="仿宋_GB2312" w:cs="仿宋_GB2312"/>
          <w:sz w:val="32"/>
          <w:szCs w:val="32"/>
        </w:rPr>
        <w:t>。</w:t>
      </w:r>
    </w:p>
    <w:p>
      <w:pPr>
        <w:pStyle w:val="10"/>
        <w:keepNext w:val="0"/>
        <w:keepLines w:val="0"/>
        <w:pageBreakBefore w:val="0"/>
        <w:widowControl w:val="0"/>
        <w:numPr>
          <w:ilvl w:val="0"/>
          <w:numId w:val="1"/>
        </w:numPr>
        <w:kinsoku/>
        <w:wordWrap/>
        <w:overflowPunct/>
        <w:topLinePunct/>
        <w:autoSpaceDE/>
        <w:autoSpaceDN/>
        <w:bidi w:val="0"/>
        <w:adjustRightInd/>
        <w:snapToGrid/>
        <w:spacing w:line="560" w:lineRule="exact"/>
        <w:ind w:left="1350" w:leftChars="0" w:firstLineChars="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具体绩效分析</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对照绩效评价指标体系逐项进行分析、评价并打分。</w:t>
      </w:r>
    </w:p>
    <w:p>
      <w:pPr>
        <w:keepNext w:val="0"/>
        <w:keepLines w:val="0"/>
        <w:pageBreakBefore w:val="0"/>
        <w:widowControl w:val="0"/>
        <w:numPr>
          <w:ilvl w:val="0"/>
          <w:numId w:val="2"/>
        </w:numPr>
        <w:kinsoku/>
        <w:wordWrap/>
        <w:overflowPunct/>
        <w:topLinePunct/>
        <w:autoSpaceDE/>
        <w:autoSpaceDN/>
        <w:bidi w:val="0"/>
        <w:adjustRightInd/>
        <w:snapToGrid/>
        <w:spacing w:line="560" w:lineRule="exact"/>
        <w:ind w:firstLine="800" w:firstLineChars="250"/>
        <w:textAlignment w:val="auto"/>
        <w:rPr>
          <w:rFonts w:hint="eastAsia" w:ascii="黑体" w:hAnsi="黑体" w:eastAsia="黑体" w:cs="黑体"/>
          <w:sz w:val="32"/>
          <w:szCs w:val="32"/>
        </w:rPr>
      </w:pPr>
      <w:r>
        <w:rPr>
          <w:rFonts w:hint="eastAsia" w:ascii="黑体" w:hAnsi="黑体" w:eastAsia="黑体" w:cs="黑体"/>
          <w:sz w:val="32"/>
          <w:szCs w:val="32"/>
        </w:rPr>
        <w:t>成本效益分析</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对资金使用方向、资金收入和支出结构；项目和资金管理情况；资金的节约性、资金使用效果；变化趋势等进行分析评价。</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黑体" w:hAnsi="黑体" w:eastAsia="黑体" w:cs="黑体"/>
          <w:sz w:val="32"/>
          <w:szCs w:val="32"/>
        </w:rPr>
      </w:pPr>
      <w:r>
        <w:rPr>
          <w:rFonts w:hint="eastAsia" w:ascii="黑体" w:hAnsi="黑体" w:eastAsia="黑体" w:cs="黑体"/>
          <w:sz w:val="32"/>
          <w:szCs w:val="32"/>
        </w:rPr>
        <w:t>五、主要经验及做法、存在的问题和建议</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（一）主要经验及做法</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建立健全基金内部控制制度，规范经办流程，确保社会保险基金安全。</w:t>
      </w:r>
    </w:p>
    <w:p>
      <w:pPr>
        <w:keepNext w:val="0"/>
        <w:keepLines w:val="0"/>
        <w:pageBreakBefore w:val="0"/>
        <w:widowControl w:val="0"/>
        <w:kinsoku/>
        <w:wordWrap/>
        <w:overflowPunct/>
        <w:topLinePunct/>
        <w:autoSpaceDE/>
        <w:autoSpaceDN/>
        <w:bidi w:val="0"/>
        <w:adjustRightInd/>
        <w:snapToGrid/>
        <w:spacing w:line="560" w:lineRule="exact"/>
        <w:ind w:firstLine="800" w:firstLineChars="25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（二）存在的问题</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1.城乡居民基本养老保险待遇领取水平较低，参保群众满意度不高。</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2.城乡居民保险缴费</w:t>
      </w:r>
      <w:r>
        <w:rPr>
          <w:rFonts w:hint="eastAsia" w:ascii="仿宋_GB2312" w:hAnsi="仿宋_GB2312" w:eastAsia="仿宋_GB2312" w:cs="仿宋_GB2312"/>
          <w:sz w:val="32"/>
          <w:szCs w:val="32"/>
          <w:lang w:eastAsia="zh-CN"/>
        </w:rPr>
        <w:t>人数</w:t>
      </w:r>
      <w:r>
        <w:rPr>
          <w:rFonts w:hint="eastAsia" w:ascii="仿宋_GB2312" w:hAnsi="仿宋_GB2312" w:eastAsia="仿宋_GB2312" w:cs="仿宋_GB2312"/>
          <w:sz w:val="32"/>
          <w:szCs w:val="32"/>
        </w:rPr>
        <w:t>有</w:t>
      </w:r>
      <w:r>
        <w:rPr>
          <w:rFonts w:hint="eastAsia" w:ascii="仿宋_GB2312" w:hAnsi="仿宋_GB2312" w:eastAsia="仿宋_GB2312" w:cs="仿宋_GB2312"/>
          <w:sz w:val="32"/>
          <w:szCs w:val="32"/>
          <w:lang w:eastAsia="zh-CN"/>
        </w:rPr>
        <w:t>所</w:t>
      </w:r>
      <w:r>
        <w:rPr>
          <w:rFonts w:hint="eastAsia" w:ascii="仿宋_GB2312" w:hAnsi="仿宋_GB2312" w:eastAsia="仿宋_GB2312" w:cs="仿宋_GB2312"/>
          <w:sz w:val="32"/>
          <w:szCs w:val="32"/>
        </w:rPr>
        <w:t>下降。</w:t>
      </w:r>
    </w:p>
    <w:p>
      <w:pPr>
        <w:pStyle w:val="10"/>
        <w:keepNext w:val="0"/>
        <w:keepLines w:val="0"/>
        <w:pageBreakBefore w:val="0"/>
        <w:widowControl w:val="0"/>
        <w:numPr>
          <w:ilvl w:val="0"/>
          <w:numId w:val="1"/>
        </w:numPr>
        <w:kinsoku/>
        <w:wordWrap/>
        <w:overflowPunct/>
        <w:topLinePunct/>
        <w:autoSpaceDE/>
        <w:autoSpaceDN/>
        <w:bidi w:val="0"/>
        <w:adjustRightInd/>
        <w:snapToGrid/>
        <w:spacing w:line="560" w:lineRule="exact"/>
        <w:ind w:left="1350" w:leftChars="0" w:firstLineChars="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建议和改进措施</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拓宽业务</w:t>
      </w:r>
      <w:r>
        <w:rPr>
          <w:rFonts w:hint="eastAsia" w:ascii="仿宋_GB2312" w:hAnsi="仿宋_GB2312" w:eastAsia="仿宋_GB2312" w:cs="仿宋_GB2312"/>
          <w:sz w:val="32"/>
          <w:szCs w:val="32"/>
        </w:rPr>
        <w:t>培训范围，加大政策的普及和宣传力度。</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2.加大参保缴费</w:t>
      </w:r>
      <w:r>
        <w:rPr>
          <w:rFonts w:hint="eastAsia" w:ascii="仿宋_GB2312" w:hAnsi="仿宋_GB2312" w:eastAsia="仿宋_GB2312" w:cs="仿宋_GB2312"/>
          <w:sz w:val="32"/>
          <w:szCs w:val="32"/>
          <w:lang w:eastAsia="zh-CN"/>
        </w:rPr>
        <w:t>及水源区缴费补贴</w:t>
      </w:r>
      <w:r>
        <w:rPr>
          <w:rFonts w:hint="eastAsia" w:ascii="仿宋_GB2312" w:hAnsi="仿宋_GB2312" w:eastAsia="仿宋_GB2312" w:cs="仿宋_GB2312"/>
          <w:sz w:val="32"/>
          <w:szCs w:val="32"/>
        </w:rPr>
        <w:t>宣传力度，积极与税局、财政对账，保障参保人及时享受缴费补贴、领取养老待遇。</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3.积极向上级反映业务经办过程中遇到的困难和问题，寻求政策和技术上的支持。</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4.建立城乡居民基本养老保险待遇确定和基础养老金正常调整机制的实施方案，逐步提高城乡居民社会养老保险待遇水平，提高参保群众满意度。</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附件1：项目支出绩效评价共性指标体系框架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附件2：项目申报表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altName w:val="微软雅黑"/>
    <w:panose1 w:val="00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fldChar w:fldCharType="begin"/>
    </w:r>
    <w:r>
      <w:instrText xml:space="preserve"> PAGE   \* MERGEFORMAT </w:instrText>
    </w:r>
    <w:r>
      <w:fldChar w:fldCharType="separate"/>
    </w:r>
    <w:r>
      <w:rPr>
        <w:lang w:val="zh-CN"/>
      </w:rPr>
      <w:t>4</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fldChar w:fldCharType="begin"/>
    </w:r>
    <w:r>
      <w:instrText xml:space="preserve"> PAGE   \* MERGEFORMAT </w:instrText>
    </w:r>
    <w:r>
      <w:fldChar w:fldCharType="separate"/>
    </w:r>
    <w:r>
      <w:rPr>
        <w:lang w:val="zh-CN"/>
      </w:rPr>
      <w:t>4</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C1707"/>
    <w:multiLevelType w:val="multilevel"/>
    <w:tmpl w:val="138C1707"/>
    <w:lvl w:ilvl="0" w:tentative="0">
      <w:start w:val="1"/>
      <w:numFmt w:val="japaneseCounting"/>
      <w:lvlText w:val="（%1）"/>
      <w:lvlJc w:val="left"/>
      <w:pPr>
        <w:ind w:left="1350" w:hanging="720"/>
      </w:pPr>
      <w:rPr>
        <w:rFonts w:hint="default" w:ascii="楷体" w:eastAsia="楷体"/>
        <w:sz w:val="28"/>
        <w:lang w:val="en-US"/>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
    <w:nsid w:val="676769FD"/>
    <w:multiLevelType w:val="singleLevel"/>
    <w:tmpl w:val="676769FD"/>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BDD"/>
    <w:rsid w:val="00044DE9"/>
    <w:rsid w:val="00067BB4"/>
    <w:rsid w:val="000F31D3"/>
    <w:rsid w:val="0010491C"/>
    <w:rsid w:val="00146C66"/>
    <w:rsid w:val="00156EF9"/>
    <w:rsid w:val="001E1A3F"/>
    <w:rsid w:val="001E2B39"/>
    <w:rsid w:val="00213C2C"/>
    <w:rsid w:val="002156B6"/>
    <w:rsid w:val="002268AE"/>
    <w:rsid w:val="00234DD1"/>
    <w:rsid w:val="00244F4C"/>
    <w:rsid w:val="0024635A"/>
    <w:rsid w:val="002D1F8E"/>
    <w:rsid w:val="002D6E73"/>
    <w:rsid w:val="002E0758"/>
    <w:rsid w:val="002F024E"/>
    <w:rsid w:val="003F394D"/>
    <w:rsid w:val="004221F9"/>
    <w:rsid w:val="004238F6"/>
    <w:rsid w:val="00445013"/>
    <w:rsid w:val="004561B7"/>
    <w:rsid w:val="00507EF5"/>
    <w:rsid w:val="00521788"/>
    <w:rsid w:val="0054345B"/>
    <w:rsid w:val="005723B0"/>
    <w:rsid w:val="005A1069"/>
    <w:rsid w:val="005A648F"/>
    <w:rsid w:val="005B6B11"/>
    <w:rsid w:val="005E00C5"/>
    <w:rsid w:val="00654A45"/>
    <w:rsid w:val="00666786"/>
    <w:rsid w:val="00671FC8"/>
    <w:rsid w:val="00674CCB"/>
    <w:rsid w:val="00681D77"/>
    <w:rsid w:val="006857A1"/>
    <w:rsid w:val="006868B1"/>
    <w:rsid w:val="006F7E91"/>
    <w:rsid w:val="00720029"/>
    <w:rsid w:val="00744ADA"/>
    <w:rsid w:val="0076257C"/>
    <w:rsid w:val="007F0E33"/>
    <w:rsid w:val="00834BDD"/>
    <w:rsid w:val="00842B55"/>
    <w:rsid w:val="0085684B"/>
    <w:rsid w:val="008852DE"/>
    <w:rsid w:val="008868C3"/>
    <w:rsid w:val="008A249B"/>
    <w:rsid w:val="008F036D"/>
    <w:rsid w:val="008F10B4"/>
    <w:rsid w:val="00925B04"/>
    <w:rsid w:val="00970149"/>
    <w:rsid w:val="009870E0"/>
    <w:rsid w:val="009D1C6C"/>
    <w:rsid w:val="00A27C10"/>
    <w:rsid w:val="00A866D2"/>
    <w:rsid w:val="00A910AC"/>
    <w:rsid w:val="00A92437"/>
    <w:rsid w:val="00AA5AD6"/>
    <w:rsid w:val="00AB45FF"/>
    <w:rsid w:val="00AC26DF"/>
    <w:rsid w:val="00B20E8E"/>
    <w:rsid w:val="00B570C3"/>
    <w:rsid w:val="00BB24E3"/>
    <w:rsid w:val="00BC4C07"/>
    <w:rsid w:val="00BF3C9D"/>
    <w:rsid w:val="00C82F3C"/>
    <w:rsid w:val="00C970A3"/>
    <w:rsid w:val="00CE5422"/>
    <w:rsid w:val="00CE6D87"/>
    <w:rsid w:val="00CE7B22"/>
    <w:rsid w:val="00E36AEF"/>
    <w:rsid w:val="00E42B80"/>
    <w:rsid w:val="00E74AF4"/>
    <w:rsid w:val="00E76051"/>
    <w:rsid w:val="00EC2026"/>
    <w:rsid w:val="00F012EC"/>
    <w:rsid w:val="00F2241A"/>
    <w:rsid w:val="00F264F1"/>
    <w:rsid w:val="00F347C7"/>
    <w:rsid w:val="00F8309E"/>
    <w:rsid w:val="00FD2341"/>
    <w:rsid w:val="00FF1F56"/>
    <w:rsid w:val="00FF6066"/>
    <w:rsid w:val="01D84BBB"/>
    <w:rsid w:val="042859F3"/>
    <w:rsid w:val="06B36889"/>
    <w:rsid w:val="080B17B9"/>
    <w:rsid w:val="0AD16F99"/>
    <w:rsid w:val="0BA069B2"/>
    <w:rsid w:val="0BBE5C76"/>
    <w:rsid w:val="0E212923"/>
    <w:rsid w:val="115D3A8C"/>
    <w:rsid w:val="130878F4"/>
    <w:rsid w:val="15C56F00"/>
    <w:rsid w:val="18FF3844"/>
    <w:rsid w:val="198F6DCD"/>
    <w:rsid w:val="1FDC0228"/>
    <w:rsid w:val="242A5EBE"/>
    <w:rsid w:val="25AB42C6"/>
    <w:rsid w:val="27E2735C"/>
    <w:rsid w:val="298F048B"/>
    <w:rsid w:val="2D331443"/>
    <w:rsid w:val="42A20776"/>
    <w:rsid w:val="44E552B0"/>
    <w:rsid w:val="47A41330"/>
    <w:rsid w:val="4B225B83"/>
    <w:rsid w:val="4CF75961"/>
    <w:rsid w:val="50E95F81"/>
    <w:rsid w:val="5508408F"/>
    <w:rsid w:val="584D59F4"/>
    <w:rsid w:val="5DFD1B07"/>
    <w:rsid w:val="5F2F16D9"/>
    <w:rsid w:val="689644D9"/>
    <w:rsid w:val="70BB22E4"/>
    <w:rsid w:val="7627535A"/>
    <w:rsid w:val="7A504BB2"/>
    <w:rsid w:val="7B9878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Body Text First Indent 2"/>
    <w:basedOn w:val="2"/>
    <w:qFormat/>
    <w:uiPriority w:val="0"/>
    <w:pPr>
      <w:ind w:firstLine="420" w:firstLineChars="200"/>
    </w:pPr>
    <w:rPr>
      <w:rFonts w:ascii="Calibri" w:hAnsi="Calibri"/>
    </w:rPr>
  </w:style>
  <w:style w:type="character" w:customStyle="1" w:styleId="8">
    <w:name w:val="页眉 字符"/>
    <w:basedOn w:val="7"/>
    <w:link w:val="4"/>
    <w:qFormat/>
    <w:uiPriority w:val="99"/>
    <w:rPr>
      <w:sz w:val="18"/>
      <w:szCs w:val="18"/>
    </w:rPr>
  </w:style>
  <w:style w:type="character" w:customStyle="1" w:styleId="9">
    <w:name w:val="页脚 字符"/>
    <w:basedOn w:val="7"/>
    <w:link w:val="3"/>
    <w:qFormat/>
    <w:uiPriority w:val="99"/>
    <w:rPr>
      <w:sz w:val="18"/>
      <w:szCs w:val="18"/>
    </w:rPr>
  </w:style>
  <w:style w:type="paragraph" w:styleId="10">
    <w:name w:val="List Paragraph"/>
    <w:basedOn w:val="1"/>
    <w:qFormat/>
    <w:uiPriority w:val="34"/>
    <w:pPr>
      <w:ind w:firstLine="420" w:firstLineChars="200"/>
    </w:pPr>
  </w:style>
  <w:style w:type="paragraph" w:customStyle="1" w:styleId="11">
    <w:name w:val="列出段落1"/>
    <w:basedOn w:val="1"/>
    <w:qFormat/>
    <w:uiPriority w:val="0"/>
    <w:pPr>
      <w:ind w:firstLine="420" w:firstLineChars="200"/>
    </w:pPr>
    <w:rPr>
      <w:rFonts w:ascii="Times New Roman" w:hAnsi="Times New Roman" w:eastAsia="宋体" w:cs="Calibri"/>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WwW.YlmF.CoM</Company>
  <Pages>10</Pages>
  <Words>830</Words>
  <Characters>4737</Characters>
  <Lines>39</Lines>
  <Paragraphs>11</Paragraphs>
  <TotalTime>7</TotalTime>
  <ScaleCrop>false</ScaleCrop>
  <LinksUpToDate>false</LinksUpToDate>
  <CharactersWithSpaces>5556</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2019-04-16T06:42:00Z</dcterms:created>
  <dc:creator>雨林木风</dc:creator>
  <cp:lastModifiedBy>Administrator</cp:lastModifiedBy>
  <cp:lastPrinted>2022-04-22T06:11:00Z</cp:lastPrinted>
  <dcterms:modified xsi:type="dcterms:W3CDTF">2023-04-26T02:38:54Z</dcterms:modified>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24C6F7D16CAE497BBFD4175340E036A1</vt:lpwstr>
  </property>
</Properties>
</file>