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960" w:hangingChars="300"/>
        <w:jc w:val="left"/>
        <w:rPr>
          <w:rFonts w:ascii="方正小标宋_GBK" w:hAnsi="Calibri" w:eastAsia="方正小标宋_GBK" w:cs="Times New Roman"/>
          <w:sz w:val="32"/>
          <w:szCs w:val="32"/>
        </w:rPr>
      </w:pPr>
      <w:r>
        <w:rPr>
          <w:rFonts w:hint="eastAsia" w:ascii="方正小标宋_GBK" w:hAnsi="Calibri" w:eastAsia="方正小标宋_GBK" w:cs="Times New Roman"/>
          <w:sz w:val="32"/>
          <w:szCs w:val="32"/>
        </w:rPr>
        <w:t>附件5：项目支出绩效评价报告（范本）</w:t>
      </w:r>
    </w:p>
    <w:p>
      <w:pPr>
        <w:spacing w:before="120" w:after="120" w:line="480" w:lineRule="auto"/>
        <w:jc w:val="center"/>
        <w:rPr>
          <w:rFonts w:ascii="Times New Roman" w:hAnsi="Times New Roman" w:eastAsia="黑体" w:cs="Times New Roman"/>
          <w:b/>
          <w:bCs/>
          <w:sz w:val="32"/>
          <w:szCs w:val="32"/>
        </w:rPr>
      </w:pPr>
    </w:p>
    <w:p>
      <w:pPr>
        <w:jc w:val="center"/>
        <w:rPr>
          <w:rFonts w:ascii="黑体" w:hAnsi="黑体" w:eastAsia="黑体" w:cs="黑体"/>
          <w:bCs/>
          <w:sz w:val="52"/>
          <w:szCs w:val="52"/>
        </w:rPr>
      </w:pPr>
      <w:r>
        <w:rPr>
          <w:rFonts w:hint="eastAsia" w:ascii="黑体" w:hAnsi="黑体" w:eastAsia="黑体" w:cs="黑体"/>
          <w:bCs/>
          <w:sz w:val="52"/>
          <w:szCs w:val="52"/>
          <w:lang w:val="en-US" w:eastAsia="zh-CN"/>
        </w:rPr>
        <w:t>水源区城乡居民养老保险缴费补助</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cs="Times New Roman"/>
          <w:b/>
          <w:bCs/>
          <w:sz w:val="32"/>
          <w:szCs w:val="32"/>
        </w:rPr>
      </w:pPr>
    </w:p>
    <w:p>
      <w:pPr>
        <w:spacing w:before="120" w:after="120" w:line="480" w:lineRule="auto"/>
        <w:jc w:val="center"/>
        <w:rPr>
          <w:rFonts w:ascii="Times New Roman" w:hAnsi="Times New Roman" w:eastAsia="宋体" w:cs="Times New Roman"/>
          <w:b/>
          <w:bCs/>
          <w:sz w:val="32"/>
          <w:szCs w:val="32"/>
        </w:rPr>
      </w:pPr>
    </w:p>
    <w:p>
      <w:pPr>
        <w:spacing w:before="120" w:after="120" w:line="480" w:lineRule="auto"/>
        <w:jc w:val="center"/>
        <w:rPr>
          <w:rFonts w:ascii="Times New Roman" w:hAnsi="Times New Roman" w:eastAsia="宋体" w:cs="Times New Roman"/>
          <w:b/>
          <w:bCs/>
          <w:sz w:val="32"/>
          <w:szCs w:val="32"/>
        </w:rPr>
      </w:pPr>
    </w:p>
    <w:p>
      <w:pPr>
        <w:spacing w:before="120" w:after="120" w:line="480" w:lineRule="auto"/>
        <w:jc w:val="center"/>
        <w:rPr>
          <w:rFonts w:ascii="Times New Roman" w:hAnsi="Times New Roman" w:eastAsia="黑体" w:cs="Times New Roman"/>
          <w:b/>
          <w:bCs/>
          <w:sz w:val="32"/>
          <w:szCs w:val="32"/>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XqXKDXAAAACQEAAA8AAAAAAAAA&#10;AQAgAAAAIgAAAGRycy9kb3ducmV2LnhtbFBLAQIUABQAAAAIAIdO4kD2cZDw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部门名称（公章）：昆明市盘龙区城乡居民社会养老保险局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xhF2DXAAAACQEAAA8AAAAAAAAA&#10;AQAgAAAAIgAAAGRycy9kb3ducmV2LnhtbFBLAQIUABQAAAAIAIdO4kDYTeOo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项目单位：昆明市盘龙区城乡居民社会养老保险局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U//L+toBAABwAwAADgAA&#10;AAAAAAABACAAAAAmAQAAZHJzL2Uyb0RvYy54bWxQSwUGAAAAAAYABgBZAQAAc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昆明市盘龙区人力资源和社会保障局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Qgv7vXAAAACQEAAA8AAAAAAAAA&#10;AQAgAAAAIgAAAGRycy9kb3ducmV2LnhtbFBLAQIUABQAAAAIAIdO4kB9w7ii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lang w:eastAsia="zh-CN"/>
        </w:rPr>
        <w:t>水源区</w:t>
      </w:r>
      <w:r>
        <w:rPr>
          <w:rFonts w:hint="eastAsia" w:ascii="Times New Roman" w:hAnsi="Times New Roman" w:eastAsia="黑体" w:cs="黑体"/>
          <w:b/>
          <w:bCs/>
          <w:sz w:val="28"/>
          <w:szCs w:val="28"/>
          <w:lang w:val="en-US" w:eastAsia="zh-CN"/>
        </w:rPr>
        <w:t>城乡居民养老保险缴费补助</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tCC/u9cAAAAJAQAADwAAAAAAAAAB&#10;ACAAAAAiAAAAZHJzL2Rvd25yZXYueG1sUEsBAhQAFAAAAAgAh07iQA+HLUrYAQAAcAMAAA4AAAAA&#10;AAAAAQAgAAAAJgEAAGRycy9lMm9Eb2MueG1sUEsFBgAAAAAGAAYAWQEAAHA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202</w:t>
      </w:r>
      <w:r>
        <w:rPr>
          <w:rFonts w:hint="eastAsia" w:ascii="Times New Roman" w:hAnsi="Times New Roman" w:eastAsia="黑体" w:cs="Times New Roman"/>
          <w:b/>
          <w:bCs/>
          <w:sz w:val="28"/>
          <w:szCs w:val="28"/>
          <w:lang w:val="en-US" w:eastAsia="zh-CN"/>
        </w:rPr>
        <w:t>3</w:t>
      </w:r>
      <w:r>
        <w:rPr>
          <w:rFonts w:hint="eastAsia" w:ascii="Times New Roman" w:hAnsi="Times New Roman" w:eastAsia="黑体" w:cs="Times New Roman"/>
          <w:b/>
          <w:bCs/>
          <w:sz w:val="28"/>
          <w:szCs w:val="28"/>
        </w:rPr>
        <w:t>-</w:t>
      </w:r>
      <w:r>
        <w:rPr>
          <w:rFonts w:hint="eastAsia" w:ascii="Times New Roman" w:hAnsi="Times New Roman" w:eastAsia="黑体" w:cs="Times New Roman"/>
          <w:b/>
          <w:bCs/>
          <w:sz w:val="28"/>
          <w:szCs w:val="28"/>
          <w:lang w:val="en-US" w:eastAsia="zh-CN"/>
        </w:rPr>
        <w:t>4</w:t>
      </w:r>
      <w:r>
        <w:rPr>
          <w:rFonts w:hint="eastAsia" w:ascii="Times New Roman" w:hAnsi="Times New Roman" w:eastAsia="黑体" w:cs="Times New Roman"/>
          <w:b/>
          <w:bCs/>
          <w:sz w:val="28"/>
          <w:szCs w:val="28"/>
        </w:rPr>
        <w:t>-</w:t>
      </w:r>
      <w:r>
        <w:rPr>
          <w:rFonts w:hint="eastAsia" w:ascii="Times New Roman" w:hAnsi="Times New Roman" w:eastAsia="黑体" w:cs="Times New Roman"/>
          <w:b/>
          <w:bCs/>
          <w:sz w:val="28"/>
          <w:szCs w:val="28"/>
          <w:lang w:val="en-US" w:eastAsia="zh-CN"/>
        </w:rPr>
        <w:t>23</w:t>
      </w: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r>
        <w:rPr>
          <w:rFonts w:ascii="Times New Roman" w:hAnsi="Times New Roman" w:eastAsia="黑体" w:cs="Times New Roman"/>
          <w:b/>
          <w:bCs/>
          <w:sz w:val="28"/>
          <w:szCs w:val="28"/>
        </w:rPr>
        <w:t>20</w:t>
      </w:r>
      <w:r>
        <w:rPr>
          <w:rFonts w:hint="eastAsia" w:ascii="Times New Roman" w:hAnsi="Times New Roman" w:eastAsia="黑体" w:cs="Times New Roman"/>
          <w:b/>
          <w:bCs/>
          <w:sz w:val="28"/>
          <w:szCs w:val="28"/>
        </w:rPr>
        <w:t>2</w:t>
      </w:r>
      <w:r>
        <w:rPr>
          <w:rFonts w:hint="eastAsia" w:ascii="Times New Roman" w:hAnsi="Times New Roman" w:eastAsia="黑体" w:cs="Times New Roman"/>
          <w:b/>
          <w:bCs/>
          <w:sz w:val="28"/>
          <w:szCs w:val="28"/>
          <w:lang w:val="en-US" w:eastAsia="zh-CN"/>
        </w:rPr>
        <w:t>3</w:t>
      </w:r>
      <w:r>
        <w:rPr>
          <w:rFonts w:hint="eastAsia" w:ascii="Times New Roman" w:hAnsi="Times New Roman" w:eastAsia="黑体" w:cs="黑体"/>
          <w:b/>
          <w:bCs/>
          <w:sz w:val="28"/>
          <w:szCs w:val="28"/>
        </w:rPr>
        <w:t>年</w:t>
      </w:r>
      <w:r>
        <w:rPr>
          <w:rFonts w:hint="eastAsia" w:ascii="Times New Roman" w:hAnsi="Times New Roman" w:eastAsia="黑体" w:cs="Times New Roman"/>
          <w:b/>
          <w:bCs/>
          <w:sz w:val="28"/>
          <w:szCs w:val="28"/>
        </w:rPr>
        <w:t>0</w:t>
      </w:r>
      <w:r>
        <w:rPr>
          <w:rFonts w:hint="eastAsia" w:ascii="Times New Roman" w:hAnsi="Times New Roman" w:eastAsia="黑体" w:cs="Times New Roman"/>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32"/>
          <w:szCs w:val="32"/>
        </w:rPr>
      </w:pPr>
    </w:p>
    <w:p>
      <w:pPr>
        <w:widowControl/>
        <w:jc w:val="left"/>
        <w:rPr>
          <w:rFonts w:ascii="Times New Roman" w:hAnsi="Times New Roman" w:eastAsia="仿宋_GB2312" w:cs="Times New Roman"/>
          <w:b/>
          <w:bCs/>
          <w:sz w:val="32"/>
          <w:szCs w:val="32"/>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pageBreakBefore w:val="0"/>
        <w:kinsoku/>
        <w:overflowPunct/>
        <w:autoSpaceDE/>
        <w:autoSpaceDN/>
        <w:bidi w:val="0"/>
        <w:spacing w:line="520" w:lineRule="exact"/>
        <w:ind w:left="420" w:leftChars="200"/>
        <w:textAlignment w:val="auto"/>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6"/>
        <w:tblpPr w:leftFromText="180" w:rightFromText="180" w:vertAnchor="text" w:horzAnchor="margin" w:tblpY="72"/>
        <w:tblW w:w="8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222"/>
        <w:gridCol w:w="1940"/>
        <w:gridCol w:w="1681"/>
        <w:gridCol w:w="1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222"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940"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681"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5"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组长</w:t>
            </w:r>
          </w:p>
        </w:tc>
        <w:tc>
          <w:tcPr>
            <w:tcW w:w="1222"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eastAsia="zh-CN"/>
              </w:rPr>
              <w:t>施镜美</w:t>
            </w:r>
          </w:p>
        </w:tc>
        <w:tc>
          <w:tcPr>
            <w:tcW w:w="1940"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1681"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eastAsia="zh-TW"/>
              </w:rPr>
            </w:pPr>
          </w:p>
        </w:tc>
        <w:tc>
          <w:tcPr>
            <w:tcW w:w="1625" w:type="dxa"/>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副组长</w:t>
            </w:r>
          </w:p>
        </w:tc>
        <w:tc>
          <w:tcPr>
            <w:tcW w:w="1222"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刘</w:t>
            </w: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eastAsia="zh-CN"/>
              </w:rPr>
              <w:t>荣</w:t>
            </w:r>
          </w:p>
        </w:tc>
        <w:tc>
          <w:tcPr>
            <w:tcW w:w="1940"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副局长</w:t>
            </w:r>
          </w:p>
        </w:tc>
        <w:tc>
          <w:tcPr>
            <w:tcW w:w="1681"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sz w:val="24"/>
                <w:szCs w:val="24"/>
                <w:u w:color="000000"/>
                <w:lang w:val="zh-TW"/>
              </w:rPr>
            </w:pPr>
          </w:p>
        </w:tc>
        <w:tc>
          <w:tcPr>
            <w:tcW w:w="1625" w:type="dxa"/>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222"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w:t>
            </w:r>
            <w:r>
              <w:rPr>
                <w:rFonts w:hint="eastAsia" w:ascii="Times New Roman" w:hAnsi="Times New Roman" w:eastAsia="黑体" w:cs="黑体"/>
                <w:color w:val="000000"/>
                <w:sz w:val="24"/>
                <w:szCs w:val="24"/>
                <w:u w:color="000000"/>
                <w:lang w:val="en-US" w:eastAsia="zh-CN"/>
              </w:rPr>
              <w:t xml:space="preserve">  </w:t>
            </w:r>
            <w:r>
              <w:rPr>
                <w:rFonts w:hint="eastAsia" w:ascii="Times New Roman" w:hAnsi="Times New Roman" w:eastAsia="黑体" w:cs="黑体"/>
                <w:color w:val="000000"/>
                <w:sz w:val="24"/>
                <w:szCs w:val="24"/>
                <w:u w:color="000000"/>
                <w:lang w:val="zh-TW"/>
              </w:rPr>
              <w:t>蕾</w:t>
            </w:r>
          </w:p>
        </w:tc>
        <w:tc>
          <w:tcPr>
            <w:tcW w:w="1940"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1681"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eastAsia="zh-TW"/>
              </w:rPr>
            </w:pPr>
            <w:r>
              <w:rPr>
                <w:rFonts w:hint="eastAsia" w:ascii="Times New Roman" w:hAnsi="Times New Roman" w:eastAsia="黑体" w:cs="黑体"/>
                <w:color w:val="000000"/>
                <w:sz w:val="24"/>
                <w:szCs w:val="24"/>
                <w:u w:color="000000"/>
                <w:lang w:val="zh-TW"/>
              </w:rPr>
              <w:t>办公室</w:t>
            </w:r>
          </w:p>
        </w:tc>
        <w:tc>
          <w:tcPr>
            <w:tcW w:w="1625" w:type="dxa"/>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222"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王红云</w:t>
            </w:r>
          </w:p>
        </w:tc>
        <w:tc>
          <w:tcPr>
            <w:tcW w:w="1940"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业务科科长</w:t>
            </w:r>
          </w:p>
        </w:tc>
        <w:tc>
          <w:tcPr>
            <w:tcW w:w="1681"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w:t>
            </w:r>
          </w:p>
        </w:tc>
        <w:tc>
          <w:tcPr>
            <w:tcW w:w="1625" w:type="dxa"/>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kern w:val="2"/>
                <w:sz w:val="24"/>
                <w:szCs w:val="24"/>
                <w:u w:color="000000"/>
                <w:lang w:val="zh-TW" w:eastAsia="zh-CN" w:bidi="ar-SA"/>
              </w:rPr>
            </w:pPr>
            <w:r>
              <w:rPr>
                <w:rFonts w:hint="eastAsia" w:ascii="Times New Roman" w:hAnsi="Times New Roman" w:eastAsia="黑体" w:cs="黑体"/>
                <w:color w:val="000000"/>
                <w:sz w:val="24"/>
                <w:szCs w:val="24"/>
                <w:u w:color="000000"/>
                <w:lang w:val="zh-TW"/>
              </w:rPr>
              <w:t>成员</w:t>
            </w:r>
          </w:p>
        </w:tc>
        <w:tc>
          <w:tcPr>
            <w:tcW w:w="1222"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kern w:val="2"/>
                <w:sz w:val="24"/>
                <w:szCs w:val="24"/>
                <w:u w:color="000000"/>
                <w:lang w:val="en-US" w:eastAsia="zh-CN" w:bidi="ar-SA"/>
              </w:rPr>
            </w:pPr>
            <w:r>
              <w:rPr>
                <w:rFonts w:hint="eastAsia" w:ascii="Times New Roman" w:hAnsi="Times New Roman" w:eastAsia="黑体" w:cs="黑体"/>
                <w:color w:val="000000"/>
                <w:kern w:val="2"/>
                <w:sz w:val="24"/>
                <w:szCs w:val="24"/>
                <w:u w:color="000000"/>
                <w:lang w:val="en-US" w:eastAsia="zh-CN" w:bidi="ar-SA"/>
              </w:rPr>
              <w:t>刘  娜</w:t>
            </w:r>
          </w:p>
        </w:tc>
        <w:tc>
          <w:tcPr>
            <w:tcW w:w="1940"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kern w:val="2"/>
                <w:sz w:val="24"/>
                <w:szCs w:val="24"/>
                <w:u w:color="000000"/>
                <w:lang w:val="zh-TW" w:eastAsia="zh-CN" w:bidi="ar-SA"/>
              </w:rPr>
            </w:pPr>
            <w:r>
              <w:rPr>
                <w:rFonts w:hint="eastAsia" w:ascii="Times New Roman" w:hAnsi="Times New Roman" w:eastAsia="黑体" w:cs="黑体"/>
                <w:color w:val="000000"/>
                <w:sz w:val="24"/>
                <w:szCs w:val="24"/>
                <w:u w:color="000000"/>
                <w:lang w:val="zh-TW"/>
              </w:rPr>
              <w:t>稽核科科长</w:t>
            </w:r>
          </w:p>
        </w:tc>
        <w:tc>
          <w:tcPr>
            <w:tcW w:w="1681"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kern w:val="2"/>
                <w:sz w:val="24"/>
                <w:szCs w:val="24"/>
                <w:u w:color="000000"/>
                <w:lang w:val="zh-TW" w:eastAsia="zh-CN" w:bidi="ar-SA"/>
              </w:rPr>
            </w:pPr>
            <w:r>
              <w:rPr>
                <w:rFonts w:hint="eastAsia" w:ascii="Times New Roman" w:hAnsi="Times New Roman" w:eastAsia="黑体" w:cs="黑体"/>
                <w:color w:val="000000"/>
                <w:sz w:val="24"/>
                <w:szCs w:val="24"/>
                <w:u w:color="000000"/>
                <w:lang w:val="zh-TW"/>
              </w:rPr>
              <w:t>稽核科</w:t>
            </w:r>
          </w:p>
        </w:tc>
        <w:tc>
          <w:tcPr>
            <w:tcW w:w="1625" w:type="dxa"/>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222"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kern w:val="2"/>
                <w:sz w:val="24"/>
                <w:szCs w:val="24"/>
                <w:u w:color="000000"/>
                <w:lang w:val="en-US" w:eastAsia="zh-CN" w:bidi="ar-SA"/>
              </w:rPr>
              <w:t>罗姗昀</w:t>
            </w:r>
          </w:p>
        </w:tc>
        <w:tc>
          <w:tcPr>
            <w:tcW w:w="1940"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eastAsia="zh-CN"/>
              </w:rPr>
              <w:t>财务</w:t>
            </w:r>
            <w:r>
              <w:rPr>
                <w:rFonts w:hint="eastAsia" w:ascii="Times New Roman" w:hAnsi="Times New Roman" w:eastAsia="黑体" w:cs="黑体"/>
                <w:color w:val="000000"/>
                <w:sz w:val="24"/>
                <w:szCs w:val="24"/>
                <w:u w:color="000000"/>
                <w:lang w:val="zh-TW"/>
              </w:rPr>
              <w:t>科科长</w:t>
            </w:r>
          </w:p>
        </w:tc>
        <w:tc>
          <w:tcPr>
            <w:tcW w:w="1681"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p>
        </w:tc>
        <w:tc>
          <w:tcPr>
            <w:tcW w:w="1625" w:type="dxa"/>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222"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洪玉莲</w:t>
            </w:r>
          </w:p>
        </w:tc>
        <w:tc>
          <w:tcPr>
            <w:tcW w:w="1940" w:type="dxa"/>
            <w:vAlign w:val="top"/>
          </w:tcPr>
          <w:p>
            <w:pPr>
              <w:pageBreakBefore w:val="0"/>
              <w:kinsoku/>
              <w:overflowPunct/>
              <w:autoSpaceDE/>
              <w:autoSpaceDN/>
              <w:bidi w:val="0"/>
              <w:spacing w:line="520" w:lineRule="exact"/>
              <w:jc w:val="center"/>
              <w:textAlignment w:val="auto"/>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zh-TW"/>
              </w:rPr>
              <w:t>财务科</w:t>
            </w:r>
            <w:r>
              <w:rPr>
                <w:rFonts w:hint="eastAsia" w:ascii="Times New Roman" w:hAnsi="Times New Roman" w:eastAsia="黑体" w:cs="黑体"/>
                <w:color w:val="000000"/>
                <w:sz w:val="24"/>
                <w:szCs w:val="24"/>
                <w:u w:color="000000"/>
                <w:lang w:val="zh-TW" w:eastAsia="zh-CN"/>
              </w:rPr>
              <w:t>经费会计</w:t>
            </w:r>
          </w:p>
        </w:tc>
        <w:tc>
          <w:tcPr>
            <w:tcW w:w="1681" w:type="dxa"/>
            <w:vAlign w:val="top"/>
          </w:tcPr>
          <w:p>
            <w:pPr>
              <w:pageBreakBefore w:val="0"/>
              <w:kinsoku/>
              <w:overflowPunct/>
              <w:autoSpaceDE/>
              <w:autoSpaceDN/>
              <w:bidi w:val="0"/>
              <w:spacing w:line="52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p>
        </w:tc>
        <w:tc>
          <w:tcPr>
            <w:tcW w:w="1625" w:type="dxa"/>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088" w:type="dxa"/>
            <w:gridSpan w:val="5"/>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rPr>
            </w:pPr>
          </w:p>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rPr>
            </w:pPr>
          </w:p>
          <w:p>
            <w:pPr>
              <w:pageBreakBefore w:val="0"/>
              <w:kinsoku/>
              <w:wordWrap w:val="0"/>
              <w:overflowPunct/>
              <w:autoSpaceDE/>
              <w:autoSpaceDN/>
              <w:bidi w:val="0"/>
              <w:spacing w:line="520" w:lineRule="exact"/>
              <w:jc w:val="righ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088" w:type="dxa"/>
            <w:gridSpan w:val="5"/>
          </w:tcPr>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rPr>
            </w:pPr>
          </w:p>
          <w:p>
            <w:pPr>
              <w:pageBreakBefore w:val="0"/>
              <w:kinsoku/>
              <w:overflowPunct/>
              <w:autoSpaceDE/>
              <w:autoSpaceDN/>
              <w:bidi w:val="0"/>
              <w:spacing w:line="520" w:lineRule="exact"/>
              <w:textAlignment w:val="auto"/>
              <w:rPr>
                <w:rFonts w:ascii="Times New Roman" w:hAnsi="Times New Roman" w:eastAsia="黑体" w:cs="黑体"/>
                <w:color w:val="000000"/>
                <w:sz w:val="24"/>
                <w:szCs w:val="24"/>
                <w:u w:color="000000"/>
                <w:lang w:val="zh-TW"/>
              </w:rPr>
            </w:pPr>
          </w:p>
          <w:p>
            <w:pPr>
              <w:pageBreakBefore w:val="0"/>
              <w:kinsoku/>
              <w:wordWrap w:val="0"/>
              <w:overflowPunct/>
              <w:autoSpaceDE/>
              <w:autoSpaceDN/>
              <w:bidi w:val="0"/>
              <w:spacing w:line="520" w:lineRule="exact"/>
              <w:jc w:val="righ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pageBreakBefore w:val="0"/>
        <w:kinsoku/>
        <w:overflowPunct/>
        <w:autoSpaceDE/>
        <w:autoSpaceDN/>
        <w:bidi w:val="0"/>
        <w:spacing w:line="520" w:lineRule="exact"/>
        <w:ind w:firstLine="566" w:firstLineChars="236"/>
        <w:textAlignment w:val="auto"/>
        <w:rPr>
          <w:rFonts w:ascii="Times New Roman" w:hAnsi="Times New Roman" w:eastAsia="PMingLiU" w:cs="Times New Roman"/>
          <w:color w:val="000000"/>
          <w:sz w:val="24"/>
          <w:szCs w:val="24"/>
          <w:u w:color="000000"/>
          <w:lang w:val="zh-TW" w:eastAsia="zh-TW"/>
        </w:rPr>
      </w:pPr>
    </w:p>
    <w:p>
      <w:pPr>
        <w:pageBreakBefore w:val="0"/>
        <w:kinsoku/>
        <w:overflowPunct/>
        <w:autoSpaceDE/>
        <w:autoSpaceDN/>
        <w:bidi w:val="0"/>
        <w:spacing w:line="520" w:lineRule="exact"/>
        <w:textAlignment w:val="auto"/>
        <w:rPr>
          <w:rFonts w:ascii="Times New Roman" w:hAnsi="Times New Roman" w:eastAsia="宋体" w:cs="Times New Roman"/>
          <w:color w:val="000000"/>
          <w:sz w:val="24"/>
          <w:szCs w:val="24"/>
          <w:u w:color="000000"/>
          <w:lang w:val="zh-TW"/>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pPr>
        <w:keepNext/>
        <w:keepLines/>
        <w:widowControl/>
        <w:spacing w:before="480" w:line="276" w:lineRule="auto"/>
        <w:jc w:val="center"/>
        <w:rPr>
          <w:rFonts w:ascii="Times New Roman" w:hAnsi="Times New Roman" w:eastAsia="宋体" w:cs="Times New Roman"/>
          <w:b/>
          <w:bCs/>
          <w:kern w:val="0"/>
          <w:sz w:val="32"/>
          <w:szCs w:val="32"/>
          <w:lang w:val="zh-CN" w:eastAsia="zh-CN"/>
        </w:rPr>
      </w:pPr>
      <w:bookmarkStart w:id="0" w:name="_GoBack"/>
      <w:bookmarkEnd w:id="0"/>
      <w:r>
        <w:rPr>
          <w:rFonts w:hint="eastAsia" w:ascii="Times New Roman" w:hAnsi="Times New Roman" w:eastAsia="宋体" w:cs="宋体"/>
          <w:b/>
          <w:bCs/>
          <w:kern w:val="0"/>
          <w:sz w:val="32"/>
          <w:szCs w:val="32"/>
          <w:lang w:val="zh-CN" w:eastAsia="zh-CN"/>
        </w:rPr>
        <w:t>目录</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摘要</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一、 项目基本情况</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（一）项目立项背景</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 xml:space="preserve">（二）项目立项依据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（三）项目实施内容</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（四）项目实施计划及完成情况</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（五）项目的组织及管理</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 xml:space="preserve">（六）项目绩效目标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二、绩效评价工作情况</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(一)评价的目的和依据</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(二)绩效评价工作方案制定过程</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(三)绩效评价原则、评价方法等</w:t>
      </w:r>
      <w:r>
        <w:rPr>
          <w:rFonts w:hint="eastAsia" w:ascii="黑体" w:hAnsi="黑体" w:eastAsia="黑体" w:cs="Times New Roman"/>
          <w:sz w:val="32"/>
          <w:szCs w:val="32"/>
        </w:rPr>
        <w:tab/>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(四)绩效评价实施过程</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(五)绩效评价的局限性</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 xml:space="preserve">三、评价结论及绩效分析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(一)评价结论</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(二)绩效分析</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 xml:space="preserve">四、项目主要经验及做法、存在的问题和建议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(一)主要经验及做法</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(二)存在的问题</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 xml:space="preserve">(三)建议和改进措施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五、附件</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附件一：项目支出绩效评价共性指标体系框架</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附件二：项目申报表</w:t>
      </w: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540" w:lineRule="exact"/>
        <w:rPr>
          <w:rFonts w:ascii="方正小标宋_GBK" w:hAnsi="黑体" w:eastAsia="方正小标宋_GBK" w:cs="Times New Roman"/>
          <w:sz w:val="32"/>
          <w:szCs w:val="32"/>
        </w:rPr>
      </w:pPr>
    </w:p>
    <w:p>
      <w:pPr>
        <w:spacing w:line="440" w:lineRule="exact"/>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ab/>
      </w:r>
      <w:r>
        <w:rPr>
          <w:rFonts w:hint="eastAsia" w:ascii="黑体" w:hAnsi="黑体" w:eastAsia="黑体" w:cs="Times New Roman"/>
          <w:sz w:val="32"/>
          <w:szCs w:val="32"/>
        </w:rPr>
        <w:t xml:space="preserve">  </w:t>
      </w:r>
    </w:p>
    <w:p>
      <w:pPr>
        <w:spacing w:line="440" w:lineRule="exact"/>
        <w:ind w:firstLine="640" w:firstLineChars="200"/>
        <w:jc w:val="left"/>
        <w:rPr>
          <w:rFonts w:ascii="黑体" w:hAnsi="黑体" w:eastAsia="黑体" w:cs="Times New Roman"/>
          <w:sz w:val="32"/>
          <w:szCs w:val="32"/>
        </w:rPr>
      </w:pPr>
    </w:p>
    <w:p>
      <w:pPr>
        <w:spacing w:line="540" w:lineRule="exact"/>
        <w:rPr>
          <w:rFonts w:ascii="方正小标宋_GBK" w:hAnsi="黑体" w:eastAsia="方正小标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Calibri" w:eastAsia="方正小标宋_GBK" w:cs="Times New Roman"/>
          <w:sz w:val="44"/>
          <w:szCs w:val="44"/>
        </w:rPr>
      </w:pPr>
      <w:r>
        <w:rPr>
          <w:rFonts w:hint="eastAsia" w:ascii="方正小标宋_GBK" w:hAnsi="Calibri" w:eastAsia="方正小标宋_GBK" w:cs="Times New Roman"/>
          <w:sz w:val="44"/>
          <w:szCs w:val="44"/>
          <w:lang w:val="en-US" w:eastAsia="zh-CN"/>
        </w:rPr>
        <w:t>水源区城乡居民养老保险缴费补助</w:t>
      </w:r>
      <w:r>
        <w:rPr>
          <w:rFonts w:hint="eastAsia" w:ascii="方正小标宋_GBK" w:hAnsi="Calibri" w:eastAsia="方正小标宋_GBK" w:cs="Times New Roman"/>
          <w:sz w:val="44"/>
          <w:szCs w:val="44"/>
        </w:rPr>
        <w:t>项目支出绩效自评报告</w:t>
      </w:r>
    </w:p>
    <w:p>
      <w:pPr>
        <w:pageBreakBefore w:val="0"/>
        <w:kinsoku/>
        <w:overflowPunct/>
        <w:autoSpaceDE/>
        <w:autoSpaceDN/>
        <w:bidi w:val="0"/>
        <w:spacing w:line="560" w:lineRule="exact"/>
        <w:jc w:val="center"/>
        <w:textAlignment w:val="auto"/>
        <w:rPr>
          <w:rFonts w:hint="eastAsia" w:ascii="方正小标宋_GBK" w:hAnsi="黑体" w:eastAsia="方正小标宋_GBK"/>
          <w:sz w:val="32"/>
          <w:szCs w:val="32"/>
        </w:rPr>
      </w:pPr>
      <w:r>
        <w:rPr>
          <w:rFonts w:hint="eastAsia" w:ascii="方正小标宋_GBK" w:hAnsi="黑体" w:eastAsia="方正小标宋_GBK"/>
          <w:sz w:val="32"/>
          <w:szCs w:val="32"/>
        </w:rPr>
        <w:t>摘要</w:t>
      </w:r>
    </w:p>
    <w:p>
      <w:pPr>
        <w:pageBreakBefore w:val="0"/>
        <w:numPr>
          <w:ilvl w:val="0"/>
          <w:numId w:val="0"/>
        </w:numPr>
        <w:kinsoku/>
        <w:overflowPunct/>
        <w:autoSpaceDE/>
        <w:autoSpaceDN/>
        <w:bidi w:val="0"/>
        <w:spacing w:line="560" w:lineRule="exact"/>
        <w:jc w:val="left"/>
        <w:textAlignment w:val="auto"/>
        <w:rPr>
          <w:rFonts w:hint="eastAsia" w:ascii="黑体" w:hAnsi="黑体" w:eastAsia="黑体"/>
          <w:sz w:val="32"/>
          <w:szCs w:val="32"/>
          <w:lang w:eastAsia="zh-CN"/>
        </w:rPr>
      </w:pPr>
    </w:p>
    <w:p>
      <w:pPr>
        <w:keepNext w:val="0"/>
        <w:keepLines w:val="0"/>
        <w:pageBreakBefore w:val="0"/>
        <w:widowControl w:val="0"/>
        <w:numPr>
          <w:ilvl w:val="0"/>
          <w:numId w:val="1"/>
        </w:numPr>
        <w:kinsoku/>
        <w:wordWrap/>
        <w:overflowPunct/>
        <w:autoSpaceDE/>
        <w:autoSpaceDN/>
        <w:bidi w:val="0"/>
        <w:adjustRightInd/>
        <w:spacing w:line="520" w:lineRule="exact"/>
        <w:ind w:left="-10" w:leftChars="0" w:firstLine="640" w:firstLineChars="0"/>
        <w:jc w:val="left"/>
        <w:textAlignment w:val="auto"/>
        <w:rPr>
          <w:rFonts w:hint="eastAsia" w:ascii="黑体" w:hAnsi="黑体" w:eastAsia="黑体"/>
          <w:sz w:val="32"/>
          <w:szCs w:val="32"/>
        </w:rPr>
      </w:pPr>
      <w:r>
        <w:rPr>
          <w:rFonts w:hint="eastAsia" w:ascii="黑体" w:hAnsi="黑体" w:eastAsia="黑体"/>
          <w:sz w:val="32"/>
          <w:szCs w:val="32"/>
        </w:rPr>
        <w:t>项目概况</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盘龙区人民政府关于印发《盘龙区松华坝饮用水源保护区生活补助办法》的通知》（盘政发〔2021〕12号）精神，符合参保条件并自愿参保缴费，同时符合补助条件的居民，每人每年享受200元的参保缴费补助。</w:t>
      </w:r>
    </w:p>
    <w:p>
      <w:pPr>
        <w:keepNext w:val="0"/>
        <w:keepLines w:val="0"/>
        <w:pageBreakBefore w:val="0"/>
        <w:widowControl w:val="0"/>
        <w:kinsoku/>
        <w:wordWrap/>
        <w:overflowPunct/>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黑体" w:eastAsia="仿宋_GB2312" w:cs="Times New Roman"/>
          <w:sz w:val="32"/>
          <w:szCs w:val="32"/>
          <w:lang w:val="en-US" w:eastAsia="zh-CN"/>
        </w:rPr>
        <w:t>2022</w:t>
      </w:r>
      <w:r>
        <w:rPr>
          <w:rFonts w:hint="eastAsia" w:ascii="仿宋_GB2312" w:hAnsi="黑体" w:eastAsia="仿宋_GB2312" w:cs="Times New Roman"/>
          <w:sz w:val="32"/>
          <w:szCs w:val="32"/>
        </w:rPr>
        <w:t>年，</w:t>
      </w:r>
      <w:r>
        <w:rPr>
          <w:rFonts w:hint="eastAsia" w:ascii="仿宋_GB2312" w:hAnsi="仿宋" w:eastAsia="仿宋_GB2312"/>
          <w:sz w:val="32"/>
          <w:szCs w:val="32"/>
        </w:rPr>
        <w:t>盘龙区共有</w:t>
      </w:r>
      <w:r>
        <w:rPr>
          <w:rFonts w:hint="eastAsia" w:ascii="仿宋_GB2312" w:hAnsi="仿宋" w:eastAsia="仿宋_GB2312"/>
          <w:sz w:val="32"/>
          <w:szCs w:val="32"/>
          <w:lang w:val="en-US" w:eastAsia="zh-CN"/>
        </w:rPr>
        <w:t>31603</w:t>
      </w:r>
      <w:r>
        <w:rPr>
          <w:rFonts w:hint="eastAsia" w:ascii="仿宋_GB2312" w:hAnsi="仿宋" w:eastAsia="仿宋_GB2312"/>
          <w:sz w:val="32"/>
          <w:szCs w:val="32"/>
        </w:rPr>
        <w:t>人享受了水源区缴费补助，拨付补助资金</w:t>
      </w:r>
      <w:r>
        <w:rPr>
          <w:rFonts w:hint="eastAsia" w:ascii="仿宋_GB2312" w:hAnsi="仿宋" w:eastAsia="仿宋_GB2312"/>
          <w:sz w:val="32"/>
          <w:szCs w:val="32"/>
          <w:lang w:val="en-US" w:eastAsia="zh-CN"/>
        </w:rPr>
        <w:t>626.23</w:t>
      </w:r>
      <w:r>
        <w:rPr>
          <w:rFonts w:hint="eastAsia" w:ascii="仿宋_GB2312" w:hAnsi="仿宋" w:eastAsia="仿宋_GB2312"/>
          <w:sz w:val="32"/>
          <w:szCs w:val="32"/>
        </w:rPr>
        <w:t>万元，实现</w:t>
      </w:r>
      <w:r>
        <w:rPr>
          <w:rFonts w:ascii="仿宋_GB2312" w:hAnsi="仿宋" w:eastAsia="仿宋_GB2312"/>
          <w:sz w:val="32"/>
          <w:szCs w:val="32"/>
        </w:rPr>
        <w:t>了符合补助</w:t>
      </w:r>
      <w:r>
        <w:rPr>
          <w:rFonts w:hint="eastAsia" w:ascii="仿宋_GB2312" w:hAnsi="仿宋" w:eastAsia="仿宋_GB2312"/>
          <w:sz w:val="32"/>
          <w:szCs w:val="32"/>
        </w:rPr>
        <w:t>条件</w:t>
      </w:r>
      <w:r>
        <w:rPr>
          <w:rFonts w:ascii="仿宋_GB2312" w:hAnsi="仿宋" w:eastAsia="仿宋_GB2312"/>
          <w:sz w:val="32"/>
          <w:szCs w:val="32"/>
        </w:rPr>
        <w:t>的水源区参保人员</w:t>
      </w:r>
      <w:r>
        <w:rPr>
          <w:rFonts w:hint="eastAsia" w:ascii="仿宋_GB2312" w:hAnsi="仿宋" w:eastAsia="仿宋_GB2312"/>
          <w:sz w:val="32"/>
          <w:szCs w:val="32"/>
        </w:rPr>
        <w:t>100</w:t>
      </w:r>
      <w:r>
        <w:rPr>
          <w:rFonts w:ascii="仿宋_GB2312" w:hAnsi="仿宋" w:eastAsia="仿宋_GB2312"/>
          <w:sz w:val="32"/>
          <w:szCs w:val="32"/>
        </w:rPr>
        <w:t>%享受补助</w:t>
      </w:r>
      <w:r>
        <w:rPr>
          <w:rFonts w:hint="eastAsia" w:ascii="仿宋_GB2312" w:hAnsi="仿宋" w:eastAsia="仿宋_GB2312"/>
          <w:sz w:val="32"/>
          <w:szCs w:val="32"/>
        </w:rPr>
        <w:t>。</w:t>
      </w:r>
    </w:p>
    <w:p>
      <w:pPr>
        <w:keepNext w:val="0"/>
        <w:keepLines w:val="0"/>
        <w:pageBreakBefore w:val="0"/>
        <w:widowControl w:val="0"/>
        <w:numPr>
          <w:ilvl w:val="0"/>
          <w:numId w:val="1"/>
        </w:numPr>
        <w:kinsoku/>
        <w:wordWrap/>
        <w:overflowPunct/>
        <w:autoSpaceDE/>
        <w:autoSpaceDN/>
        <w:bidi w:val="0"/>
        <w:adjustRightInd/>
        <w:spacing w:line="520" w:lineRule="exact"/>
        <w:ind w:left="-10" w:leftChars="0" w:firstLine="640" w:firstLineChars="0"/>
        <w:jc w:val="left"/>
        <w:textAlignment w:val="auto"/>
        <w:rPr>
          <w:rFonts w:hint="eastAsia" w:ascii="黑体" w:hAnsi="黑体" w:eastAsia="黑体"/>
          <w:sz w:val="32"/>
          <w:szCs w:val="32"/>
        </w:rPr>
      </w:pPr>
      <w:r>
        <w:rPr>
          <w:rFonts w:hint="eastAsia" w:ascii="黑体" w:hAnsi="黑体" w:eastAsia="黑体"/>
          <w:sz w:val="32"/>
          <w:szCs w:val="32"/>
        </w:rPr>
        <w:t>评价结论</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支出绩效评价指标确定的内容，经评价组综合评价，</w:t>
      </w:r>
      <w:r>
        <w:rPr>
          <w:rFonts w:hint="eastAsia" w:ascii="仿宋_GB2312" w:hAnsi="仿宋_GB2312" w:eastAsia="仿宋_GB2312" w:cs="仿宋_GB2312"/>
          <w:sz w:val="32"/>
          <w:szCs w:val="32"/>
          <w:lang w:eastAsia="zh-CN"/>
        </w:rPr>
        <w:t>水源区</w:t>
      </w:r>
      <w:r>
        <w:rPr>
          <w:rFonts w:hint="eastAsia" w:ascii="仿宋_GB2312" w:hAnsi="仿宋_GB2312" w:eastAsia="仿宋_GB2312" w:cs="仿宋_GB2312"/>
          <w:sz w:val="32"/>
          <w:szCs w:val="32"/>
        </w:rPr>
        <w:t>城乡居民养老保险</w:t>
      </w:r>
      <w:r>
        <w:rPr>
          <w:rFonts w:hint="eastAsia" w:ascii="仿宋_GB2312" w:hAnsi="仿宋_GB2312" w:eastAsia="仿宋_GB2312" w:cs="仿宋_GB2312"/>
          <w:sz w:val="32"/>
          <w:szCs w:val="32"/>
          <w:lang w:eastAsia="zh-CN"/>
        </w:rPr>
        <w:t>缴费</w:t>
      </w:r>
      <w:r>
        <w:rPr>
          <w:rFonts w:hint="eastAsia" w:ascii="仿宋_GB2312" w:hAnsi="仿宋_GB2312" w:eastAsia="仿宋_GB2312" w:cs="仿宋_GB2312"/>
          <w:sz w:val="32"/>
          <w:szCs w:val="32"/>
        </w:rPr>
        <w:t>补助</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支出绩效评为 “优”</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autoSpaceDE/>
        <w:autoSpaceDN/>
        <w:bidi w:val="0"/>
        <w:adjustRightInd/>
        <w:spacing w:line="520" w:lineRule="exact"/>
        <w:ind w:left="630" w:leftChars="0"/>
        <w:jc w:val="left"/>
        <w:textAlignment w:val="auto"/>
        <w:rPr>
          <w:rFonts w:hint="eastAsia" w:ascii="黑体" w:hAnsi="黑体" w:eastAsia="黑体"/>
          <w:sz w:val="32"/>
          <w:szCs w:val="32"/>
        </w:rPr>
      </w:pPr>
      <w:r>
        <w:rPr>
          <w:rFonts w:hint="eastAsia" w:ascii="黑体" w:hAnsi="黑体" w:eastAsia="黑体"/>
          <w:sz w:val="32"/>
          <w:szCs w:val="32"/>
        </w:rPr>
        <w:t>三、经验、问题和建议</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1.主要经验及做法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建立健全内部控制制度，规范经办流程，确保及时拨付水源区缴费补助。</w:t>
      </w:r>
    </w:p>
    <w:p>
      <w:pPr>
        <w:keepNext w:val="0"/>
        <w:keepLines w:val="0"/>
        <w:pageBreakBefore w:val="0"/>
        <w:widowControl w:val="0"/>
        <w:numPr>
          <w:numId w:val="0"/>
        </w:numPr>
        <w:kinsoku/>
        <w:wordWrap/>
        <w:overflowPunct/>
        <w:topLinePunct/>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存在的问题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松华坝水源区城乡居民保险缴费补助的实际支付率有下降。</w:t>
      </w:r>
    </w:p>
    <w:p>
      <w:pPr>
        <w:keepNext w:val="0"/>
        <w:keepLines w:val="0"/>
        <w:pageBreakBefore w:val="0"/>
        <w:widowControl w:val="0"/>
        <w:numPr>
          <w:ilvl w:val="0"/>
          <w:numId w:val="2"/>
        </w:numPr>
        <w:kinsoku/>
        <w:wordWrap/>
        <w:overflowPunct/>
        <w:topLinePunct/>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改进措施及建议</w:t>
      </w:r>
      <w:r>
        <w:rPr>
          <w:rFonts w:hint="eastAsia" w:ascii="仿宋_GB2312" w:hAnsi="仿宋_GB2312" w:eastAsia="仿宋_GB2312" w:cs="仿宋_GB2312"/>
          <w:sz w:val="32"/>
          <w:szCs w:val="32"/>
          <w:lang w:eastAsia="zh-CN"/>
        </w:rPr>
        <w:t>：一是宽业务</w:t>
      </w:r>
      <w:r>
        <w:rPr>
          <w:rFonts w:hint="eastAsia" w:ascii="仿宋_GB2312" w:hAnsi="仿宋_GB2312" w:eastAsia="仿宋_GB2312" w:cs="仿宋_GB2312"/>
          <w:sz w:val="32"/>
          <w:szCs w:val="32"/>
        </w:rPr>
        <w:t>培训范围，增加基础经办人员业务培训，提升业务经办水平</w:t>
      </w: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加大政策的普及和宣传力度</w:t>
      </w:r>
      <w:r>
        <w:rPr>
          <w:rFonts w:hint="eastAsia" w:ascii="仿宋_GB2312" w:hAnsi="仿宋_GB2312" w:eastAsia="仿宋_GB2312" w:cs="仿宋_GB2312"/>
          <w:sz w:val="32"/>
          <w:szCs w:val="32"/>
          <w:lang w:eastAsia="zh-CN"/>
        </w:rPr>
        <w:t>，提高</w:t>
      </w:r>
      <w:r>
        <w:rPr>
          <w:rFonts w:hint="eastAsia" w:ascii="仿宋_GB2312" w:hAnsi="仿宋_GB2312" w:eastAsia="仿宋_GB2312" w:cs="仿宋_GB2312"/>
          <w:sz w:val="32"/>
          <w:szCs w:val="32"/>
        </w:rPr>
        <w:t>参保缴费</w:t>
      </w:r>
      <w:r>
        <w:rPr>
          <w:rFonts w:hint="eastAsia" w:ascii="仿宋_GB2312" w:hAnsi="仿宋_GB2312" w:eastAsia="仿宋_GB2312" w:cs="仿宋_GB2312"/>
          <w:sz w:val="32"/>
          <w:szCs w:val="32"/>
          <w:lang w:eastAsia="zh-CN"/>
        </w:rPr>
        <w:t>及水源区缴费补贴政策知晓率</w:t>
      </w:r>
      <w:r>
        <w:rPr>
          <w:rFonts w:hint="eastAsia" w:ascii="仿宋_GB2312" w:hAnsi="仿宋_GB2312" w:eastAsia="仿宋_GB2312" w:cs="仿宋_GB2312"/>
          <w:sz w:val="32"/>
          <w:szCs w:val="32"/>
        </w:rPr>
        <w:t>，积极与税局、财政对账，保障参保人及时享受缴费补贴、领取养老待遇</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Calibri" w:eastAsia="方正小标宋_GBK" w:cs="Times New Roman"/>
          <w:sz w:val="44"/>
          <w:szCs w:val="44"/>
          <w:lang w:val="en-US" w:eastAsia="zh-CN"/>
        </w:rPr>
      </w:pPr>
      <w:r>
        <w:rPr>
          <w:rFonts w:hint="eastAsia" w:ascii="方正小标宋_GBK" w:hAnsi="Calibri" w:eastAsia="方正小标宋_GBK" w:cs="Times New Roman"/>
          <w:sz w:val="44"/>
          <w:szCs w:val="44"/>
          <w:lang w:val="en-US" w:eastAsia="zh-CN"/>
        </w:rPr>
        <w:t>水</w:t>
      </w:r>
      <w:r>
        <w:rPr>
          <w:rFonts w:hint="eastAsia" w:ascii="方正小标宋_GBK" w:hAnsi="Calibri" w:eastAsia="方正小标宋_GBK" w:cs="Times New Roman"/>
          <w:sz w:val="44"/>
          <w:szCs w:val="44"/>
          <w:lang w:val="en-US" w:eastAsia="zh-CN"/>
        </w:rPr>
        <w:t>源区城乡居民养老保险缴费补助项目支出绩效自评报告</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Calibri" w:eastAsia="方正小标宋_GBK" w:cs="Times New Roman"/>
          <w:sz w:val="44"/>
          <w:szCs w:val="44"/>
          <w:lang w:val="en-US" w:eastAsia="zh-CN"/>
        </w:rPr>
      </w:pPr>
    </w:p>
    <w:p>
      <w:pPr>
        <w:topLinePunct/>
        <w:spacing w:line="440" w:lineRule="exact"/>
        <w:ind w:firstLine="800" w:firstLineChars="250"/>
        <w:rPr>
          <w:rFonts w:ascii="黑体" w:hAnsi="Calibri" w:eastAsia="黑体" w:cs="Times New Roman"/>
          <w:sz w:val="32"/>
          <w:szCs w:val="32"/>
        </w:rPr>
      </w:pPr>
      <w:r>
        <w:rPr>
          <w:rFonts w:hint="eastAsia" w:ascii="黑体" w:hAnsi="黑体" w:eastAsia="黑体"/>
          <w:sz w:val="32"/>
          <w:szCs w:val="32"/>
          <w:lang w:eastAsia="zh-CN"/>
        </w:rPr>
        <w:t>一、项目基本情况</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（一）项目概况。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1.立项背景及目的。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盘龙区人民政府关于印发《盘龙区松华坝饮用水源保护区生活补助办法》的通知》（盘政发〔2021〕12号）精神，符合参保条件并自愿参保缴费，同时符合补助条件的居民，每人每年享受200元的参保缴费补助。</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松华坝水源区年满16周岁（不含在校学生）非国家机关和事业单位工作人员及不属于职工基本养老保险制度覆盖范围，自愿参加城乡居民基本养老保险并按时缴费的参保人，每人每年给以200元的参保缴费补助。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项目资金由区级财政预算拨款，2022年，</w:t>
      </w:r>
      <w:r>
        <w:rPr>
          <w:rFonts w:hint="eastAsia" w:ascii="仿宋_GB2312" w:hAnsi="仿宋_GB2312" w:eastAsia="仿宋_GB2312" w:cs="仿宋_GB2312"/>
          <w:sz w:val="32"/>
          <w:szCs w:val="32"/>
        </w:rPr>
        <w:t>盘龙区共有</w:t>
      </w:r>
      <w:r>
        <w:rPr>
          <w:rFonts w:hint="eastAsia" w:ascii="仿宋_GB2312" w:hAnsi="仿宋_GB2312" w:eastAsia="仿宋_GB2312" w:cs="仿宋_GB2312"/>
          <w:sz w:val="32"/>
          <w:szCs w:val="32"/>
          <w:lang w:val="en-US" w:eastAsia="zh-CN"/>
        </w:rPr>
        <w:t>31603</w:t>
      </w:r>
      <w:r>
        <w:rPr>
          <w:rFonts w:hint="eastAsia" w:ascii="仿宋_GB2312" w:hAnsi="仿宋_GB2312" w:eastAsia="仿宋_GB2312" w:cs="仿宋_GB2312"/>
          <w:sz w:val="32"/>
          <w:szCs w:val="32"/>
        </w:rPr>
        <w:t>人享受了水源区缴费补助，拨付补助资金</w:t>
      </w:r>
      <w:r>
        <w:rPr>
          <w:rFonts w:hint="eastAsia" w:ascii="仿宋_GB2312" w:hAnsi="仿宋_GB2312" w:eastAsia="仿宋_GB2312" w:cs="仿宋_GB2312"/>
          <w:sz w:val="32"/>
          <w:szCs w:val="32"/>
          <w:lang w:val="en-US" w:eastAsia="zh-CN"/>
        </w:rPr>
        <w:t>626.23</w:t>
      </w:r>
      <w:r>
        <w:rPr>
          <w:rFonts w:hint="eastAsia" w:ascii="仿宋_GB2312" w:hAnsi="仿宋_GB2312" w:eastAsia="仿宋_GB2312" w:cs="仿宋_GB2312"/>
          <w:sz w:val="32"/>
          <w:szCs w:val="32"/>
        </w:rPr>
        <w:t>万元，实现了符合补助条件的水源区参保人员100%享受补助。</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为确保松华坝水库供水稳定、主城饮用水源安全，有效保障松华坝饮用水源区群众生产生活, 切实落实松花坝水源保护区城乡居民参加城乡居民基本养老保险补助，业务科负责办理城乡居民参保登记、待遇核定、退保注销等具体工作，财务科负责资金的的审核与划拨工作；各街道协助参保人填写相关表格，及时将参保信息提交业务科，同时做好参保人的生存认证等工作，对符合享受松华坝水源保护区居民养老保险补助的人员，为其申报缴费补助。业务科对水源保护区缴费补助相关材料进行复核，将符合享受水源区缴费补助人员名单</w:t>
      </w:r>
      <w:r>
        <w:rPr>
          <w:rFonts w:hint="eastAsia" w:ascii="仿宋_GB2312" w:hAnsi="仿宋_GB2312" w:eastAsia="仿宋_GB2312" w:cs="仿宋_GB2312"/>
          <w:sz w:val="32"/>
          <w:szCs w:val="32"/>
          <w:lang w:eastAsia="zh-CN"/>
        </w:rPr>
        <w:t>及拨款审批单</w:t>
      </w:r>
      <w:r>
        <w:rPr>
          <w:rFonts w:hint="eastAsia" w:ascii="仿宋_GB2312" w:hAnsi="仿宋_GB2312" w:eastAsia="仿宋_GB2312" w:cs="仿宋_GB2312"/>
          <w:sz w:val="32"/>
          <w:szCs w:val="32"/>
        </w:rPr>
        <w:t>提交给财务科，财务科按规定拨付水源保护区养老补助资金。</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（二）绩效目标。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为确保松华坝水库供水稳定、主城饮用水源安全，有效保障松华坝饮用水源区群众生产生活, 切实落实松华坝水源保护区城乡居民参加城乡居民基本养老保险补助，自愿</w:t>
      </w:r>
      <w:r>
        <w:rPr>
          <w:rFonts w:hint="eastAsia" w:ascii="仿宋_GB2312" w:hAnsi="仿宋_GB2312" w:eastAsia="仿宋_GB2312" w:cs="仿宋_GB2312"/>
          <w:sz w:val="32"/>
          <w:szCs w:val="32"/>
          <w:lang w:eastAsia="zh-CN"/>
        </w:rPr>
        <w:t>参</w:t>
      </w:r>
      <w:r>
        <w:rPr>
          <w:rFonts w:hint="eastAsia" w:ascii="仿宋_GB2312" w:hAnsi="仿宋_GB2312" w:eastAsia="仿宋_GB2312" w:cs="仿宋_GB2312"/>
          <w:sz w:val="32"/>
          <w:szCs w:val="32"/>
        </w:rPr>
        <w:t>加城乡居民基本养老保险并按时缴费的城乡居民享受200元参保缴费补助。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松华坝水源区年满16周岁（不含在校学生）非国家机关和事业单位工作人员及不属于职工基本养老保险制度覆盖范围，并自愿参加城乡居民基本养老保险并按时缴费的城乡居民给以参保缴费补助，有效保障水源区基本养老保险应保尽保。</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topLinePunct/>
        <w:spacing w:line="440" w:lineRule="exact"/>
        <w:ind w:firstLine="800" w:firstLineChars="250"/>
        <w:rPr>
          <w:rFonts w:ascii="黑体" w:hAnsi="黑体" w:eastAsia="黑体" w:cs="Times New Roman"/>
          <w:sz w:val="32"/>
          <w:szCs w:val="32"/>
        </w:rPr>
      </w:pPr>
      <w:r>
        <w:rPr>
          <w:rFonts w:hint="eastAsia" w:ascii="仿宋_GB2312" w:hAnsi="楷体" w:eastAsia="仿宋_GB2312" w:cs="Times New Roman"/>
          <w:sz w:val="32"/>
          <w:szCs w:val="32"/>
        </w:rPr>
        <w:tab/>
      </w:r>
      <w:r>
        <w:rPr>
          <w:rFonts w:hint="eastAsia" w:ascii="黑体" w:hAnsi="黑体" w:eastAsia="黑体" w:cs="Times New Roman"/>
          <w:sz w:val="32"/>
          <w:szCs w:val="32"/>
        </w:rPr>
        <w:t>二、绩效评价工作情况</w:t>
      </w:r>
    </w:p>
    <w:p>
      <w:pPr>
        <w:pStyle w:val="10"/>
        <w:numPr>
          <w:ilvl w:val="0"/>
          <w:numId w:val="3"/>
        </w:numPr>
        <w:topLinePunct/>
        <w:spacing w:line="440" w:lineRule="exact"/>
        <w:ind w:left="1560" w:leftChars="0" w:firstLineChars="0"/>
        <w:rPr>
          <w:rFonts w:ascii="仿宋_GB2312" w:hAnsi="楷体" w:eastAsia="仿宋_GB2312" w:cs="Times New Roman"/>
          <w:sz w:val="32"/>
          <w:szCs w:val="32"/>
        </w:rPr>
      </w:pPr>
      <w:r>
        <w:rPr>
          <w:rFonts w:hint="eastAsia" w:ascii="楷体" w:hAnsi="楷体" w:eastAsia="楷体" w:cs="Times New Roman"/>
          <w:sz w:val="32"/>
          <w:szCs w:val="32"/>
        </w:rPr>
        <w:t>绩效评价目的。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1.前期调研。</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2.研究文件。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3.绩效评价指标体系及工作方案的设计。</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1.绩效评价原则。包括科学规范、公开公正、绩效相关等原则。</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ascii="仿宋_GB2312" w:hAnsi="楷体" w:eastAsia="仿宋_GB2312" w:cs="Times New Roman"/>
          <w:sz w:val="32"/>
          <w:szCs w:val="32"/>
        </w:rPr>
      </w:pPr>
      <w:r>
        <w:rPr>
          <w:rFonts w:hint="eastAsia" w:ascii="仿宋_GB2312" w:hAnsi="仿宋_GB2312" w:eastAsia="仿宋_GB2312" w:cs="仿宋_GB2312"/>
          <w:sz w:val="32"/>
          <w:szCs w:val="32"/>
        </w:rPr>
        <w:t>2.绩效评价方法。包括指标评价、数据采集和社会调查中所采用的方法。</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1.数据填报和采集。</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2.社会调查。</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ascii="仿宋_GB2312" w:hAnsi="楷体" w:eastAsia="仿宋_GB2312" w:cs="Times New Roman"/>
          <w:sz w:val="32"/>
          <w:szCs w:val="32"/>
        </w:rPr>
      </w:pPr>
      <w:r>
        <w:rPr>
          <w:rFonts w:hint="eastAsia" w:ascii="仿宋_GB2312" w:hAnsi="仿宋_GB2312" w:eastAsia="仿宋_GB2312" w:cs="仿宋_GB2312"/>
          <w:sz w:val="32"/>
          <w:szCs w:val="32"/>
        </w:rPr>
        <w:t>3.数据分析和撰写报告。</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（五）本次绩效评价的局限性。</w:t>
      </w:r>
    </w:p>
    <w:p>
      <w:pPr>
        <w:topLinePunct/>
        <w:spacing w:line="440" w:lineRule="exact"/>
        <w:ind w:firstLine="800" w:firstLineChars="250"/>
        <w:rPr>
          <w:rFonts w:ascii="仿宋_GB2312" w:hAnsi="楷体" w:eastAsia="仿宋_GB2312" w:cs="Times New Roman"/>
          <w:sz w:val="32"/>
          <w:szCs w:val="32"/>
        </w:rPr>
      </w:pPr>
      <w:r>
        <w:rPr>
          <w:rFonts w:hint="eastAsia" w:ascii="仿宋_GB2312" w:hAnsi="仿宋_GB2312" w:eastAsia="仿宋_GB2312" w:cs="仿宋_GB2312"/>
          <w:sz w:val="32"/>
          <w:szCs w:val="32"/>
        </w:rPr>
        <w:t>评价维度较为单一。</w:t>
      </w:r>
    </w:p>
    <w:p>
      <w:pPr>
        <w:topLinePunct/>
        <w:spacing w:line="440" w:lineRule="exact"/>
        <w:ind w:firstLine="800" w:firstLineChars="250"/>
        <w:rPr>
          <w:rFonts w:ascii="黑体" w:hAnsi="黑体" w:eastAsia="黑体" w:cs="Times New Roman"/>
          <w:sz w:val="32"/>
          <w:szCs w:val="32"/>
        </w:rPr>
      </w:pPr>
      <w:r>
        <w:rPr>
          <w:rFonts w:hint="eastAsia" w:ascii="黑体" w:hAnsi="黑体" w:eastAsia="黑体" w:cs="Times New Roman"/>
          <w:sz w:val="32"/>
          <w:szCs w:val="32"/>
        </w:rPr>
        <w:t>三、评价结论和绩效分析</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（一）评价结论。</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1.评价结果。20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年，盘龙区共有</w:t>
      </w:r>
      <w:r>
        <w:rPr>
          <w:rFonts w:hint="eastAsia" w:ascii="仿宋_GB2312" w:hAnsi="仿宋_GB2312" w:eastAsia="仿宋_GB2312" w:cs="仿宋_GB2312"/>
          <w:sz w:val="32"/>
          <w:szCs w:val="32"/>
          <w:lang w:val="en-US" w:eastAsia="zh-CN"/>
        </w:rPr>
        <w:t>31603</w:t>
      </w:r>
      <w:r>
        <w:rPr>
          <w:rFonts w:hint="eastAsia" w:ascii="仿宋_GB2312" w:hAnsi="仿宋_GB2312" w:eastAsia="仿宋_GB2312" w:cs="仿宋_GB2312"/>
          <w:sz w:val="32"/>
          <w:szCs w:val="32"/>
        </w:rPr>
        <w:t>人享受了水源区缴费补助，拨付补助资金</w:t>
      </w:r>
      <w:r>
        <w:rPr>
          <w:rFonts w:hint="eastAsia" w:ascii="仿宋_GB2312" w:hAnsi="仿宋_GB2312" w:eastAsia="仿宋_GB2312" w:cs="仿宋_GB2312"/>
          <w:sz w:val="32"/>
          <w:szCs w:val="32"/>
          <w:lang w:val="en-US" w:eastAsia="zh-CN"/>
        </w:rPr>
        <w:t>626.23</w:t>
      </w:r>
      <w:r>
        <w:rPr>
          <w:rFonts w:hint="eastAsia" w:ascii="仿宋_GB2312" w:hAnsi="仿宋_GB2312" w:eastAsia="仿宋_GB2312" w:cs="仿宋_GB2312"/>
          <w:sz w:val="32"/>
          <w:szCs w:val="32"/>
        </w:rPr>
        <w:t>万元，实现了符合补助条件的水源区参保人员100%享受补助</w:t>
      </w:r>
      <w:r>
        <w:rPr>
          <w:rFonts w:hint="eastAsia" w:ascii="仿宋_GB2312" w:hAnsi="仿宋_GB2312" w:eastAsia="仿宋_GB2312" w:cs="仿宋_GB2312"/>
          <w:sz w:val="32"/>
          <w:szCs w:val="32"/>
        </w:rPr>
        <w:t>，按时</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缴费补助</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支出绩效评价指标确定的内容，经评价组综合评价，</w:t>
      </w:r>
      <w:r>
        <w:rPr>
          <w:rFonts w:hint="eastAsia" w:ascii="仿宋_GB2312" w:hAnsi="仿宋_GB2312" w:eastAsia="仿宋_GB2312" w:cs="仿宋_GB2312"/>
          <w:sz w:val="32"/>
          <w:szCs w:val="32"/>
          <w:lang w:val="en-US" w:eastAsia="zh-CN"/>
        </w:rPr>
        <w:t>水源区城乡居民养老保险缴费补助</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支出绩效评为 “优”</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2.主要绩效。</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切实落实水源区缴费补助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2016年1月1日起，盘龙区滇源、阿子营街道办事处符合水源保护区补助条件的居民；松华街道办事处所辖三家社区、小河社区、团结社区、大哨社区、双玉社区、大摆社区和新街社区的居民；双龙街道办事处所辖烧灰窑、蜜岭、旧关、小石桥、庄房居民小组的居民；龙泉街道办事处中坝社区所辖的中坝、郑家、张家寺、雨树居民小组，上坝社区所辖的竹园、上坝、回龙居民小组的居民。茨坝街道办事处花渔沟社区小哨居民小组的居民；松华坝水库一级保护区核心区搬迁移民与合法新增人口中符合条件的居民，符合城乡居民基本养老保险参保条件并自愿参保缴费，每人每年享受200元的参保缴费补助。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年，盘龙区共有</w:t>
      </w:r>
      <w:r>
        <w:rPr>
          <w:rFonts w:hint="eastAsia" w:ascii="仿宋_GB2312" w:hAnsi="仿宋_GB2312" w:eastAsia="仿宋_GB2312" w:cs="仿宋_GB2312"/>
          <w:sz w:val="32"/>
          <w:szCs w:val="32"/>
          <w:lang w:val="en-US" w:eastAsia="zh-CN"/>
        </w:rPr>
        <w:t>31603</w:t>
      </w:r>
      <w:r>
        <w:rPr>
          <w:rFonts w:hint="eastAsia" w:ascii="仿宋_GB2312" w:hAnsi="仿宋_GB2312" w:eastAsia="仿宋_GB2312" w:cs="仿宋_GB2312"/>
          <w:sz w:val="32"/>
          <w:szCs w:val="32"/>
        </w:rPr>
        <w:t>人享受了水源区缴费补助，拨付补助资金</w:t>
      </w:r>
      <w:r>
        <w:rPr>
          <w:rFonts w:hint="eastAsia" w:ascii="仿宋_GB2312" w:hAnsi="仿宋_GB2312" w:eastAsia="仿宋_GB2312" w:cs="仿宋_GB2312"/>
          <w:sz w:val="32"/>
          <w:szCs w:val="32"/>
          <w:lang w:val="en-US" w:eastAsia="zh-CN"/>
        </w:rPr>
        <w:t>626.23</w:t>
      </w:r>
      <w:r>
        <w:rPr>
          <w:rFonts w:hint="eastAsia" w:ascii="仿宋_GB2312" w:hAnsi="仿宋_GB2312" w:eastAsia="仿宋_GB2312" w:cs="仿宋_GB2312"/>
          <w:sz w:val="32"/>
          <w:szCs w:val="32"/>
        </w:rPr>
        <w:t>万元，实现了符合补助条件的水源区参保人员100%享受补助</w:t>
      </w:r>
      <w:r>
        <w:rPr>
          <w:rFonts w:hint="eastAsia" w:ascii="仿宋_GB2312" w:hAnsi="仿宋_GB2312" w:eastAsia="仿宋_GB2312" w:cs="仿宋_GB2312"/>
          <w:sz w:val="32"/>
          <w:szCs w:val="32"/>
          <w:lang w:eastAsia="zh-CN"/>
        </w:rPr>
        <w:t>。</w:t>
      </w:r>
    </w:p>
    <w:p>
      <w:pPr>
        <w:topLinePunct/>
        <w:spacing w:line="440" w:lineRule="exact"/>
        <w:ind w:firstLine="640" w:firstLineChars="200"/>
        <w:rPr>
          <w:rFonts w:ascii="楷体" w:hAnsi="楷体" w:eastAsia="楷体" w:cs="Times New Roman"/>
          <w:sz w:val="32"/>
          <w:szCs w:val="32"/>
        </w:rPr>
      </w:pPr>
      <w:r>
        <w:rPr>
          <w:rFonts w:hint="eastAsia" w:ascii="仿宋_GB2312" w:hAnsi="仿宋" w:eastAsia="仿宋_GB2312" w:cs="Times New Roman"/>
          <w:sz w:val="32"/>
          <w:szCs w:val="32"/>
        </w:rPr>
        <w:t>（二）</w:t>
      </w:r>
      <w:r>
        <w:rPr>
          <w:rFonts w:hint="eastAsia" w:ascii="楷体" w:hAnsi="楷体" w:eastAsia="楷体" w:cs="Times New Roman"/>
          <w:sz w:val="32"/>
          <w:szCs w:val="32"/>
        </w:rPr>
        <w:t>具体绩效分析。</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对照绩效评价指标体系逐项进行分析、评价并打分。</w:t>
      </w:r>
    </w:p>
    <w:p>
      <w:pPr>
        <w:topLinePunct/>
        <w:spacing w:line="440" w:lineRule="exact"/>
        <w:ind w:firstLine="800" w:firstLineChars="250"/>
        <w:rPr>
          <w:rFonts w:ascii="仿宋_GB2312" w:hAnsi="仿宋" w:eastAsia="仿宋_GB2312" w:cs="Times New Roman"/>
          <w:sz w:val="32"/>
          <w:szCs w:val="32"/>
        </w:rPr>
      </w:pPr>
      <w:r>
        <w:rPr>
          <w:rFonts w:hint="eastAsia" w:ascii="黑体" w:hAnsi="黑体" w:eastAsia="黑体" w:cs="Times New Roman"/>
          <w:sz w:val="32"/>
          <w:szCs w:val="32"/>
        </w:rPr>
        <w:t>四、成本效益分析。</w:t>
      </w:r>
    </w:p>
    <w:p>
      <w:pPr>
        <w:topLinePunct/>
        <w:spacing w:line="440" w:lineRule="exact"/>
        <w:ind w:firstLine="800" w:firstLineChars="250"/>
        <w:rPr>
          <w:rFonts w:ascii="仿宋_GB2312" w:hAnsi="黑体" w:eastAsia="仿宋_GB2312" w:cs="Times New Roman"/>
          <w:sz w:val="32"/>
          <w:szCs w:val="32"/>
        </w:rPr>
      </w:pPr>
      <w:r>
        <w:rPr>
          <w:rFonts w:hint="eastAsia" w:ascii="仿宋_GB2312" w:hAnsi="仿宋_GB2312" w:eastAsia="仿宋_GB2312" w:cs="仿宋_GB2312"/>
          <w:sz w:val="32"/>
          <w:szCs w:val="32"/>
        </w:rPr>
        <w:t>对资金使用方向、资金收入和支出结构；项目和资金管理情况；资金的节约性、资金使用效果；变化趋势等进行分析评价。</w:t>
      </w:r>
    </w:p>
    <w:p>
      <w:pPr>
        <w:topLinePunct/>
        <w:spacing w:line="440" w:lineRule="exact"/>
        <w:ind w:firstLine="800" w:firstLineChars="250"/>
        <w:rPr>
          <w:rFonts w:ascii="黑体" w:hAnsi="黑体" w:eastAsia="黑体" w:cs="Times New Roman"/>
          <w:sz w:val="32"/>
          <w:szCs w:val="32"/>
        </w:rPr>
      </w:pPr>
      <w:r>
        <w:rPr>
          <w:rFonts w:hint="eastAsia" w:ascii="黑体" w:hAnsi="黑体" w:eastAsia="黑体" w:cs="Times New Roman"/>
          <w:sz w:val="32"/>
          <w:szCs w:val="32"/>
        </w:rPr>
        <w:t>五、主要经验及做法、存在的问题和建议</w:t>
      </w:r>
    </w:p>
    <w:p>
      <w:pPr>
        <w:topLinePunct/>
        <w:spacing w:line="440" w:lineRule="exact"/>
        <w:ind w:firstLine="800" w:firstLineChars="250"/>
        <w:rPr>
          <w:rFonts w:ascii="楷体" w:hAnsi="楷体" w:eastAsia="楷体" w:cs="Times New Roman"/>
          <w:sz w:val="32"/>
          <w:szCs w:val="32"/>
        </w:rPr>
      </w:pPr>
      <w:r>
        <w:rPr>
          <w:rFonts w:hint="eastAsia" w:ascii="楷体" w:hAnsi="楷体" w:eastAsia="楷体" w:cs="Times New Roman"/>
          <w:sz w:val="32"/>
          <w:szCs w:val="32"/>
        </w:rPr>
        <w:t>（一）主要经验及做法；</w:t>
      </w:r>
    </w:p>
    <w:p>
      <w:pPr>
        <w:topLinePunct/>
        <w:spacing w:line="440" w:lineRule="exact"/>
        <w:ind w:firstLine="800" w:firstLineChars="250"/>
        <w:rPr>
          <w:rFonts w:ascii="仿宋_GB2312" w:hAnsi="楷体" w:eastAsia="仿宋_GB2312" w:cs="Times New Roman"/>
          <w:sz w:val="32"/>
          <w:szCs w:val="32"/>
        </w:rPr>
      </w:pPr>
      <w:r>
        <w:rPr>
          <w:rFonts w:hint="eastAsia" w:ascii="仿宋_GB2312" w:hAnsi="仿宋_GB2312" w:eastAsia="仿宋_GB2312" w:cs="仿宋_GB2312"/>
          <w:sz w:val="32"/>
          <w:szCs w:val="32"/>
        </w:rPr>
        <w:t>建立健全内部控制制度，规范经办流程，确保及时拨付水源区缴费补助。</w:t>
      </w:r>
    </w:p>
    <w:p>
      <w:pPr>
        <w:topLinePunct/>
        <w:spacing w:line="440" w:lineRule="exact"/>
        <w:ind w:left="700"/>
        <w:rPr>
          <w:rFonts w:ascii="楷体" w:hAnsi="楷体" w:eastAsia="楷体" w:cs="Times New Roman"/>
          <w:sz w:val="32"/>
          <w:szCs w:val="32"/>
        </w:rPr>
      </w:pPr>
      <w:r>
        <w:rPr>
          <w:rFonts w:hint="eastAsia" w:ascii="楷体" w:hAnsi="楷体" w:eastAsia="楷体" w:cs="Times New Roman"/>
          <w:sz w:val="32"/>
          <w:szCs w:val="32"/>
        </w:rPr>
        <w:t>（二）存在的问题</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松华坝水源区城乡居民保险缴费补助的实际支付率有下降。</w:t>
      </w:r>
    </w:p>
    <w:p>
      <w:pPr>
        <w:topLinePunct/>
        <w:spacing w:line="440" w:lineRule="exact"/>
        <w:ind w:left="700"/>
        <w:rPr>
          <w:rFonts w:hint="eastAsia" w:ascii="楷体" w:hAnsi="楷体" w:eastAsia="楷体" w:cs="Times New Roman"/>
          <w:sz w:val="32"/>
          <w:szCs w:val="32"/>
        </w:rPr>
      </w:pPr>
      <w:r>
        <w:rPr>
          <w:rFonts w:hint="eastAsia" w:ascii="楷体" w:hAnsi="楷体" w:eastAsia="楷体" w:cs="Times New Roman"/>
          <w:sz w:val="32"/>
          <w:szCs w:val="32"/>
          <w:lang w:eastAsia="zh-CN"/>
        </w:rPr>
        <w:t>（三）</w:t>
      </w:r>
      <w:r>
        <w:rPr>
          <w:rFonts w:hint="eastAsia" w:ascii="楷体" w:hAnsi="楷体" w:eastAsia="楷体" w:cs="Times New Roman"/>
          <w:sz w:val="32"/>
          <w:szCs w:val="32"/>
        </w:rPr>
        <w:t>建议和改进措施。</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拓宽业务</w:t>
      </w:r>
      <w:r>
        <w:rPr>
          <w:rFonts w:hint="eastAsia" w:ascii="仿宋_GB2312" w:hAnsi="仿宋_GB2312" w:eastAsia="仿宋_GB2312" w:cs="仿宋_GB2312"/>
          <w:sz w:val="32"/>
          <w:szCs w:val="32"/>
        </w:rPr>
        <w:t>培训范围，增加基础经办人员业务培训，提升业务经办水平</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加大政策的普及和宣传力度</w:t>
      </w:r>
      <w:r>
        <w:rPr>
          <w:rFonts w:hint="eastAsia" w:ascii="仿宋_GB2312" w:hAnsi="仿宋_GB2312" w:eastAsia="仿宋_GB2312" w:cs="仿宋_GB2312"/>
          <w:sz w:val="32"/>
          <w:szCs w:val="32"/>
          <w:lang w:eastAsia="zh-CN"/>
        </w:rPr>
        <w:t>，提高</w:t>
      </w:r>
      <w:r>
        <w:rPr>
          <w:rFonts w:hint="eastAsia" w:ascii="仿宋_GB2312" w:hAnsi="仿宋_GB2312" w:eastAsia="仿宋_GB2312" w:cs="仿宋_GB2312"/>
          <w:sz w:val="32"/>
          <w:szCs w:val="32"/>
        </w:rPr>
        <w:t>参保缴费</w:t>
      </w:r>
      <w:r>
        <w:rPr>
          <w:rFonts w:hint="eastAsia" w:ascii="仿宋_GB2312" w:hAnsi="仿宋_GB2312" w:eastAsia="仿宋_GB2312" w:cs="仿宋_GB2312"/>
          <w:sz w:val="32"/>
          <w:szCs w:val="32"/>
          <w:lang w:eastAsia="zh-CN"/>
        </w:rPr>
        <w:t>及水源区缴费补贴政策知晓率</w:t>
      </w:r>
      <w:r>
        <w:rPr>
          <w:rFonts w:hint="eastAsia" w:ascii="仿宋_GB2312" w:hAnsi="仿宋_GB2312" w:eastAsia="仿宋_GB2312" w:cs="仿宋_GB2312"/>
          <w:sz w:val="32"/>
          <w:szCs w:val="32"/>
        </w:rPr>
        <w:t>，积极与税局、财政对账，保障参保人及时享受缴费补贴、领取养老待遇</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附件1：项目支出绩效评价共性指标体系框架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附件2：项目申报表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spacing w:line="440" w:lineRule="exact"/>
        <w:jc w:val="center"/>
        <w:rPr>
          <w:rFonts w:ascii="仿宋_GB2312" w:eastAsia="仿宋_GB2312"/>
          <w:sz w:val="32"/>
          <w:szCs w:val="32"/>
        </w:rPr>
      </w:pPr>
    </w:p>
    <w:p>
      <w:pPr>
        <w:spacing w:line="440" w:lineRule="exact"/>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2</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11</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2A32DE"/>
    <w:multiLevelType w:val="singleLevel"/>
    <w:tmpl w:val="AB2A32DE"/>
    <w:lvl w:ilvl="0" w:tentative="0">
      <w:start w:val="2"/>
      <w:numFmt w:val="decimal"/>
      <w:lvlText w:val="%1."/>
      <w:lvlJc w:val="left"/>
      <w:pPr>
        <w:tabs>
          <w:tab w:val="left" w:pos="312"/>
        </w:tabs>
      </w:pPr>
    </w:lvl>
  </w:abstractNum>
  <w:abstractNum w:abstractNumId="1">
    <w:nsid w:val="0487DF85"/>
    <w:multiLevelType w:val="singleLevel"/>
    <w:tmpl w:val="0487DF85"/>
    <w:lvl w:ilvl="0" w:tentative="0">
      <w:start w:val="1"/>
      <w:numFmt w:val="chineseCounting"/>
      <w:suff w:val="nothing"/>
      <w:lvlText w:val="%1、"/>
      <w:lvlJc w:val="left"/>
      <w:pPr>
        <w:ind w:left="-10"/>
      </w:pPr>
      <w:rPr>
        <w:rFonts w:hint="eastAsia"/>
      </w:rPr>
    </w:lvl>
  </w:abstractNum>
  <w:abstractNum w:abstractNumId="2">
    <w:nsid w:val="138C1707"/>
    <w:multiLevelType w:val="multilevel"/>
    <w:tmpl w:val="138C1707"/>
    <w:lvl w:ilvl="0" w:tentative="0">
      <w:start w:val="1"/>
      <w:numFmt w:val="japaneseCounting"/>
      <w:lvlText w:val="（%1）"/>
      <w:lvlJc w:val="left"/>
      <w:pPr>
        <w:ind w:left="1560" w:hanging="720"/>
      </w:pPr>
      <w:rPr>
        <w:rFonts w:hint="default" w:ascii="楷体" w:eastAsia="楷体"/>
        <w:sz w:val="28"/>
        <w:lang w:val="en-US"/>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BDD"/>
    <w:rsid w:val="00044DE9"/>
    <w:rsid w:val="00067BB4"/>
    <w:rsid w:val="000F31D3"/>
    <w:rsid w:val="0010491C"/>
    <w:rsid w:val="001E1A3F"/>
    <w:rsid w:val="001E2B39"/>
    <w:rsid w:val="00213C2C"/>
    <w:rsid w:val="002156B6"/>
    <w:rsid w:val="00222BC6"/>
    <w:rsid w:val="002268AE"/>
    <w:rsid w:val="0024635A"/>
    <w:rsid w:val="0026412E"/>
    <w:rsid w:val="002D1F8E"/>
    <w:rsid w:val="002D6E73"/>
    <w:rsid w:val="002F024E"/>
    <w:rsid w:val="003F394D"/>
    <w:rsid w:val="004238F6"/>
    <w:rsid w:val="004C4DC8"/>
    <w:rsid w:val="00507EF5"/>
    <w:rsid w:val="00521788"/>
    <w:rsid w:val="005A1069"/>
    <w:rsid w:val="005A648F"/>
    <w:rsid w:val="005E00C5"/>
    <w:rsid w:val="005F07C6"/>
    <w:rsid w:val="00622C9D"/>
    <w:rsid w:val="00642763"/>
    <w:rsid w:val="00654A45"/>
    <w:rsid w:val="00666786"/>
    <w:rsid w:val="00674CCB"/>
    <w:rsid w:val="00681D77"/>
    <w:rsid w:val="006857A1"/>
    <w:rsid w:val="006D425C"/>
    <w:rsid w:val="006E4F0F"/>
    <w:rsid w:val="00791276"/>
    <w:rsid w:val="00804C53"/>
    <w:rsid w:val="00834BDD"/>
    <w:rsid w:val="008A249B"/>
    <w:rsid w:val="008D62F3"/>
    <w:rsid w:val="008F10B4"/>
    <w:rsid w:val="00925B04"/>
    <w:rsid w:val="00946383"/>
    <w:rsid w:val="00970149"/>
    <w:rsid w:val="009870E0"/>
    <w:rsid w:val="009D1C6C"/>
    <w:rsid w:val="00A27C10"/>
    <w:rsid w:val="00A866D2"/>
    <w:rsid w:val="00A910AC"/>
    <w:rsid w:val="00A92437"/>
    <w:rsid w:val="00AC26DF"/>
    <w:rsid w:val="00B20E8E"/>
    <w:rsid w:val="00B570C3"/>
    <w:rsid w:val="00BB24E3"/>
    <w:rsid w:val="00BC291E"/>
    <w:rsid w:val="00BC4C07"/>
    <w:rsid w:val="00C333EC"/>
    <w:rsid w:val="00C82F3C"/>
    <w:rsid w:val="00C970A3"/>
    <w:rsid w:val="00CE6D87"/>
    <w:rsid w:val="00CE7B22"/>
    <w:rsid w:val="00D0702D"/>
    <w:rsid w:val="00D43EAD"/>
    <w:rsid w:val="00E2071F"/>
    <w:rsid w:val="00E42B80"/>
    <w:rsid w:val="00E76051"/>
    <w:rsid w:val="00F012EC"/>
    <w:rsid w:val="00F1110C"/>
    <w:rsid w:val="00F2241A"/>
    <w:rsid w:val="00F8309E"/>
    <w:rsid w:val="00FF6066"/>
    <w:rsid w:val="046E6953"/>
    <w:rsid w:val="122D2FCB"/>
    <w:rsid w:val="126E7BBF"/>
    <w:rsid w:val="170314FD"/>
    <w:rsid w:val="1A870541"/>
    <w:rsid w:val="1EDC7EFE"/>
    <w:rsid w:val="2DEA71A0"/>
    <w:rsid w:val="36771EE0"/>
    <w:rsid w:val="3B7155F7"/>
    <w:rsid w:val="3C396D64"/>
    <w:rsid w:val="42B762AE"/>
    <w:rsid w:val="49ED6FF4"/>
    <w:rsid w:val="52A86890"/>
    <w:rsid w:val="604556BC"/>
    <w:rsid w:val="612202D9"/>
    <w:rsid w:val="6123518F"/>
    <w:rsid w:val="655C4276"/>
    <w:rsid w:val="66B94E7D"/>
    <w:rsid w:val="6785486C"/>
    <w:rsid w:val="6E7A1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2"/>
    <w:qFormat/>
    <w:uiPriority w:val="0"/>
    <w:pPr>
      <w:ind w:firstLine="420" w:firstLineChars="200"/>
    </w:pPr>
    <w:rPr>
      <w:rFonts w:ascii="Calibri" w:hAnsi="Calibri"/>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paragraph" w:customStyle="1" w:styleId="11">
    <w:name w:val="列出段落1"/>
    <w:basedOn w:val="1"/>
    <w:qFormat/>
    <w:uiPriority w:val="0"/>
    <w:pPr>
      <w:ind w:firstLine="420" w:firstLineChars="200"/>
    </w:pPr>
    <w:rPr>
      <w:rFonts w:ascii="Times New Roman" w:hAnsi="Times New Roman" w:eastAsia="宋体" w:cs="Calibri"/>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7</Pages>
  <Words>430</Words>
  <Characters>2455</Characters>
  <Lines>20</Lines>
  <Paragraphs>5</Paragraphs>
  <TotalTime>1</TotalTime>
  <ScaleCrop>false</ScaleCrop>
  <LinksUpToDate>false</LinksUpToDate>
  <CharactersWithSpaces>2880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2019-04-16T06:42:00Z</dcterms:created>
  <dc:creator>雨林木风</dc:creator>
  <cp:lastModifiedBy>Administrator</cp:lastModifiedBy>
  <cp:lastPrinted>2023-04-26T02:34:55Z</cp:lastPrinted>
  <dcterms:modified xsi:type="dcterms:W3CDTF">2023-04-26T02:41:36Z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9DE1F994362848ABBA72BC07FED430CA</vt:lpwstr>
  </property>
</Properties>
</file>