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Calibri" w:hAnsi="Calibri" w:eastAsia="宋体" w:cs="Times New Roman"/>
          <w:b/>
          <w:color w:val="FF0000"/>
          <w:spacing w:val="-24"/>
          <w:w w:val="70"/>
          <w:sz w:val="72"/>
          <w:szCs w:val="72"/>
        </w:rPr>
      </w:pPr>
    </w:p>
    <w:p>
      <w:pPr>
        <w:jc w:val="center"/>
        <w:rPr>
          <w:rFonts w:ascii="黑体" w:hAnsi="Calibri" w:eastAsia="黑体" w:cs="Times New Roman"/>
          <w:color w:val="FF0000"/>
          <w:spacing w:val="-18"/>
          <w:w w:val="70"/>
          <w:sz w:val="72"/>
          <w:szCs w:val="72"/>
        </w:rPr>
      </w:pPr>
      <w:r>
        <w:rPr>
          <w:rFonts w:hint="eastAsia" w:ascii="黑体" w:hAnsi="Calibri" w:eastAsia="黑体" w:cs="Times New Roman"/>
          <w:color w:val="FF0000"/>
          <w:spacing w:val="-18"/>
          <w:w w:val="70"/>
          <w:sz w:val="72"/>
          <w:szCs w:val="72"/>
        </w:rPr>
        <w:t>昆明市盘龙区人民代表大会常务委员会文件</w:t>
      </w:r>
    </w:p>
    <w:p>
      <w:pPr>
        <w:rPr>
          <w:rFonts w:ascii="仿宋_GB2312" w:hAnsi="Calibri" w:eastAsia="仿宋_GB2312" w:cs="Times New Roman"/>
          <w:b/>
          <w:color w:val="FF0000"/>
          <w:spacing w:val="-24"/>
          <w:w w:val="70"/>
          <w:sz w:val="32"/>
          <w:szCs w:val="32"/>
        </w:rPr>
      </w:pPr>
    </w:p>
    <w:p>
      <w:pPr>
        <w:jc w:val="center"/>
        <w:rPr>
          <w:rFonts w:ascii="仿宋_GB2312" w:hAnsi="华文中宋" w:eastAsia="仿宋_GB2312" w:cs="Times New Roman"/>
          <w:sz w:val="32"/>
          <w:szCs w:val="32"/>
        </w:rPr>
      </w:pPr>
      <w:r>
        <w:rPr>
          <w:rFonts w:hint="eastAsia" w:ascii="仿宋_GB2312" w:hAnsi="华文中宋" w:eastAsia="仿宋_GB2312" w:cs="Times New Roman"/>
          <w:sz w:val="32"/>
          <w:szCs w:val="32"/>
        </w:rPr>
        <w:t>盘人办〔20</w:t>
      </w:r>
      <w:r>
        <w:rPr>
          <w:rFonts w:hint="eastAsia" w:ascii="仿宋_GB2312" w:hAnsi="华文中宋" w:eastAsia="仿宋_GB2312"/>
          <w:sz w:val="32"/>
          <w:szCs w:val="32"/>
        </w:rPr>
        <w:t>23</w:t>
      </w:r>
      <w:r>
        <w:rPr>
          <w:rFonts w:hint="eastAsia" w:ascii="仿宋_GB2312" w:hAnsi="华文中宋" w:eastAsia="仿宋_GB2312" w:cs="Times New Roman"/>
          <w:sz w:val="32"/>
          <w:szCs w:val="32"/>
        </w:rPr>
        <w:t>〕</w:t>
      </w:r>
      <w:r>
        <w:rPr>
          <w:rFonts w:hint="eastAsia" w:ascii="仿宋_GB2312" w:hAnsi="华文中宋" w:eastAsia="仿宋_GB2312"/>
          <w:sz w:val="32"/>
          <w:szCs w:val="32"/>
        </w:rPr>
        <w:t xml:space="preserve"> 21 </w:t>
      </w:r>
      <w:r>
        <w:rPr>
          <w:rFonts w:hint="eastAsia" w:ascii="仿宋_GB2312" w:hAnsi="华文中宋" w:eastAsia="仿宋_GB2312" w:cs="Times New Roman"/>
          <w:sz w:val="32"/>
          <w:szCs w:val="32"/>
        </w:rPr>
        <w:t>号</w:t>
      </w:r>
    </w:p>
    <w:p>
      <w:pPr>
        <w:rPr>
          <w:rFonts w:ascii="Calibri" w:hAnsi="Calibri" w:eastAsia="宋体" w:cs="Times New Roman"/>
          <w:b/>
          <w:color w:val="FF0000"/>
          <w:spacing w:val="-24"/>
          <w:w w:val="70"/>
          <w:sz w:val="72"/>
          <w:szCs w:val="72"/>
        </w:rPr>
      </w:pPr>
      <w:r>
        <w:rPr>
          <w:rFonts w:hint="eastAsia" w:ascii="Calibri" w:hAnsi="Calibri" w:eastAsia="宋体" w:cs="Times New Roman"/>
          <w:b/>
          <w:color w:val="FF0000"/>
          <w:spacing w:val="-24"/>
          <w:w w:val="70"/>
          <w:sz w:val="72"/>
          <w:szCs w:val="72"/>
        </w:rPr>
        <w:t>———————————————————</w:t>
      </w:r>
    </w:p>
    <w:p>
      <w:pPr>
        <w:widowControl/>
        <w:spacing w:before="100" w:beforeAutospacing="1" w:after="100" w:afterAutospacing="1" w:line="800" w:lineRule="exact"/>
        <w:jc w:val="center"/>
        <w:rPr>
          <w:rFonts w:ascii="方正小标宋简体" w:hAnsi="宋体" w:eastAsia="方正小标宋简体" w:cs="宋体"/>
          <w:bCs/>
          <w:w w:val="90"/>
          <w:kern w:val="0"/>
          <w:sz w:val="44"/>
          <w:szCs w:val="44"/>
        </w:rPr>
      </w:pPr>
      <w:r>
        <w:rPr>
          <w:rFonts w:hint="eastAsia" w:ascii="方正小标宋简体" w:hAnsi="宋体" w:eastAsia="方正小标宋简体" w:cs="宋体"/>
          <w:bCs/>
          <w:w w:val="90"/>
          <w:kern w:val="0"/>
          <w:sz w:val="44"/>
          <w:szCs w:val="44"/>
        </w:rPr>
        <w:t>盘龙区人大常委会办公室关于2022年部门预算</w:t>
      </w:r>
    </w:p>
    <w:p>
      <w:pPr>
        <w:widowControl/>
        <w:spacing w:before="100" w:beforeAutospacing="1" w:after="100" w:afterAutospacing="1" w:line="800" w:lineRule="exact"/>
        <w:jc w:val="center"/>
        <w:rPr>
          <w:rFonts w:ascii="方正小标宋简体" w:hAnsi="宋体" w:eastAsia="方正小标宋简体" w:cs="宋体"/>
          <w:bCs/>
          <w:w w:val="90"/>
          <w:kern w:val="0"/>
          <w:sz w:val="44"/>
          <w:szCs w:val="44"/>
        </w:rPr>
      </w:pPr>
      <w:r>
        <w:rPr>
          <w:rFonts w:hint="eastAsia" w:ascii="方正小标宋简体" w:hAnsi="宋体" w:eastAsia="方正小标宋简体" w:cs="宋体"/>
          <w:bCs/>
          <w:w w:val="90"/>
          <w:kern w:val="0"/>
          <w:sz w:val="44"/>
          <w:szCs w:val="44"/>
        </w:rPr>
        <w:t>支出绩效评价的自评报告</w:t>
      </w:r>
    </w:p>
    <w:p>
      <w:pPr>
        <w:widowControl/>
        <w:spacing w:before="100" w:beforeAutospacing="1" w:after="100" w:afterAutospacing="1" w:line="600" w:lineRule="exact"/>
        <w:jc w:val="center"/>
        <w:rPr>
          <w:rFonts w:ascii="方正小标宋_GBK" w:hAnsi="宋体" w:eastAsia="方正小标宋_GBK" w:cs="宋体"/>
          <w:bCs/>
          <w:w w:val="90"/>
          <w:kern w:val="0"/>
          <w:sz w:val="36"/>
          <w:szCs w:val="36"/>
        </w:rPr>
      </w:pPr>
    </w:p>
    <w:p>
      <w:pPr>
        <w:widowControl/>
        <w:spacing w:before="100" w:beforeAutospacing="1" w:after="100" w:afterAutospacing="1" w:line="800" w:lineRule="exact"/>
        <w:jc w:val="left"/>
        <w:rPr>
          <w:rFonts w:ascii="仿宋_GB2312" w:hAnsi="宋体" w:eastAsia="仿宋_GB2312" w:cs="宋体"/>
          <w:bCs/>
          <w:kern w:val="0"/>
          <w:sz w:val="32"/>
          <w:szCs w:val="32"/>
        </w:rPr>
      </w:pPr>
      <w:r>
        <w:rPr>
          <w:rFonts w:hint="eastAsia" w:ascii="仿宋_GB2312" w:hAnsi="宋体" w:eastAsia="仿宋_GB2312" w:cs="宋体"/>
          <w:bCs/>
          <w:kern w:val="0"/>
          <w:sz w:val="32"/>
          <w:szCs w:val="32"/>
        </w:rPr>
        <w:t>区财政局：</w:t>
      </w:r>
    </w:p>
    <w:p>
      <w:pPr>
        <w:pStyle w:val="3"/>
        <w:jc w:val="left"/>
        <w:rPr>
          <w:rFonts w:ascii="仿宋_GB2312" w:eastAsia="仿宋_GB2312"/>
        </w:rPr>
      </w:pPr>
      <w:r>
        <w:rPr>
          <w:rFonts w:hint="eastAsia" w:ascii="仿宋_GB2312" w:hAnsi="宋体" w:eastAsia="仿宋_GB2312" w:cs="宋体"/>
          <w:bCs/>
          <w:kern w:val="0"/>
        </w:rPr>
        <w:t xml:space="preserve">    根据</w:t>
      </w:r>
      <w:r>
        <w:rPr>
          <w:rStyle w:val="15"/>
          <w:rFonts w:hint="eastAsia"/>
        </w:rPr>
        <w:t>《</w:t>
      </w:r>
      <w:r>
        <w:rPr>
          <w:rFonts w:hint="eastAsia" w:ascii="仿宋_GB2312" w:eastAsia="仿宋_GB2312"/>
        </w:rPr>
        <w:t>昆明市盘龙区财政局关于开展2022年度区级预算支出绩效自评工作的通知</w:t>
      </w:r>
      <w:r>
        <w:rPr>
          <w:rFonts w:hint="eastAsia"/>
        </w:rPr>
        <w:t>》</w:t>
      </w:r>
      <w:r>
        <w:rPr>
          <w:rFonts w:hint="eastAsia" w:ascii="仿宋_GB2312" w:eastAsia="仿宋_GB2312"/>
        </w:rPr>
        <w:t>(盘财绩〔2023〕14号)要求，现将</w:t>
      </w:r>
      <w:r>
        <w:rPr>
          <w:rFonts w:hint="eastAsia" w:ascii="仿宋_GB2312" w:hAnsi="宋体" w:eastAsia="仿宋_GB2312" w:cs="宋体"/>
          <w:bCs/>
          <w:kern w:val="0"/>
        </w:rPr>
        <w:t>盘龙区人大常委会办公室2022年部门整体支出及项目支出绩效自评情况报告如下：</w:t>
      </w:r>
    </w:p>
    <w:p>
      <w:pPr>
        <w:widowControl/>
        <w:spacing w:before="100" w:beforeAutospacing="1" w:after="100" w:afterAutospacing="1" w:line="800" w:lineRule="exact"/>
        <w:jc w:val="left"/>
        <w:rPr>
          <w:rFonts w:ascii="仿宋_GB2312" w:hAnsi="宋体" w:eastAsia="仿宋_GB2312" w:cs="宋体"/>
          <w:bCs/>
          <w:kern w:val="0"/>
          <w:sz w:val="32"/>
          <w:szCs w:val="32"/>
        </w:rPr>
      </w:pPr>
    </w:p>
    <w:p>
      <w:pPr>
        <w:widowControl/>
        <w:spacing w:before="100" w:beforeAutospacing="1" w:after="100" w:afterAutospacing="1" w:line="800" w:lineRule="exact"/>
        <w:jc w:val="left"/>
        <w:rPr>
          <w:rFonts w:ascii="仿宋_GB2312" w:hAnsi="宋体" w:eastAsia="仿宋_GB2312" w:cs="宋体"/>
          <w:bCs/>
          <w:kern w:val="0"/>
          <w:sz w:val="32"/>
          <w:szCs w:val="32"/>
        </w:rPr>
      </w:pPr>
    </w:p>
    <w:p>
      <w:pPr>
        <w:widowControl/>
        <w:spacing w:before="100" w:beforeAutospacing="1" w:after="100" w:afterAutospacing="1" w:line="800" w:lineRule="exact"/>
        <w:jc w:val="left"/>
        <w:rPr>
          <w:rFonts w:ascii="仿宋_GB2312" w:hAnsi="宋体" w:eastAsia="仿宋_GB2312" w:cs="宋体"/>
          <w:bCs/>
          <w:kern w:val="0"/>
          <w:sz w:val="32"/>
          <w:szCs w:val="32"/>
        </w:rPr>
      </w:pPr>
    </w:p>
    <w:p>
      <w:pPr>
        <w:widowControl/>
        <w:spacing w:before="100" w:beforeAutospacing="1" w:after="100" w:afterAutospacing="1" w:line="800" w:lineRule="exact"/>
        <w:jc w:val="center"/>
        <w:rPr>
          <w:rFonts w:ascii="方正小标宋_GBK" w:hAnsi="宋体" w:eastAsia="方正小标宋_GBK" w:cs="宋体"/>
          <w:bCs/>
          <w:w w:val="90"/>
          <w:kern w:val="0"/>
          <w:sz w:val="36"/>
          <w:szCs w:val="36"/>
        </w:rPr>
      </w:pPr>
      <w:r>
        <w:rPr>
          <w:rFonts w:hint="eastAsia" w:ascii="方正小标宋_GBK" w:hAnsi="宋体" w:eastAsia="方正小标宋_GBK" w:cs="宋体"/>
          <w:bCs/>
          <w:w w:val="90"/>
          <w:kern w:val="0"/>
          <w:sz w:val="36"/>
          <w:szCs w:val="36"/>
        </w:rPr>
        <w:t>盘龙区2022年度部门（单位）整体支出绩效评价自评报告</w:t>
      </w:r>
    </w:p>
    <w:p>
      <w:pPr>
        <w:widowControl/>
        <w:spacing w:before="100" w:beforeAutospacing="1" w:after="100" w:afterAutospacing="1" w:line="800" w:lineRule="exact"/>
        <w:jc w:val="center"/>
        <w:rPr>
          <w:rFonts w:ascii="黑体" w:hAnsi="宋体" w:eastAsia="黑体" w:cs="宋体"/>
          <w:bCs/>
          <w:kern w:val="0"/>
          <w:sz w:val="44"/>
          <w:szCs w:val="44"/>
        </w:rPr>
      </w:pPr>
    </w:p>
    <w:p>
      <w:pPr>
        <w:widowControl/>
        <w:spacing w:before="100" w:beforeAutospacing="1" w:after="100" w:afterAutospacing="1" w:line="460" w:lineRule="atLeast"/>
        <w:jc w:val="left"/>
        <w:rPr>
          <w:rFonts w:ascii="宋体" w:hAnsi="宋体" w:eastAsia="仿宋_GB2312" w:cs="宋体"/>
          <w:b/>
          <w:kern w:val="0"/>
          <w:sz w:val="24"/>
        </w:rPr>
      </w:pPr>
    </w:p>
    <w:p>
      <w:pPr>
        <w:widowControl/>
        <w:spacing w:before="100" w:beforeAutospacing="1" w:after="100" w:afterAutospacing="1" w:line="460" w:lineRule="atLeast"/>
        <w:jc w:val="left"/>
        <w:rPr>
          <w:rFonts w:ascii="宋体" w:hAnsi="宋体" w:eastAsia="仿宋_GB2312" w:cs="宋体"/>
          <w:b/>
          <w:kern w:val="0"/>
          <w:sz w:val="32"/>
          <w:szCs w:val="32"/>
        </w:rPr>
      </w:pPr>
    </w:p>
    <w:p>
      <w:pPr>
        <w:widowControl/>
        <w:spacing w:beforeLines="50" w:after="100" w:afterAutospacing="1" w:line="348" w:lineRule="auto"/>
        <w:ind w:firstLine="1038" w:firstLineChars="346"/>
        <w:jc w:val="left"/>
        <w:rPr>
          <w:rFonts w:ascii="宋体" w:hAnsi="宋体" w:eastAsia="仿宋_GB2312" w:cs="宋体"/>
          <w:kern w:val="0"/>
          <w:sz w:val="30"/>
          <w:szCs w:val="30"/>
          <w:u w:val="single"/>
        </w:rPr>
      </w:pPr>
      <w:r>
        <w:rPr>
          <w:rFonts w:hint="eastAsia" w:ascii="Calibri" w:hAnsi="宋体" w:eastAsia="仿宋_GB2312" w:cs="宋体"/>
          <w:kern w:val="0"/>
          <w:sz w:val="30"/>
          <w:szCs w:val="30"/>
        </w:rPr>
        <w:t>部门</w:t>
      </w:r>
      <w:r>
        <w:rPr>
          <w:rFonts w:ascii="宋体" w:hAnsi="宋体" w:eastAsia="仿宋_GB2312" w:cs="宋体"/>
          <w:kern w:val="0"/>
          <w:sz w:val="30"/>
          <w:szCs w:val="30"/>
        </w:rPr>
        <w:t>(</w:t>
      </w:r>
      <w:r>
        <w:rPr>
          <w:rFonts w:hint="eastAsia" w:ascii="Calibri" w:hAnsi="宋体" w:eastAsia="仿宋_GB2312" w:cs="宋体"/>
          <w:kern w:val="0"/>
          <w:sz w:val="30"/>
          <w:szCs w:val="30"/>
        </w:rPr>
        <w:t>单位</w:t>
      </w:r>
      <w:r>
        <w:rPr>
          <w:rFonts w:ascii="宋体" w:hAnsi="宋体" w:eastAsia="仿宋_GB2312" w:cs="宋体"/>
          <w:kern w:val="0"/>
          <w:sz w:val="30"/>
          <w:szCs w:val="30"/>
        </w:rPr>
        <w:t>)</w:t>
      </w:r>
      <w:r>
        <w:rPr>
          <w:rFonts w:hint="eastAsia" w:ascii="Calibri" w:hAnsi="宋体" w:eastAsia="仿宋_GB2312" w:cs="宋体"/>
          <w:kern w:val="0"/>
          <w:sz w:val="30"/>
          <w:szCs w:val="30"/>
        </w:rPr>
        <w:t>名称</w:t>
      </w:r>
      <w:r>
        <w:rPr>
          <w:rFonts w:ascii="宋体" w:hAnsi="宋体" w:eastAsia="仿宋_GB2312" w:cs="宋体"/>
          <w:kern w:val="0"/>
          <w:sz w:val="30"/>
          <w:szCs w:val="30"/>
          <w:u w:val="single"/>
        </w:rPr>
        <w:t xml:space="preserve">  </w:t>
      </w:r>
      <w:r>
        <w:rPr>
          <w:rFonts w:hint="eastAsia" w:ascii="仿宋_GB2312" w:hAnsi="宋体" w:eastAsia="仿宋_GB2312" w:cs="Times New Roman"/>
          <w:sz w:val="30"/>
          <w:szCs w:val="30"/>
          <w:u w:val="single"/>
        </w:rPr>
        <w:t>盘龙区人大常委会办公室</w:t>
      </w:r>
      <w:r>
        <w:rPr>
          <w:rFonts w:ascii="宋体" w:hAnsi="宋体" w:eastAsia="仿宋_GB2312" w:cs="宋体"/>
          <w:kern w:val="0"/>
          <w:sz w:val="30"/>
          <w:szCs w:val="30"/>
          <w:u w:val="single"/>
        </w:rPr>
        <w:t xml:space="preserve">    </w:t>
      </w:r>
    </w:p>
    <w:p>
      <w:pPr>
        <w:widowControl/>
        <w:spacing w:beforeLines="50" w:after="100" w:afterAutospacing="1" w:line="348" w:lineRule="auto"/>
        <w:ind w:firstLine="1038" w:firstLineChars="346"/>
        <w:jc w:val="left"/>
        <w:rPr>
          <w:rFonts w:ascii="宋体" w:hAnsi="宋体" w:eastAsia="仿宋_GB2312" w:cs="宋体"/>
          <w:kern w:val="0"/>
          <w:sz w:val="30"/>
          <w:szCs w:val="30"/>
        </w:rPr>
      </w:pPr>
      <w:r>
        <w:rPr>
          <w:rFonts w:hint="eastAsia" w:ascii="Calibri" w:hAnsi="宋体" w:eastAsia="仿宋_GB2312" w:cs="宋体"/>
          <w:kern w:val="0"/>
          <w:sz w:val="30"/>
          <w:szCs w:val="30"/>
        </w:rPr>
        <w:t>预  算  编  码</w:t>
      </w:r>
      <w:r>
        <w:rPr>
          <w:rFonts w:ascii="宋体" w:hAnsi="宋体" w:eastAsia="仿宋_GB2312" w:cs="宋体"/>
          <w:kern w:val="0"/>
          <w:sz w:val="30"/>
          <w:szCs w:val="30"/>
          <w:u w:val="single"/>
        </w:rPr>
        <w:t xml:space="preserve">        </w:t>
      </w:r>
      <w:r>
        <w:rPr>
          <w:rFonts w:hint="eastAsia" w:ascii="宋体" w:hAnsi="宋体" w:eastAsia="仿宋_GB2312" w:cs="宋体"/>
          <w:kern w:val="0"/>
          <w:sz w:val="30"/>
          <w:szCs w:val="30"/>
          <w:u w:val="single"/>
        </w:rPr>
        <w:t>199001</w:t>
      </w:r>
      <w:r>
        <w:rPr>
          <w:rFonts w:ascii="宋体" w:hAnsi="宋体" w:eastAsia="仿宋_GB2312" w:cs="宋体"/>
          <w:kern w:val="0"/>
          <w:sz w:val="30"/>
          <w:szCs w:val="30"/>
          <w:u w:val="single"/>
        </w:rPr>
        <w:t xml:space="preserve">    </w:t>
      </w:r>
      <w:r>
        <w:rPr>
          <w:rFonts w:hint="eastAsia" w:ascii="宋体" w:hAnsi="宋体" w:eastAsia="仿宋_GB2312" w:cs="宋体"/>
          <w:kern w:val="0"/>
          <w:sz w:val="30"/>
          <w:szCs w:val="30"/>
          <w:u w:val="single"/>
        </w:rPr>
        <w:t xml:space="preserve">    </w:t>
      </w:r>
      <w:r>
        <w:rPr>
          <w:rFonts w:ascii="宋体" w:hAnsi="宋体" w:eastAsia="仿宋_GB2312" w:cs="宋体"/>
          <w:kern w:val="0"/>
          <w:sz w:val="30"/>
          <w:szCs w:val="30"/>
          <w:u w:val="single"/>
        </w:rPr>
        <w:t xml:space="preserve">      </w:t>
      </w:r>
    </w:p>
    <w:p>
      <w:pPr>
        <w:widowControl/>
        <w:spacing w:beforeLines="50" w:after="100" w:afterAutospacing="1" w:line="348" w:lineRule="auto"/>
        <w:ind w:firstLine="1185" w:firstLineChars="395"/>
        <w:jc w:val="left"/>
        <w:rPr>
          <w:rFonts w:ascii="宋体" w:hAnsi="宋体" w:eastAsia="仿宋_GB2312" w:cs="宋体"/>
          <w:kern w:val="0"/>
          <w:sz w:val="30"/>
          <w:szCs w:val="30"/>
        </w:rPr>
      </w:pPr>
      <w:r>
        <w:rPr>
          <w:rFonts w:hint="eastAsia" w:ascii="Calibri" w:hAnsi="宋体" w:eastAsia="仿宋_GB2312" w:cs="宋体"/>
          <w:kern w:val="0"/>
          <w:sz w:val="30"/>
          <w:szCs w:val="30"/>
        </w:rPr>
        <w:t>评价方式：单位绩效自评</w:t>
      </w:r>
    </w:p>
    <w:p>
      <w:pPr>
        <w:widowControl/>
        <w:spacing w:beforeLines="50" w:after="100" w:afterAutospacing="1" w:line="348" w:lineRule="auto"/>
        <w:ind w:firstLine="1185" w:firstLineChars="395"/>
        <w:jc w:val="left"/>
        <w:rPr>
          <w:rFonts w:ascii="宋体" w:hAnsi="宋体" w:eastAsia="仿宋_GB2312" w:cs="宋体"/>
          <w:kern w:val="0"/>
          <w:sz w:val="30"/>
          <w:szCs w:val="30"/>
        </w:rPr>
      </w:pPr>
      <w:r>
        <w:rPr>
          <w:rFonts w:hint="eastAsia" w:ascii="Calibri" w:hAnsi="宋体" w:eastAsia="仿宋_GB2312" w:cs="宋体"/>
          <w:kern w:val="0"/>
          <w:sz w:val="30"/>
          <w:szCs w:val="30"/>
        </w:rPr>
        <w:t>评价机构：</w:t>
      </w:r>
      <w:r>
        <w:rPr>
          <w:rFonts w:hint="eastAsia" w:ascii="仿宋_GB2312" w:hAnsi="宋体" w:eastAsia="仿宋_GB2312" w:cs="Times New Roman"/>
          <w:sz w:val="30"/>
          <w:szCs w:val="30"/>
        </w:rPr>
        <w:t>盘龙区人大常委会办公室</w:t>
      </w:r>
      <w:r>
        <w:rPr>
          <w:rFonts w:ascii="宋体" w:hAnsi="宋体" w:eastAsia="仿宋_GB2312" w:cs="宋体"/>
          <w:kern w:val="0"/>
          <w:sz w:val="30"/>
          <w:szCs w:val="30"/>
        </w:rPr>
        <w:t xml:space="preserve">   </w:t>
      </w:r>
    </w:p>
    <w:p>
      <w:pPr>
        <w:widowControl/>
        <w:spacing w:before="100" w:beforeAutospacing="1" w:after="100" w:afterAutospacing="1" w:line="348" w:lineRule="auto"/>
        <w:ind w:firstLine="1656" w:firstLineChars="690"/>
        <w:jc w:val="left"/>
        <w:rPr>
          <w:rFonts w:ascii="Calibri" w:hAnsi="宋体" w:eastAsia="仿宋_GB2312" w:cs="宋体"/>
          <w:kern w:val="0"/>
          <w:sz w:val="24"/>
        </w:rPr>
      </w:pPr>
    </w:p>
    <w:p>
      <w:pPr>
        <w:widowControl/>
        <w:spacing w:before="100" w:beforeAutospacing="1" w:after="100" w:afterAutospacing="1" w:line="348" w:lineRule="auto"/>
        <w:ind w:firstLine="1656" w:firstLineChars="690"/>
        <w:jc w:val="left"/>
        <w:rPr>
          <w:rFonts w:ascii="Calibri" w:hAnsi="宋体" w:eastAsia="仿宋_GB2312" w:cs="宋体"/>
          <w:kern w:val="0"/>
          <w:sz w:val="24"/>
        </w:rPr>
      </w:pPr>
    </w:p>
    <w:p>
      <w:pPr>
        <w:widowControl/>
        <w:spacing w:before="100" w:beforeAutospacing="1" w:after="100" w:afterAutospacing="1" w:line="348" w:lineRule="auto"/>
        <w:ind w:firstLine="1656" w:firstLineChars="690"/>
        <w:jc w:val="left"/>
        <w:rPr>
          <w:rFonts w:ascii="Calibri" w:hAnsi="宋体" w:eastAsia="仿宋_GB2312" w:cs="宋体"/>
          <w:kern w:val="0"/>
          <w:sz w:val="24"/>
        </w:rPr>
      </w:pPr>
    </w:p>
    <w:p>
      <w:pPr>
        <w:widowControl/>
        <w:spacing w:before="100" w:beforeAutospacing="1" w:after="100" w:afterAutospacing="1" w:line="348" w:lineRule="auto"/>
        <w:ind w:firstLine="2400" w:firstLineChars="750"/>
        <w:jc w:val="left"/>
        <w:rPr>
          <w:rFonts w:ascii="宋体" w:hAnsi="宋体" w:eastAsia="仿宋_GB2312" w:cs="宋体"/>
          <w:kern w:val="0"/>
          <w:sz w:val="32"/>
          <w:szCs w:val="32"/>
        </w:rPr>
      </w:pPr>
      <w:r>
        <w:rPr>
          <w:rFonts w:hint="eastAsia" w:ascii="Calibri" w:hAnsi="宋体" w:eastAsia="仿宋_GB2312" w:cs="宋体"/>
          <w:kern w:val="0"/>
          <w:sz w:val="32"/>
          <w:szCs w:val="32"/>
        </w:rPr>
        <w:t>报告日期：</w:t>
      </w:r>
      <w:r>
        <w:rPr>
          <w:rFonts w:hint="eastAsia" w:ascii="宋体" w:hAnsi="宋体" w:eastAsia="仿宋_GB2312" w:cs="宋体"/>
          <w:kern w:val="0"/>
          <w:sz w:val="32"/>
          <w:szCs w:val="32"/>
        </w:rPr>
        <w:t>2023</w:t>
      </w:r>
      <w:r>
        <w:rPr>
          <w:rFonts w:hint="eastAsia" w:ascii="Calibri" w:hAnsi="宋体" w:eastAsia="仿宋_GB2312" w:cs="宋体"/>
          <w:kern w:val="0"/>
          <w:sz w:val="32"/>
          <w:szCs w:val="32"/>
        </w:rPr>
        <w:t>年</w:t>
      </w:r>
      <w:r>
        <w:rPr>
          <w:rFonts w:hint="eastAsia" w:ascii="宋体" w:hAnsi="宋体" w:eastAsia="仿宋_GB2312" w:cs="宋体"/>
          <w:kern w:val="0"/>
          <w:sz w:val="32"/>
          <w:szCs w:val="32"/>
        </w:rPr>
        <w:t>5</w:t>
      </w:r>
      <w:r>
        <w:rPr>
          <w:rFonts w:ascii="宋体" w:hAnsi="宋体" w:eastAsia="仿宋_GB2312" w:cs="宋体"/>
          <w:kern w:val="0"/>
          <w:sz w:val="32"/>
          <w:szCs w:val="32"/>
        </w:rPr>
        <w:t xml:space="preserve"> </w:t>
      </w:r>
      <w:r>
        <w:rPr>
          <w:rFonts w:hint="eastAsia" w:ascii="Calibri" w:hAnsi="宋体" w:eastAsia="仿宋_GB2312" w:cs="宋体"/>
          <w:kern w:val="0"/>
          <w:sz w:val="32"/>
          <w:szCs w:val="32"/>
        </w:rPr>
        <w:t>月</w:t>
      </w:r>
      <w:r>
        <w:rPr>
          <w:rFonts w:ascii="宋体" w:hAnsi="宋体" w:eastAsia="仿宋_GB2312" w:cs="宋体"/>
          <w:kern w:val="0"/>
          <w:sz w:val="32"/>
          <w:szCs w:val="32"/>
        </w:rPr>
        <w:t xml:space="preserve"> </w:t>
      </w:r>
    </w:p>
    <w:p>
      <w:pPr>
        <w:widowControl/>
        <w:spacing w:before="100" w:beforeAutospacing="1" w:after="100" w:afterAutospacing="1" w:line="348" w:lineRule="auto"/>
        <w:jc w:val="center"/>
        <w:rPr>
          <w:rFonts w:ascii="宋体" w:hAnsi="宋体" w:eastAsia="仿宋_GB2312" w:cs="宋体"/>
          <w:kern w:val="0"/>
          <w:sz w:val="32"/>
          <w:szCs w:val="32"/>
        </w:rPr>
      </w:pPr>
      <w:r>
        <w:rPr>
          <w:rFonts w:hint="eastAsia" w:ascii="Calibri" w:hAnsi="宋体" w:eastAsia="仿宋_GB2312" w:cs="宋体"/>
          <w:kern w:val="0"/>
          <w:sz w:val="32"/>
          <w:szCs w:val="32"/>
        </w:rPr>
        <w:t>盘龙区财政局（制）</w:t>
      </w:r>
    </w:p>
    <w:p>
      <w:pPr>
        <w:pStyle w:val="6"/>
        <w:shd w:val="clear" w:color="auto" w:fill="FFFFFF"/>
        <w:spacing w:before="0" w:beforeAutospacing="0" w:after="0" w:afterAutospacing="0"/>
        <w:jc w:val="center"/>
        <w:rPr>
          <w:rFonts w:ascii="方正小标宋简体" w:hAnsi="黑体" w:eastAsia="方正小标宋简体"/>
          <w:color w:val="333333"/>
          <w:sz w:val="44"/>
          <w:szCs w:val="44"/>
        </w:rPr>
      </w:pPr>
    </w:p>
    <w:p>
      <w:pPr>
        <w:pStyle w:val="6"/>
        <w:shd w:val="clear" w:color="auto" w:fill="FFFFFF"/>
        <w:spacing w:before="0" w:beforeAutospacing="0" w:after="0" w:afterAutospacing="0"/>
        <w:jc w:val="center"/>
        <w:rPr>
          <w:rFonts w:ascii="方正小标宋简体" w:hAnsi="微软雅黑" w:eastAsia="方正小标宋简体"/>
          <w:color w:val="333333"/>
          <w:sz w:val="44"/>
          <w:szCs w:val="44"/>
        </w:rPr>
      </w:pPr>
      <w:r>
        <w:rPr>
          <w:rFonts w:hint="eastAsia" w:ascii="方正小标宋简体" w:hAnsi="黑体" w:eastAsia="方正小标宋简体"/>
          <w:color w:val="333333"/>
          <w:sz w:val="44"/>
          <w:szCs w:val="44"/>
        </w:rPr>
        <w:t>昆明市盘龙区人大常委会办公室关于2022年部门整体支出绩效的自评报告</w:t>
      </w:r>
    </w:p>
    <w:p>
      <w:pPr>
        <w:pStyle w:val="6"/>
        <w:shd w:val="clear" w:color="auto" w:fill="FFFFFF"/>
        <w:spacing w:before="0" w:beforeAutospacing="0" w:after="0" w:afterAutospacing="0" w:line="525" w:lineRule="atLeast"/>
        <w:ind w:firstLine="640" w:firstLineChars="200"/>
        <w:rPr>
          <w:rFonts w:ascii="黑体" w:hAnsi="黑体" w:eastAsia="黑体"/>
          <w:color w:val="333333"/>
          <w:sz w:val="32"/>
          <w:szCs w:val="32"/>
        </w:rPr>
      </w:pPr>
    </w:p>
    <w:p>
      <w:pPr>
        <w:pStyle w:val="6"/>
        <w:shd w:val="clear" w:color="auto" w:fill="FFFFFF"/>
        <w:spacing w:before="0" w:beforeAutospacing="0" w:after="0" w:afterAutospacing="0" w:line="525" w:lineRule="atLeast"/>
        <w:ind w:firstLine="640" w:firstLineChars="200"/>
        <w:rPr>
          <w:rFonts w:ascii="微软雅黑" w:hAnsi="微软雅黑" w:eastAsia="微软雅黑"/>
          <w:color w:val="333333"/>
          <w:sz w:val="21"/>
          <w:szCs w:val="21"/>
        </w:rPr>
      </w:pPr>
      <w:r>
        <w:rPr>
          <w:rFonts w:hint="eastAsia" w:ascii="黑体" w:hAnsi="黑体" w:eastAsia="黑体"/>
          <w:color w:val="333333"/>
          <w:sz w:val="32"/>
          <w:szCs w:val="32"/>
        </w:rPr>
        <w:t>一、</w:t>
      </w:r>
      <w:r>
        <w:rPr>
          <w:rFonts w:hint="eastAsia"/>
          <w:color w:val="333333"/>
          <w:sz w:val="32"/>
          <w:szCs w:val="32"/>
        </w:rPr>
        <w:t> </w:t>
      </w:r>
      <w:r>
        <w:rPr>
          <w:rFonts w:hint="eastAsia" w:ascii="黑体" w:hAnsi="黑体" w:eastAsia="黑体"/>
          <w:color w:val="333333"/>
          <w:sz w:val="32"/>
          <w:szCs w:val="32"/>
        </w:rPr>
        <w:t>部门概况：</w:t>
      </w:r>
    </w:p>
    <w:p>
      <w:pPr>
        <w:pStyle w:val="6"/>
        <w:shd w:val="clear" w:color="auto" w:fill="FFFFFF"/>
        <w:spacing w:before="0" w:beforeAutospacing="0" w:after="0" w:afterAutospacing="0"/>
        <w:ind w:firstLine="660"/>
        <w:rPr>
          <w:rFonts w:ascii="仿宋_GB2312" w:hAnsi="微软雅黑" w:eastAsia="仿宋_GB2312"/>
          <w:color w:val="333333"/>
          <w:sz w:val="32"/>
          <w:szCs w:val="32"/>
        </w:rPr>
      </w:pPr>
      <w:r>
        <w:rPr>
          <w:rFonts w:hint="eastAsia" w:ascii="仿宋_GB2312" w:hAnsi="微软雅黑" w:eastAsia="仿宋_GB2312"/>
          <w:color w:val="333333"/>
          <w:sz w:val="32"/>
          <w:szCs w:val="32"/>
        </w:rPr>
        <w:t>（一）</w:t>
      </w:r>
      <w:r>
        <w:rPr>
          <w:rFonts w:hint="eastAsia" w:ascii="仿宋_GB2312" w:hAnsi="Arial" w:eastAsia="仿宋_GB2312" w:cs="Arial"/>
          <w:color w:val="000000"/>
          <w:sz w:val="32"/>
          <w:szCs w:val="32"/>
        </w:rPr>
        <w:t>部门基本情况</w:t>
      </w:r>
    </w:p>
    <w:p>
      <w:pPr>
        <w:pStyle w:val="6"/>
        <w:shd w:val="clear" w:color="auto" w:fill="FFFFFF"/>
        <w:spacing w:before="0" w:beforeAutospacing="0" w:after="0" w:afterAutospacing="0"/>
        <w:ind w:firstLine="660"/>
        <w:rPr>
          <w:rFonts w:ascii="仿宋_GB2312" w:hAnsi="微软雅黑" w:eastAsia="仿宋_GB2312"/>
          <w:color w:val="333333"/>
          <w:sz w:val="32"/>
          <w:szCs w:val="32"/>
        </w:rPr>
      </w:pPr>
      <w:r>
        <w:rPr>
          <w:rFonts w:hint="eastAsia" w:ascii="仿宋_GB2312" w:hAnsi="微软雅黑" w:eastAsia="仿宋_GB2312"/>
          <w:color w:val="333333"/>
          <w:sz w:val="32"/>
          <w:szCs w:val="32"/>
        </w:rPr>
        <w:t>1、主要职能：在本行政区域内保证宪法、法律、行政法规和上级人民代表大会及其常委会决议的遵守和执行；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pPr>
        <w:ind w:firstLine="614" w:firstLineChars="192"/>
        <w:rPr>
          <w:rFonts w:ascii="仿宋_GB2312" w:hAnsi="宋体" w:eastAsia="仿宋_GB2312"/>
          <w:sz w:val="32"/>
          <w:szCs w:val="32"/>
        </w:rPr>
      </w:pPr>
      <w:r>
        <w:rPr>
          <w:rFonts w:hint="eastAsia" w:ascii="仿宋_GB2312" w:hAnsi="微软雅黑" w:eastAsia="仿宋_GB2312"/>
          <w:color w:val="333333"/>
          <w:sz w:val="32"/>
          <w:szCs w:val="32"/>
        </w:rPr>
        <w:t>2．人员机构：</w:t>
      </w:r>
      <w:r>
        <w:rPr>
          <w:rFonts w:hint="eastAsia" w:ascii="仿宋_GB2312" w:hAnsi="宋体" w:eastAsia="仿宋_GB2312"/>
          <w:sz w:val="32"/>
          <w:szCs w:val="32"/>
        </w:rPr>
        <w:t>盘龙区人大常委会办公室由本级机关构成一个独立的行政单位，内设7个工作委员会和1个办公室，2022年12月人员编制情况及实有人员情况如下：</w:t>
      </w:r>
    </w:p>
    <w:p>
      <w:pPr>
        <w:ind w:firstLine="614" w:firstLineChars="192"/>
        <w:rPr>
          <w:rFonts w:ascii="仿宋_GB2312" w:hAnsi="宋体" w:eastAsia="仿宋_GB2312"/>
          <w:sz w:val="32"/>
          <w:szCs w:val="32"/>
        </w:rPr>
      </w:pPr>
      <w:r>
        <w:rPr>
          <w:rFonts w:hint="eastAsia" w:ascii="仿宋_GB2312" w:hAnsi="宋体" w:eastAsia="仿宋_GB2312"/>
          <w:sz w:val="32"/>
          <w:szCs w:val="32"/>
        </w:rPr>
        <w:t>（1）人员编制为32人，其中行政人员编制28人，工勤人员编制4人；</w:t>
      </w:r>
    </w:p>
    <w:p>
      <w:pPr>
        <w:ind w:firstLine="614" w:firstLineChars="192"/>
        <w:rPr>
          <w:rFonts w:ascii="仿宋_GB2312" w:hAnsi="宋体" w:eastAsia="仿宋_GB2312"/>
          <w:sz w:val="32"/>
          <w:szCs w:val="32"/>
        </w:rPr>
      </w:pPr>
      <w:r>
        <w:rPr>
          <w:rFonts w:hint="eastAsia" w:ascii="仿宋_GB2312" w:hAnsi="宋体" w:eastAsia="仿宋_GB2312"/>
          <w:sz w:val="32"/>
          <w:szCs w:val="32"/>
        </w:rPr>
        <w:t>（2）实际在编情况：在职在编行政人员34人，在职在编工勤人员4 人；</w:t>
      </w:r>
    </w:p>
    <w:p>
      <w:pPr>
        <w:spacing w:line="40" w:lineRule="atLeast"/>
        <w:ind w:firstLine="640" w:firstLineChars="200"/>
        <w:jc w:val="left"/>
        <w:rPr>
          <w:rFonts w:ascii="仿宋_GB2312" w:hAnsi="微软雅黑" w:eastAsia="仿宋_GB2312"/>
          <w:color w:val="333333"/>
          <w:sz w:val="32"/>
          <w:szCs w:val="32"/>
        </w:rPr>
      </w:pPr>
      <w:r>
        <w:rPr>
          <w:rFonts w:hint="eastAsia" w:ascii="仿宋_GB2312" w:hAnsi="宋体" w:eastAsia="仿宋_GB2312"/>
          <w:sz w:val="32"/>
          <w:szCs w:val="32"/>
        </w:rPr>
        <w:t>（3）退休人员29人。</w:t>
      </w:r>
    </w:p>
    <w:p>
      <w:pPr>
        <w:pStyle w:val="6"/>
        <w:shd w:val="clear" w:color="auto" w:fill="FFFFFF"/>
        <w:spacing w:before="0" w:beforeAutospacing="0" w:after="0" w:afterAutospacing="0" w:line="58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3.年度重点工作：完成人大事务、一般行政管理事务、人大会议、代表工作。</w:t>
      </w:r>
    </w:p>
    <w:p>
      <w:pPr>
        <w:pStyle w:val="6"/>
        <w:shd w:val="clear" w:color="auto" w:fill="FFFFFF"/>
        <w:spacing w:before="0" w:beforeAutospacing="0" w:after="0" w:afterAutospacing="0" w:line="58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4．预算执行情况：2022年昆明市盘龙区人民代表大会常务委员会严格执行预算数，按照厉行节约控制成本支出。</w:t>
      </w:r>
    </w:p>
    <w:p>
      <w:pPr>
        <w:widowControl/>
        <w:shd w:val="clear" w:color="auto" w:fill="FFFFFF"/>
        <w:spacing w:line="560" w:lineRule="atLeast"/>
        <w:ind w:firstLine="630"/>
        <w:rPr>
          <w:rFonts w:ascii="仿宋_GB2312" w:hAnsi="Arial" w:eastAsia="仿宋_GB2312" w:cs="Arial"/>
          <w:color w:val="000000"/>
          <w:kern w:val="0"/>
          <w:sz w:val="32"/>
          <w:szCs w:val="32"/>
        </w:rPr>
      </w:pPr>
      <w:r>
        <w:rPr>
          <w:rFonts w:hint="eastAsia" w:ascii="仿宋_GB2312" w:hAnsi="Arial" w:eastAsia="仿宋_GB2312" w:cs="Arial"/>
          <w:color w:val="000000"/>
          <w:kern w:val="0"/>
          <w:sz w:val="32"/>
          <w:szCs w:val="32"/>
        </w:rPr>
        <w:t>（二）部门整体支出规模、使用方向和主要内容、涉及范围</w:t>
      </w:r>
    </w:p>
    <w:p>
      <w:pPr>
        <w:widowControl/>
        <w:shd w:val="clear" w:color="auto" w:fill="FFFFFF"/>
        <w:spacing w:line="560" w:lineRule="atLeast"/>
        <w:ind w:firstLine="630"/>
        <w:rPr>
          <w:rFonts w:ascii="仿宋_GB2312" w:hAnsi="Arial" w:eastAsia="仿宋_GB2312" w:cs="Arial"/>
          <w:color w:val="000000"/>
          <w:kern w:val="0"/>
          <w:sz w:val="32"/>
          <w:szCs w:val="32"/>
        </w:rPr>
      </w:pPr>
      <w:r>
        <w:rPr>
          <w:rFonts w:hint="eastAsia" w:ascii="仿宋_GB2312" w:eastAsia="仿宋_GB2312"/>
          <w:sz w:val="32"/>
          <w:szCs w:val="32"/>
        </w:rPr>
        <w:t>2022年度财政预算收入1352.47万元，年度支出总计1352.47万元,其中：</w:t>
      </w:r>
      <w:r>
        <w:rPr>
          <w:rFonts w:ascii="Calibri" w:hAnsi="Calibri" w:eastAsia="仿宋_GB2312" w:cs="Times New Roman"/>
          <w:sz w:val="32"/>
        </w:rPr>
        <w:t>基本支出</w:t>
      </w:r>
      <w:r>
        <w:rPr>
          <w:rFonts w:hint="eastAsia" w:ascii="仿宋_GB2312" w:eastAsia="仿宋_GB2312"/>
          <w:sz w:val="32"/>
        </w:rPr>
        <w:t>1104.42</w:t>
      </w:r>
      <w:r>
        <w:rPr>
          <w:rFonts w:hint="eastAsia" w:ascii="仿宋_GB2312" w:eastAsia="仿宋_GB2312"/>
          <w:sz w:val="32"/>
          <w:szCs w:val="32"/>
        </w:rPr>
        <w:t>万</w:t>
      </w:r>
      <w:r>
        <w:rPr>
          <w:rFonts w:ascii="Calibri" w:hAnsi="Calibri" w:eastAsia="仿宋_GB2312" w:cs="Times New Roman"/>
          <w:sz w:val="32"/>
        </w:rPr>
        <w:t>元，</w:t>
      </w:r>
      <w:r>
        <w:rPr>
          <w:rFonts w:hint="eastAsia" w:ascii="仿宋_GB2312" w:eastAsia="仿宋_GB2312"/>
          <w:sz w:val="32"/>
          <w:szCs w:val="32"/>
        </w:rPr>
        <w:t>占总收入的</w:t>
      </w:r>
      <w:r>
        <w:rPr>
          <w:rFonts w:hint="eastAsia" w:ascii="仿宋_GB2312" w:hAnsi="微软雅黑" w:eastAsia="仿宋_GB2312" w:cs="宋体"/>
          <w:kern w:val="0"/>
          <w:sz w:val="32"/>
          <w:szCs w:val="32"/>
        </w:rPr>
        <w:t>81.66</w:t>
      </w:r>
      <w:r>
        <w:rPr>
          <w:rFonts w:hint="eastAsia" w:ascii="仿宋_GB2312" w:eastAsia="仿宋_GB2312"/>
          <w:sz w:val="32"/>
          <w:szCs w:val="32"/>
        </w:rPr>
        <w:t>%，主要用于人员经费、行政运行支出等；</w:t>
      </w:r>
      <w:r>
        <w:rPr>
          <w:rFonts w:ascii="Calibri" w:hAnsi="Calibri" w:eastAsia="仿宋_GB2312" w:cs="Times New Roman"/>
          <w:color w:val="000000"/>
          <w:sz w:val="32"/>
        </w:rPr>
        <w:t>项目支出</w:t>
      </w:r>
      <w:r>
        <w:rPr>
          <w:rFonts w:hint="eastAsia" w:ascii="仿宋_GB2312" w:eastAsia="仿宋_GB2312"/>
          <w:color w:val="000000"/>
          <w:sz w:val="32"/>
        </w:rPr>
        <w:t>248.05</w:t>
      </w:r>
      <w:r>
        <w:rPr>
          <w:rFonts w:hint="eastAsia" w:ascii="仿宋_GB2312" w:eastAsia="仿宋_GB2312"/>
          <w:sz w:val="32"/>
          <w:szCs w:val="32"/>
        </w:rPr>
        <w:t>万</w:t>
      </w:r>
      <w:r>
        <w:rPr>
          <w:rFonts w:ascii="Calibri" w:hAnsi="Calibri" w:eastAsia="仿宋_GB2312" w:cs="Times New Roman"/>
          <w:color w:val="000000"/>
          <w:sz w:val="32"/>
        </w:rPr>
        <w:t>元</w:t>
      </w:r>
      <w:r>
        <w:rPr>
          <w:rFonts w:hint="eastAsia" w:ascii="Calibri" w:hAnsi="Calibri" w:eastAsia="仿宋_GB2312" w:cs="Times New Roman"/>
          <w:color w:val="000000"/>
          <w:sz w:val="32"/>
        </w:rPr>
        <w:t>，</w:t>
      </w:r>
      <w:r>
        <w:rPr>
          <w:rFonts w:hint="eastAsia" w:ascii="仿宋_GB2312" w:eastAsia="仿宋_GB2312"/>
          <w:sz w:val="32"/>
          <w:szCs w:val="32"/>
        </w:rPr>
        <w:t>占总收入的</w:t>
      </w:r>
      <w:r>
        <w:rPr>
          <w:rFonts w:hint="eastAsia" w:ascii="仿宋_GB2312" w:hAnsi="微软雅黑" w:eastAsia="仿宋_GB2312" w:cs="宋体"/>
          <w:kern w:val="0"/>
          <w:sz w:val="32"/>
          <w:szCs w:val="32"/>
        </w:rPr>
        <w:t>18.34</w:t>
      </w:r>
      <w:r>
        <w:rPr>
          <w:rFonts w:hint="eastAsia" w:ascii="仿宋_GB2312" w:eastAsia="仿宋_GB2312"/>
          <w:sz w:val="32"/>
          <w:szCs w:val="32"/>
        </w:rPr>
        <w:t>%，分别有代表工作经费、代表履职经费、代表培训经费、会议经费、街道人大工委联络指导经费、业务经费、代表换届选举经费、代表工作站建设经费、预算联网监督工作平台建设及运行维护费及市人大转移支付的相关经费等，其中纳入重点绩效管理的有代表活动经费、代表履职经费、代表培训费、代表活动阵地建设工</w:t>
      </w:r>
      <w:bookmarkStart w:id="0" w:name="_GoBack"/>
      <w:bookmarkEnd w:id="0"/>
      <w:r>
        <w:rPr>
          <w:rFonts w:hint="eastAsia" w:ascii="仿宋_GB2312" w:eastAsia="仿宋_GB2312"/>
          <w:sz w:val="32"/>
          <w:szCs w:val="32"/>
        </w:rPr>
        <w:t>作经费等4项。</w:t>
      </w:r>
    </w:p>
    <w:p>
      <w:pPr>
        <w:pStyle w:val="6"/>
        <w:shd w:val="clear" w:color="auto" w:fill="FFFFFF"/>
        <w:spacing w:before="0" w:beforeAutospacing="0" w:after="0" w:afterAutospacing="0" w:line="525" w:lineRule="atLeast"/>
        <w:ind w:firstLine="645"/>
        <w:rPr>
          <w:rFonts w:ascii="微软雅黑" w:hAnsi="微软雅黑" w:eastAsia="微软雅黑"/>
          <w:color w:val="333333"/>
          <w:sz w:val="21"/>
          <w:szCs w:val="21"/>
        </w:rPr>
      </w:pPr>
      <w:r>
        <w:rPr>
          <w:rFonts w:hint="eastAsia" w:ascii="黑体" w:hAnsi="黑体" w:eastAsia="黑体"/>
          <w:color w:val="333333"/>
          <w:sz w:val="32"/>
          <w:szCs w:val="32"/>
        </w:rPr>
        <w:t>二、评价结论及绩效分析：</w:t>
      </w:r>
    </w:p>
    <w:p>
      <w:pPr>
        <w:pStyle w:val="6"/>
        <w:shd w:val="clear" w:color="auto" w:fill="FFFFFF"/>
        <w:spacing w:before="0" w:beforeAutospacing="0" w:after="0" w:afterAutospacing="0" w:line="585" w:lineRule="atLeast"/>
        <w:ind w:firstLine="645"/>
        <w:rPr>
          <w:rFonts w:ascii="微软雅黑" w:hAnsi="微软雅黑" w:eastAsia="微软雅黑"/>
          <w:color w:val="333333"/>
          <w:sz w:val="21"/>
          <w:szCs w:val="21"/>
        </w:rPr>
      </w:pPr>
      <w:r>
        <w:rPr>
          <w:rFonts w:hint="eastAsia" w:ascii="仿宋_GB2312" w:hAnsi="微软雅黑" w:eastAsia="仿宋_GB2312"/>
          <w:color w:val="333333"/>
          <w:sz w:val="32"/>
          <w:szCs w:val="32"/>
        </w:rPr>
        <w:t>1．项目实施对经济和社会的影响。人民代表大会行使人民真正当家做主行使民主权力，最好地代表人民利益。</w:t>
      </w:r>
    </w:p>
    <w:p>
      <w:pPr>
        <w:pStyle w:val="6"/>
        <w:shd w:val="clear" w:color="auto" w:fill="FFFFFF"/>
        <w:spacing w:before="0" w:beforeAutospacing="0" w:after="0" w:afterAutospacing="0" w:line="585" w:lineRule="atLeast"/>
        <w:ind w:firstLine="645"/>
        <w:rPr>
          <w:rFonts w:ascii="微软雅黑" w:hAnsi="微软雅黑" w:eastAsia="微软雅黑"/>
          <w:color w:val="333333"/>
          <w:sz w:val="21"/>
          <w:szCs w:val="21"/>
        </w:rPr>
      </w:pPr>
      <w:r>
        <w:rPr>
          <w:rFonts w:hint="eastAsia" w:ascii="仿宋_GB2312" w:hAnsi="微软雅黑" w:eastAsia="仿宋_GB2312"/>
          <w:color w:val="333333"/>
          <w:sz w:val="32"/>
          <w:szCs w:val="32"/>
        </w:rPr>
        <w:t>2．项目的可持续性分析，更好更规范地为人民群众服务。</w:t>
      </w:r>
    </w:p>
    <w:p>
      <w:pPr>
        <w:pStyle w:val="6"/>
        <w:shd w:val="clear" w:color="auto" w:fill="FFFFFF"/>
        <w:spacing w:before="0" w:beforeAutospacing="0" w:after="0" w:afterAutospacing="0" w:line="375" w:lineRule="atLeast"/>
        <w:ind w:firstLine="645"/>
        <w:textAlignment w:val="baseline"/>
        <w:rPr>
          <w:rFonts w:ascii="微软雅黑" w:hAnsi="微软雅黑" w:eastAsia="微软雅黑"/>
          <w:color w:val="333333"/>
          <w:sz w:val="21"/>
          <w:szCs w:val="21"/>
        </w:rPr>
      </w:pPr>
      <w:r>
        <w:rPr>
          <w:rFonts w:hint="eastAsia" w:ascii="仿宋_GB2312" w:hAnsi="微软雅黑" w:eastAsia="仿宋_GB2312"/>
          <w:color w:val="333333"/>
          <w:sz w:val="32"/>
          <w:szCs w:val="32"/>
        </w:rPr>
        <w:t>3．第十七届人大第一次会议经费、人大代表活动费、人大代表履职经费、人大业务费、街道人大工委代表联络指导经费、人大代表培训费、预算联网监督系统、代表换届选举经费、代表活动阵地建设工作经费及市人大转移支付经费等所有资金使用严格按照有关财务制度执行。</w:t>
      </w:r>
    </w:p>
    <w:p>
      <w:pPr>
        <w:pStyle w:val="6"/>
        <w:shd w:val="clear" w:color="auto" w:fill="FFFFFF"/>
        <w:spacing w:before="0" w:beforeAutospacing="0" w:after="0" w:afterAutospacing="0" w:line="585" w:lineRule="atLeast"/>
        <w:ind w:firstLine="645"/>
        <w:rPr>
          <w:rFonts w:ascii="微软雅黑" w:hAnsi="微软雅黑" w:eastAsia="微软雅黑"/>
          <w:color w:val="333333"/>
          <w:sz w:val="21"/>
          <w:szCs w:val="21"/>
        </w:rPr>
      </w:pPr>
      <w:r>
        <w:rPr>
          <w:rFonts w:hint="eastAsia" w:ascii="黑体" w:hAnsi="黑体" w:eastAsia="黑体"/>
          <w:color w:val="333333"/>
          <w:sz w:val="32"/>
          <w:szCs w:val="32"/>
        </w:rPr>
        <w:t>三、经验、问题和建议</w:t>
      </w:r>
    </w:p>
    <w:p>
      <w:pPr>
        <w:pStyle w:val="6"/>
        <w:shd w:val="clear" w:color="auto" w:fill="FFFFFF"/>
        <w:spacing w:before="0" w:beforeAutospacing="0" w:after="0" w:afterAutospacing="0" w:line="585" w:lineRule="atLeast"/>
        <w:ind w:firstLine="645"/>
        <w:rPr>
          <w:rFonts w:ascii="微软雅黑" w:hAnsi="微软雅黑" w:eastAsia="微软雅黑"/>
          <w:color w:val="333333"/>
          <w:sz w:val="21"/>
          <w:szCs w:val="21"/>
        </w:rPr>
      </w:pPr>
      <w:r>
        <w:rPr>
          <w:rFonts w:hint="eastAsia" w:ascii="仿宋_GB2312" w:hAnsi="微软雅黑" w:eastAsia="仿宋_GB2312"/>
          <w:color w:val="333333"/>
          <w:sz w:val="32"/>
          <w:szCs w:val="32"/>
        </w:rPr>
        <w:t>1.经验：人大制定了预算管理的制度，严格执行预算和加强绩效管理。</w:t>
      </w:r>
    </w:p>
    <w:p>
      <w:pPr>
        <w:pStyle w:val="6"/>
        <w:shd w:val="clear" w:color="auto" w:fill="FFFFFF"/>
        <w:spacing w:before="0" w:beforeAutospacing="0" w:after="0" w:afterAutospacing="0"/>
        <w:ind w:firstLine="645"/>
        <w:rPr>
          <w:rFonts w:ascii="微软雅黑" w:hAnsi="微软雅黑" w:eastAsia="微软雅黑"/>
          <w:color w:val="333333"/>
          <w:sz w:val="21"/>
          <w:szCs w:val="21"/>
        </w:rPr>
      </w:pPr>
      <w:r>
        <w:rPr>
          <w:rFonts w:hint="eastAsia" w:ascii="仿宋_GB2312" w:hAnsi="微软雅黑" w:eastAsia="仿宋_GB2312"/>
          <w:color w:val="333333"/>
          <w:sz w:val="32"/>
          <w:szCs w:val="32"/>
        </w:rPr>
        <w:t>2.存在的问题：填报整体绩效时不够细化分解、量化，绩效评价未针对自身情况提出合理的问题及建议，资金支出和项目实施中，出现绩效目标已制定，最后没有实施。</w:t>
      </w:r>
    </w:p>
    <w:p>
      <w:pPr>
        <w:pStyle w:val="6"/>
        <w:shd w:val="clear" w:color="auto" w:fill="FFFFFF"/>
        <w:spacing w:before="0" w:beforeAutospacing="0" w:after="0" w:afterAutospacing="0" w:line="585" w:lineRule="atLeast"/>
        <w:ind w:firstLine="645"/>
        <w:rPr>
          <w:rFonts w:ascii="微软雅黑" w:hAnsi="微软雅黑" w:eastAsia="微软雅黑"/>
          <w:color w:val="333333"/>
          <w:sz w:val="21"/>
          <w:szCs w:val="21"/>
        </w:rPr>
      </w:pPr>
      <w:r>
        <w:rPr>
          <w:rFonts w:hint="eastAsia" w:ascii="仿宋_GB2312" w:hAnsi="微软雅黑" w:eastAsia="仿宋_GB2312"/>
          <w:color w:val="333333"/>
          <w:sz w:val="32"/>
          <w:szCs w:val="32"/>
        </w:rPr>
        <w:t>3.改进措施及建议：人大结合实际情况，汇总、对比以往年度项目预算，从而科学、有依据的做出下一年的项目资金预算，编制更为合理的预算，优化项目资金预算。</w:t>
      </w: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黑体" w:hAnsi="黑体" w:eastAsia="黑体"/>
          <w:color w:val="333333"/>
          <w:sz w:val="44"/>
          <w:szCs w:val="44"/>
        </w:rPr>
      </w:pPr>
    </w:p>
    <w:p>
      <w:pPr>
        <w:pStyle w:val="6"/>
        <w:shd w:val="clear" w:color="auto" w:fill="FFFFFF"/>
        <w:spacing w:before="0" w:beforeAutospacing="0" w:after="0" w:afterAutospacing="0"/>
        <w:jc w:val="center"/>
        <w:rPr>
          <w:rFonts w:ascii="微软雅黑" w:hAnsi="微软雅黑" w:eastAsia="微软雅黑"/>
          <w:color w:val="333333"/>
          <w:sz w:val="21"/>
          <w:szCs w:val="21"/>
        </w:rPr>
      </w:pPr>
      <w:r>
        <w:rPr>
          <w:rFonts w:hint="eastAsia" w:ascii="黑体" w:hAnsi="黑体" w:eastAsia="黑体"/>
          <w:color w:val="333333"/>
          <w:sz w:val="44"/>
          <w:szCs w:val="44"/>
        </w:rPr>
        <w:t>昆明市盘龙区人大常委会办公室2022年度部门整体支出绩效评价报告</w:t>
      </w:r>
    </w:p>
    <w:p>
      <w:pPr>
        <w:pStyle w:val="6"/>
        <w:shd w:val="clear" w:color="auto" w:fill="FFFFFF"/>
        <w:spacing w:before="0" w:beforeAutospacing="0" w:after="0" w:afterAutospacing="0" w:line="525" w:lineRule="atLeast"/>
        <w:ind w:firstLine="795"/>
        <w:rPr>
          <w:rFonts w:ascii="黑体" w:hAnsi="黑体" w:eastAsia="黑体"/>
          <w:color w:val="333333"/>
          <w:sz w:val="32"/>
          <w:szCs w:val="32"/>
        </w:rPr>
      </w:pPr>
    </w:p>
    <w:p>
      <w:pPr>
        <w:pStyle w:val="6"/>
        <w:shd w:val="clear" w:color="auto" w:fill="FFFFFF"/>
        <w:spacing w:before="0" w:beforeAutospacing="0" w:after="0" w:afterAutospacing="0" w:line="525" w:lineRule="atLeast"/>
        <w:ind w:firstLine="795"/>
        <w:rPr>
          <w:rFonts w:ascii="微软雅黑" w:hAnsi="微软雅黑" w:eastAsia="微软雅黑"/>
          <w:color w:val="333333"/>
          <w:sz w:val="21"/>
          <w:szCs w:val="21"/>
        </w:rPr>
      </w:pPr>
      <w:r>
        <w:rPr>
          <w:rFonts w:hint="eastAsia" w:ascii="黑体" w:hAnsi="黑体" w:eastAsia="黑体"/>
          <w:color w:val="333333"/>
          <w:sz w:val="32"/>
          <w:szCs w:val="32"/>
        </w:rPr>
        <w:t>一、部门概况</w:t>
      </w:r>
    </w:p>
    <w:p>
      <w:pPr>
        <w:pStyle w:val="6"/>
        <w:shd w:val="clear" w:color="auto" w:fill="FFFFFF"/>
        <w:spacing w:before="0" w:beforeAutospacing="0" w:after="0" w:afterAutospacing="0" w:line="525" w:lineRule="atLeast"/>
        <w:ind w:firstLine="480" w:firstLineChars="150"/>
        <w:rPr>
          <w:rFonts w:ascii="仿宋_GB2312" w:hAnsi="微软雅黑" w:eastAsia="仿宋_GB2312"/>
          <w:color w:val="333333"/>
          <w:sz w:val="32"/>
          <w:szCs w:val="32"/>
        </w:rPr>
      </w:pPr>
      <w:r>
        <w:rPr>
          <w:rFonts w:hint="eastAsia" w:ascii="仿宋_GB2312" w:hAnsi="微软雅黑" w:eastAsia="仿宋_GB2312"/>
          <w:color w:val="333333"/>
          <w:sz w:val="32"/>
          <w:szCs w:val="32"/>
        </w:rPr>
        <w:t>（一）部门机构设置、编制</w:t>
      </w:r>
    </w:p>
    <w:p>
      <w:pPr>
        <w:pStyle w:val="6"/>
        <w:shd w:val="clear" w:color="auto" w:fill="FFFFFF"/>
        <w:spacing w:before="0" w:beforeAutospacing="0" w:after="0" w:afterAutospacing="0" w:line="52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1．部门机构设置</w:t>
      </w:r>
    </w:p>
    <w:p>
      <w:pPr>
        <w:pStyle w:val="6"/>
        <w:shd w:val="clear" w:color="auto" w:fill="FFFFFF"/>
        <w:spacing w:before="0" w:beforeAutospacing="0" w:after="0" w:afterAutospacing="0"/>
        <w:ind w:firstLine="660"/>
        <w:rPr>
          <w:rFonts w:ascii="仿宋_GB2312" w:hAnsi="微软雅黑" w:eastAsia="仿宋_GB2312"/>
          <w:color w:val="333333"/>
          <w:sz w:val="32"/>
          <w:szCs w:val="32"/>
        </w:rPr>
      </w:pPr>
      <w:r>
        <w:rPr>
          <w:rFonts w:hint="eastAsia" w:ascii="仿宋_GB2312" w:hAnsi="微软雅黑" w:eastAsia="仿宋_GB2312"/>
          <w:color w:val="333333"/>
          <w:sz w:val="32"/>
          <w:szCs w:val="32"/>
        </w:rPr>
        <w:t>在本行政区域内保证宪法、法律、行政法规和上级人民代表大会及其常委会决议的遵守和执行；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pPr>
        <w:pStyle w:val="6"/>
        <w:shd w:val="clear" w:color="auto" w:fill="FFFFFF"/>
        <w:spacing w:before="0" w:beforeAutospacing="0" w:after="0" w:afterAutospacing="0" w:line="52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2．机构人员编制情况</w:t>
      </w:r>
    </w:p>
    <w:p>
      <w:pPr>
        <w:pStyle w:val="6"/>
        <w:shd w:val="clear" w:color="auto" w:fill="FFFFFF"/>
        <w:spacing w:before="0" w:beforeAutospacing="0" w:after="0" w:afterAutospacing="0" w:line="58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机构编制管理部门核定编制人数32人，其中：行政编制人数28人</w:t>
      </w:r>
      <w:r>
        <w:rPr>
          <w:rFonts w:hint="eastAsia" w:ascii="仿宋_GB2312" w:eastAsia="仿宋_GB2312"/>
          <w:sz w:val="32"/>
          <w:szCs w:val="32"/>
        </w:rPr>
        <w:t>，工勤人员编制4人</w:t>
      </w:r>
      <w:r>
        <w:rPr>
          <w:rFonts w:hint="eastAsia" w:ascii="仿宋_GB2312" w:hAnsi="微软雅黑" w:eastAsia="仿宋_GB2312"/>
          <w:color w:val="333333"/>
          <w:sz w:val="32"/>
          <w:szCs w:val="32"/>
        </w:rPr>
        <w:t>。截止2022年12月31日，职工人数38人，其中属于行政编制人数34人</w:t>
      </w:r>
      <w:r>
        <w:rPr>
          <w:rFonts w:hint="eastAsia" w:ascii="仿宋_GB2312" w:eastAsia="仿宋_GB2312"/>
          <w:sz w:val="32"/>
          <w:szCs w:val="32"/>
        </w:rPr>
        <w:t>，工勤人员编制4人</w:t>
      </w:r>
      <w:r>
        <w:rPr>
          <w:rFonts w:hint="eastAsia" w:ascii="仿宋_GB2312" w:hAnsi="微软雅黑" w:eastAsia="仿宋_GB2312"/>
          <w:color w:val="333333"/>
          <w:sz w:val="32"/>
          <w:szCs w:val="32"/>
        </w:rPr>
        <w:t>。</w:t>
      </w:r>
    </w:p>
    <w:p>
      <w:pPr>
        <w:pStyle w:val="6"/>
        <w:shd w:val="clear" w:color="auto" w:fill="FFFFFF"/>
        <w:spacing w:before="0" w:beforeAutospacing="0" w:after="0" w:afterAutospacing="0" w:line="585" w:lineRule="atLeast"/>
        <w:ind w:firstLine="645"/>
        <w:rPr>
          <w:rFonts w:ascii="仿宋_GB2312" w:hAnsi="微软雅黑" w:eastAsia="仿宋_GB2312"/>
          <w:color w:val="333333"/>
          <w:sz w:val="32"/>
          <w:szCs w:val="32"/>
        </w:rPr>
      </w:pPr>
      <w:r>
        <w:rPr>
          <w:rFonts w:hint="eastAsia" w:ascii="仿宋_GB2312" w:eastAsia="仿宋_GB2312"/>
          <w:sz w:val="32"/>
          <w:szCs w:val="32"/>
        </w:rPr>
        <w:t>退休人员29人。</w:t>
      </w:r>
    </w:p>
    <w:p>
      <w:pPr>
        <w:pStyle w:val="6"/>
        <w:shd w:val="clear" w:color="auto" w:fill="FFFFFF"/>
        <w:spacing w:before="0" w:beforeAutospacing="0" w:after="0" w:afterAutospacing="0" w:line="52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（二）部门职能</w:t>
      </w:r>
    </w:p>
    <w:p>
      <w:pPr>
        <w:pStyle w:val="6"/>
        <w:shd w:val="clear" w:color="auto" w:fill="FFFFFF"/>
        <w:spacing w:before="0" w:beforeAutospacing="0" w:after="0" w:afterAutospacing="0" w:line="52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讨论决定本行政区域内的政治、经济、教育、科学、文化、卫生、环境和资源保护、民政、民族等工作的重大事项；根据区人民政府的建议，决定对本行政区域内的国民经济和社会发展的计划、预算的部分变更；监督本级人民政府、人民法院和人民检察院的工作，联系本级人民代表大会的代表，受理人民群众对上述机关和国家工作人员的申诉和意见；召集本级人民代表大会的会议，领导和主持本级人民代表大会代表的选举。</w:t>
      </w:r>
    </w:p>
    <w:p>
      <w:pPr>
        <w:pStyle w:val="6"/>
        <w:shd w:val="clear" w:color="auto" w:fill="FFFFFF"/>
        <w:spacing w:before="0" w:beforeAutospacing="0" w:after="0" w:afterAutospacing="0" w:line="525" w:lineRule="atLeast"/>
        <w:ind w:firstLine="480" w:firstLineChars="150"/>
        <w:rPr>
          <w:rFonts w:ascii="仿宋_GB2312" w:hAnsi="微软雅黑" w:eastAsia="仿宋_GB2312"/>
          <w:color w:val="333333"/>
          <w:sz w:val="32"/>
          <w:szCs w:val="32"/>
        </w:rPr>
      </w:pPr>
      <w:r>
        <w:rPr>
          <w:rFonts w:hint="eastAsia" w:ascii="仿宋_GB2312" w:hAnsi="微软雅黑" w:eastAsia="仿宋_GB2312"/>
          <w:color w:val="333333"/>
          <w:sz w:val="32"/>
          <w:szCs w:val="32"/>
        </w:rPr>
        <w:t>（三）部门工作完成情况</w:t>
      </w:r>
    </w:p>
    <w:p>
      <w:pPr>
        <w:widowControl/>
        <w:shd w:val="clear" w:color="auto" w:fill="FFFFFF"/>
        <w:spacing w:line="560" w:lineRule="atLeast"/>
        <w:ind w:firstLine="630"/>
        <w:rPr>
          <w:rFonts w:ascii="仿宋_GB2312" w:eastAsia="仿宋_GB2312"/>
          <w:sz w:val="32"/>
          <w:szCs w:val="32"/>
        </w:rPr>
      </w:pPr>
      <w:r>
        <w:rPr>
          <w:rFonts w:hint="eastAsia" w:ascii="仿宋_GB2312" w:hAnsi="微软雅黑" w:eastAsia="仿宋_GB2312"/>
          <w:color w:val="333333"/>
          <w:sz w:val="32"/>
          <w:szCs w:val="32"/>
        </w:rPr>
        <w:t>1、</w:t>
      </w:r>
      <w:r>
        <w:rPr>
          <w:rFonts w:hint="eastAsia" w:ascii="仿宋_GB2312" w:hAnsi="Arial" w:eastAsia="仿宋_GB2312" w:cs="Arial"/>
          <w:color w:val="000000"/>
          <w:kern w:val="0"/>
          <w:sz w:val="32"/>
          <w:szCs w:val="32"/>
        </w:rPr>
        <w:t>基本支出部份：</w:t>
      </w:r>
      <w:r>
        <w:rPr>
          <w:rFonts w:hint="eastAsia" w:ascii="仿宋_GB2312" w:hAnsi="Times New Roman" w:eastAsia="仿宋_GB2312" w:cs="Times New Roman"/>
          <w:sz w:val="32"/>
          <w:szCs w:val="32"/>
        </w:rPr>
        <w:t>2022</w:t>
      </w:r>
      <w:r>
        <w:rPr>
          <w:rFonts w:hint="eastAsia" w:ascii="仿宋_GB2312" w:eastAsia="仿宋_GB2312"/>
          <w:sz w:val="32"/>
          <w:szCs w:val="32"/>
        </w:rPr>
        <w:t>年用于保障区人大机关机构正常运转的基本支出预算</w:t>
      </w:r>
      <w:r>
        <w:rPr>
          <w:rFonts w:hint="eastAsia" w:ascii="仿宋_GB2312" w:hAnsi="仿宋_GB2312" w:eastAsia="仿宋_GB2312" w:cs="仿宋_GB2312"/>
          <w:snapToGrid w:val="0"/>
          <w:color w:val="000000"/>
          <w:sz w:val="32"/>
          <w:szCs w:val="32"/>
        </w:rPr>
        <w:t>1104.42</w:t>
      </w:r>
      <w:r>
        <w:rPr>
          <w:rFonts w:hint="eastAsia" w:ascii="仿宋_GB2312" w:eastAsia="仿宋_GB2312"/>
          <w:sz w:val="32"/>
          <w:szCs w:val="32"/>
        </w:rPr>
        <w:t>万元，其中：包括基本工资，津贴补贴、基本养老保险缴费、基本医疗保险缴费和其他社会保障缴费及住房公积金等工资福利支出</w:t>
      </w:r>
      <w:r>
        <w:rPr>
          <w:rFonts w:hint="eastAsia" w:ascii="仿宋_GB2312" w:hAnsi="仿宋_GB2312" w:eastAsia="仿宋_GB2312" w:cs="仿宋_GB2312"/>
          <w:snapToGrid w:val="0"/>
          <w:color w:val="000000"/>
          <w:sz w:val="32"/>
          <w:szCs w:val="32"/>
        </w:rPr>
        <w:t>1013.72</w:t>
      </w:r>
      <w:r>
        <w:rPr>
          <w:rFonts w:hint="eastAsia" w:ascii="仿宋_GB2312" w:eastAsia="仿宋_GB2312"/>
          <w:sz w:val="32"/>
          <w:szCs w:val="32"/>
        </w:rPr>
        <w:t>万元，</w:t>
      </w:r>
      <w:r>
        <w:rPr>
          <w:rFonts w:hint="eastAsia" w:ascii="仿宋_GB2312" w:hAnsi="仿宋_GB2312" w:eastAsia="仿宋_GB2312" w:cs="仿宋_GB2312"/>
          <w:snapToGrid w:val="0"/>
          <w:color w:val="000000"/>
          <w:sz w:val="32"/>
          <w:szCs w:val="32"/>
        </w:rPr>
        <w:t>占总支出的51.58%；</w:t>
      </w:r>
      <w:r>
        <w:rPr>
          <w:rFonts w:hint="eastAsia" w:ascii="仿宋_GB2312" w:eastAsia="仿宋_GB2312"/>
          <w:sz w:val="32"/>
          <w:szCs w:val="32"/>
        </w:rPr>
        <w:t>包括办公经费、印刷费、水电费、汽燃费、办公设备购置、其他交通费等日常公用经费</w:t>
      </w:r>
      <w:r>
        <w:rPr>
          <w:rFonts w:hint="eastAsia" w:ascii="仿宋_GB2312" w:hAnsi="仿宋_GB2312" w:eastAsia="仿宋_GB2312" w:cs="仿宋_GB2312"/>
          <w:snapToGrid w:val="0"/>
          <w:color w:val="000000"/>
          <w:sz w:val="32"/>
          <w:szCs w:val="32"/>
        </w:rPr>
        <w:t>90.70</w:t>
      </w:r>
      <w:r>
        <w:rPr>
          <w:rFonts w:hint="eastAsia" w:ascii="仿宋_GB2312" w:eastAsia="仿宋_GB2312"/>
          <w:sz w:val="32"/>
          <w:szCs w:val="32"/>
        </w:rPr>
        <w:t>万元，</w:t>
      </w:r>
      <w:r>
        <w:rPr>
          <w:rFonts w:hint="eastAsia" w:ascii="仿宋_GB2312" w:hAnsi="仿宋_GB2312" w:eastAsia="仿宋_GB2312" w:cs="仿宋_GB2312"/>
          <w:snapToGrid w:val="0"/>
          <w:color w:val="000000"/>
          <w:sz w:val="32"/>
          <w:szCs w:val="32"/>
        </w:rPr>
        <w:t>占总支出的6.71%</w:t>
      </w:r>
      <w:r>
        <w:rPr>
          <w:rFonts w:hint="eastAsia" w:ascii="仿宋_GB2312" w:eastAsia="仿宋_GB2312"/>
          <w:sz w:val="32"/>
          <w:szCs w:val="32"/>
        </w:rPr>
        <w:t>。</w:t>
      </w:r>
    </w:p>
    <w:p>
      <w:pPr>
        <w:widowControl/>
        <w:shd w:val="clear" w:color="auto" w:fill="FFFFFF"/>
        <w:spacing w:line="560" w:lineRule="atLeast"/>
        <w:ind w:firstLine="630"/>
        <w:rPr>
          <w:rFonts w:ascii="仿宋_GB2312" w:hAnsi="Arial" w:eastAsia="仿宋_GB2312" w:cs="Arial"/>
          <w:color w:val="000000"/>
          <w:kern w:val="0"/>
          <w:sz w:val="32"/>
          <w:szCs w:val="32"/>
        </w:rPr>
      </w:pPr>
      <w:r>
        <w:rPr>
          <w:rFonts w:hint="eastAsia" w:ascii="仿宋_GB2312" w:eastAsia="仿宋_GB2312"/>
          <w:sz w:val="32"/>
          <w:szCs w:val="32"/>
        </w:rPr>
        <w:t>2022年调整预算支出指标后实际完成基本支出1104.42万元，主要原因为人员调入和人员工资调整。其中人员经费支出697.55万元，完成调整后预算支出的100%；日常公用经费</w:t>
      </w:r>
      <w:r>
        <w:rPr>
          <w:rFonts w:hint="eastAsia" w:ascii="仿宋_GB2312" w:hAnsi="Times New Roman" w:eastAsia="仿宋_GB2312" w:cs="Times New Roman"/>
          <w:sz w:val="32"/>
          <w:szCs w:val="32"/>
        </w:rPr>
        <w:t>支出90.70</w:t>
      </w:r>
      <w:r>
        <w:rPr>
          <w:rFonts w:hint="eastAsia" w:ascii="仿宋_GB2312" w:eastAsia="仿宋_GB2312"/>
          <w:sz w:val="32"/>
          <w:szCs w:val="32"/>
        </w:rPr>
        <w:t>万元，完成年初预算的87.32%。</w:t>
      </w:r>
      <w:r>
        <w:rPr>
          <w:rFonts w:hint="eastAsia" w:ascii="仿宋_GB2312" w:hAnsi="Arial" w:eastAsia="仿宋_GB2312" w:cs="Arial"/>
          <w:color w:val="000000"/>
          <w:kern w:val="0"/>
          <w:sz w:val="32"/>
          <w:szCs w:val="32"/>
        </w:rPr>
        <w:t>资金的管理使用严格按照区财政年初预算安排及相关规定支出使用，“三公”经费的使用和管理严格按照区财政、区纪委要求的控制成本，厉行节约相关精神执行。</w:t>
      </w:r>
    </w:p>
    <w:p>
      <w:pPr>
        <w:widowControl/>
        <w:shd w:val="clear" w:color="auto" w:fill="FFFFFF"/>
        <w:spacing w:line="560" w:lineRule="atLeast"/>
        <w:ind w:firstLine="630"/>
        <w:rPr>
          <w:rFonts w:ascii="仿宋_GB2312" w:hAnsi="Arial" w:eastAsia="仿宋_GB2312" w:cs="Arial"/>
          <w:color w:val="000000"/>
          <w:kern w:val="0"/>
          <w:sz w:val="32"/>
          <w:szCs w:val="32"/>
        </w:rPr>
      </w:pPr>
      <w:r>
        <w:rPr>
          <w:rFonts w:hint="eastAsia" w:ascii="仿宋_GB2312" w:eastAsia="仿宋_GB2312"/>
          <w:sz w:val="32"/>
          <w:szCs w:val="32"/>
        </w:rPr>
        <w:t>2、</w:t>
      </w:r>
      <w:r>
        <w:rPr>
          <w:rFonts w:hint="eastAsia" w:ascii="仿宋_GB2312" w:hAnsi="Arial" w:eastAsia="仿宋_GB2312" w:cs="Arial"/>
          <w:color w:val="000000"/>
          <w:kern w:val="0"/>
          <w:sz w:val="32"/>
          <w:szCs w:val="32"/>
        </w:rPr>
        <w:t>项目资金（主要指本级财政资金）实际使用情况分析。</w:t>
      </w:r>
    </w:p>
    <w:p>
      <w:pPr>
        <w:pStyle w:val="6"/>
        <w:shd w:val="clear" w:color="auto" w:fill="FFFFFF"/>
        <w:spacing w:before="0" w:beforeAutospacing="0" w:after="0" w:afterAutospacing="0"/>
        <w:ind w:firstLine="645"/>
        <w:rPr>
          <w:rFonts w:ascii="仿宋_GB2312" w:hAnsi="微软雅黑" w:eastAsia="仿宋_GB2312"/>
          <w:color w:val="333333"/>
          <w:sz w:val="32"/>
          <w:szCs w:val="32"/>
        </w:rPr>
      </w:pPr>
      <w:r>
        <w:rPr>
          <w:rFonts w:hint="eastAsia" w:ascii="仿宋_GB2312" w:eastAsia="仿宋_GB2312"/>
          <w:sz w:val="32"/>
          <w:szCs w:val="32"/>
        </w:rPr>
        <w:t>2022年用于保障区人大机关和组织代表视察、监督、调研、检查等专项工作经费支出预算321.84万元，预算调整后实际支出248.05万元，完成调整预算的100%。其中：</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代表工作经费年初预算74.5万元，本年支出71.74万元，完成预算</w:t>
      </w:r>
      <w:r>
        <w:rPr>
          <w:rFonts w:hint="eastAsia" w:ascii="仿宋_GB2312" w:hAnsi="仿宋_GB2312" w:eastAsia="仿宋_GB2312" w:cs="仿宋_GB2312"/>
          <w:snapToGrid w:val="0"/>
          <w:color w:val="000000"/>
          <w:sz w:val="32"/>
          <w:szCs w:val="32"/>
        </w:rPr>
        <w:t>96.29%，实现既定工作目标任务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代表履职经费年初预算</w:t>
      </w:r>
      <w:r>
        <w:rPr>
          <w:rFonts w:hint="eastAsia" w:ascii="仿宋_GB2312" w:hAnsi="仿宋_GB2312" w:eastAsia="仿宋_GB2312" w:cs="仿宋_GB2312"/>
          <w:snapToGrid w:val="0"/>
          <w:color w:val="000000"/>
          <w:sz w:val="32"/>
          <w:szCs w:val="32"/>
        </w:rPr>
        <w:t>71.52万元，全年支出71.52万元，完成支出任务100%，实现既定工作目标任务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代表培训经费年初预算 60万元，</w:t>
      </w:r>
      <w:r>
        <w:rPr>
          <w:rFonts w:hint="eastAsia" w:ascii="仿宋_GB2312" w:hAnsi="仿宋_GB2312" w:eastAsia="仿宋_GB2312" w:cs="仿宋_GB2312"/>
          <w:snapToGrid w:val="0"/>
          <w:color w:val="000000"/>
          <w:sz w:val="32"/>
          <w:szCs w:val="32"/>
        </w:rPr>
        <w:t>全年支出8.69万元，完成支出任务14.48%，主要是因为疫情原因，未组织代表外出培训，但在本地开展了相关工作，实现既定工作目标任务；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会议经费年初预算63.72万元，本年支出42.44万元，完成预算66.60%</w:t>
      </w:r>
      <w:r>
        <w:rPr>
          <w:rFonts w:hint="eastAsia" w:ascii="仿宋_GB2312" w:hAnsi="仿宋_GB2312" w:eastAsia="仿宋_GB2312" w:cs="仿宋_GB2312"/>
          <w:snapToGrid w:val="0"/>
          <w:color w:val="000000"/>
          <w:sz w:val="32"/>
          <w:szCs w:val="32"/>
        </w:rPr>
        <w:t>，实现既定工作目标任务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街道人大工委联络指导经费年初预算4.8万元，本年支出4.8万元，完成预算100%</w:t>
      </w:r>
      <w:r>
        <w:rPr>
          <w:rFonts w:hint="eastAsia" w:ascii="仿宋_GB2312" w:hAnsi="仿宋_GB2312" w:eastAsia="仿宋_GB2312" w:cs="仿宋_GB2312"/>
          <w:snapToGrid w:val="0"/>
          <w:color w:val="000000"/>
          <w:sz w:val="32"/>
          <w:szCs w:val="32"/>
        </w:rPr>
        <w:t>，实现既定工作目标任务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业务经费年初预算24.8万元，本年支出16.01万元，完成预算64.55%</w:t>
      </w:r>
      <w:r>
        <w:rPr>
          <w:rFonts w:hint="eastAsia" w:ascii="仿宋_GB2312" w:hAnsi="仿宋_GB2312" w:eastAsia="仿宋_GB2312" w:cs="仿宋_GB2312"/>
          <w:snapToGrid w:val="0"/>
          <w:color w:val="000000"/>
          <w:sz w:val="32"/>
          <w:szCs w:val="32"/>
        </w:rPr>
        <w:t>，实现既定工作目标任务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代表活动阵地建设工作经费年初预算14.5万元，本年支出14.5万元，完成预算100%</w:t>
      </w:r>
      <w:r>
        <w:rPr>
          <w:rFonts w:hint="eastAsia" w:ascii="仿宋_GB2312" w:hAnsi="仿宋_GB2312" w:eastAsia="仿宋_GB2312" w:cs="仿宋_GB2312"/>
          <w:snapToGrid w:val="0"/>
          <w:color w:val="000000"/>
          <w:sz w:val="32"/>
          <w:szCs w:val="32"/>
        </w:rPr>
        <w:t>，实现既定工作目标任务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eastAsia="仿宋_GB2312"/>
          <w:sz w:val="32"/>
          <w:szCs w:val="32"/>
        </w:rPr>
      </w:pPr>
      <w:r>
        <w:rPr>
          <w:rFonts w:hint="eastAsia" w:ascii="仿宋_GB2312" w:eastAsia="仿宋_GB2312"/>
          <w:sz w:val="32"/>
          <w:szCs w:val="32"/>
        </w:rPr>
        <w:t>预算联网监督工作平台建设及运行维护经费年初预算8万元，本年未支出，预算调整后</w:t>
      </w:r>
      <w:r>
        <w:rPr>
          <w:rFonts w:hint="eastAsia" w:ascii="仿宋_GB2312" w:hAnsi="仿宋_GB2312" w:eastAsia="仿宋_GB2312" w:cs="仿宋_GB2312"/>
          <w:snapToGrid w:val="0"/>
          <w:color w:val="000000"/>
          <w:sz w:val="32"/>
          <w:szCs w:val="32"/>
        </w:rPr>
        <w:t>，实现既定工作目标任务</w:t>
      </w:r>
      <w:r>
        <w:rPr>
          <w:rFonts w:hint="eastAsia" w:ascii="仿宋_GB2312" w:eastAsia="仿宋_GB2312"/>
          <w:sz w:val="32"/>
          <w:szCs w:val="32"/>
        </w:rPr>
        <w:t>；</w:t>
      </w:r>
    </w:p>
    <w:p>
      <w:pPr>
        <w:widowControl/>
        <w:shd w:val="clear" w:color="auto" w:fill="FFFFFF"/>
        <w:spacing w:line="560" w:lineRule="atLeast"/>
        <w:ind w:firstLine="630"/>
        <w:rPr>
          <w:rFonts w:ascii="仿宋_GB2312" w:hAnsi="Arial" w:eastAsia="仿宋_GB2312" w:cs="Arial"/>
          <w:color w:val="000000"/>
          <w:kern w:val="0"/>
          <w:sz w:val="32"/>
          <w:szCs w:val="32"/>
        </w:rPr>
      </w:pPr>
      <w:r>
        <w:rPr>
          <w:rFonts w:hint="eastAsia" w:ascii="仿宋_GB2312" w:eastAsia="仿宋_GB2312"/>
          <w:sz w:val="32"/>
          <w:szCs w:val="32"/>
        </w:rPr>
        <w:t>经费支出中，本着厉行节约、少花钱多办事的精神，全面完成了工作任务。项目支出中，预算联网监督工作平台建设及运行维护经费因未投入新的项目，无支出；业务经费、会议费支出因按照压缩成本、减少“三公”经费支出、会议开支要求以及疫情等原因，支出压缩较大，其他项目均按正常进度支出，所有项目均完成年初拟定目标任务。</w:t>
      </w:r>
    </w:p>
    <w:p>
      <w:pPr>
        <w:pStyle w:val="6"/>
        <w:shd w:val="clear" w:color="auto" w:fill="FFFFFF"/>
        <w:spacing w:before="0" w:beforeAutospacing="0" w:after="0" w:afterAutospacing="0" w:line="52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（四）部门管理制度</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为加强项目资金的管理，人大制定了《昆明市盘龙区人民代表大会常务委员会财务管理制度》，《昆明市盘龙区人民代表大会常务委员会资金管理制度》、《昆明市盘龙区人民代表大会常务委员会国有资产管理制度》、《昆明市盘龙区人民代表大会常务委员会内部控制管理制度》、《昆明市盘龙区人民代表大会常务委员会档案管理制度》、《昆明市盘龙区人民代表大会常务委员会预算管理制度》财务管理制度健全具体，能够确保财政资金有效、合规的使用。</w:t>
      </w:r>
    </w:p>
    <w:p>
      <w:pPr>
        <w:pStyle w:val="6"/>
        <w:shd w:val="clear" w:color="auto" w:fill="FFFFFF"/>
        <w:spacing w:before="0" w:beforeAutospacing="0" w:after="0" w:afterAutospacing="0" w:line="525" w:lineRule="atLeast"/>
        <w:ind w:firstLine="480" w:firstLineChars="150"/>
        <w:rPr>
          <w:rFonts w:ascii="仿宋_GB2312" w:hAnsi="微软雅黑" w:eastAsia="仿宋_GB2312"/>
          <w:color w:val="333333"/>
          <w:sz w:val="32"/>
          <w:szCs w:val="32"/>
        </w:rPr>
      </w:pPr>
      <w:r>
        <w:rPr>
          <w:rFonts w:hint="eastAsia" w:ascii="仿宋_GB2312" w:hAnsi="微软雅黑" w:eastAsia="仿宋_GB2312"/>
          <w:color w:val="333333"/>
          <w:sz w:val="32"/>
          <w:szCs w:val="32"/>
        </w:rPr>
        <w:t>（五）部门资金来源及使用情况</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昆明市盘龙区人民代表大会常务委员会办公室主要资金来源为财政拨款，使用中严格核查资金支付的申请及发票、付款单据等相关票据，项目资金拨付审批手续完整，专款专用，支出依据合法合规，无虚列套取、截留、挤占、挪用情况，不存在超标准开支、超预算情况。项目支出资料完整齐全，会计核算规范健全。</w:t>
      </w:r>
    </w:p>
    <w:p>
      <w:pPr>
        <w:widowControl/>
        <w:shd w:val="clear" w:color="auto" w:fill="FFFFFF"/>
        <w:spacing w:line="560" w:lineRule="atLeast"/>
        <w:ind w:firstLine="630"/>
        <w:rPr>
          <w:rFonts w:ascii="仿宋_GB2312" w:hAnsi="Arial" w:eastAsia="仿宋_GB2312" w:cs="Arial"/>
          <w:color w:val="000000"/>
          <w:kern w:val="0"/>
          <w:sz w:val="32"/>
          <w:szCs w:val="32"/>
        </w:rPr>
      </w:pPr>
      <w:r>
        <w:rPr>
          <w:rFonts w:hint="eastAsia" w:ascii="仿宋_GB2312" w:hAnsi="Arial" w:eastAsia="仿宋_GB2312" w:cs="Arial"/>
          <w:color w:val="000000"/>
          <w:kern w:val="0"/>
          <w:sz w:val="32"/>
          <w:szCs w:val="32"/>
        </w:rPr>
        <w:t>区人大没有区本级其他财政性资金。</w:t>
      </w:r>
    </w:p>
    <w:p>
      <w:pPr>
        <w:pStyle w:val="6"/>
        <w:shd w:val="clear" w:color="auto" w:fill="FFFFFF"/>
        <w:spacing w:before="0" w:beforeAutospacing="0" w:after="0" w:afterAutospacing="0" w:line="52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（六）政府采购情况</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昆明市盘龙区人民代表大会常务委员会各部门呈报设备采购方案经会议研究讨论通过后，由办公室负责按照采购预算实施采购活动，包括确定采购方式、询价议价、拟定采购合同、完善采购文件。办公室国有资产管理专干负责所购货物的验收与入库，并完善相关记录。单位负责人负责对采购合同、付款的审批。财务人员负责审核确定采购方式、发票真伪、支付款项等。验收后的设备办理相关移交手续后由各个部门保管使用，2022年政府采购共2项计23.43万元，一是采购办公用复印纸及办公用沙发0.83万元；二是政府购买服务支出22.6万元，用于人大微信公众号及“代表通”信息平台建设维护支出。</w:t>
      </w:r>
    </w:p>
    <w:p>
      <w:pPr>
        <w:pStyle w:val="6"/>
        <w:shd w:val="clear" w:color="auto" w:fill="FFFFFF"/>
        <w:spacing w:before="0" w:beforeAutospacing="0" w:after="0" w:afterAutospacing="0" w:line="52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（七）固定资产情况</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为进一步加强行政事业性国有资产管理，人大对本单位固定资产进行认真梳理、落实。加强对本单位资产的配置、使用、处置、评估、清查、产权登记、产权界定、资产信息管理和监督检查，做到了账、卡、实相符，强化资产管理信息系统建设，充分运用条码进行“一物一卡一条码”管理工作，做好统计、报告、分析工作，实现国有资产动态管理。</w:t>
      </w:r>
    </w:p>
    <w:p>
      <w:pPr>
        <w:pStyle w:val="6"/>
        <w:shd w:val="clear" w:color="auto" w:fill="FFFFFF"/>
        <w:spacing w:before="0" w:beforeAutospacing="0" w:after="0" w:afterAutospacing="0" w:line="525" w:lineRule="atLeast"/>
        <w:ind w:firstLine="795"/>
        <w:rPr>
          <w:rFonts w:ascii="微软雅黑" w:hAnsi="微软雅黑" w:eastAsia="微软雅黑"/>
          <w:color w:val="333333"/>
          <w:sz w:val="21"/>
          <w:szCs w:val="21"/>
        </w:rPr>
      </w:pPr>
      <w:r>
        <w:rPr>
          <w:rFonts w:hint="eastAsia" w:ascii="黑体" w:hAnsi="黑体" w:eastAsia="黑体"/>
          <w:color w:val="333333"/>
          <w:sz w:val="32"/>
          <w:szCs w:val="32"/>
        </w:rPr>
        <w:t>二、</w:t>
      </w:r>
      <w:r>
        <w:rPr>
          <w:rFonts w:hint="eastAsia" w:ascii="黑体" w:hAnsi="Arial" w:eastAsia="黑体" w:cs="Arial"/>
          <w:color w:val="000000"/>
          <w:sz w:val="32"/>
          <w:szCs w:val="32"/>
        </w:rPr>
        <w:t>部门整体支出绩效情况</w:t>
      </w:r>
    </w:p>
    <w:p>
      <w:pPr>
        <w:pStyle w:val="6"/>
        <w:shd w:val="clear" w:color="auto" w:fill="FFFFFF"/>
        <w:spacing w:before="0" w:beforeAutospacing="0" w:after="0" w:afterAutospacing="0" w:line="52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（一）部门总目标</w:t>
      </w:r>
    </w:p>
    <w:p>
      <w:pPr>
        <w:pStyle w:val="6"/>
        <w:shd w:val="clear" w:color="auto" w:fill="FFFFFF"/>
        <w:spacing w:before="0" w:beforeAutospacing="0" w:after="0" w:afterAutospacing="0" w:line="585" w:lineRule="atLeast"/>
        <w:ind w:firstLine="795"/>
        <w:rPr>
          <w:rFonts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区人大常委会依法对本级人民政府、区监察委、区人民法院和区人民检察院的工作实施监督，促进依法行政、公正司法。履行监督工作的具体</w:t>
      </w:r>
      <w:r>
        <w:fldChar w:fldCharType="begin"/>
      </w:r>
      <w:r>
        <w:instrText xml:space="preserve"> HYPERLINK "http://www.hainanpc.net/eap/34.news.relatelist?news_keywords=%E5%86%85%E5%AE%B9" </w:instrText>
      </w:r>
      <w:r>
        <w:fldChar w:fldCharType="separate"/>
      </w:r>
      <w:r>
        <w:rPr>
          <w:rStyle w:val="10"/>
          <w:rFonts w:hint="eastAsia" w:ascii="仿宋_GB2312" w:eastAsia="仿宋_GB2312"/>
          <w:color w:val="000000"/>
          <w:sz w:val="32"/>
          <w:szCs w:val="32"/>
          <w:u w:val="none"/>
          <w:shd w:val="clear" w:color="auto" w:fill="FFFFFF"/>
        </w:rPr>
        <w:t>内容</w:t>
      </w:r>
      <w:r>
        <w:rPr>
          <w:rStyle w:val="10"/>
          <w:rFonts w:hint="eastAsia" w:ascii="仿宋_GB2312" w:eastAsia="仿宋_GB2312"/>
          <w:color w:val="000000"/>
          <w:sz w:val="32"/>
          <w:szCs w:val="32"/>
          <w:u w:val="none"/>
          <w:shd w:val="clear" w:color="auto" w:fill="FFFFFF"/>
        </w:rPr>
        <w:fldChar w:fldCharType="end"/>
      </w:r>
      <w:r>
        <w:rPr>
          <w:rFonts w:hint="eastAsia" w:ascii="仿宋_GB2312" w:eastAsia="仿宋_GB2312"/>
          <w:color w:val="000000"/>
          <w:sz w:val="32"/>
          <w:szCs w:val="32"/>
          <w:shd w:val="clear" w:color="auto" w:fill="FFFFFF"/>
        </w:rPr>
        <w:t>是，听取和审议区人民政府、区人民法院和区人民检察院有关专项工作报告；审查和批准预决算，听取和审议国民经济和社会发展计划、预算的执行情况报告，听取和审议审计报告；开展区人大常委会执法检查工作；开展规范性文件备案审查工作；开展特定问题调查；开展专题询问；撤职案的审议和决定；承办区人大常委会和主任会议交办的其他事项。受理人民群众来信来访，向常委会领导报告来信来访中提出的重要建议和反映的重要问题，并负责催办督办。</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（二）部门项目具体计划目标</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1.成本指标：</w:t>
      </w:r>
      <w:r>
        <w:rPr>
          <w:rFonts w:hint="eastAsia" w:ascii="仿宋_GB2312" w:hAnsi="仿宋" w:eastAsia="仿宋_GB2312"/>
          <w:color w:val="333333"/>
          <w:sz w:val="32"/>
          <w:szCs w:val="32"/>
        </w:rPr>
        <w:t>2022年预算完成率≥100%，人均“三公”经费增长率为0.8%，</w:t>
      </w:r>
      <w:r>
        <w:rPr>
          <w:rFonts w:hint="eastAsia" w:ascii="仿宋_GB2312" w:hAnsi="仿宋_GB2312" w:eastAsia="仿宋_GB2312" w:cs="仿宋_GB2312"/>
          <w:snapToGrid w:val="0"/>
          <w:color w:val="000000"/>
          <w:sz w:val="32"/>
          <w:szCs w:val="32"/>
        </w:rPr>
        <w:t>主要原因是公务车辆维修费较上年有所增加</w:t>
      </w:r>
      <w:r>
        <w:rPr>
          <w:rFonts w:hint="eastAsia" w:ascii="仿宋_GB2312" w:hAnsi="仿宋" w:eastAsia="仿宋_GB2312"/>
          <w:color w:val="333333"/>
          <w:sz w:val="32"/>
          <w:szCs w:val="32"/>
        </w:rPr>
        <w:t>。</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2.数量指标：</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2022年，为人大代表订《中国人大》杂志380份、</w:t>
      </w:r>
      <w:r>
        <w:rPr>
          <w:rFonts w:hint="eastAsia" w:ascii="仿宋_GB2312" w:hAnsi="仿宋" w:eastAsia="仿宋_GB2312"/>
          <w:color w:val="4F4A4A"/>
          <w:sz w:val="32"/>
          <w:szCs w:val="32"/>
          <w:shd w:val="clear" w:color="auto" w:fill="FFFFFF"/>
        </w:rPr>
        <w:t>《</w:t>
      </w:r>
      <w:r>
        <w:rPr>
          <w:rFonts w:hint="eastAsia" w:ascii="仿宋_GB2312" w:hAnsi="微软雅黑" w:eastAsia="仿宋_GB2312"/>
          <w:color w:val="333333"/>
          <w:sz w:val="32"/>
          <w:szCs w:val="32"/>
        </w:rPr>
        <w:t>云南人大》杂志315</w:t>
      </w:r>
      <w:r>
        <w:rPr>
          <w:rFonts w:hint="eastAsia" w:ascii="仿宋_GB2312" w:hAnsi="仿宋" w:eastAsia="仿宋_GB2312"/>
          <w:color w:val="333333"/>
          <w:sz w:val="32"/>
          <w:szCs w:val="32"/>
        </w:rPr>
        <w:t>份，</w:t>
      </w:r>
      <w:r>
        <w:rPr>
          <w:rFonts w:hint="eastAsia" w:ascii="仿宋_GB2312" w:hAnsi="Times New Roman" w:eastAsia="仿宋_GB2312" w:cs="Times New Roman"/>
          <w:color w:val="000000"/>
          <w:kern w:val="2"/>
          <w:sz w:val="32"/>
          <w:szCs w:val="32"/>
        </w:rPr>
        <w:t>组织200余名区人大代表和人大机关干部到市委党校开展有针对性的培训，</w:t>
      </w:r>
      <w:r>
        <w:rPr>
          <w:rFonts w:hint="eastAsia" w:ascii="仿宋_GB2312" w:hAnsi="微软雅黑" w:eastAsia="仿宋_GB2312"/>
          <w:color w:val="333333"/>
          <w:sz w:val="32"/>
          <w:szCs w:val="32"/>
        </w:rPr>
        <w:t>组织区人大代表、联络员及常委会工作人员360人专题学习培训3次。召开人代会1次，常委会会议7次，主任会议24次，街道人大工委工作</w:t>
      </w:r>
      <w:r>
        <w:rPr>
          <w:rFonts w:hint="eastAsia" w:ascii="仿宋_GB2312" w:hAnsi="微软雅黑" w:eastAsia="仿宋_GB2312"/>
          <w:color w:val="333333"/>
          <w:sz w:val="32"/>
          <w:szCs w:val="32"/>
          <w:lang w:eastAsia="zh-CN"/>
        </w:rPr>
        <w:t>联席会议</w:t>
      </w:r>
      <w:r>
        <w:rPr>
          <w:rFonts w:hint="eastAsia" w:ascii="仿宋_GB2312" w:hAnsi="微软雅黑" w:eastAsia="仿宋_GB2312"/>
          <w:color w:val="333333"/>
          <w:sz w:val="32"/>
          <w:szCs w:val="32"/>
        </w:rPr>
        <w:t>2次，依法任免国家机关工作人员75人次，常委会组织500余人次代表参加调查、视察、执法检查、座谈会、专题询问等27次，</w:t>
      </w:r>
      <w:r>
        <w:rPr>
          <w:rFonts w:hint="eastAsia" w:ascii="仿宋_GB2312" w:hAnsi="Times New Roman" w:eastAsia="仿宋_GB2312" w:cs="Times New Roman"/>
          <w:color w:val="000000"/>
          <w:kern w:val="2"/>
          <w:sz w:val="32"/>
          <w:szCs w:val="32"/>
        </w:rPr>
        <w:t>听取和审议“一府两院”专项工作报告26项，作出决议决定3项、审议意见12项，</w:t>
      </w:r>
      <w:r>
        <w:rPr>
          <w:rFonts w:hint="eastAsia" w:ascii="仿宋_GB2312" w:hAnsi="Times New Roman" w:eastAsia="仿宋_GB2312" w:cs="Times New Roman"/>
          <w:kern w:val="10"/>
          <w:sz w:val="32"/>
          <w:szCs w:val="32"/>
        </w:rPr>
        <w:t>稳步推进预算联网监督系统2.0版本建设各项工作，</w:t>
      </w:r>
      <w:r>
        <w:rPr>
          <w:rFonts w:ascii="Times New Roman" w:hAnsi="Times New Roman" w:eastAsia="仿宋_GB2312" w:cs="Times New Roman"/>
          <w:kern w:val="10"/>
          <w:sz w:val="32"/>
          <w:szCs w:val="32"/>
        </w:rPr>
        <w:t>为</w:t>
      </w:r>
      <w:r>
        <w:rPr>
          <w:rFonts w:ascii="Times New Roman" w:hAnsi="Times New Roman" w:eastAsia="仿宋_GB2312" w:cs="Times New Roman"/>
          <w:sz w:val="32"/>
          <w:szCs w:val="32"/>
        </w:rPr>
        <w:t>提高财政资金使用绩效和政策实施效果提供有力保障。</w:t>
      </w:r>
      <w:r>
        <w:rPr>
          <w:rFonts w:hint="eastAsia" w:ascii="仿宋_GB2312" w:hAnsi="Times New Roman" w:eastAsia="仿宋_GB2312" w:cs="Times New Roman"/>
          <w:color w:val="000000"/>
          <w:kern w:val="2"/>
          <w:sz w:val="32"/>
          <w:szCs w:val="32"/>
        </w:rPr>
        <w:t>依法处理群众来信来访11件次，设立代表信箱106个，建成12个街道代表工作站，49个社区代表联络室，5个网上代表工作站，组织市、区人大代表小组活动199次，</w:t>
      </w:r>
      <w:r>
        <w:rPr>
          <w:rFonts w:hint="eastAsia" w:ascii="仿宋_GB2312" w:hAnsi="Times New Roman" w:eastAsia="仿宋_GB2312" w:cs="Times New Roman"/>
          <w:kern w:val="2"/>
          <w:sz w:val="32"/>
          <w:szCs w:val="32"/>
        </w:rPr>
        <w:t>省、市、区三级人大代表参加会议、调研等活动197次，参与代表1109人次，接待群众1000人次，收集意见建议400余条，并已逐条进行答复或解决。组织任前法律知识考试22人次</w:t>
      </w:r>
      <w:r>
        <w:rPr>
          <w:rFonts w:hint="eastAsia" w:ascii="仿宋_GB2312" w:hAnsi="Times New Roman" w:eastAsia="仿宋_GB2312" w:cs="Times New Roman"/>
          <w:color w:val="000000"/>
          <w:kern w:val="2"/>
          <w:sz w:val="32"/>
          <w:szCs w:val="32"/>
        </w:rPr>
        <w:t>。代表共提出建议、批评和意见221件，代表建议所提问题得到解决或计划逐步解决的占交办建议总数的76%，推动解决了一批事关经济社会发展和人民群众切身利益的突出问题。</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3.经济效益</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人大投入小，经济效益高，促进了经济的发展、带动就业，推动代表工作站，代表之家、代表小组开设微信群，加强相互交流，提高代表履职能力；构建市人大代表盘龙团微信、微博集群，与全市新媒体矩阵结合，为联系机关办公提供便利，人民安居乐业构建和谐社会。</w:t>
      </w:r>
      <w:r>
        <w:rPr>
          <w:rFonts w:hint="eastAsia" w:ascii="仿宋_GB2312" w:eastAsia="仿宋_GB2312"/>
          <w:color w:val="000000"/>
          <w:sz w:val="32"/>
          <w:szCs w:val="32"/>
        </w:rPr>
        <w:t>由于严格执行中央和省、市、区委有关勤俭节约的规定，我们对2022年人大监督项目开支的严格要求，在圆满完成年度监督工作的同时，项目经费有较大节余。</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4.可持续发展的影响</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人大经济社会资源良好，促进了可持续的发展、维护了社会治安，促进经济的发展，有利于推动全区各级人大、财政部门加强信息化建设，提高依法理财水平，有利于改进人大监督方式，提高效率。构建了和谐社会，带动了经济发展。形成了良好的党风行政、开展就业在就业、维护社会的稳定、解决了矛盾纠纷、为构建了和谐社会形成了良好的社会风气。</w:t>
      </w:r>
    </w:p>
    <w:p>
      <w:pPr>
        <w:pStyle w:val="6"/>
        <w:shd w:val="clear" w:color="auto" w:fill="FFFFFF"/>
        <w:spacing w:before="0" w:beforeAutospacing="0" w:after="0" w:afterAutospacing="0" w:line="315" w:lineRule="atLeast"/>
        <w:ind w:firstLine="480"/>
        <w:rPr>
          <w:rFonts w:ascii="仿宋_GB2312" w:hAnsi="微软雅黑" w:eastAsia="仿宋_GB2312"/>
          <w:color w:val="333333"/>
          <w:sz w:val="32"/>
          <w:szCs w:val="32"/>
        </w:rPr>
      </w:pPr>
      <w:r>
        <w:rPr>
          <w:rFonts w:hint="eastAsia" w:ascii="仿宋_GB2312" w:hAnsi="微软雅黑" w:eastAsia="仿宋_GB2312"/>
          <w:color w:val="333333"/>
          <w:sz w:val="32"/>
          <w:szCs w:val="32"/>
        </w:rPr>
        <w:t>5.社会公众或服务对象满意度</w:t>
      </w:r>
    </w:p>
    <w:p>
      <w:pPr>
        <w:pStyle w:val="6"/>
        <w:shd w:val="clear" w:color="auto" w:fill="FFFFFF"/>
        <w:spacing w:before="0" w:beforeAutospacing="0" w:after="0" w:afterAutospacing="0" w:line="315" w:lineRule="atLeast"/>
        <w:ind w:firstLine="480"/>
        <w:rPr>
          <w:rFonts w:ascii="仿宋_GB2312" w:hAnsi="微软雅黑" w:eastAsia="仿宋_GB2312"/>
          <w:color w:val="333333"/>
          <w:sz w:val="32"/>
          <w:szCs w:val="32"/>
        </w:rPr>
      </w:pPr>
      <w:r>
        <w:rPr>
          <w:rFonts w:hint="eastAsia" w:ascii="仿宋_GB2312" w:hAnsi="微软雅黑" w:eastAsia="仿宋_GB2312"/>
          <w:color w:val="333333"/>
          <w:sz w:val="32"/>
          <w:szCs w:val="32"/>
        </w:rPr>
        <w:t>被服务对象对项目实施效果的满意程度高，符合人民群众利益，协调了矛盾纠纷、工作满意度高，获得人民群众的一致好评。</w:t>
      </w:r>
    </w:p>
    <w:p>
      <w:pPr>
        <w:pStyle w:val="6"/>
        <w:shd w:val="clear" w:color="auto" w:fill="FFFFFF"/>
        <w:spacing w:before="0" w:beforeAutospacing="0" w:after="0" w:afterAutospacing="0" w:line="525" w:lineRule="atLeast"/>
        <w:ind w:firstLine="795"/>
        <w:rPr>
          <w:rFonts w:ascii="微软雅黑" w:hAnsi="微软雅黑" w:eastAsia="微软雅黑"/>
          <w:color w:val="333333"/>
          <w:sz w:val="21"/>
          <w:szCs w:val="21"/>
        </w:rPr>
      </w:pPr>
      <w:r>
        <w:rPr>
          <w:rFonts w:hint="eastAsia" w:ascii="黑体" w:hAnsi="黑体" w:eastAsia="黑体"/>
          <w:color w:val="333333"/>
          <w:sz w:val="32"/>
          <w:szCs w:val="32"/>
        </w:rPr>
        <w:t>三、评价思路和过程</w:t>
      </w:r>
    </w:p>
    <w:p>
      <w:pPr>
        <w:pStyle w:val="6"/>
        <w:shd w:val="clear" w:color="auto" w:fill="FFFFFF"/>
        <w:spacing w:before="0" w:beforeAutospacing="0" w:after="0" w:afterAutospacing="0" w:line="585" w:lineRule="atLeast"/>
        <w:ind w:firstLine="640" w:firstLineChars="200"/>
        <w:rPr>
          <w:rFonts w:ascii="微软雅黑" w:hAnsi="微软雅黑" w:eastAsia="微软雅黑"/>
          <w:color w:val="333333"/>
          <w:sz w:val="21"/>
          <w:szCs w:val="21"/>
        </w:rPr>
      </w:pPr>
      <w:r>
        <w:rPr>
          <w:rFonts w:hint="eastAsia" w:ascii="仿宋_GB2312" w:hAnsi="微软雅黑" w:eastAsia="仿宋_GB2312"/>
          <w:color w:val="333333"/>
          <w:sz w:val="32"/>
          <w:szCs w:val="32"/>
        </w:rPr>
        <w:t>（一）评价思路：人大确认2022年度部门整体支出的绩效目标，及时梳理部门内部管理制度及存量资源，分析确定2022年度部门整体支出的评价重点，最终构建了绩效评价指标体系。</w:t>
      </w:r>
    </w:p>
    <w:p>
      <w:pPr>
        <w:pStyle w:val="6"/>
        <w:shd w:val="clear" w:color="auto" w:fill="FFFFFF"/>
        <w:spacing w:before="0" w:beforeAutospacing="0" w:after="0" w:afterAutospacing="0" w:line="585" w:lineRule="atLeast"/>
        <w:ind w:firstLine="640" w:firstLineChars="200"/>
        <w:rPr>
          <w:rFonts w:ascii="微软雅黑" w:hAnsi="微软雅黑" w:eastAsia="微软雅黑"/>
          <w:color w:val="333333"/>
          <w:sz w:val="21"/>
          <w:szCs w:val="21"/>
        </w:rPr>
      </w:pPr>
      <w:r>
        <w:rPr>
          <w:rFonts w:hint="eastAsia" w:ascii="仿宋_GB2312" w:hAnsi="微软雅黑" w:eastAsia="仿宋_GB2312"/>
          <w:color w:val="333333"/>
          <w:sz w:val="32"/>
          <w:szCs w:val="32"/>
        </w:rPr>
        <w:t>（二）评价目的：人大通过收集本单位基本情况、预算制定与明细、部门中长期规划目标及组织架构等信息，分析本单位资源配置的合理性及中长期规划目标完成与履职情况，总结经验做法，找出预算绩效管理中的薄弱环节，提出改进建议，提高财政资金的使用效益。</w:t>
      </w:r>
    </w:p>
    <w:p>
      <w:pPr>
        <w:pStyle w:val="6"/>
        <w:shd w:val="clear" w:color="auto" w:fill="FFFFFF"/>
        <w:spacing w:before="0" w:beforeAutospacing="0" w:after="0" w:afterAutospacing="0" w:line="585" w:lineRule="atLeast"/>
        <w:ind w:firstLine="640" w:firstLineChars="200"/>
        <w:rPr>
          <w:rFonts w:ascii="微软雅黑" w:hAnsi="微软雅黑" w:eastAsia="微软雅黑"/>
          <w:color w:val="333333"/>
          <w:sz w:val="21"/>
          <w:szCs w:val="21"/>
        </w:rPr>
      </w:pPr>
      <w:r>
        <w:rPr>
          <w:rFonts w:hint="eastAsia" w:ascii="仿宋_GB2312" w:hAnsi="微软雅黑" w:eastAsia="仿宋_GB2312"/>
          <w:color w:val="333333"/>
          <w:sz w:val="32"/>
          <w:szCs w:val="32"/>
        </w:rPr>
        <w:t>（三）评价依据：人大通过每个季度的绩效跟踪来追踪项目完成的进度及情况。</w:t>
      </w:r>
    </w:p>
    <w:p>
      <w:pPr>
        <w:pStyle w:val="6"/>
        <w:shd w:val="clear" w:color="auto" w:fill="FFFFFF"/>
        <w:spacing w:before="0" w:beforeAutospacing="0" w:after="0" w:afterAutospacing="0" w:line="585" w:lineRule="atLeast"/>
        <w:ind w:firstLine="640" w:firstLineChars="200"/>
        <w:rPr>
          <w:rFonts w:ascii="微软雅黑" w:hAnsi="微软雅黑" w:eastAsia="微软雅黑"/>
          <w:color w:val="333333"/>
          <w:sz w:val="21"/>
          <w:szCs w:val="21"/>
        </w:rPr>
      </w:pPr>
      <w:r>
        <w:rPr>
          <w:rFonts w:hint="eastAsia" w:ascii="仿宋_GB2312" w:hAnsi="微软雅黑" w:eastAsia="仿宋_GB2312"/>
          <w:color w:val="333333"/>
          <w:sz w:val="32"/>
          <w:szCs w:val="32"/>
        </w:rPr>
        <w:t>（四）评价对象及评价时段：人大的评价对象及评价时段为2022年的整体绩效评价。</w:t>
      </w:r>
    </w:p>
    <w:p>
      <w:pPr>
        <w:pStyle w:val="6"/>
        <w:shd w:val="clear" w:color="auto" w:fill="FFFFFF"/>
        <w:spacing w:before="0" w:beforeAutospacing="0" w:after="0" w:afterAutospacing="0" w:line="525" w:lineRule="atLeast"/>
        <w:ind w:firstLine="795"/>
        <w:rPr>
          <w:rFonts w:ascii="微软雅黑" w:hAnsi="微软雅黑" w:eastAsia="微软雅黑"/>
          <w:color w:val="333333"/>
          <w:sz w:val="21"/>
          <w:szCs w:val="21"/>
        </w:rPr>
      </w:pPr>
      <w:r>
        <w:rPr>
          <w:rFonts w:hint="eastAsia" w:ascii="黑体" w:hAnsi="黑体" w:eastAsia="黑体"/>
          <w:color w:val="333333"/>
          <w:sz w:val="32"/>
          <w:szCs w:val="32"/>
        </w:rPr>
        <w:t>四、评价结论和绩效分析</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（一）评价结论</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1.评价结果</w:t>
      </w:r>
      <w:r>
        <w:rPr>
          <w:rFonts w:hint="eastAsia" w:ascii="仿宋_GB2312" w:hAnsi="仿宋" w:eastAsia="仿宋_GB2312"/>
          <w:color w:val="333333"/>
          <w:sz w:val="32"/>
          <w:szCs w:val="32"/>
        </w:rPr>
        <w:t>:</w:t>
      </w:r>
      <w:r>
        <w:rPr>
          <w:rFonts w:hint="eastAsia" w:ascii="仿宋_GB2312" w:hAnsi="微软雅黑" w:eastAsia="仿宋_GB2312"/>
          <w:color w:val="333333"/>
          <w:sz w:val="32"/>
          <w:szCs w:val="32"/>
        </w:rPr>
        <w:t> 人大2022年度绩效评价结果良好，能准确反映出整体绩效支出的情况。</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2.主要绩效：</w:t>
      </w:r>
      <w:r>
        <w:rPr>
          <w:rFonts w:hint="eastAsia" w:ascii="仿宋_GB2312" w:hAnsi="Times New Roman" w:eastAsia="仿宋_GB2312" w:cs="Times New Roman"/>
          <w:color w:val="000000"/>
          <w:kern w:val="2"/>
          <w:sz w:val="32"/>
          <w:szCs w:val="32"/>
        </w:rPr>
        <w:t>认真落实市委、区委部署要求，</w:t>
      </w:r>
      <w:r>
        <w:rPr>
          <w:rFonts w:hint="eastAsia" w:ascii="仿宋_GB2312" w:hAnsi="Times New Roman" w:eastAsia="仿宋_GB2312" w:cs="Times New Roman"/>
          <w:kern w:val="2"/>
          <w:sz w:val="32"/>
          <w:szCs w:val="32"/>
        </w:rPr>
        <w:t>圆满完成市、区两级人大代表补选工作。</w:t>
      </w:r>
      <w:r>
        <w:rPr>
          <w:rFonts w:hint="eastAsia" w:ascii="仿宋_GB2312" w:hAnsi="Times New Roman" w:eastAsia="仿宋_GB2312" w:cs="Times New Roman"/>
          <w:color w:val="000000"/>
          <w:kern w:val="2"/>
          <w:sz w:val="32"/>
          <w:szCs w:val="32"/>
        </w:rPr>
        <w:t>按照区委部署，常委会牵头依法治区法律实施监督职责，全力助推法治盘龙建设；积极参与文明城市创建督导、联系服务企业、下基层接访等活动，全面完成了区十七届人大一次会议确定的各项任务，保证了我区国家机关正常运转。</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（二）具体绩效分析</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1.成本指标：人大投入小，控制成本获得经济效益高。</w:t>
      </w:r>
      <w:r>
        <w:rPr>
          <w:rFonts w:hint="eastAsia" w:ascii="仿宋_GB2312" w:eastAsia="仿宋_GB2312"/>
          <w:color w:val="000000"/>
          <w:sz w:val="32"/>
          <w:szCs w:val="32"/>
        </w:rPr>
        <w:t>在监督活动过程中，加强成本控制，本着厉行节约的原则，严格规范各项开支，项目资金使用符合预算要求。</w:t>
      </w:r>
    </w:p>
    <w:p>
      <w:pPr>
        <w:pStyle w:val="6"/>
        <w:shd w:val="clear" w:color="auto" w:fill="FFFFFF"/>
        <w:spacing w:before="0" w:beforeAutospacing="0" w:after="0" w:afterAutospacing="0" w:line="585" w:lineRule="atLeast"/>
        <w:ind w:firstLine="795"/>
        <w:rPr>
          <w:rFonts w:ascii="仿宋_GB2312" w:hAnsi="微软雅黑" w:eastAsia="仿宋_GB2312"/>
          <w:color w:val="333333"/>
          <w:sz w:val="32"/>
          <w:szCs w:val="32"/>
        </w:rPr>
      </w:pPr>
      <w:r>
        <w:rPr>
          <w:rFonts w:hint="eastAsia" w:ascii="仿宋_GB2312" w:hAnsi="微软雅黑" w:eastAsia="仿宋_GB2312"/>
          <w:color w:val="333333"/>
          <w:sz w:val="32"/>
          <w:szCs w:val="32"/>
        </w:rPr>
        <w:t>2.产出指标：2022年，为人大代表订《中国人大》杂志380份、</w:t>
      </w:r>
      <w:r>
        <w:rPr>
          <w:rFonts w:hint="eastAsia" w:ascii="仿宋_GB2312" w:hAnsi="仿宋" w:eastAsia="仿宋_GB2312"/>
          <w:color w:val="4F4A4A"/>
          <w:sz w:val="32"/>
          <w:szCs w:val="32"/>
          <w:shd w:val="clear" w:color="auto" w:fill="FFFFFF"/>
        </w:rPr>
        <w:t>《</w:t>
      </w:r>
      <w:r>
        <w:rPr>
          <w:rFonts w:hint="eastAsia" w:ascii="仿宋_GB2312" w:hAnsi="微软雅黑" w:eastAsia="仿宋_GB2312"/>
          <w:color w:val="333333"/>
          <w:sz w:val="32"/>
          <w:szCs w:val="32"/>
        </w:rPr>
        <w:t>云南人大》杂志315</w:t>
      </w:r>
      <w:r>
        <w:rPr>
          <w:rFonts w:hint="eastAsia" w:ascii="仿宋_GB2312" w:hAnsi="仿宋" w:eastAsia="仿宋_GB2312"/>
          <w:color w:val="333333"/>
          <w:sz w:val="32"/>
          <w:szCs w:val="32"/>
        </w:rPr>
        <w:t>份，</w:t>
      </w:r>
      <w:r>
        <w:rPr>
          <w:rFonts w:hint="eastAsia" w:ascii="仿宋_GB2312" w:hAnsi="Times New Roman" w:eastAsia="仿宋_GB2312" w:cs="Times New Roman"/>
          <w:color w:val="000000"/>
          <w:kern w:val="2"/>
          <w:sz w:val="32"/>
          <w:szCs w:val="32"/>
        </w:rPr>
        <w:t>组织200余名区人大代表和人大机关干部到市委党校开展有针对性的培训，</w:t>
      </w:r>
      <w:r>
        <w:rPr>
          <w:rFonts w:hint="eastAsia" w:ascii="仿宋_GB2312" w:hAnsi="微软雅黑" w:eastAsia="仿宋_GB2312"/>
          <w:color w:val="333333"/>
          <w:sz w:val="32"/>
          <w:szCs w:val="32"/>
        </w:rPr>
        <w:t>组织区人大代表、联络员及常委会工作人员360人专题学习培训3次。召开人代会1次，常委会会议7次，主任会议24次，街道人大工委工作</w:t>
      </w:r>
      <w:r>
        <w:rPr>
          <w:rFonts w:hint="eastAsia" w:ascii="仿宋_GB2312" w:hAnsi="微软雅黑" w:eastAsia="仿宋_GB2312"/>
          <w:color w:val="333333"/>
          <w:sz w:val="32"/>
          <w:szCs w:val="32"/>
          <w:lang w:eastAsia="zh-CN"/>
        </w:rPr>
        <w:t>联席会议</w:t>
      </w:r>
      <w:r>
        <w:rPr>
          <w:rFonts w:hint="eastAsia" w:ascii="仿宋_GB2312" w:hAnsi="微软雅黑" w:eastAsia="仿宋_GB2312"/>
          <w:color w:val="333333"/>
          <w:sz w:val="32"/>
          <w:szCs w:val="32"/>
        </w:rPr>
        <w:t>2次，依法任免国家机关工作人员75人次，常委会组织500余人次代表参加调查、视察、执法检查、座谈会、专题询问等27次，</w:t>
      </w:r>
      <w:r>
        <w:rPr>
          <w:rFonts w:hint="eastAsia" w:ascii="仿宋_GB2312" w:hAnsi="Times New Roman" w:eastAsia="仿宋_GB2312" w:cs="Times New Roman"/>
          <w:color w:val="000000"/>
          <w:kern w:val="2"/>
          <w:sz w:val="32"/>
          <w:szCs w:val="32"/>
        </w:rPr>
        <w:t>听取和审议“一府两院”专项工作报告26项，作出决议决定3项、审议意见12项，</w:t>
      </w:r>
      <w:r>
        <w:rPr>
          <w:rFonts w:hint="eastAsia" w:ascii="仿宋_GB2312" w:hAnsi="Times New Roman" w:eastAsia="仿宋_GB2312" w:cs="Times New Roman"/>
          <w:kern w:val="10"/>
          <w:sz w:val="32"/>
          <w:szCs w:val="32"/>
        </w:rPr>
        <w:t>稳步推进预算联网监督系统2.0版本建设各项工作，</w:t>
      </w:r>
      <w:r>
        <w:rPr>
          <w:rFonts w:ascii="Times New Roman" w:hAnsi="Times New Roman" w:eastAsia="仿宋_GB2312" w:cs="Times New Roman"/>
          <w:kern w:val="10"/>
          <w:sz w:val="32"/>
          <w:szCs w:val="32"/>
        </w:rPr>
        <w:t>为</w:t>
      </w:r>
      <w:r>
        <w:rPr>
          <w:rFonts w:ascii="Times New Roman" w:hAnsi="Times New Roman" w:eastAsia="仿宋_GB2312" w:cs="Times New Roman"/>
          <w:sz w:val="32"/>
          <w:szCs w:val="32"/>
        </w:rPr>
        <w:t>提高财政资金使用绩效和政策实施效果提供有力保障。</w:t>
      </w:r>
      <w:r>
        <w:rPr>
          <w:rFonts w:hint="eastAsia" w:ascii="仿宋_GB2312" w:hAnsi="Times New Roman" w:eastAsia="仿宋_GB2312" w:cs="Times New Roman"/>
          <w:color w:val="000000"/>
          <w:kern w:val="2"/>
          <w:sz w:val="32"/>
          <w:szCs w:val="32"/>
        </w:rPr>
        <w:t>依法处理群众来信来访11件次，设立代表信箱106个，建成12个街道代表工作站，49个社区代表联络室，5个网上代表工作站，组织市、区人大代表小组活动199次，</w:t>
      </w:r>
      <w:r>
        <w:rPr>
          <w:rFonts w:hint="eastAsia" w:ascii="仿宋_GB2312" w:hAnsi="Times New Roman" w:eastAsia="仿宋_GB2312" w:cs="Times New Roman"/>
          <w:kern w:val="2"/>
          <w:sz w:val="32"/>
          <w:szCs w:val="32"/>
        </w:rPr>
        <w:t>省、市、区三级人大代表参加会议、调研等活动197次，参与代表1109人次，接待群众1000人次，收集意见建议400余条，并已逐条进行答复或解决。组织任前法律知识考试22人次</w:t>
      </w:r>
      <w:r>
        <w:rPr>
          <w:rFonts w:hint="eastAsia" w:ascii="仿宋_GB2312" w:hAnsi="Times New Roman" w:eastAsia="仿宋_GB2312" w:cs="Times New Roman"/>
          <w:color w:val="000000"/>
          <w:kern w:val="2"/>
          <w:sz w:val="32"/>
          <w:szCs w:val="32"/>
        </w:rPr>
        <w:t>。代表共提出建议、批评和意见221件，代表建议所提问题得到解决或计划逐步解决的占交办建议总数的76%，推动解决了一批事关经济社会发展和人民群众切身利益的突出问题。</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3.效益指标：</w:t>
      </w:r>
      <w:r>
        <w:rPr>
          <w:rFonts w:hint="eastAsia" w:ascii="仿宋_GB2312" w:eastAsia="仿宋_GB2312"/>
          <w:color w:val="000000"/>
          <w:sz w:val="32"/>
          <w:szCs w:val="32"/>
        </w:rPr>
        <w:t>按年初制定的监督工作计划，有序开展监督活动，同时根据全</w:t>
      </w:r>
      <w:r>
        <w:rPr>
          <w:rFonts w:hint="eastAsia" w:ascii="仿宋_GB2312" w:eastAsia="仿宋_GB2312"/>
          <w:color w:val="000000"/>
          <w:sz w:val="32"/>
          <w:szCs w:val="32"/>
          <w:shd w:val="clear" w:color="auto" w:fill="FFFFFF"/>
        </w:rPr>
        <w:t>区</w:t>
      </w:r>
      <w:r>
        <w:rPr>
          <w:rFonts w:hint="eastAsia" w:ascii="仿宋_GB2312" w:eastAsia="仿宋_GB2312"/>
          <w:color w:val="000000"/>
          <w:sz w:val="32"/>
          <w:szCs w:val="32"/>
        </w:rPr>
        <w:t>工作大局的实际需要，适当调整，增加或删减个别项目，完成情况良好。</w:t>
      </w:r>
      <w:r>
        <w:rPr>
          <w:rFonts w:hint="eastAsia" w:ascii="仿宋_GB2312" w:hAnsi="微软雅黑" w:eastAsia="仿宋_GB2312"/>
          <w:color w:val="333333"/>
          <w:sz w:val="32"/>
          <w:szCs w:val="32"/>
        </w:rPr>
        <w:t>构建了和谐社会。</w:t>
      </w:r>
    </w:p>
    <w:p>
      <w:pPr>
        <w:pStyle w:val="6"/>
        <w:shd w:val="clear" w:color="auto" w:fill="FFFFFF"/>
        <w:spacing w:before="0" w:beforeAutospacing="0" w:after="0" w:afterAutospacing="0" w:line="315" w:lineRule="atLeast"/>
        <w:ind w:firstLine="640" w:firstLineChars="200"/>
        <w:rPr>
          <w:rFonts w:ascii="仿宋_GB2312" w:hAnsi="微软雅黑" w:eastAsia="仿宋_GB2312"/>
          <w:color w:val="333333"/>
          <w:sz w:val="32"/>
          <w:szCs w:val="32"/>
        </w:rPr>
      </w:pPr>
      <w:r>
        <w:rPr>
          <w:rFonts w:hint="eastAsia" w:ascii="仿宋_GB2312" w:hAnsi="微软雅黑" w:eastAsia="仿宋_GB2312"/>
          <w:color w:val="333333"/>
          <w:sz w:val="32"/>
          <w:szCs w:val="32"/>
        </w:rPr>
        <w:t>4.项目效益：社会公众或服务对象满意度高，获得人民群众的一致好评。</w:t>
      </w:r>
      <w:r>
        <w:rPr>
          <w:rFonts w:hint="eastAsia" w:ascii="仿宋_GB2312" w:hAnsi="Times New Roman" w:eastAsia="仿宋_GB2312" w:cs="Times New Roman"/>
          <w:color w:val="000000"/>
          <w:kern w:val="2"/>
          <w:sz w:val="32"/>
          <w:szCs w:val="32"/>
        </w:rPr>
        <w:t>一年来，完成交办代表提出的意见建议221件，常委会年中跟踪督办，年底专项检查并听取办理情况报告，开展满意度测评，意见建议办理工作成效明显，建议办理答复率100%，推动解决了一批事关经济社会发展和人民群众切身利益的突出问题。</w:t>
      </w:r>
    </w:p>
    <w:p>
      <w:pPr>
        <w:pStyle w:val="6"/>
        <w:shd w:val="clear" w:color="auto" w:fill="FFFFFF"/>
        <w:spacing w:before="0" w:beforeAutospacing="0" w:after="0" w:afterAutospacing="0" w:line="315" w:lineRule="atLeast"/>
        <w:ind w:firstLine="795"/>
        <w:rPr>
          <w:rFonts w:ascii="黑体" w:hAnsi="黑体" w:eastAsia="黑体"/>
          <w:color w:val="333333"/>
          <w:sz w:val="32"/>
          <w:szCs w:val="32"/>
        </w:rPr>
      </w:pPr>
      <w:r>
        <w:rPr>
          <w:rFonts w:hint="eastAsia" w:ascii="黑体" w:hAnsi="黑体" w:eastAsia="黑体"/>
          <w:color w:val="333333"/>
          <w:sz w:val="32"/>
          <w:szCs w:val="32"/>
        </w:rPr>
        <w:t>五、主要经验做法</w:t>
      </w:r>
    </w:p>
    <w:p>
      <w:pPr>
        <w:pStyle w:val="6"/>
        <w:shd w:val="clear" w:color="auto" w:fill="FFFFFF"/>
        <w:spacing w:before="0" w:beforeAutospacing="0" w:after="0" w:afterAutospacing="0" w:line="315" w:lineRule="atLeast"/>
        <w:ind w:firstLine="795"/>
        <w:rPr>
          <w:rFonts w:ascii="微软雅黑" w:hAnsi="微软雅黑" w:eastAsia="微软雅黑"/>
          <w:color w:val="333333"/>
          <w:sz w:val="21"/>
          <w:szCs w:val="21"/>
        </w:rPr>
      </w:pPr>
      <w:r>
        <w:rPr>
          <w:rFonts w:hint="eastAsia" w:ascii="仿宋_GB2312" w:hAnsi="微软雅黑" w:eastAsia="仿宋_GB2312"/>
          <w:color w:val="333333"/>
          <w:sz w:val="32"/>
          <w:szCs w:val="32"/>
        </w:rPr>
        <w:t>人大制定了预算管理的制度，严格执行预算和加强绩效管理。</w:t>
      </w:r>
    </w:p>
    <w:p>
      <w:pPr>
        <w:pStyle w:val="6"/>
        <w:shd w:val="clear" w:color="auto" w:fill="FFFFFF"/>
        <w:spacing w:before="0" w:beforeAutospacing="0" w:after="0" w:afterAutospacing="0" w:line="315" w:lineRule="atLeast"/>
        <w:ind w:firstLine="795"/>
        <w:rPr>
          <w:rFonts w:ascii="黑体" w:hAnsi="黑体" w:eastAsia="黑体"/>
          <w:color w:val="333333"/>
          <w:sz w:val="32"/>
          <w:szCs w:val="32"/>
        </w:rPr>
      </w:pPr>
      <w:r>
        <w:rPr>
          <w:rFonts w:hint="eastAsia" w:ascii="黑体" w:hAnsi="黑体" w:eastAsia="黑体"/>
          <w:color w:val="333333"/>
          <w:sz w:val="32"/>
          <w:szCs w:val="32"/>
        </w:rPr>
        <w:t>六、存在的问题</w:t>
      </w:r>
    </w:p>
    <w:p>
      <w:pPr>
        <w:pStyle w:val="6"/>
        <w:shd w:val="clear" w:color="auto" w:fill="FFFFFF"/>
        <w:spacing w:before="0" w:beforeAutospacing="0" w:after="0" w:afterAutospacing="0" w:line="315" w:lineRule="atLeast"/>
        <w:ind w:firstLine="795"/>
        <w:rPr>
          <w:rFonts w:ascii="微软雅黑" w:hAnsi="微软雅黑" w:eastAsia="微软雅黑"/>
          <w:color w:val="333333"/>
          <w:sz w:val="21"/>
          <w:szCs w:val="21"/>
        </w:rPr>
      </w:pPr>
      <w:r>
        <w:rPr>
          <w:rFonts w:hint="eastAsia" w:ascii="仿宋_GB2312" w:hAnsi="微软雅黑" w:eastAsia="仿宋_GB2312"/>
          <w:color w:val="333333"/>
          <w:sz w:val="32"/>
          <w:szCs w:val="32"/>
        </w:rPr>
        <w:t>填报整体绩效时不够细化分解、量化，绩效评价未针对自身情况提出合理的问题及建议。</w:t>
      </w:r>
    </w:p>
    <w:p>
      <w:pPr>
        <w:pStyle w:val="6"/>
        <w:shd w:val="clear" w:color="auto" w:fill="FFFFFF"/>
        <w:spacing w:before="0" w:beforeAutospacing="0" w:after="0" w:afterAutospacing="0" w:line="315" w:lineRule="atLeast"/>
        <w:ind w:firstLine="795"/>
        <w:rPr>
          <w:rFonts w:ascii="微软雅黑" w:hAnsi="微软雅黑" w:eastAsia="微软雅黑"/>
          <w:color w:val="333333"/>
          <w:sz w:val="21"/>
          <w:szCs w:val="21"/>
        </w:rPr>
      </w:pPr>
      <w:r>
        <w:rPr>
          <w:rFonts w:hint="eastAsia" w:ascii="黑体" w:hAnsi="黑体" w:eastAsia="黑体"/>
          <w:color w:val="333333"/>
          <w:sz w:val="32"/>
          <w:szCs w:val="32"/>
        </w:rPr>
        <w:t>七、改进措施及建议</w:t>
      </w:r>
    </w:p>
    <w:p>
      <w:pPr>
        <w:pStyle w:val="6"/>
        <w:shd w:val="clear" w:color="auto" w:fill="FFFFFF"/>
        <w:spacing w:before="0" w:beforeAutospacing="0" w:after="0" w:afterAutospacing="0" w:line="315" w:lineRule="atLeast"/>
        <w:ind w:firstLine="800" w:firstLineChars="250"/>
        <w:rPr>
          <w:rFonts w:ascii="仿宋_GB2312" w:hAnsi="微软雅黑" w:eastAsia="仿宋_GB2312"/>
          <w:b/>
          <w:color w:val="333333"/>
          <w:sz w:val="32"/>
          <w:szCs w:val="32"/>
        </w:rPr>
      </w:pPr>
      <w:r>
        <w:rPr>
          <w:rStyle w:val="9"/>
          <w:rFonts w:hint="eastAsia" w:ascii="仿宋_GB2312" w:hAnsi="仿宋" w:eastAsia="仿宋_GB2312"/>
          <w:b w:val="0"/>
          <w:color w:val="333333"/>
          <w:sz w:val="32"/>
          <w:szCs w:val="32"/>
        </w:rPr>
        <w:t>1、单位管理建议</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仿宋" w:eastAsia="仿宋_GB2312"/>
          <w:color w:val="333333"/>
          <w:sz w:val="32"/>
          <w:szCs w:val="32"/>
        </w:rPr>
        <w:t>提高绩效管理认识。</w:t>
      </w:r>
      <w:r>
        <w:rPr>
          <w:rFonts w:hint="eastAsia" w:ascii="仿宋_GB2312" w:hAnsi="微软雅黑" w:eastAsia="仿宋_GB2312"/>
          <w:color w:val="333333"/>
          <w:sz w:val="32"/>
          <w:szCs w:val="32"/>
        </w:rPr>
        <w:t>人大</w:t>
      </w:r>
      <w:r>
        <w:rPr>
          <w:rFonts w:hint="eastAsia" w:ascii="仿宋_GB2312" w:hAnsi="仿宋" w:eastAsia="仿宋_GB2312"/>
          <w:color w:val="333333"/>
          <w:sz w:val="32"/>
          <w:szCs w:val="32"/>
        </w:rPr>
        <w:t>通过设立目标有利于项目决策的制定，有助于项目的实施管理。项目实施前应结合本单位自身情况，设定明确、合理的绩效目标，并将目标量化、细化分解，与预算资金相匹配起来。管委会客观、认真对待绩效自评，针对自身情况对实施项目提出合理的问题及建议，逐步提高绩效管理认识。</w:t>
      </w:r>
    </w:p>
    <w:p>
      <w:pPr>
        <w:pStyle w:val="6"/>
        <w:shd w:val="clear" w:color="auto" w:fill="FFFFFF"/>
        <w:spacing w:before="0" w:beforeAutospacing="0" w:after="0" w:afterAutospacing="0" w:line="315" w:lineRule="atLeast"/>
        <w:ind w:firstLine="645"/>
        <w:rPr>
          <w:rFonts w:ascii="仿宋_GB2312" w:hAnsi="微软雅黑" w:eastAsia="仿宋_GB2312"/>
          <w:color w:val="333333"/>
          <w:sz w:val="32"/>
          <w:szCs w:val="32"/>
        </w:rPr>
      </w:pPr>
      <w:r>
        <w:rPr>
          <w:rFonts w:hint="eastAsia" w:ascii="仿宋_GB2312" w:hAnsi="微软雅黑" w:eastAsia="仿宋_GB2312"/>
          <w:color w:val="333333"/>
          <w:sz w:val="32"/>
          <w:szCs w:val="32"/>
        </w:rPr>
        <w:t>人大</w:t>
      </w:r>
      <w:r>
        <w:rPr>
          <w:rFonts w:hint="eastAsia" w:ascii="仿宋_GB2312" w:hAnsi="仿宋" w:eastAsia="仿宋_GB2312"/>
          <w:color w:val="333333"/>
          <w:sz w:val="32"/>
          <w:szCs w:val="32"/>
        </w:rPr>
        <w:t>结合实际情况，汇总、对比以往年度项目预算，从而科学、有依据的做出下一年的项目资金预算，编制更为合理的预算，优化项目资金预算。</w:t>
      </w:r>
    </w:p>
    <w:p>
      <w:pPr>
        <w:pStyle w:val="6"/>
        <w:shd w:val="clear" w:color="auto" w:fill="FFFFFF"/>
        <w:spacing w:before="0" w:beforeAutospacing="0" w:after="0" w:afterAutospacing="0" w:line="315" w:lineRule="atLeast"/>
        <w:ind w:firstLine="645"/>
        <w:rPr>
          <w:rFonts w:ascii="仿宋_GB2312" w:hAnsi="微软雅黑" w:eastAsia="仿宋_GB2312"/>
          <w:b/>
          <w:color w:val="333333"/>
          <w:sz w:val="32"/>
          <w:szCs w:val="32"/>
        </w:rPr>
      </w:pPr>
      <w:r>
        <w:rPr>
          <w:rStyle w:val="9"/>
          <w:rFonts w:hint="eastAsia" w:ascii="仿宋_GB2312" w:hAnsi="仿宋" w:eastAsia="仿宋_GB2312"/>
          <w:b w:val="0"/>
          <w:color w:val="333333"/>
          <w:sz w:val="32"/>
          <w:szCs w:val="32"/>
        </w:rPr>
        <w:t>2、财政管理建议</w:t>
      </w:r>
    </w:p>
    <w:p>
      <w:pPr>
        <w:pStyle w:val="6"/>
        <w:shd w:val="clear" w:color="auto" w:fill="FFFFFF"/>
        <w:spacing w:before="0" w:beforeAutospacing="0" w:after="0" w:afterAutospacing="0" w:line="315" w:lineRule="atLeast"/>
        <w:ind w:firstLine="795"/>
        <w:rPr>
          <w:rFonts w:ascii="仿宋_GB2312" w:hAnsi="微软雅黑" w:eastAsia="仿宋_GB2312"/>
          <w:color w:val="333333"/>
          <w:sz w:val="32"/>
          <w:szCs w:val="32"/>
        </w:rPr>
      </w:pPr>
      <w:r>
        <w:rPr>
          <w:rFonts w:hint="eastAsia" w:ascii="仿宋_GB2312" w:hAnsi="仿宋" w:eastAsia="仿宋_GB2312"/>
          <w:color w:val="333333"/>
          <w:sz w:val="32"/>
          <w:szCs w:val="32"/>
        </w:rPr>
        <w:t>根据项目实施进度及时拨付资金，尽可能减少资金拨付环节和资金拨付时间，避免资金闲置、截留，提高资金使用效率，避免造成财政资源浪费。</w:t>
      </w:r>
    </w:p>
    <w:p>
      <w:pPr>
        <w:pStyle w:val="6"/>
        <w:shd w:val="clear" w:color="auto" w:fill="FFFFFF"/>
        <w:spacing w:before="0" w:beforeAutospacing="0" w:after="0" w:afterAutospacing="0" w:line="525" w:lineRule="atLeast"/>
        <w:jc w:val="center"/>
        <w:rPr>
          <w:rFonts w:ascii="仿宋_GB2312" w:hAnsi="仿宋" w:eastAsia="仿宋_GB2312"/>
          <w:color w:val="333333"/>
          <w:sz w:val="32"/>
          <w:szCs w:val="32"/>
        </w:rPr>
      </w:pPr>
      <w:r>
        <w:rPr>
          <w:rFonts w:hint="eastAsia" w:ascii="仿宋_GB2312" w:hAnsi="仿宋" w:eastAsia="仿宋_GB2312"/>
          <w:color w:val="333333"/>
          <w:sz w:val="32"/>
          <w:szCs w:val="32"/>
        </w:rPr>
        <w:t xml:space="preserve">        </w:t>
      </w:r>
    </w:p>
    <w:p>
      <w:pPr>
        <w:pStyle w:val="6"/>
        <w:shd w:val="clear" w:color="auto" w:fill="FFFFFF"/>
        <w:spacing w:before="0" w:beforeAutospacing="0" w:after="0" w:afterAutospacing="0" w:line="525" w:lineRule="atLeast"/>
        <w:jc w:val="center"/>
        <w:rPr>
          <w:rFonts w:ascii="仿宋_GB2312" w:hAnsi="微软雅黑" w:eastAsia="仿宋_GB2312"/>
          <w:color w:val="333333"/>
          <w:sz w:val="32"/>
          <w:szCs w:val="32"/>
        </w:rPr>
      </w:pPr>
      <w:r>
        <w:rPr>
          <w:rFonts w:hint="eastAsia" w:ascii="仿宋_GB2312" w:hAnsi="仿宋" w:eastAsia="仿宋_GB2312"/>
          <w:color w:val="333333"/>
          <w:sz w:val="32"/>
          <w:szCs w:val="32"/>
        </w:rPr>
        <w:t xml:space="preserve">                     昆明市盘龙区人大常委会办公室</w:t>
      </w:r>
      <w:r>
        <w:rPr>
          <w:rFonts w:hint="eastAsia" w:ascii="仿宋" w:hAnsi="仿宋" w:eastAsia="仿宋_GB2312"/>
          <w:color w:val="333333"/>
          <w:sz w:val="32"/>
          <w:szCs w:val="32"/>
        </w:rPr>
        <w:t> </w:t>
      </w:r>
      <w:r>
        <w:rPr>
          <w:rFonts w:hint="eastAsia" w:ascii="仿宋_GB2312" w:hAnsi="微软雅黑" w:eastAsia="仿宋_GB2312"/>
          <w:color w:val="333333"/>
          <w:sz w:val="32"/>
          <w:szCs w:val="32"/>
        </w:rPr>
        <w:t>   </w:t>
      </w:r>
    </w:p>
    <w:p>
      <w:pPr>
        <w:pStyle w:val="6"/>
        <w:shd w:val="clear" w:color="auto" w:fill="FFFFFF"/>
        <w:spacing w:before="0" w:beforeAutospacing="0" w:after="0" w:afterAutospacing="0" w:line="525" w:lineRule="atLeast"/>
        <w:jc w:val="center"/>
      </w:pPr>
      <w:r>
        <w:rPr>
          <w:rFonts w:hint="eastAsia" w:ascii="仿宋_GB2312" w:hAnsi="微软雅黑" w:eastAsia="仿宋_GB2312"/>
          <w:color w:val="333333"/>
          <w:sz w:val="32"/>
          <w:szCs w:val="32"/>
        </w:rPr>
        <w:t xml:space="preserve">                           2023年5月20日</w:t>
      </w:r>
    </w:p>
    <w:sectPr>
      <w:footerReference r:id="rId3" w:type="default"/>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BFF95B-2D1A-4B04-A1D7-C90F09733D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8AF066F-798B-487D-97E2-0493F9A24AAE}"/>
  </w:font>
  <w:font w:name="仿宋_GB2312">
    <w:panose1 w:val="02010609030101010101"/>
    <w:charset w:val="86"/>
    <w:family w:val="modern"/>
    <w:pitch w:val="default"/>
    <w:sig w:usb0="00000001" w:usb1="080E0000" w:usb2="00000000" w:usb3="00000000" w:csb0="00040000" w:csb1="00000000"/>
    <w:embedRegular r:id="rId3" w:fontKey="{BE8BC56E-9399-427A-A1D2-D4B5050AF0B1}"/>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00000001" w:usb1="08000000" w:usb2="00000000" w:usb3="00000000" w:csb0="00040000" w:csb1="00000000"/>
    <w:embedRegular r:id="rId4" w:fontKey="{5C7767FE-BD6D-4D10-9C95-839FDA415B44}"/>
  </w:font>
  <w:font w:name="方正小标宋_GBK">
    <w:panose1 w:val="02000000000000000000"/>
    <w:charset w:val="86"/>
    <w:family w:val="script"/>
    <w:pitch w:val="default"/>
    <w:sig w:usb0="A00002BF" w:usb1="38CF7CFA" w:usb2="00082016" w:usb3="00000000" w:csb0="00040001" w:csb1="00000000"/>
    <w:embedRegular r:id="rId5" w:fontKey="{5E5630FC-7FA1-4634-BBBD-AF36B3D5C1BF}"/>
  </w:font>
  <w:font w:name="微软雅黑">
    <w:panose1 w:val="020B0503020204020204"/>
    <w:charset w:val="86"/>
    <w:family w:val="swiss"/>
    <w:pitch w:val="default"/>
    <w:sig w:usb0="80000287" w:usb1="2ACF3C50" w:usb2="00000016" w:usb3="00000000" w:csb0="0004001F" w:csb1="00000000"/>
    <w:embedRegular r:id="rId6" w:fontKey="{B01B91AC-BA17-4A99-832E-46BEB8AA6DE4}"/>
  </w:font>
  <w:font w:name="Arial">
    <w:panose1 w:val="020B0604020202020204"/>
    <w:charset w:val="00"/>
    <w:family w:val="swiss"/>
    <w:pitch w:val="default"/>
    <w:sig w:usb0="E0002EFF" w:usb1="C000785B" w:usb2="00000009" w:usb3="00000000" w:csb0="400001FF" w:csb1="FFFF0000"/>
    <w:embedRegular r:id="rId7" w:fontKey="{3533C0F2-4559-4821-9556-CB32B273366C}"/>
  </w:font>
  <w:font w:name="仿宋">
    <w:panose1 w:val="02010609060101010101"/>
    <w:charset w:val="86"/>
    <w:family w:val="auto"/>
    <w:pitch w:val="default"/>
    <w:sig w:usb0="800002BF" w:usb1="38CF7CFA" w:usb2="00000016" w:usb3="00000000" w:csb0="00040001" w:csb1="00000000"/>
    <w:embedRegular r:id="rId8" w:fontKey="{058951C4-A334-45D3-B761-AD77439A78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52545"/>
      <w:docPartObj>
        <w:docPartGallery w:val="AutoText"/>
      </w:docPartObj>
    </w:sdtPr>
    <w:sdtContent>
      <w:p>
        <w:pPr>
          <w:pStyle w:val="4"/>
          <w:jc w:val="right"/>
        </w:pPr>
        <w:r>
          <w:fldChar w:fldCharType="begin"/>
        </w:r>
        <w:r>
          <w:instrText xml:space="preserve"> PAGE   \* MERGEFORMAT </w:instrText>
        </w:r>
        <w:r>
          <w:fldChar w:fldCharType="separate"/>
        </w:r>
        <w:r>
          <w:rPr>
            <w:lang w:val="zh-CN"/>
          </w:rPr>
          <w:t>1</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4OTdjYmM5OTc1ZTExMjliOThhNWZiOGFiODE3Y2QifQ=="/>
  </w:docVars>
  <w:rsids>
    <w:rsidRoot w:val="00826851"/>
    <w:rsid w:val="00020125"/>
    <w:rsid w:val="00083928"/>
    <w:rsid w:val="00090893"/>
    <w:rsid w:val="000923CA"/>
    <w:rsid w:val="000A30B7"/>
    <w:rsid w:val="000A3A2B"/>
    <w:rsid w:val="000F2511"/>
    <w:rsid w:val="000F4374"/>
    <w:rsid w:val="00165E9F"/>
    <w:rsid w:val="00191360"/>
    <w:rsid w:val="001A0E08"/>
    <w:rsid w:val="001E1ACA"/>
    <w:rsid w:val="001E42BE"/>
    <w:rsid w:val="0021128A"/>
    <w:rsid w:val="00224A9C"/>
    <w:rsid w:val="00267495"/>
    <w:rsid w:val="00280086"/>
    <w:rsid w:val="0029662D"/>
    <w:rsid w:val="00297C8B"/>
    <w:rsid w:val="002B105F"/>
    <w:rsid w:val="002D0627"/>
    <w:rsid w:val="002D125A"/>
    <w:rsid w:val="002D47A2"/>
    <w:rsid w:val="002D6CF3"/>
    <w:rsid w:val="002E2A9E"/>
    <w:rsid w:val="00302755"/>
    <w:rsid w:val="00334499"/>
    <w:rsid w:val="00347811"/>
    <w:rsid w:val="00347C4A"/>
    <w:rsid w:val="00352E5D"/>
    <w:rsid w:val="003E401B"/>
    <w:rsid w:val="003E7247"/>
    <w:rsid w:val="004804A7"/>
    <w:rsid w:val="004B31AF"/>
    <w:rsid w:val="004B524C"/>
    <w:rsid w:val="004C795D"/>
    <w:rsid w:val="004F2E4C"/>
    <w:rsid w:val="00530E59"/>
    <w:rsid w:val="00590E02"/>
    <w:rsid w:val="005B0B6E"/>
    <w:rsid w:val="0061333B"/>
    <w:rsid w:val="00621C23"/>
    <w:rsid w:val="0067327A"/>
    <w:rsid w:val="006817C9"/>
    <w:rsid w:val="006D41B3"/>
    <w:rsid w:val="006F03C4"/>
    <w:rsid w:val="00714F7C"/>
    <w:rsid w:val="00733635"/>
    <w:rsid w:val="007351F6"/>
    <w:rsid w:val="007547FB"/>
    <w:rsid w:val="00764D3E"/>
    <w:rsid w:val="007831CB"/>
    <w:rsid w:val="00787974"/>
    <w:rsid w:val="0079234B"/>
    <w:rsid w:val="007A567C"/>
    <w:rsid w:val="007B66AE"/>
    <w:rsid w:val="007D3E48"/>
    <w:rsid w:val="007E6B73"/>
    <w:rsid w:val="00805D32"/>
    <w:rsid w:val="00826851"/>
    <w:rsid w:val="00836AAA"/>
    <w:rsid w:val="00837C74"/>
    <w:rsid w:val="008505D1"/>
    <w:rsid w:val="00852D8D"/>
    <w:rsid w:val="0089333D"/>
    <w:rsid w:val="008D34A4"/>
    <w:rsid w:val="008D4296"/>
    <w:rsid w:val="008E49E9"/>
    <w:rsid w:val="008F4DB1"/>
    <w:rsid w:val="009675DA"/>
    <w:rsid w:val="00972E97"/>
    <w:rsid w:val="00994779"/>
    <w:rsid w:val="00A70A57"/>
    <w:rsid w:val="00A72B3D"/>
    <w:rsid w:val="00AB7C8B"/>
    <w:rsid w:val="00B71E6C"/>
    <w:rsid w:val="00B75CA3"/>
    <w:rsid w:val="00BC3222"/>
    <w:rsid w:val="00BE1B88"/>
    <w:rsid w:val="00C0161D"/>
    <w:rsid w:val="00C11ADE"/>
    <w:rsid w:val="00C368BA"/>
    <w:rsid w:val="00C42A4C"/>
    <w:rsid w:val="00C86330"/>
    <w:rsid w:val="00CB7368"/>
    <w:rsid w:val="00CF0631"/>
    <w:rsid w:val="00D04744"/>
    <w:rsid w:val="00D129A8"/>
    <w:rsid w:val="00D8564C"/>
    <w:rsid w:val="00DC165B"/>
    <w:rsid w:val="00DD6382"/>
    <w:rsid w:val="00DF023C"/>
    <w:rsid w:val="00E1307E"/>
    <w:rsid w:val="00E23A85"/>
    <w:rsid w:val="00E332B6"/>
    <w:rsid w:val="00E51B72"/>
    <w:rsid w:val="00E52B7E"/>
    <w:rsid w:val="00E567FD"/>
    <w:rsid w:val="00EB12FF"/>
    <w:rsid w:val="00ED4437"/>
    <w:rsid w:val="00EE5002"/>
    <w:rsid w:val="00F0679C"/>
    <w:rsid w:val="00F24E4B"/>
    <w:rsid w:val="00F472CF"/>
    <w:rsid w:val="00F63E79"/>
    <w:rsid w:val="00FE2B59"/>
    <w:rsid w:val="00FF7E35"/>
    <w:rsid w:val="59EE3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qFormat/>
    <w:uiPriority w:val="0"/>
    <w:pPr>
      <w:jc w:val="left"/>
    </w:pPr>
    <w:rPr>
      <w:rFonts w:ascii="Times New Roman" w:hAnsi="Times New Roman" w:eastAsia="宋体" w:cs="Times New Roman"/>
      <w:szCs w:val="24"/>
    </w:rPr>
  </w:style>
  <w:style w:type="paragraph" w:styleId="3">
    <w:name w:val="Body Text"/>
    <w:basedOn w:val="1"/>
    <w:link w:val="14"/>
    <w:qFormat/>
    <w:uiPriority w:val="99"/>
    <w:pPr>
      <w:jc w:val="center"/>
    </w:pPr>
    <w:rPr>
      <w:rFonts w:ascii="Times New Roman" w:hAnsi="Times New Roman" w:eastAsia="黑体" w:cs="Times New Roman"/>
      <w:sz w:val="32"/>
      <w:szCs w:val="32"/>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Hyperlink"/>
    <w:basedOn w:val="8"/>
    <w:unhideWhenUsed/>
    <w:qFormat/>
    <w:uiPriority w:val="99"/>
    <w:rPr>
      <w:color w:val="0000FF"/>
      <w:u w:val="single"/>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uiPriority w:val="99"/>
    <w:rPr>
      <w:sz w:val="18"/>
      <w:szCs w:val="18"/>
    </w:rPr>
  </w:style>
  <w:style w:type="character" w:customStyle="1" w:styleId="13">
    <w:name w:val="批注文字 Char"/>
    <w:basedOn w:val="8"/>
    <w:link w:val="2"/>
    <w:semiHidden/>
    <w:qFormat/>
    <w:uiPriority w:val="0"/>
    <w:rPr>
      <w:rFonts w:ascii="Times New Roman" w:hAnsi="Times New Roman" w:eastAsia="宋体" w:cs="Times New Roman"/>
      <w:szCs w:val="24"/>
    </w:rPr>
  </w:style>
  <w:style w:type="character" w:customStyle="1" w:styleId="14">
    <w:name w:val="正文文本 Char"/>
    <w:basedOn w:val="8"/>
    <w:link w:val="3"/>
    <w:qFormat/>
    <w:uiPriority w:val="99"/>
    <w:rPr>
      <w:rFonts w:ascii="Times New Roman" w:hAnsi="Times New Roman" w:eastAsia="黑体" w:cs="Times New Roman"/>
      <w:sz w:val="32"/>
      <w:szCs w:val="32"/>
    </w:rPr>
  </w:style>
  <w:style w:type="character" w:customStyle="1" w:styleId="15">
    <w:name w:val="公文正文"/>
    <w:qFormat/>
    <w:uiPriority w:val="0"/>
    <w:rPr>
      <w:rFonts w:ascii="仿宋_GB2312"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16</Pages>
  <Words>1099</Words>
  <Characters>6270</Characters>
  <Lines>52</Lines>
  <Paragraphs>14</Paragraphs>
  <TotalTime>112</TotalTime>
  <ScaleCrop>false</ScaleCrop>
  <LinksUpToDate>false</LinksUpToDate>
  <CharactersWithSpaces>7355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2023-06-26T07:33:00Z</dcterms:created>
  <dc:creator>Sky123.Org</dc:creator>
  <cp:lastModifiedBy>方</cp:lastModifiedBy>
  <cp:lastPrinted>2022-04-28T03:41:00Z</cp:lastPrinted>
  <dcterms:modified xsi:type="dcterms:W3CDTF">2023-10-08T09:34:10Z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913A8144BF1649289B90CEE76F4D96F7_13</vt:lpwstr>
  </property>
</Properties>
</file>