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960" w:hanging="960" w:hangingChars="30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附件5：项目支出绩效评价报告（范本）</w:t>
      </w:r>
    </w:p>
    <w:p>
      <w:pPr>
        <w:spacing w:before="120" w:after="120" w:line="480" w:lineRule="auto"/>
        <w:jc w:val="center"/>
        <w:rPr>
          <w:rFonts w:ascii="仿宋" w:hAnsi="仿宋" w:eastAsia="仿宋" w:cs="仿宋"/>
          <w:bCs/>
          <w:color w:val="000000" w:themeColor="text1"/>
          <w:sz w:val="32"/>
          <w:szCs w:val="32"/>
          <w14:textFill>
            <w14:solidFill>
              <w14:schemeClr w14:val="tx1"/>
            </w14:solidFill>
          </w14:textFill>
        </w:rPr>
      </w:pPr>
    </w:p>
    <w:p>
      <w:pPr>
        <w:jc w:val="center"/>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盘龙区年度国土变更调查及耕地资源质量分类成果更新与监测项目支出绩效自评报告</w:t>
      </w:r>
    </w:p>
    <w:p>
      <w:pPr>
        <w:jc w:val="center"/>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（2022年度）</w:t>
      </w:r>
    </w:p>
    <w:p>
      <w:pPr>
        <w:spacing w:before="120" w:after="120" w:line="480" w:lineRule="auto"/>
        <w:jc w:val="center"/>
        <w:rPr>
          <w:rFonts w:ascii="仿宋" w:hAnsi="仿宋" w:eastAsia="仿宋" w:cs="仿宋"/>
          <w:bCs/>
          <w:color w:val="000000" w:themeColor="text1"/>
          <w:sz w:val="32"/>
          <w:szCs w:val="32"/>
          <w14:textFill>
            <w14:solidFill>
              <w14:schemeClr w14:val="tx1"/>
            </w14:solidFill>
          </w14:textFill>
        </w:rPr>
      </w:pPr>
    </w:p>
    <w:p>
      <w:pPr>
        <w:spacing w:before="120" w:after="120" w:line="480" w:lineRule="auto"/>
        <w:jc w:val="center"/>
        <w:rPr>
          <w:rFonts w:ascii="仿宋" w:hAnsi="仿宋" w:eastAsia="仿宋" w:cs="仿宋"/>
          <w:bCs/>
          <w:color w:val="000000" w:themeColor="text1"/>
          <w:sz w:val="32"/>
          <w:szCs w:val="32"/>
          <w14:textFill>
            <w14:solidFill>
              <w14:schemeClr w14:val="tx1"/>
            </w14:solidFill>
          </w14:textFill>
        </w:rPr>
      </w:pPr>
    </w:p>
    <w:p>
      <w:pPr>
        <w:spacing w:before="120" w:after="120" w:line="480" w:lineRule="auto"/>
        <w:jc w:val="center"/>
        <w:rPr>
          <w:rFonts w:ascii="仿宋" w:hAnsi="仿宋" w:eastAsia="仿宋" w:cs="仿宋"/>
          <w:bCs/>
          <w:color w:val="000000" w:themeColor="text1"/>
          <w:sz w:val="32"/>
          <w:szCs w:val="32"/>
          <w14:textFill>
            <w14:solidFill>
              <w14:schemeClr w14:val="tx1"/>
            </w14:solidFill>
          </w14:textFill>
        </w:rPr>
      </w:pPr>
    </w:p>
    <w:p>
      <w:pPr>
        <w:spacing w:before="120" w:after="120" w:line="480" w:lineRule="auto"/>
        <w:jc w:val="center"/>
        <w:rPr>
          <w:rFonts w:ascii="仿宋" w:hAnsi="仿宋" w:eastAsia="仿宋" w:cs="仿宋"/>
          <w:bCs/>
          <w:color w:val="000000" w:themeColor="text1"/>
          <w:sz w:val="32"/>
          <w:szCs w:val="32"/>
          <w14:textFill>
            <w14:solidFill>
              <w14:schemeClr w14:val="tx1"/>
            </w14:solidFill>
          </w14:textFill>
        </w:rPr>
      </w:pPr>
    </w:p>
    <w:p>
      <w:pPr>
        <w:adjustRightInd w:val="0"/>
        <w:snapToGrid w:val="0"/>
        <w:spacing w:line="360" w:lineRule="auto"/>
        <w:ind w:left="1260" w:leftChars="600"/>
        <w:rPr>
          <w:rFonts w:ascii="仿宋" w:hAnsi="仿宋" w:eastAsia="仿宋" w:cs="仿宋"/>
          <w:bCs/>
          <w:color w:val="000000" w:themeColor="text1"/>
          <w:sz w:val="32"/>
          <w:szCs w:val="32"/>
          <w14:textFill>
            <w14:solidFill>
              <w14:schemeClr w14:val="tx1"/>
            </w14:solidFill>
          </w14:textFill>
        </w:rPr>
      </w:pPr>
      <w:r>
        <w:rPr>
          <w:rFonts w:ascii="仿宋" w:hAnsi="仿宋" w:eastAsia="仿宋" w:cs="仿宋"/>
          <w:bCs/>
          <w:color w:val="000000" w:themeColor="text1"/>
          <w:sz w:val="32"/>
          <w:szCs w:val="32"/>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6.75pt;margin-top:15.45pt;height:0pt;width:196.5pt;z-index:251660288;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v:fill on="f" focussize="0,0"/>
                <v:stroke color="#000000" joinstyle="round"/>
                <v:imagedata o:title=""/>
                <o:lock v:ext="edit" aspectratio="f"/>
              </v:shape>
            </w:pict>
          </mc:Fallback>
        </mc:AlternateContent>
      </w:r>
      <w:r>
        <w:rPr>
          <w:rFonts w:hint="eastAsia" w:ascii="仿宋" w:hAnsi="仿宋" w:eastAsia="仿宋" w:cs="仿宋"/>
          <w:bCs/>
          <w:color w:val="000000" w:themeColor="text1"/>
          <w:sz w:val="32"/>
          <w:szCs w:val="32"/>
          <w14:textFill>
            <w14:solidFill>
              <w14:schemeClr w14:val="tx1"/>
            </w14:solidFill>
          </w14:textFill>
        </w:rPr>
        <w:t>部门名称（公章）：</w:t>
      </w:r>
    </w:p>
    <w:p>
      <w:pPr>
        <w:adjustRightInd w:val="0"/>
        <w:snapToGrid w:val="0"/>
        <w:spacing w:line="360" w:lineRule="auto"/>
        <w:ind w:left="1260" w:leftChars="6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项目单位：</w:t>
      </w:r>
      <w:r>
        <w:rPr>
          <w:rFonts w:hint="eastAsia" w:ascii="仿宋" w:hAnsi="仿宋" w:eastAsia="仿宋" w:cs="仿宋"/>
          <w:bCs/>
          <w:color w:val="000000" w:themeColor="text1"/>
          <w:sz w:val="32"/>
          <w:szCs w:val="32"/>
          <w:u w:val="single"/>
          <w14:textFill>
            <w14:solidFill>
              <w14:schemeClr w14:val="tx1"/>
            </w14:solidFill>
          </w14:textFill>
        </w:rPr>
        <w:t xml:space="preserve">  昆明市盘龙区自然资源局     </w:t>
      </w:r>
    </w:p>
    <w:p>
      <w:pPr>
        <w:adjustRightInd w:val="0"/>
        <w:snapToGrid w:val="0"/>
        <w:spacing w:line="360" w:lineRule="auto"/>
        <w:ind w:left="1260" w:leftChars="600"/>
        <w:rPr>
          <w:rFonts w:ascii="仿宋" w:hAnsi="仿宋" w:eastAsia="仿宋" w:cs="仿宋"/>
          <w:bCs/>
          <w:color w:val="000000" w:themeColor="text1"/>
          <w:sz w:val="32"/>
          <w:szCs w:val="32"/>
          <w:u w:val="single"/>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主管部门：</w:t>
      </w:r>
      <w:r>
        <w:rPr>
          <w:rFonts w:hint="eastAsia" w:ascii="仿宋" w:hAnsi="仿宋" w:eastAsia="仿宋" w:cs="仿宋"/>
          <w:bCs/>
          <w:color w:val="000000" w:themeColor="text1"/>
          <w:sz w:val="32"/>
          <w:szCs w:val="32"/>
          <w:u w:val="single"/>
          <w14:textFill>
            <w14:solidFill>
              <w14:schemeClr w14:val="tx1"/>
            </w14:solidFill>
          </w14:textFill>
        </w:rPr>
        <w:t xml:space="preserve">   盘龙区人民政府         </w:t>
      </w:r>
    </w:p>
    <w:p>
      <w:pPr>
        <w:adjustRightInd w:val="0"/>
        <w:snapToGrid w:val="0"/>
        <w:spacing w:line="360" w:lineRule="auto"/>
        <w:ind w:left="1260" w:leftChars="600"/>
        <w:rPr>
          <w:rFonts w:ascii="仿宋" w:hAnsi="仿宋" w:eastAsia="仿宋" w:cs="仿宋"/>
          <w:bCs/>
          <w:color w:val="000000" w:themeColor="text1"/>
          <w:sz w:val="32"/>
          <w:szCs w:val="32"/>
          <w:u w:val="single"/>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项目名称：</w:t>
      </w:r>
      <w:r>
        <w:rPr>
          <w:rFonts w:hint="eastAsia" w:ascii="仿宋" w:hAnsi="仿宋" w:eastAsia="仿宋" w:cs="仿宋"/>
          <w:bCs/>
          <w:color w:val="000000" w:themeColor="text1"/>
          <w:sz w:val="32"/>
          <w:szCs w:val="32"/>
          <w:u w:val="single"/>
          <w14:textFill>
            <w14:solidFill>
              <w14:schemeClr w14:val="tx1"/>
            </w14:solidFill>
          </w14:textFill>
        </w:rPr>
        <w:t>盘龙区年度国土变更调查及耕地资源质</w:t>
      </w:r>
    </w:p>
    <w:p>
      <w:pPr>
        <w:adjustRightInd w:val="0"/>
        <w:snapToGrid w:val="0"/>
        <w:spacing w:line="360" w:lineRule="auto"/>
        <w:ind w:left="1260" w:leftChars="6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u w:val="single"/>
          <w14:textFill>
            <w14:solidFill>
              <w14:schemeClr w14:val="tx1"/>
            </w14:solidFill>
          </w14:textFill>
        </w:rPr>
        <w:t>量分类成果更新与监测</w:t>
      </w:r>
    </w:p>
    <w:p>
      <w:pPr>
        <w:adjustRightInd w:val="0"/>
        <w:snapToGrid w:val="0"/>
        <w:spacing w:line="360" w:lineRule="auto"/>
        <w:ind w:left="1260" w:leftChars="6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绩效自评日期：</w:t>
      </w:r>
    </w:p>
    <w:p>
      <w:pPr>
        <w:spacing w:line="360" w:lineRule="auto"/>
        <w:ind w:left="1218" w:leftChars="580"/>
        <w:rPr>
          <w:rFonts w:ascii="仿宋" w:hAnsi="仿宋" w:eastAsia="仿宋" w:cs="仿宋"/>
          <w:bCs/>
          <w:color w:val="000000" w:themeColor="text1"/>
          <w:sz w:val="32"/>
          <w:szCs w:val="32"/>
          <w14:textFill>
            <w14:solidFill>
              <w14:schemeClr w14:val="tx1"/>
            </w14:solidFill>
          </w14:textFill>
        </w:rPr>
      </w:pPr>
    </w:p>
    <w:p>
      <w:pPr>
        <w:jc w:val="center"/>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2023年4月</w:t>
      </w:r>
    </w:p>
    <w:p>
      <w:pPr>
        <w:jc w:val="center"/>
        <w:rPr>
          <w:rFonts w:ascii="仿宋" w:hAnsi="仿宋" w:eastAsia="仿宋" w:cs="仿宋"/>
          <w:bCs/>
          <w:color w:val="000000" w:themeColor="text1"/>
          <w:sz w:val="32"/>
          <w:szCs w:val="32"/>
          <w14:textFill>
            <w14:solidFill>
              <w14:schemeClr w14:val="tx1"/>
            </w14:solidFill>
          </w14:textFill>
        </w:rPr>
      </w:pPr>
    </w:p>
    <w:p>
      <w:pPr>
        <w:jc w:val="center"/>
        <w:rPr>
          <w:rFonts w:ascii="仿宋" w:hAnsi="仿宋" w:eastAsia="仿宋" w:cs="仿宋"/>
          <w:bCs/>
          <w:color w:val="000000" w:themeColor="text1"/>
          <w:sz w:val="32"/>
          <w:szCs w:val="32"/>
          <w14:textFill>
            <w14:solidFill>
              <w14:schemeClr w14:val="tx1"/>
            </w14:solidFill>
          </w14:textFill>
        </w:rPr>
      </w:pPr>
    </w:p>
    <w:p>
      <w:pPr>
        <w:jc w:val="center"/>
        <w:rPr>
          <w:rFonts w:ascii="仿宋" w:hAnsi="仿宋" w:eastAsia="仿宋" w:cs="仿宋"/>
          <w:bCs/>
          <w:color w:val="000000" w:themeColor="text1"/>
          <w:sz w:val="32"/>
          <w:szCs w:val="32"/>
          <w14:textFill>
            <w14:solidFill>
              <w14:schemeClr w14:val="tx1"/>
            </w14:solidFill>
          </w14:textFill>
        </w:rPr>
      </w:pPr>
    </w:p>
    <w:p>
      <w:pPr>
        <w:widowControl/>
        <w:jc w:val="left"/>
        <w:rPr>
          <w:rFonts w:ascii="仿宋" w:hAnsi="仿宋" w:eastAsia="仿宋" w:cs="仿宋"/>
          <w:bCs/>
          <w:color w:val="000000" w:themeColor="text1"/>
          <w:sz w:val="32"/>
          <w:szCs w:val="32"/>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420" w:leftChars="200"/>
        <w:jc w:val="both"/>
        <w:rPr>
          <w:rFonts w:ascii="仿宋" w:hAnsi="仿宋" w:eastAsia="仿宋" w:cs="仿宋"/>
          <w:color w:val="000000" w:themeColor="text1"/>
          <w:kern w:val="2"/>
          <w:sz w:val="32"/>
          <w:szCs w:val="32"/>
          <w:lang w:val="zh-TW" w:eastAsia="zh-TW"/>
          <w14:textFill>
            <w14:solidFill>
              <w14:schemeClr w14:val="tx1"/>
            </w14:solidFill>
          </w14:textFill>
        </w:rPr>
      </w:pPr>
      <w:r>
        <w:rPr>
          <w:rFonts w:hint="eastAsia" w:ascii="仿宋" w:hAnsi="仿宋" w:eastAsia="仿宋" w:cs="仿宋"/>
          <w:color w:val="000000" w:themeColor="text1"/>
          <w:kern w:val="2"/>
          <w:sz w:val="32"/>
          <w:szCs w:val="32"/>
          <w:lang w:val="zh-TW" w:eastAsia="zh-TW"/>
          <w14:textFill>
            <w14:solidFill>
              <w14:schemeClr w14:val="tx1"/>
            </w14:solidFill>
          </w14:textFill>
        </w:rPr>
        <w:t>评价小组成员：</w:t>
      </w:r>
    </w:p>
    <w:tbl>
      <w:tblPr>
        <w:tblStyle w:val="6"/>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评价小组</w:t>
            </w:r>
          </w:p>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机构职位</w:t>
            </w:r>
          </w:p>
        </w:tc>
        <w:tc>
          <w:tcPr>
            <w:tcW w:w="1620" w:type="dxa"/>
            <w:vAlign w:val="center"/>
          </w:tcPr>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姓名</w:t>
            </w:r>
          </w:p>
        </w:tc>
        <w:tc>
          <w:tcPr>
            <w:tcW w:w="1620" w:type="dxa"/>
            <w:vAlign w:val="center"/>
          </w:tcPr>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职务/职称</w:t>
            </w:r>
          </w:p>
        </w:tc>
        <w:tc>
          <w:tcPr>
            <w:tcW w:w="1621" w:type="dxa"/>
            <w:vAlign w:val="center"/>
          </w:tcPr>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所属</w:t>
            </w:r>
          </w:p>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单位/处室</w:t>
            </w:r>
          </w:p>
        </w:tc>
        <w:tc>
          <w:tcPr>
            <w:tcW w:w="1621" w:type="dxa"/>
            <w:vAlign w:val="center"/>
          </w:tcPr>
          <w:p>
            <w:pPr>
              <w:pStyle w:val="10"/>
              <w:widowControl w:val="0"/>
              <w:spacing w:after="0" w:line="240" w:lineRule="auto"/>
              <w:jc w:val="center"/>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组长</w:t>
            </w:r>
          </w:p>
        </w:tc>
        <w:tc>
          <w:tcPr>
            <w:tcW w:w="1620" w:type="dxa"/>
            <w:vAlign w:val="center"/>
          </w:tcPr>
          <w:p>
            <w:pPr>
              <w:pStyle w:val="10"/>
              <w:widowControl w:val="0"/>
              <w:spacing w:after="0" w:line="24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余春</w:t>
            </w:r>
          </w:p>
        </w:tc>
        <w:tc>
          <w:tcPr>
            <w:tcW w:w="1620" w:type="dxa"/>
            <w:vAlign w:val="center"/>
          </w:tcPr>
          <w:p>
            <w:pPr>
              <w:pStyle w:val="10"/>
              <w:widowControl w:val="0"/>
              <w:spacing w:after="0" w:line="24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局长</w:t>
            </w:r>
          </w:p>
        </w:tc>
        <w:tc>
          <w:tcPr>
            <w:tcW w:w="1621" w:type="dxa"/>
            <w:vAlign w:val="center"/>
          </w:tcPr>
          <w:p>
            <w:pPr>
              <w:pStyle w:val="10"/>
              <w:widowControl w:val="0"/>
              <w:spacing w:after="0" w:line="24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c>
          <w:tcPr>
            <w:tcW w:w="1621" w:type="dxa"/>
            <w:vAlign w:val="center"/>
          </w:tcPr>
          <w:p>
            <w:pPr>
              <w:pStyle w:val="10"/>
              <w:widowControl w:val="0"/>
              <w:spacing w:after="0" w:line="24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副组长</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张云</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副局长</w:t>
            </w: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副组长</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鲍烽</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副局长</w:t>
            </w: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hint="eastAsia"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副组长</w:t>
            </w:r>
          </w:p>
        </w:tc>
        <w:tc>
          <w:tcPr>
            <w:tcW w:w="1620" w:type="dxa"/>
            <w:vAlign w:val="center"/>
          </w:tcPr>
          <w:p>
            <w:pPr>
              <w:pStyle w:val="10"/>
              <w:widowControl w:val="0"/>
              <w:spacing w:after="0" w:line="360" w:lineRule="auto"/>
              <w:jc w:val="center"/>
              <w:rPr>
                <w:rFonts w:hint="eastAsia" w:ascii="仿宋" w:hAnsi="仿宋" w:eastAsia="仿宋" w:cs="仿宋"/>
                <w:color w:val="000000" w:themeColor="text1"/>
                <w:kern w:val="2"/>
                <w:sz w:val="28"/>
                <w:szCs w:val="28"/>
                <w:lang w:val="en-US" w:eastAsia="zh-CN"/>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刘彩</w:t>
            </w:r>
          </w:p>
        </w:tc>
        <w:tc>
          <w:tcPr>
            <w:tcW w:w="1620" w:type="dxa"/>
            <w:vAlign w:val="center"/>
          </w:tcPr>
          <w:p>
            <w:pPr>
              <w:pStyle w:val="10"/>
              <w:widowControl w:val="0"/>
              <w:spacing w:after="0" w:line="360" w:lineRule="auto"/>
              <w:jc w:val="center"/>
              <w:rPr>
                <w:rFonts w:hint="eastAsia"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副局长</w:t>
            </w: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成员</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饶懿</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科长</w:t>
            </w: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行政审批科</w:t>
            </w: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成员</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郁丽佳</w:t>
            </w:r>
          </w:p>
        </w:tc>
        <w:tc>
          <w:tcPr>
            <w:tcW w:w="1620"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14:textFill>
                  <w14:solidFill>
                    <w14:schemeClr w14:val="tx1"/>
                  </w14:solidFill>
                </w14:textFill>
              </w:rPr>
            </w:pPr>
            <w:r>
              <w:rPr>
                <w:rFonts w:hint="eastAsia" w:ascii="仿宋" w:hAnsi="仿宋" w:eastAsia="仿宋" w:cs="仿宋"/>
                <w:color w:val="000000" w:themeColor="text1"/>
                <w:kern w:val="2"/>
                <w:sz w:val="28"/>
                <w:szCs w:val="28"/>
                <w:lang w:val="zh-TW"/>
                <w14:textFill>
                  <w14:solidFill>
                    <w14:schemeClr w14:val="tx1"/>
                  </w14:solidFill>
                </w14:textFill>
              </w:rPr>
              <w:t>科长</w:t>
            </w:r>
          </w:p>
        </w:tc>
        <w:tc>
          <w:tcPr>
            <w:tcW w:w="1621" w:type="dxa"/>
            <w:vAlign w:val="center"/>
          </w:tcPr>
          <w:p>
            <w:pPr>
              <w:pStyle w:val="10"/>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仿宋" w:hAnsi="仿宋" w:eastAsia="仿宋" w:cs="仿宋"/>
                <w:color w:val="000000" w:themeColor="text1"/>
                <w:kern w:val="2"/>
                <w:sz w:val="28"/>
                <w:szCs w:val="28"/>
                <w:lang w:val="zh-TW" w:eastAsia="zh-TW"/>
                <w14:textFill>
                  <w14:solidFill>
                    <w14:schemeClr w14:val="tx1"/>
                  </w14:solidFill>
                </w14:textFill>
              </w:rPr>
            </w:pPr>
            <w:r>
              <w:rPr>
                <w:rFonts w:hint="eastAsia" w:ascii="仿宋" w:hAnsi="仿宋" w:eastAsia="仿宋" w:cs="仿宋"/>
                <w:color w:val="000000" w:themeColor="text1"/>
                <w:kern w:val="2"/>
                <w:sz w:val="28"/>
                <w:szCs w:val="28"/>
                <w:lang w:val="zh-TW" w:eastAsia="zh-TW"/>
                <w14:textFill>
                  <w14:solidFill>
                    <w14:schemeClr w14:val="tx1"/>
                  </w14:solidFill>
                </w14:textFill>
              </w:rPr>
              <w:t>自然资源调查监测与登记科</w:t>
            </w:r>
          </w:p>
        </w:tc>
        <w:tc>
          <w:tcPr>
            <w:tcW w:w="1621" w:type="dxa"/>
            <w:vAlign w:val="center"/>
          </w:tcPr>
          <w:p>
            <w:pPr>
              <w:pStyle w:val="10"/>
              <w:widowControl w:val="0"/>
              <w:spacing w:after="0" w:line="360" w:lineRule="auto"/>
              <w:jc w:val="center"/>
              <w:rPr>
                <w:rFonts w:ascii="仿宋" w:hAnsi="仿宋" w:eastAsia="仿宋" w:cs="仿宋"/>
                <w:color w:val="000000" w:themeColor="text1"/>
                <w:kern w:val="2"/>
                <w:sz w:val="28"/>
                <w:szCs w:val="28"/>
                <w:lang w:val="zh-TW" w:eastAsia="zh-TW"/>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报告撰写人（签字）：</w:t>
            </w:r>
          </w:p>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pPr>
          </w:p>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pPr>
          </w:p>
          <w:p>
            <w:pPr>
              <w:pStyle w:val="10"/>
              <w:widowControl w:val="0"/>
              <w:wordWrap w:val="0"/>
              <w:spacing w:after="0" w:line="360" w:lineRule="auto"/>
              <w:jc w:val="right"/>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评价工作负责人（签字）：</w:t>
            </w:r>
          </w:p>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pPr>
          </w:p>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pPr>
          </w:p>
          <w:p>
            <w:pPr>
              <w:pStyle w:val="10"/>
              <w:widowControl w:val="0"/>
              <w:wordWrap w:val="0"/>
              <w:spacing w:after="0" w:line="360" w:lineRule="auto"/>
              <w:jc w:val="right"/>
              <w:rPr>
                <w:rFonts w:ascii="仿宋" w:hAnsi="仿宋" w:eastAsia="仿宋" w:cs="仿宋"/>
                <w:color w:val="000000" w:themeColor="text1"/>
                <w:kern w:val="2"/>
                <w:sz w:val="32"/>
                <w:szCs w:val="32"/>
                <w:lang w:val="zh-TW"/>
                <w14:textFill>
                  <w14:solidFill>
                    <w14:schemeClr w14:val="tx1"/>
                  </w14:solidFill>
                </w14:textFill>
              </w:rPr>
            </w:pPr>
            <w:r>
              <w:rPr>
                <w:rFonts w:hint="eastAsia" w:ascii="仿宋" w:hAnsi="仿宋" w:eastAsia="仿宋" w:cs="仿宋"/>
                <w:color w:val="000000" w:themeColor="text1"/>
                <w:kern w:val="2"/>
                <w:sz w:val="32"/>
                <w:szCs w:val="32"/>
                <w:lang w:val="zh-TW"/>
                <w14:textFill>
                  <w14:solidFill>
                    <w14:schemeClr w14:val="tx1"/>
                  </w14:solidFill>
                </w14:textFill>
              </w:rPr>
              <w:t>年  月  日</w:t>
            </w:r>
          </w:p>
        </w:tc>
      </w:tr>
    </w:tbl>
    <w:p>
      <w:pPr>
        <w:pStyle w:val="10"/>
        <w:widowControl w:val="0"/>
        <w:spacing w:after="0" w:line="360" w:lineRule="auto"/>
        <w:jc w:val="both"/>
        <w:rPr>
          <w:rFonts w:ascii="仿宋" w:hAnsi="仿宋" w:eastAsia="仿宋" w:cs="仿宋"/>
          <w:color w:val="000000" w:themeColor="text1"/>
          <w:kern w:val="2"/>
          <w:sz w:val="32"/>
          <w:szCs w:val="32"/>
          <w:lang w:val="zh-TW"/>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spacing w:line="540" w:lineRule="exact"/>
        <w:rPr>
          <w:rFonts w:ascii="仿宋" w:hAnsi="仿宋" w:eastAsia="仿宋" w:cs="仿宋"/>
          <w:color w:val="000000" w:themeColor="text1"/>
          <w:sz w:val="32"/>
          <w:szCs w:val="32"/>
          <w14:textFill>
            <w14:solidFill>
              <w14:schemeClr w14:val="tx1"/>
            </w14:solidFill>
          </w14:textFill>
        </w:rPr>
      </w:pPr>
    </w:p>
    <w:p>
      <w:pPr>
        <w:spacing w:line="576"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盘龙区年度国土变更调查及耕地资源质量分类成果更新与监测项目</w:t>
      </w:r>
    </w:p>
    <w:p>
      <w:pPr>
        <w:spacing w:line="576"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支出绩效自评报告</w:t>
      </w:r>
    </w:p>
    <w:p>
      <w:pPr>
        <w:spacing w:line="600" w:lineRule="exact"/>
        <w:jc w:val="center"/>
        <w:rPr>
          <w:rFonts w:ascii="仿宋" w:hAnsi="仿宋" w:eastAsia="仿宋" w:cs="仿宋"/>
          <w:color w:val="000000" w:themeColor="text1"/>
          <w:sz w:val="32"/>
          <w:szCs w:val="32"/>
          <w14:textFill>
            <w14:solidFill>
              <w14:schemeClr w14:val="tx1"/>
            </w14:solidFill>
          </w14:textFill>
        </w:rPr>
      </w:pPr>
    </w:p>
    <w:p>
      <w:pPr>
        <w:spacing w:line="600" w:lineRule="exact"/>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摘 要</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一、项目概况：</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依据云南省自然资源厅《关于开展2021年度国土变更调查工作的通知》（云自然资调查〔2021〕853号）、《云南省自然资源常规监测工作方案（试行）》、《云南省自然资源厅关于开展2021年度耕地资源质量分类成果更新与监测工作的通知》（云自然资耕〔2022〕338号）的要求开展盘龙区年度国土变更调查及耕地资源质量分类成果更新与监测工作。 </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（一）年度国土变更调查</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云南省自然资源常规监测工作方案（试行）》明确“按照自然资源部确定的地理国情监测和年度国土变更调查的要求，在每年6月30日和12月31日两次时点的定期监测基础上，进一步丰富我省自然资源常规监测内容，细化监测指标，增加监测频次，扩大监测范围，及时掌握自然资源地表覆盖和国土利用现状变化，建立持续、动态、相互衔接的监测工作机制，实现地理国情监测和年度国土变更调查的深度有机融合，为自然资源管理决策提供基础数据和支撑服务。常规监测主要按照“季度监测+年度更新”的方式开展。”县级自然资源主管部门负责落实本级自然资源常规监测专项经费和专业技术支撑队伍，在下发的变化监测图斑基础上进行补充提取，运用“互联网+”外业实地核实技术方法与手段，对变化监测图斑进行现场调查举证，对问题图斑及时研究处置。建立常规监测管理台账，逐步建设县级自然资源常规监测数据库，加强监测成果应用。实际工作中新增或未明确的职责任务，由省厅结合实际工作情况和各单位职责统筹协调。</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（二）耕地资源质量分类成果更新与监测</w:t>
      </w:r>
    </w:p>
    <w:p>
      <w:pPr>
        <w:spacing w:line="576"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以盘龙区“三调”耕地资源质量分类成果，以及盘龙区 2020、2021 年度和2022 年度国土变更调查成果为基础，结合 2020、2021 年度和2022年度所有土地整治、高标准农田建设等项目竣工验收资料，开展盘龙区 2020年度耕地资源质量分类年度更新与2021 、2022 年度耕地资源质量分类年度更新与监测工作，布设样点实地采样送至具有检测资质的检验机构化验后获取，并按照技术要求，将调查信息填至“国土调查云”平台的耕地资源质量分类模块。形成耕地资源质量分类年度更新外业调查成果。</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根据上级下发的耕地流出图斑，结合年度变更调查情况，进行耕地的“转进”“转出”情况分析，撰写“进出平衡”方案，提交矢量数据。</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依据《云南省人民政府办公厅关于印发云南省自然资源领域财政事权和支出责任划分改革实施方案的通知》（云政办发〔2021〕10号），自然资源监测工作经费由各级财政分别保障，省厅承担的监测任务经费由省级财政保障，州（市）、县级承担的监测任务经费由州（市）、县级财政保障。经费预算590000元（大写：伍拾玖万元整）。</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二、评价结论</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在局党组、局领导班子、全体工作人员和技术作业单位的共同努力下，优质、高效的完成盘龙区年度国土变更调查及耕地资源质量分类成果更新与监测工作的各项绩效指标，全面调查了盘龙区2022年度国土变更图斑1999个，形成2022年度变更调查数据库成果并上报。根据202</w:t>
      </w:r>
      <w:r>
        <w:rPr>
          <w:rFonts w:hint="eastAsia" w:ascii="Times New Roman" w:hAnsi="Times New Roman" w:eastAsia="仿宋_GB2312"/>
          <w:sz w:val="32"/>
          <w:szCs w:val="32"/>
          <w:lang w:val="en-US" w:eastAsia="zh-CN"/>
        </w:rPr>
        <w:t>0、2021</w:t>
      </w:r>
      <w:r>
        <w:rPr>
          <w:rFonts w:hint="eastAsia" w:ascii="Times New Roman" w:hAnsi="Times New Roman" w:eastAsia="仿宋_GB2312"/>
          <w:sz w:val="32"/>
          <w:szCs w:val="32"/>
        </w:rPr>
        <w:t>年度变更调查数据同步开展了盘龙区耕地资源质量分类成果更新与监测工作，布设监测样点68个，相关数据成果及文字材料已通过省、市自然资源部门验收，并上报自然资源部</w:t>
      </w:r>
      <w:r>
        <w:rPr>
          <w:rFonts w:hint="eastAsia" w:ascii="Times New Roman" w:hAnsi="Times New Roman" w:eastAsia="仿宋_GB2312"/>
          <w:sz w:val="32"/>
          <w:szCs w:val="32"/>
          <w:lang w:eastAsia="zh-CN"/>
        </w:rPr>
        <w:t>备案</w:t>
      </w:r>
      <w:r>
        <w:rPr>
          <w:rFonts w:hint="eastAsia" w:ascii="Times New Roman" w:hAnsi="Times New Roman" w:eastAsia="仿宋_GB2312"/>
          <w:sz w:val="32"/>
          <w:szCs w:val="32"/>
        </w:rPr>
        <w:t>。工作完成后，为盘龙区今后划定后备耕地资源提供可靠信息及完善数据。</w:t>
      </w: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pPr>
        <w:spacing w:line="440" w:lineRule="exact"/>
        <w:jc w:val="left"/>
        <w:rPr>
          <w:rFonts w:ascii="仿宋" w:hAnsi="仿宋" w:eastAsia="仿宋" w:cs="仿宋"/>
          <w:color w:val="000000" w:themeColor="text1"/>
          <w:sz w:val="32"/>
          <w:szCs w:val="32"/>
          <w14:textFill>
            <w14:solidFill>
              <w14:schemeClr w14:val="tx1"/>
            </w14:solidFill>
          </w14:textFill>
        </w:rPr>
      </w:pPr>
      <w:bookmarkStart w:id="0" w:name="_GoBack"/>
      <w:bookmarkEnd w:id="0"/>
    </w:p>
    <w:p>
      <w:pPr>
        <w:spacing w:line="440" w:lineRule="exact"/>
        <w:rPr>
          <w:rFonts w:ascii="仿宋" w:hAnsi="仿宋" w:eastAsia="仿宋" w:cs="仿宋"/>
          <w:color w:val="000000" w:themeColor="text1"/>
          <w:sz w:val="32"/>
          <w:szCs w:val="32"/>
          <w14:textFill>
            <w14:solidFill>
              <w14:schemeClr w14:val="tx1"/>
            </w14:solidFill>
          </w14:textFill>
        </w:rPr>
      </w:pPr>
    </w:p>
    <w:p>
      <w:pPr>
        <w:spacing w:line="576"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正文：盘龙区年度国土变更调查及耕地资源质量分类成果更新与监测项目支出绩效自评报告</w:t>
      </w:r>
    </w:p>
    <w:p>
      <w:pPr>
        <w:topLinePunct/>
        <w:spacing w:line="440" w:lineRule="exact"/>
        <w:ind w:firstLine="800" w:firstLineChars="250"/>
        <w:rPr>
          <w:rFonts w:ascii="仿宋" w:hAnsi="仿宋" w:eastAsia="仿宋" w:cs="仿宋"/>
          <w:color w:val="000000" w:themeColor="text1"/>
          <w:sz w:val="32"/>
          <w:szCs w:val="32"/>
          <w14:textFill>
            <w14:solidFill>
              <w14:schemeClr w14:val="tx1"/>
            </w14:solidFill>
          </w14:textFill>
        </w:rPr>
      </w:pP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（一）项目概况</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依据《中华人民共和国土地管理法》《土地调查条例》《土地 调查条例实施办法》和《第三次全国国土调查技术规程》（TD/T 1055-2019）（以下简称《技术规程》），按照《自然资源部办公厅关于开展2022年度全国国土变更调查工作的通知》（自然资办发〔2022〕49号）要求，为做好云南省2022 年度全国国土变更调查工作。在2021年度变更调查成果基础上，开展遥感监测，通过县级实地调查举证，州（市）、省、国家检查核查，掌握云南省2022年度国土利用的变化情况，更新国土调查数据库，并做好2020年度耕地资源质量分类年度更新及2021、 2022 年耕地资源质量分类年度更新与监测工作。同时，为减轻年底集中变更举证的工作压力，切实保障全省国土调查成果的现势性和 准确性，进一步加强日常变更调查工作，在2023年持续开展云南省自然资源常规监测（以下简称“常规监测”）工作。 </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1.立项背景及目的</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依据《中华人民共和国土地管理法》《土地调查条例》《土地 调查条例实施办法》和《第三次全国国土调查技术规程》（TD/T 1055-2019）（以下简称《技术规程》），按照《自然资源部办公厅关于开展2022 年度全国国土变更调查工作的通知》（自然资办发〔2022〕49号）要求，为做好云南省2022 年度全国国土变更调查工作。</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2.项目实施情况</w:t>
      </w:r>
    </w:p>
    <w:p>
      <w:pPr>
        <w:spacing w:line="576" w:lineRule="exact"/>
        <w:ind w:firstLine="640" w:firstLineChars="200"/>
        <w:rPr>
          <w:rFonts w:ascii="Times New Roman" w:hAnsi="Times New Roman" w:eastAsia="仿宋_GB2312"/>
          <w:color w:val="FF0000"/>
          <w:sz w:val="32"/>
          <w:szCs w:val="32"/>
        </w:rPr>
      </w:pPr>
      <w:r>
        <w:rPr>
          <w:rFonts w:hint="eastAsia" w:ascii="Times New Roman" w:hAnsi="Times New Roman" w:eastAsia="仿宋_GB2312"/>
          <w:sz w:val="32"/>
          <w:szCs w:val="32"/>
        </w:rPr>
        <w:t>根据云南省自然资源厅《关于开展2022年度国土变更调查工作的通知》云自然资调查（2022）708号文件要求，县级自然资源主管部门主要职责负责完成国家和省下发图斑中涉及新增艰涩和用地变化图斑的调查举证；根据实际变化情况不错提取变化图斑（主要涉及增减挂钩、新增，新增耕地、生态修复三类）并完成变化图斑的举证；对县级增量数据进行核实确认，提交州（市）级检查，盘龙区年度国土变更调查及耕地资源质量分类成果更新与监测工作于2022年4月开始，承担调查工作的技术单位为昆明市土地开发整理中心，外业调查、内业整理及数据库建设工作已经完成，</w:t>
      </w:r>
      <w:r>
        <w:rPr>
          <w:rFonts w:hint="eastAsia" w:ascii="Times New Roman" w:hAnsi="Times New Roman" w:eastAsia="仿宋_GB2312"/>
          <w:sz w:val="32"/>
          <w:szCs w:val="32"/>
          <w:lang w:val="en-US" w:eastAsia="zh-CN"/>
        </w:rPr>
        <w:t>2020年、2021年</w:t>
      </w:r>
      <w:r>
        <w:rPr>
          <w:rFonts w:hint="eastAsia" w:ascii="Times New Roman" w:hAnsi="Times New Roman" w:eastAsia="仿宋_GB2312"/>
          <w:sz w:val="32"/>
          <w:szCs w:val="32"/>
        </w:rPr>
        <w:t>成果已提交省、市级验收并上报自然资源部</w:t>
      </w:r>
      <w:r>
        <w:rPr>
          <w:rFonts w:hint="eastAsia" w:ascii="Times New Roman" w:hAnsi="Times New Roman" w:eastAsia="仿宋_GB2312"/>
          <w:sz w:val="32"/>
          <w:szCs w:val="32"/>
          <w:lang w:eastAsia="zh-CN"/>
        </w:rPr>
        <w:t>备案</w:t>
      </w:r>
      <w:r>
        <w:rPr>
          <w:rFonts w:hint="eastAsia" w:ascii="Times New Roman" w:hAnsi="Times New Roman" w:eastAsia="仿宋_GB2312"/>
          <w:sz w:val="32"/>
          <w:szCs w:val="32"/>
        </w:rPr>
        <w:t>。</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3.资金来源及使用情况</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依据《云南省人民政府办公厅关于印发云南省自然资源领域财政事权和支出责任划分改革实施方案的通知》（云政办发〔2021〕10号），自然资源监测工作经费由各级财政分别保障，省厅承担的监测任务经费由省级财政保障，州（市）、县级承担的监测任务经费由州（市）、县级财政保障。我区  项目的经费由区财政保障，本年度区财政保障资金590000元（大写：伍拾玖万元整），资金以全部到位，我局按合同签订的付款方式已支付给技术单位。</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4.组织及管理情况</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包括项目组织情况、项目实施流程、资金拨付流程。</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项目管理情况：盘龙区年度国土变更调查及耕地资源质量分类成果更新与监测工作由自然资源调查监测和登记科、行政审批科、矿产与地质管理科、执法大队、各自然资源管理所抽调人员组成，协调、解决工作过程中出现的重大问题，监督工作计划的执行，并制定《工作实施方案》。</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项目实施流程：由昆明市土地开发整理中心负责调查、数据采集核对、数据库建立，上报市级核查调查信息，通过验收后下发调查数据投入日常自然资源调查工作。</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资金拨付流程：本年度区财政保障资金590000元（大写：伍拾玖万元整），资金以全部到位，我局按合同签订的付款方式，结合实际工作量，已按照财务管理制度审批后拨付技术单位。</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（二）绩效目标</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1.总目标</w:t>
      </w:r>
    </w:p>
    <w:p>
      <w:pPr>
        <w:rPr>
          <w:rFonts w:ascii="Times New Roman" w:hAnsi="Times New Roman" w:eastAsia="仿宋_GB2312"/>
          <w:color w:val="FF0000"/>
          <w:sz w:val="32"/>
          <w:szCs w:val="32"/>
        </w:rPr>
      </w:pPr>
      <w:r>
        <w:rPr>
          <w:rFonts w:hint="eastAsia" w:ascii="Times New Roman" w:hAnsi="Times New Roman" w:eastAsia="仿宋_GB2312"/>
          <w:sz w:val="32"/>
          <w:szCs w:val="32"/>
        </w:rPr>
        <w:t>根据云南省自然资源厅《关于开展2022年度国土变更调查工作的通知》云自然资调查（2022）708号文件要求，县级自然资源主管部门主要职责负责完成国家和省下发图斑中涉及新增艰涩和用地变化图斑的调查举证；根据实际变化情况不错提取变化图斑（主要涉及增减挂钩、新增，新增耕地、生态修复三类）并完成变化图斑的举证；对县级增量数据进行核实确认，提交州（市）级检查，最终达到国家审核要求。通过开展耕地资源质量分类年度更新与监测工作，全面掌握年度内耕地现状变化及耕地质量建设引起的耕地质量变化情况，保持耕地质量分类数据的现势性，为落实耕地数量、质量、生态“三位一体”保护提供支撑。</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2.年度目标</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严格按照国家和省工作要求</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2022年盘龙区</w:t>
      </w:r>
      <w:r>
        <w:rPr>
          <w:rFonts w:hint="eastAsia" w:ascii="Times New Roman" w:hAnsi="Times New Roman" w:eastAsia="仿宋_GB2312"/>
          <w:sz w:val="32"/>
          <w:szCs w:val="32"/>
          <w:lang w:val="en-US" w:eastAsia="zh-CN"/>
        </w:rPr>
        <w:t>常规</w:t>
      </w:r>
      <w:r>
        <w:rPr>
          <w:rFonts w:hint="eastAsia" w:ascii="Times New Roman" w:hAnsi="Times New Roman" w:eastAsia="仿宋_GB2312"/>
          <w:sz w:val="32"/>
          <w:szCs w:val="32"/>
        </w:rPr>
        <w:t>监测一季度完成图斑实地调查672个；二季度完成图斑实地调查112个；三季度完成图斑实地调查242个；四季度完成图斑实地调查83个；国家年度变更调查图斑完成890个，年度总共完成1999</w:t>
      </w:r>
      <w:r>
        <w:rPr>
          <w:rFonts w:hint="eastAsia" w:ascii="Times New Roman" w:hAnsi="Times New Roman" w:eastAsia="仿宋_GB2312"/>
          <w:sz w:val="32"/>
          <w:szCs w:val="32"/>
          <w:lang w:val="en-US" w:eastAsia="zh-CN"/>
        </w:rPr>
        <w:t>个</w:t>
      </w:r>
      <w:r>
        <w:rPr>
          <w:rFonts w:hint="eastAsia" w:ascii="Times New Roman" w:hAnsi="Times New Roman" w:eastAsia="仿宋_GB2312"/>
          <w:sz w:val="32"/>
          <w:szCs w:val="32"/>
        </w:rPr>
        <w:t>图斑调查，圆满完成2022年度“季度监测+年度更新”调查工作。</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以“三调”耕地资源质量分类成果和2020年度、2021年度国土变更调查成果为基础，结合2020、2021、2022年度内所有土地整治、高标准农田建设等项目竣工验收资料，开展2020、2021年度耕地资源质量分类年度更新工作，全面掌握2020、2021、2022年度内耕地质量变化情况。并按照耕地资源质量分类年度更新与监测的技术要求，以省级确定的2021年度监测县为单位，开展年度68个样点监测，实地调查耕地资源质量分类监测指标属性信息，将调查信息上传至“国土调查云”平台的耕地资源质量分类模块。依据部下发的年度耕地图层，填写监测样点耕地资源质量分类监测指标属性信息，形成耕地资源质量分类监测数据图层并上报。</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二、绩效评价工作情况</w:t>
      </w:r>
    </w:p>
    <w:p>
      <w:pPr>
        <w:spacing w:line="576" w:lineRule="exact"/>
        <w:ind w:firstLine="640" w:firstLineChars="200"/>
        <w:rPr>
          <w:rFonts w:ascii="Times New Roman" w:hAnsi="Times New Roman" w:eastAsia="仿宋_GB2312"/>
          <w:sz w:val="32"/>
          <w:szCs w:val="32"/>
        </w:rPr>
      </w:pPr>
      <w:r>
        <w:rPr>
          <w:rFonts w:hint="eastAsia" w:ascii="楷体" w:hAnsi="楷体" w:eastAsia="楷体" w:cs="楷体"/>
          <w:sz w:val="32"/>
          <w:szCs w:val="32"/>
        </w:rPr>
        <w:t>（一）绩效评价目的。</w:t>
      </w:r>
      <w:r>
        <w:rPr>
          <w:rFonts w:hint="eastAsia" w:ascii="Times New Roman" w:hAnsi="Times New Roman"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通过对盘龙区年度国土变更调查及耕地资源质量分类成果更新与监测项目的绩效评价，了解和掌握项目实施的具体情况,评价其项目资金安排的科学性、合理性、规范性和资金使用成效，及时总结项目管理经验,完善项目管理办法,提高项目管理水平和资金的使用效益。促使盘龙区自然资源调查检测和登记科、行政审批科根据绩效评价中发现的问题，认真加以整改,及时调整和完善工作计划和绩效目标并加强项目管理，提高服务水平，同时为项目在以后年度的开展提供可行性参考建议。重点分析项目预算编制的合理性、成本支出的真实性和控制有效性，评价财政资金的使用效率和效果，为以后年度编制项目预算提供参考依据。</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（二）绩效评价工作方案制定过程</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1.成立评价工作组。</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2.明确工作范围和职责。</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3.研究文件、提出对本次绩效评价的要求。</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4.初步确定评价的总体时间安排。</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5.进行前期准备工作并制定绩效评价工作方案。</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6.发放资金绩效经费项目社会公众满意度调查问卷</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（三）绩效评价原则、评价方法</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1.绩效评价原则</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科学规范原则：绩效评价应当严格执行规定的程序，按照科学可行的要求，采用定量与定性分析相结合的方法。</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公正公开原则：绩效评价应当符合真实、客观、公正的要求，依法公开并接受监督。</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分级分类原则：绩效评价由各级财政部门、各级预算部门根据评价对象的特点分类组织实施。</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绩效相关原则：绩效评价应当针对具体支出及其产出绩效进行，评价结果应当清晰反映支出和产出绩效之间的紧密对应关 </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2.绩效评价方法</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根据盘龙区年度国土变更调查及耕地资源质量分类成果更新与监测经费项目的实际情况，我们决定采取因素分析法和公众评判法相结合的方法开展评价工作。</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因素分析法：对影响绩效目标实现、实施效果的内外因素进行综合分析，评价绩效目标实现程度。</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公众评判法：通过公众问卷及抽样调查等对财政支出效果进行评判，评价绩效目标实现程度。</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（四）绩效评价实施过程</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1.现场调查。工作组对部分数据进行核查，了解项目实施单位项目管理和项目资金使用的情况，听取工作人员对项目给出的绩效评价的意见和建议，收集项目相关资料。</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2.分析评价。对绩效评价指标进行研究，咨询有关专家，制定项目支出绩效评价个性指标并进行评分。</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3.进行服务对象满意程度的问卷调查。</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4.编写报告，按省财办文件规定，拟定绩效评价报告。</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（五）本次绩效评价的局限性</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满意度调查中共发放</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份调查问卷，均针对服务对像进行调查。参与问卷调查人员是我们随机抽取的，调查对象有一定的局限性，满意度情况不具有完全代表性。</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四、评价结论和绩效分析</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（一）评价结论</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1.评价结果</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项目绩效目标明确，2022年盘龙区自然资源调查监测和登记科、行政审批科在区委区政府的关心关怀下，在区自然资源局党组的正确领导下, 在全体科室工作人员的共同努力下,以习近平新时代中国特色社会主义思想为指导，紧紧围绕盘龙区的具体实际，认真落实两个责任，严格贯彻落实中央八项规定精神，弛而不息纠正“四风”，紧紧围绕盘龙区年度国土变更调查及耕地资源质量分类成果更新与监测工作，严格按照国家、省、市、区要求，按质、按时、按量完成国土变更调查及耕地资源质量分类成果更新与监测工作，做好保密数据安全使用工作，为盘龙区规划发展提供准确数据。为以后年度的开展盘龙区年度国土变更调查及耕地资源质量分类成果更新与监测经费预算编制提供可行性参考建议。</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盘龙区年度国土变更调查及耕地资源质量分类成果更新与监测经费项目区级资金经费为59万元，项目经费按合同约定方式支出，无结余资金。按季度对项目运行进行跟踪；根据财政部门关于预算跟踪的要求，预算执行部门填制绩效运行跟踪表，对项目跟踪表进行汇总、统计、分析分析各分目标完成情况，对未能到达进度要求的分解目标进行预警。项目支出按支出进度进行合理控制，每笔支出均真实可靠。</w:t>
      </w:r>
    </w:p>
    <w:p>
      <w:pPr>
        <w:spacing w:line="576"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2.主要绩效</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严格按照国家和省工作要求</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2022年盘龙区</w:t>
      </w:r>
      <w:r>
        <w:rPr>
          <w:rFonts w:hint="eastAsia" w:ascii="Times New Roman" w:hAnsi="Times New Roman" w:eastAsia="仿宋_GB2312"/>
          <w:sz w:val="32"/>
          <w:szCs w:val="32"/>
          <w:lang w:val="en-US" w:eastAsia="zh-CN"/>
        </w:rPr>
        <w:t>常规</w:t>
      </w:r>
      <w:r>
        <w:rPr>
          <w:rFonts w:hint="eastAsia" w:ascii="Times New Roman" w:hAnsi="Times New Roman" w:eastAsia="仿宋_GB2312"/>
          <w:sz w:val="32"/>
          <w:szCs w:val="32"/>
        </w:rPr>
        <w:t>监测一季度完成图斑实地调查672个；二季度完成图斑实地调查112个；三季度完成图斑实地调查242个；四季度完成图斑实地调查83个；国家年度变更调查图斑完成890个，年度总共完成1999</w:t>
      </w:r>
      <w:r>
        <w:rPr>
          <w:rFonts w:hint="eastAsia" w:ascii="Times New Roman" w:hAnsi="Times New Roman" w:eastAsia="仿宋_GB2312"/>
          <w:sz w:val="32"/>
          <w:szCs w:val="32"/>
          <w:lang w:val="en-US" w:eastAsia="zh-CN"/>
        </w:rPr>
        <w:t>个</w:t>
      </w:r>
      <w:r>
        <w:rPr>
          <w:rFonts w:hint="eastAsia" w:ascii="Times New Roman" w:hAnsi="Times New Roman" w:eastAsia="仿宋_GB2312"/>
          <w:sz w:val="32"/>
          <w:szCs w:val="32"/>
        </w:rPr>
        <w:t>图斑调查，圆满完成2022年度“季度监测+年度更新”调查工作。</w:t>
      </w:r>
    </w:p>
    <w:p>
      <w:pP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完成盘龙区 2020年度耕地资源质量分类年度更新与2021 、2022 年度耕地资源质量分类年度更新与监测工作，布设样点68个，为落实耕地数量、质量、生态“三位一体”保护提供支撑。</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（二）具体绩效分析</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产出目标: 对项目涉及的全部工作进行有效地管理，即从项目的投资决策开始到项目结束的全过程进行计划、组织、指挥、协调、控制和评价。 </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经济效益：通过进一步优化营商环境，为盘龙区经济建设及产业发展提供有力用地保障，助力产业全面协调可持续发展。</w:t>
      </w:r>
    </w:p>
    <w:p>
      <w:pPr>
        <w:spacing w:line="576"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社会效益：进一步丰富自然资源常规监测内容，及时掌握自然资源地表覆盖和国土利用现状变化、全面掌握年度内耕地现状变化及耕地质量建设引起的耕地质量变化情况，建立持续、动态、相互衔接的监测工作机制，实现地理国情监测和年度国土变更调查的深度有机融合，为自然资源管理决策提供基础数据和支撑服务。</w:t>
      </w:r>
    </w:p>
    <w:p>
      <w:pPr>
        <w:spacing w:line="576"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生态效益：通过开展盘龙区国土变更调查及自然资源季度监测工作、耕地资源质量分类年度更新与监测工作，为盘龙区的生态文明建设布局提供依据，为落实盘龙区在全国主体功能区划、云南省主体功能区划中的生态战略布局提供基础依据。</w:t>
      </w:r>
    </w:p>
    <w:tbl>
      <w:tblPr>
        <w:tblStyle w:val="6"/>
        <w:tblW w:w="9632" w:type="dxa"/>
        <w:tblInd w:w="-7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0"/>
        <w:gridCol w:w="1020"/>
        <w:gridCol w:w="1120"/>
        <w:gridCol w:w="2160"/>
        <w:gridCol w:w="1660"/>
        <w:gridCol w:w="22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632"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昆明市盘龙区自然资源局盘龙区年度国土变更调查及耕地资源质量分类成果更新与监测专项经费项目支出绩效自评情况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60"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项目支出绩效定性目标及实施计划完成情况</w:t>
            </w:r>
          </w:p>
        </w:tc>
        <w:tc>
          <w:tcPr>
            <w:tcW w:w="43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预期目标</w:t>
            </w:r>
          </w:p>
        </w:tc>
        <w:tc>
          <w:tcPr>
            <w:tcW w:w="387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4300"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4"/>
              <w:keepNext w:val="0"/>
              <w:keepLines w:val="0"/>
              <w:pageBreakBefore w:val="0"/>
              <w:widowControl/>
              <w:kinsoku/>
              <w:wordWrap/>
              <w:overflowPunct/>
              <w:topLinePunct w:val="0"/>
              <w:autoSpaceDE/>
              <w:autoSpaceDN/>
              <w:bidi w:val="0"/>
              <w:adjustRightInd/>
              <w:snapToGrid/>
              <w:spacing w:line="380" w:lineRule="exact"/>
              <w:ind w:firstLine="0" w:firstLineChars="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预计完成调查图斑</w:t>
            </w:r>
            <w:r>
              <w:rPr>
                <w:rFonts w:hint="eastAsia" w:ascii="仿宋" w:hAnsi="仿宋" w:eastAsia="仿宋"/>
                <w:color w:val="000000" w:themeColor="text1"/>
                <w:sz w:val="28"/>
                <w:szCs w:val="28"/>
                <w:lang w:val="en-US" w:eastAsia="zh-CN"/>
                <w14:textFill>
                  <w14:solidFill>
                    <w14:schemeClr w14:val="tx1"/>
                  </w14:solidFill>
                </w14:textFill>
              </w:rPr>
              <w:t>1022</w:t>
            </w:r>
            <w:r>
              <w:rPr>
                <w:rFonts w:hint="eastAsia" w:ascii="仿宋" w:hAnsi="仿宋" w:eastAsia="仿宋"/>
                <w:color w:val="auto"/>
                <w:sz w:val="28"/>
                <w:szCs w:val="28"/>
                <w:highlight w:val="none"/>
              </w:rPr>
              <w:t>个</w:t>
            </w:r>
          </w:p>
        </w:tc>
        <w:tc>
          <w:tcPr>
            <w:tcW w:w="387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pStyle w:val="14"/>
              <w:keepNext w:val="0"/>
              <w:keepLines w:val="0"/>
              <w:pageBreakBefore w:val="0"/>
              <w:widowControl/>
              <w:kinsoku/>
              <w:wordWrap/>
              <w:overflowPunct/>
              <w:topLinePunct w:val="0"/>
              <w:autoSpaceDE/>
              <w:autoSpaceDN/>
              <w:bidi w:val="0"/>
              <w:adjustRightInd/>
              <w:snapToGrid/>
              <w:spacing w:line="38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成调查图斑1999个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460"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项目支出绩效定量目标及实施计划完成情况</w:t>
            </w:r>
          </w:p>
        </w:tc>
        <w:tc>
          <w:tcPr>
            <w:tcW w:w="214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评价内容</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绩效内容</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绩效目标值</w:t>
            </w: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020" w:type="dxa"/>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质量指标</w:t>
            </w:r>
          </w:p>
        </w:tc>
        <w:tc>
          <w:tcPr>
            <w:tcW w:w="112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质量指标</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形成内业初步成果，由省和地方共同开展外业实地核查举证，经过县级自检、州市级检查、省级核查，形成全省变更调查数据上报自然资源部核查。</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100%</w:t>
            </w: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执行度及完成度良好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020" w:type="dxa"/>
            <w:vMerge w:val="continue"/>
            <w:tcBorders>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p>
        </w:tc>
        <w:tc>
          <w:tcPr>
            <w:tcW w:w="112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成果</w:t>
            </w:r>
            <w:r>
              <w:rPr>
                <w:rFonts w:hint="eastAsia" w:ascii="仿宋" w:hAnsi="仿宋" w:eastAsia="仿宋"/>
                <w:color w:val="000000" w:themeColor="text1"/>
                <w:sz w:val="28"/>
                <w:szCs w:val="28"/>
                <w14:textFill>
                  <w14:solidFill>
                    <w14:schemeClr w14:val="tx1"/>
                  </w14:solidFill>
                </w14:textFill>
              </w:rPr>
              <w:t>指标</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hint="eastAsia"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完成盘龙区年度国土变更调查及耕地资源质量分类成果更新与监测</w:t>
            </w:r>
            <w:r>
              <w:rPr>
                <w:rFonts w:hint="eastAsia" w:ascii="仿宋" w:hAnsi="仿宋" w:eastAsia="仿宋"/>
                <w:color w:val="000000" w:themeColor="text1"/>
                <w:sz w:val="28"/>
                <w:szCs w:val="28"/>
                <w:lang w:val="en-US" w:eastAsia="zh-CN"/>
                <w14:textFill>
                  <w14:solidFill>
                    <w14:schemeClr w14:val="tx1"/>
                  </w14:solidFill>
                </w14:textFill>
              </w:rPr>
              <w:t>情况</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380" w:lineRule="exact"/>
              <w:rPr>
                <w:rFonts w:ascii="仿宋" w:hAnsi="仿宋" w:eastAsia="仿宋"/>
                <w:color w:val="000000" w:themeColor="text1"/>
                <w:sz w:val="28"/>
                <w:szCs w:val="28"/>
                <w14:textFill>
                  <w14:solidFill>
                    <w14:schemeClr w14:val="tx1"/>
                  </w14:solidFill>
                </w14:textFill>
              </w:rPr>
            </w:pP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执行度及完成度良好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020" w:type="dxa"/>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p>
        </w:tc>
        <w:tc>
          <w:tcPr>
            <w:tcW w:w="112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成本指标</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控制在年度预算内</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≦59万元</w:t>
            </w: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实际支出59万元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020"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效益目标</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p>
        </w:tc>
        <w:tc>
          <w:tcPr>
            <w:tcW w:w="112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社会效益</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进一步丰富自然资源常规监测内容，及时掌握自然资源地表覆盖和国土利用现状变化、全面掌握年度内耕地现状变化及耕地质量建设引起的耕地质量变化情况，建立持续、动态、相互衔接的监测工作机制，实现地理国情监测和年度国土变更调查的深度有机融合，为自然资源管理决策提供基础数据和支撑服务。</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效果明显</w:t>
            </w: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执行度及完成度良好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020" w:type="dxa"/>
            <w:vMerge w:val="continue"/>
            <w:tcBorders>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p>
        </w:tc>
        <w:tc>
          <w:tcPr>
            <w:tcW w:w="112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可持续影响指标</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全面掌握自然资源空间分布、数量、质量、现状及变化趋势等关键信息，客观分析自然资源基本状况和保护及开发利用程度，充分发挥自然资源调查监测的基础性、时效性和引领性作用，支撑“早发现、早制止、严打击”的自然资源监管工作。</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效果明显</w:t>
            </w: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执行度及完成度良好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020" w:type="dxa"/>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80" w:lineRule="exact"/>
              <w:jc w:val="left"/>
              <w:rPr>
                <w:rFonts w:ascii="仿宋" w:hAnsi="仿宋" w:eastAsia="仿宋"/>
                <w:color w:val="000000" w:themeColor="text1"/>
                <w:sz w:val="28"/>
                <w:szCs w:val="28"/>
                <w14:textFill>
                  <w14:solidFill>
                    <w14:schemeClr w14:val="tx1"/>
                  </w14:solidFill>
                </w14:textFill>
              </w:rPr>
            </w:pPr>
          </w:p>
        </w:tc>
        <w:tc>
          <w:tcPr>
            <w:tcW w:w="112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社会公众或服务对象满意度</w:t>
            </w:r>
          </w:p>
        </w:tc>
        <w:tc>
          <w:tcPr>
            <w:tcW w:w="21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法人或其他组织等</w:t>
            </w:r>
          </w:p>
        </w:tc>
        <w:tc>
          <w:tcPr>
            <w:tcW w:w="1660"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9</w:t>
            </w:r>
            <w:r>
              <w:rPr>
                <w:rFonts w:hint="eastAsia" w:ascii="仿宋" w:hAnsi="仿宋" w:eastAsia="仿宋"/>
                <w:color w:val="000000" w:themeColor="text1"/>
                <w:sz w:val="28"/>
                <w:szCs w:val="28"/>
                <w:lang w:val="en-US" w:eastAsia="zh-CN"/>
                <w14:textFill>
                  <w14:solidFill>
                    <w14:schemeClr w14:val="tx1"/>
                  </w14:solidFill>
                </w14:textFill>
              </w:rPr>
              <w:t>6</w:t>
            </w:r>
            <w:r>
              <w:rPr>
                <w:rFonts w:hint="eastAsia" w:ascii="仿宋" w:hAnsi="仿宋" w:eastAsia="仿宋"/>
                <w:color w:val="000000" w:themeColor="text1"/>
                <w:sz w:val="28"/>
                <w:szCs w:val="28"/>
                <w14:textFill>
                  <w14:solidFill>
                    <w14:schemeClr w14:val="tx1"/>
                  </w14:solidFill>
                </w14:textFill>
              </w:rPr>
              <w:t>%</w:t>
            </w:r>
          </w:p>
        </w:tc>
        <w:tc>
          <w:tcPr>
            <w:tcW w:w="2212"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执行度及完成度良好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4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绩效自评综合得分</w:t>
            </w:r>
          </w:p>
        </w:tc>
        <w:tc>
          <w:tcPr>
            <w:tcW w:w="715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9</w:t>
            </w:r>
            <w:r>
              <w:rPr>
                <w:rFonts w:hint="eastAsia" w:ascii="仿宋" w:hAnsi="仿宋" w:eastAsia="仿宋"/>
                <w:color w:val="000000" w:themeColor="text1"/>
                <w:sz w:val="28"/>
                <w:szCs w:val="28"/>
                <w:lang w:val="en-US" w:eastAsia="zh-CN"/>
                <w14:textFill>
                  <w14:solidFill>
                    <w14:schemeClr w14:val="tx1"/>
                  </w14:solidFill>
                </w14:textFill>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480"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评价等次</w:t>
            </w:r>
          </w:p>
        </w:tc>
        <w:tc>
          <w:tcPr>
            <w:tcW w:w="7152"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jc w:val="center"/>
              <w:textAlignment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优秀</w:t>
            </w:r>
          </w:p>
        </w:tc>
      </w:tr>
    </w:tbl>
    <w:p>
      <w:pPr>
        <w:pStyle w:val="5"/>
        <w:widowControl/>
        <w:shd w:val="clear" w:color="auto" w:fill="FFFFFF"/>
        <w:spacing w:before="0" w:beforeAutospacing="0" w:after="0" w:afterAutospacing="0" w:line="576" w:lineRule="exact"/>
        <w:ind w:firstLine="640" w:firstLineChars="200"/>
        <w:jc w:val="both"/>
        <w:rPr>
          <w:rFonts w:ascii="黑体" w:hAnsi="黑体" w:eastAsia="黑体" w:cs="黑体"/>
          <w:kern w:val="2"/>
          <w:sz w:val="32"/>
          <w:szCs w:val="32"/>
        </w:rPr>
      </w:pPr>
      <w:r>
        <w:rPr>
          <w:rFonts w:hint="eastAsia" w:ascii="黑体" w:hAnsi="黑体" w:eastAsia="黑体" w:cs="黑体"/>
          <w:kern w:val="2"/>
          <w:sz w:val="32"/>
          <w:szCs w:val="32"/>
        </w:rPr>
        <w:t>五、 主要经验及做法、存在的问题和建议</w:t>
      </w:r>
    </w:p>
    <w:p>
      <w:pPr>
        <w:pStyle w:val="5"/>
        <w:widowControl/>
        <w:shd w:val="clear" w:color="auto" w:fill="FFFFFF"/>
        <w:spacing w:before="0" w:beforeAutospacing="0" w:after="0" w:afterAutospacing="0" w:line="576" w:lineRule="exact"/>
        <w:ind w:firstLine="640" w:firstLineChars="200"/>
        <w:jc w:val="both"/>
        <w:rPr>
          <w:rFonts w:ascii="楷体" w:hAnsi="楷体" w:eastAsia="楷体" w:cs="楷体"/>
          <w:kern w:val="2"/>
          <w:sz w:val="32"/>
          <w:szCs w:val="32"/>
        </w:rPr>
      </w:pPr>
      <w:r>
        <w:rPr>
          <w:rFonts w:hint="eastAsia" w:ascii="楷体" w:hAnsi="楷体" w:eastAsia="楷体" w:cs="楷体"/>
          <w:kern w:val="2"/>
          <w:sz w:val="32"/>
          <w:szCs w:val="32"/>
        </w:rPr>
        <w:t>（一）主要经验及做法</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盘龙区年度国土变更调查及耕地资源质量分类成果更新与监测工作由昆明市盘龙区自然资源局按省自然资源厅、市自然资源和规划局统一要求进行组织，由自然资源调查监测和登记科、行政审批科、矿产与地质管理科、执法大队、各自然资源管理所抽调人员组成，协调、解决工作过程中出现的重大问题，监督工作计划的执行情况，检查和验收调查成果。</w:t>
      </w:r>
    </w:p>
    <w:p>
      <w:pPr>
        <w:pStyle w:val="5"/>
        <w:widowControl/>
        <w:shd w:val="clear" w:color="auto" w:fill="FFFFFF"/>
        <w:spacing w:before="0" w:beforeAutospacing="0" w:after="0" w:afterAutospacing="0" w:line="576" w:lineRule="exact"/>
        <w:ind w:firstLine="643" w:firstLineChars="200"/>
        <w:jc w:val="both"/>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1.认识站位高，领导重视</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在自然资源部部署开展2022年度国土变更调查及耕地资源质量分类成果更新与监测工作后，盘龙区自然资源局领导高度重视，认识到该项工作是自然资源各项管理的工作基础，也是政府各部门涉及国土空间、耕地管理相关工作的共同的一个底板和唯一的底图。秉持坚持党中央精神，坚持国家立场，严格对国土变更调查及耕地资源质量分类成果更新与监测成果的真实性负主体责任。</w:t>
      </w:r>
    </w:p>
    <w:p>
      <w:pPr>
        <w:pStyle w:val="5"/>
        <w:widowControl/>
        <w:shd w:val="clear" w:color="auto" w:fill="FFFFFF"/>
        <w:spacing w:before="0" w:beforeAutospacing="0" w:after="0" w:afterAutospacing="0" w:line="576" w:lineRule="exact"/>
        <w:ind w:firstLine="643" w:firstLineChars="200"/>
        <w:jc w:val="both"/>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2. 统筹安排，多部门协作，确保各种工作有序推进</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盘龙区2022年度国土变更调查及耕地资源质量分类成果更新与监测工作严格按照“全国统一领导，部门分工协作，地方分级负责，各方共同参与”的形式组织实施。盘龙区自然资源局按省自然资源厅、市自然资源和规划局统一要求，制定实施方案，选择技术力量强、管理规范、经验丰富、熟悉盘龙区情况的技术单位承担具体调查等工作。同时一方面加强各相关科室与作业单位的沟通对接；另一方面积极向县级人民政府汇报，加强与县财政局的联系，申请落实调查工作经费。</w:t>
      </w:r>
    </w:p>
    <w:p>
      <w:pPr>
        <w:pStyle w:val="5"/>
        <w:widowControl/>
        <w:shd w:val="clear" w:color="auto" w:fill="FFFFFF"/>
        <w:spacing w:before="0" w:beforeAutospacing="0" w:after="0" w:afterAutospacing="0" w:line="576" w:lineRule="exact"/>
        <w:ind w:firstLine="643" w:firstLineChars="200"/>
        <w:jc w:val="both"/>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3.严格质量把关，严肃工作纪律，严防失密事件</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盘龙区2022年度国土变更调查及耕地资源质量分类成果更新与监测工作严格执行县级-州（市）级-省级逐级检查、审核上报工作流程，利用省级调查平台三级审核功能，对照图斑举证信息、影像、调查情况说明等做到调查完成一个图斑，逐级检查上报一个图斑。县级阶段调查成果未通过县级审核通过的，坚决不转入下阶段工作。同时把数据真实性作为调查工作的生命线，不虚报、瞒报、拒报、迟报调查成果，不弄虚作假和篡改调查数据。严格执行相关的保密安全管理规定，规范保存、处理、交换、使用等行为，严防失泄密事件的发生。</w:t>
      </w:r>
    </w:p>
    <w:p>
      <w:pPr>
        <w:pStyle w:val="5"/>
        <w:widowControl/>
        <w:shd w:val="clear" w:color="auto" w:fill="FFFFFF"/>
        <w:spacing w:before="0" w:beforeAutospacing="0" w:after="0" w:afterAutospacing="0" w:line="576" w:lineRule="exact"/>
        <w:ind w:firstLine="640" w:firstLineChars="200"/>
        <w:jc w:val="both"/>
        <w:rPr>
          <w:rFonts w:ascii="楷体" w:hAnsi="楷体" w:eastAsia="楷体" w:cs="楷体"/>
          <w:kern w:val="2"/>
          <w:sz w:val="32"/>
          <w:szCs w:val="32"/>
        </w:rPr>
      </w:pPr>
      <w:r>
        <w:rPr>
          <w:rFonts w:hint="eastAsia" w:ascii="楷体" w:hAnsi="楷体" w:eastAsia="楷体" w:cs="楷体"/>
          <w:kern w:val="2"/>
          <w:sz w:val="32"/>
          <w:szCs w:val="32"/>
        </w:rPr>
        <w:t>（二）存在的问题</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通过项目的实施，为掌握盘龙区2022年度国土利用变化情况、耕地现状变化及耕地质量建设引起的耕地质量变化情况，保持盘龙区国土调查数据、耕地资源质量分类数据的现势性，经上报国家核查后，汇总分析形成系列成果数据集，进一步夯实“统一底图、统一标准、统一规划、统一平台”工作流程，落实耕地数据、质量、生态“三位一体”保护，有效支撑高质量发展和国土空间治理现代化，为盘龙区自然资源管理及经济社会发展提供基础资料和决策依据。</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但是通过绩效自我评价，也发现一些不足，存在一些问题和困难，主要表现在：</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1. 个别存在干预成果质量情况。变更调查反映年度土地利用现状的变化情况，调查成果还将作为年度土地卫片执法检查的基础数据。正因如此，为应对执法检查，可能存在规避的心理，未能及时、如实上报变更数据，影响变更调查成果质量和可靠性。</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2. 地方技术人员力量薄弱，难以保证质量。外业举证及内业清汇工作技术性强，软件操作复杂，对技术人员要求高。盘龙区有能力负责该项工作的技术单位技术人员少，技术力量较为薄弱，当调查工作量较大时，技术人员数量少，给按时完成调查任务带来了一定的困难，存在难以保证质量的隐患。</w:t>
      </w:r>
    </w:p>
    <w:p>
      <w:pPr>
        <w:pStyle w:val="5"/>
        <w:widowControl/>
        <w:shd w:val="clear" w:color="auto" w:fill="FFFFFF"/>
        <w:spacing w:before="0" w:beforeAutospacing="0" w:after="0" w:afterAutospacing="0" w:line="576" w:lineRule="exact"/>
        <w:ind w:firstLine="640" w:firstLineChars="200"/>
        <w:jc w:val="both"/>
        <w:rPr>
          <w:rFonts w:ascii="楷体" w:hAnsi="楷体" w:eastAsia="楷体" w:cs="楷体"/>
          <w:kern w:val="2"/>
          <w:sz w:val="32"/>
          <w:szCs w:val="32"/>
        </w:rPr>
      </w:pPr>
      <w:r>
        <w:rPr>
          <w:rFonts w:hint="eastAsia" w:ascii="楷体" w:hAnsi="楷体" w:eastAsia="楷体" w:cs="楷体"/>
          <w:kern w:val="2"/>
          <w:sz w:val="32"/>
          <w:szCs w:val="32"/>
        </w:rPr>
        <w:t>（三）建议和改进措施</w:t>
      </w:r>
    </w:p>
    <w:p>
      <w:pPr>
        <w:pStyle w:val="5"/>
        <w:widowControl/>
        <w:shd w:val="clear" w:color="auto" w:fill="FFFFFF"/>
        <w:spacing w:before="0" w:beforeAutospacing="0" w:after="0" w:afterAutospacing="0" w:line="576" w:lineRule="exact"/>
        <w:ind w:firstLine="640" w:firstLineChars="200"/>
        <w:jc w:val="both"/>
        <w:rPr>
          <w:rFonts w:ascii="Times New Roman" w:hAnsi="Times New Roman" w:eastAsia="仿宋_GB2312"/>
          <w:kern w:val="2"/>
          <w:sz w:val="32"/>
          <w:szCs w:val="32"/>
        </w:rPr>
      </w:pPr>
      <w:r>
        <w:rPr>
          <w:rFonts w:hint="eastAsia" w:ascii="Times New Roman" w:hAnsi="Times New Roman" w:eastAsia="仿宋_GB2312"/>
          <w:kern w:val="2"/>
          <w:sz w:val="32"/>
          <w:szCs w:val="32"/>
        </w:rPr>
        <w:t>由于国土变更调查及耕地资源质量分类成果更新与监测工作是一项长期的、系统的、复杂的工程，必须长期坚持不懈。针对上述存在的具体问题建议：加大对国土变更调查及耕地资源质量分类成果更新与监测工作的宣传力度，努力改善软硬件设备，为国土变更调查及耕地资源质量分类成果更新与监测工作提供有利条件。</w:t>
      </w:r>
    </w:p>
    <w:p>
      <w:pPr>
        <w:spacing w:line="576"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建议对项目年度预算安排、评价结果进行公开，一方面起到监督管理的作用，另一方面对项目之间有个比较和促进。另外对项目绩效评价优秀的项目可进行适当的奖励，对绩效评价结果较差的项目给予适当惩罚，以激励项目的顺利完成。</w:t>
      </w:r>
    </w:p>
    <w:p>
      <w:pPr>
        <w:spacing w:line="440" w:lineRule="exact"/>
        <w:jc w:val="center"/>
        <w:rPr>
          <w:rFonts w:ascii="仿宋" w:hAnsi="仿宋" w:eastAsia="仿宋" w:cs="仿宋"/>
          <w:color w:val="000000" w:themeColor="text1"/>
          <w:sz w:val="32"/>
          <w:szCs w:val="32"/>
          <w14:textFill>
            <w14:solidFill>
              <w14:schemeClr w14:val="tx1"/>
            </w14:solidFill>
          </w14:textFill>
        </w:rPr>
      </w:pPr>
    </w:p>
    <w:p>
      <w:pPr>
        <w:rPr>
          <w:rFonts w:ascii="仿宋" w:hAnsi="仿宋" w:eastAsia="仿宋" w:cs="仿宋"/>
          <w:color w:val="000000" w:themeColor="text1"/>
          <w:sz w:val="32"/>
          <w:szCs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9FE"/>
    <w:rsid w:val="0000052E"/>
    <w:rsid w:val="00001026"/>
    <w:rsid w:val="000014EF"/>
    <w:rsid w:val="00002AC7"/>
    <w:rsid w:val="00002B26"/>
    <w:rsid w:val="00004B5F"/>
    <w:rsid w:val="00004EBE"/>
    <w:rsid w:val="00010B2C"/>
    <w:rsid w:val="00015E14"/>
    <w:rsid w:val="00016BA8"/>
    <w:rsid w:val="00020DF7"/>
    <w:rsid w:val="000233C7"/>
    <w:rsid w:val="000257A1"/>
    <w:rsid w:val="00027472"/>
    <w:rsid w:val="00027F95"/>
    <w:rsid w:val="000309D6"/>
    <w:rsid w:val="00030FB1"/>
    <w:rsid w:val="00032381"/>
    <w:rsid w:val="000364C9"/>
    <w:rsid w:val="00045BD2"/>
    <w:rsid w:val="0004677D"/>
    <w:rsid w:val="00047C6A"/>
    <w:rsid w:val="0005411B"/>
    <w:rsid w:val="00055F5C"/>
    <w:rsid w:val="00062095"/>
    <w:rsid w:val="00063DA1"/>
    <w:rsid w:val="0006528D"/>
    <w:rsid w:val="00065F62"/>
    <w:rsid w:val="000661C3"/>
    <w:rsid w:val="00067C4F"/>
    <w:rsid w:val="000721AF"/>
    <w:rsid w:val="00072E89"/>
    <w:rsid w:val="00073430"/>
    <w:rsid w:val="000757AA"/>
    <w:rsid w:val="00081790"/>
    <w:rsid w:val="00084B9F"/>
    <w:rsid w:val="00091733"/>
    <w:rsid w:val="000933EA"/>
    <w:rsid w:val="0009574A"/>
    <w:rsid w:val="00095BA0"/>
    <w:rsid w:val="00097913"/>
    <w:rsid w:val="00097BA6"/>
    <w:rsid w:val="000A2B54"/>
    <w:rsid w:val="000A45AE"/>
    <w:rsid w:val="000A5D5E"/>
    <w:rsid w:val="000A63A9"/>
    <w:rsid w:val="000B1B17"/>
    <w:rsid w:val="000B2C4C"/>
    <w:rsid w:val="000B45B4"/>
    <w:rsid w:val="000B4EFC"/>
    <w:rsid w:val="000C26F1"/>
    <w:rsid w:val="000C2D5C"/>
    <w:rsid w:val="000C6971"/>
    <w:rsid w:val="000D0F83"/>
    <w:rsid w:val="000D157C"/>
    <w:rsid w:val="000E6869"/>
    <w:rsid w:val="000F1E29"/>
    <w:rsid w:val="000F229D"/>
    <w:rsid w:val="000F4025"/>
    <w:rsid w:val="000F6096"/>
    <w:rsid w:val="000F6829"/>
    <w:rsid w:val="000F7A16"/>
    <w:rsid w:val="00101C1E"/>
    <w:rsid w:val="00104958"/>
    <w:rsid w:val="001059D2"/>
    <w:rsid w:val="001068F7"/>
    <w:rsid w:val="001072F1"/>
    <w:rsid w:val="00107A03"/>
    <w:rsid w:val="00107D67"/>
    <w:rsid w:val="00111797"/>
    <w:rsid w:val="0011238E"/>
    <w:rsid w:val="00113124"/>
    <w:rsid w:val="0011362F"/>
    <w:rsid w:val="001162F5"/>
    <w:rsid w:val="0012303B"/>
    <w:rsid w:val="00123A7B"/>
    <w:rsid w:val="00123BD3"/>
    <w:rsid w:val="00124175"/>
    <w:rsid w:val="00124C91"/>
    <w:rsid w:val="001263AE"/>
    <w:rsid w:val="00131A09"/>
    <w:rsid w:val="00132D23"/>
    <w:rsid w:val="001333E8"/>
    <w:rsid w:val="001425B8"/>
    <w:rsid w:val="0014708A"/>
    <w:rsid w:val="00147522"/>
    <w:rsid w:val="00150A7F"/>
    <w:rsid w:val="00151823"/>
    <w:rsid w:val="001519D5"/>
    <w:rsid w:val="00154B46"/>
    <w:rsid w:val="001550FB"/>
    <w:rsid w:val="00156F3D"/>
    <w:rsid w:val="001576C5"/>
    <w:rsid w:val="00163E09"/>
    <w:rsid w:val="001669FE"/>
    <w:rsid w:val="00166C83"/>
    <w:rsid w:val="001678D0"/>
    <w:rsid w:val="001705BE"/>
    <w:rsid w:val="00171A40"/>
    <w:rsid w:val="00176691"/>
    <w:rsid w:val="001778CB"/>
    <w:rsid w:val="00180CEC"/>
    <w:rsid w:val="00180D0F"/>
    <w:rsid w:val="001821E6"/>
    <w:rsid w:val="001839D2"/>
    <w:rsid w:val="00183EDE"/>
    <w:rsid w:val="00185F7B"/>
    <w:rsid w:val="001912D5"/>
    <w:rsid w:val="0019245A"/>
    <w:rsid w:val="00195453"/>
    <w:rsid w:val="0019682C"/>
    <w:rsid w:val="00197B27"/>
    <w:rsid w:val="001A0F09"/>
    <w:rsid w:val="001A39B0"/>
    <w:rsid w:val="001A4A63"/>
    <w:rsid w:val="001A5238"/>
    <w:rsid w:val="001A5744"/>
    <w:rsid w:val="001A6BE7"/>
    <w:rsid w:val="001A7DB3"/>
    <w:rsid w:val="001A7F8C"/>
    <w:rsid w:val="001B0BA1"/>
    <w:rsid w:val="001B11E2"/>
    <w:rsid w:val="001B367B"/>
    <w:rsid w:val="001B403E"/>
    <w:rsid w:val="001B594C"/>
    <w:rsid w:val="001B65DA"/>
    <w:rsid w:val="001B7342"/>
    <w:rsid w:val="001B7B88"/>
    <w:rsid w:val="001C2632"/>
    <w:rsid w:val="001C2B45"/>
    <w:rsid w:val="001C54AB"/>
    <w:rsid w:val="001C7947"/>
    <w:rsid w:val="001D453E"/>
    <w:rsid w:val="001D481E"/>
    <w:rsid w:val="001D6102"/>
    <w:rsid w:val="001D7CC1"/>
    <w:rsid w:val="001E0170"/>
    <w:rsid w:val="001E2B8A"/>
    <w:rsid w:val="001E2E86"/>
    <w:rsid w:val="001E3C95"/>
    <w:rsid w:val="001E6403"/>
    <w:rsid w:val="001F0844"/>
    <w:rsid w:val="001F115D"/>
    <w:rsid w:val="001F3B2B"/>
    <w:rsid w:val="001F4BC0"/>
    <w:rsid w:val="001F5D0F"/>
    <w:rsid w:val="001F682C"/>
    <w:rsid w:val="00200530"/>
    <w:rsid w:val="0020528B"/>
    <w:rsid w:val="00206CED"/>
    <w:rsid w:val="00210B75"/>
    <w:rsid w:val="00214754"/>
    <w:rsid w:val="00214C2A"/>
    <w:rsid w:val="00214D06"/>
    <w:rsid w:val="002151BE"/>
    <w:rsid w:val="0021586C"/>
    <w:rsid w:val="00225AD5"/>
    <w:rsid w:val="00226675"/>
    <w:rsid w:val="00226BAD"/>
    <w:rsid w:val="0022735E"/>
    <w:rsid w:val="00230C6A"/>
    <w:rsid w:val="002323ED"/>
    <w:rsid w:val="00233C6F"/>
    <w:rsid w:val="00237FC9"/>
    <w:rsid w:val="002406CE"/>
    <w:rsid w:val="00241CE5"/>
    <w:rsid w:val="00244757"/>
    <w:rsid w:val="0024484C"/>
    <w:rsid w:val="00245B69"/>
    <w:rsid w:val="00250933"/>
    <w:rsid w:val="00251D23"/>
    <w:rsid w:val="00252D25"/>
    <w:rsid w:val="00252DCB"/>
    <w:rsid w:val="00254A08"/>
    <w:rsid w:val="00254C4F"/>
    <w:rsid w:val="002567CA"/>
    <w:rsid w:val="00260F8D"/>
    <w:rsid w:val="00261932"/>
    <w:rsid w:val="002629C4"/>
    <w:rsid w:val="002638FC"/>
    <w:rsid w:val="00264B94"/>
    <w:rsid w:val="00265078"/>
    <w:rsid w:val="00267A43"/>
    <w:rsid w:val="002761C4"/>
    <w:rsid w:val="002767AB"/>
    <w:rsid w:val="00276ECA"/>
    <w:rsid w:val="00277072"/>
    <w:rsid w:val="002829DF"/>
    <w:rsid w:val="00282EAD"/>
    <w:rsid w:val="0028375F"/>
    <w:rsid w:val="002866A9"/>
    <w:rsid w:val="00291927"/>
    <w:rsid w:val="002934E3"/>
    <w:rsid w:val="00293C20"/>
    <w:rsid w:val="00294CD0"/>
    <w:rsid w:val="00296975"/>
    <w:rsid w:val="002A129E"/>
    <w:rsid w:val="002A2B5A"/>
    <w:rsid w:val="002A3856"/>
    <w:rsid w:val="002A4B1A"/>
    <w:rsid w:val="002A4E6C"/>
    <w:rsid w:val="002A53CF"/>
    <w:rsid w:val="002A5E24"/>
    <w:rsid w:val="002A6348"/>
    <w:rsid w:val="002B117C"/>
    <w:rsid w:val="002B1F6F"/>
    <w:rsid w:val="002B37B1"/>
    <w:rsid w:val="002B4909"/>
    <w:rsid w:val="002B51D2"/>
    <w:rsid w:val="002B526C"/>
    <w:rsid w:val="002C05DC"/>
    <w:rsid w:val="002C6BC7"/>
    <w:rsid w:val="002C7BEB"/>
    <w:rsid w:val="002D17C4"/>
    <w:rsid w:val="002D2A52"/>
    <w:rsid w:val="002D5296"/>
    <w:rsid w:val="002E2A63"/>
    <w:rsid w:val="002E2F99"/>
    <w:rsid w:val="002E3785"/>
    <w:rsid w:val="002E6221"/>
    <w:rsid w:val="002F0E44"/>
    <w:rsid w:val="002F28A9"/>
    <w:rsid w:val="002F78A3"/>
    <w:rsid w:val="003032BB"/>
    <w:rsid w:val="003073A1"/>
    <w:rsid w:val="00310054"/>
    <w:rsid w:val="003102FC"/>
    <w:rsid w:val="00314A67"/>
    <w:rsid w:val="00314C82"/>
    <w:rsid w:val="00314C9F"/>
    <w:rsid w:val="0032142B"/>
    <w:rsid w:val="00324FD2"/>
    <w:rsid w:val="00325AA2"/>
    <w:rsid w:val="00326BFA"/>
    <w:rsid w:val="00331A5E"/>
    <w:rsid w:val="0033352B"/>
    <w:rsid w:val="003353BB"/>
    <w:rsid w:val="003377C7"/>
    <w:rsid w:val="0034035C"/>
    <w:rsid w:val="00340508"/>
    <w:rsid w:val="0034140D"/>
    <w:rsid w:val="00342E67"/>
    <w:rsid w:val="0034363D"/>
    <w:rsid w:val="0035004A"/>
    <w:rsid w:val="00357E2B"/>
    <w:rsid w:val="00360764"/>
    <w:rsid w:val="0036132E"/>
    <w:rsid w:val="00365C7F"/>
    <w:rsid w:val="00365F8E"/>
    <w:rsid w:val="00366911"/>
    <w:rsid w:val="00370788"/>
    <w:rsid w:val="00371070"/>
    <w:rsid w:val="00377923"/>
    <w:rsid w:val="00385C22"/>
    <w:rsid w:val="0039052A"/>
    <w:rsid w:val="00390733"/>
    <w:rsid w:val="0039179D"/>
    <w:rsid w:val="003936B6"/>
    <w:rsid w:val="00393FF2"/>
    <w:rsid w:val="00396747"/>
    <w:rsid w:val="003969D8"/>
    <w:rsid w:val="00396D97"/>
    <w:rsid w:val="00397C3D"/>
    <w:rsid w:val="003A0CF1"/>
    <w:rsid w:val="003A2173"/>
    <w:rsid w:val="003A5858"/>
    <w:rsid w:val="003A6E9B"/>
    <w:rsid w:val="003A7106"/>
    <w:rsid w:val="003B4C96"/>
    <w:rsid w:val="003B5E9F"/>
    <w:rsid w:val="003B7516"/>
    <w:rsid w:val="003C05CB"/>
    <w:rsid w:val="003C0891"/>
    <w:rsid w:val="003C14FE"/>
    <w:rsid w:val="003C2F38"/>
    <w:rsid w:val="003C4375"/>
    <w:rsid w:val="003D053A"/>
    <w:rsid w:val="003D2FA7"/>
    <w:rsid w:val="003D65E0"/>
    <w:rsid w:val="003D6EC9"/>
    <w:rsid w:val="003E0F52"/>
    <w:rsid w:val="003E14A3"/>
    <w:rsid w:val="003E4599"/>
    <w:rsid w:val="003F06E0"/>
    <w:rsid w:val="003F0C1C"/>
    <w:rsid w:val="003F282B"/>
    <w:rsid w:val="003F3479"/>
    <w:rsid w:val="003F6ADA"/>
    <w:rsid w:val="003F7BE5"/>
    <w:rsid w:val="00400CBA"/>
    <w:rsid w:val="00400F4B"/>
    <w:rsid w:val="00403EEE"/>
    <w:rsid w:val="004041F6"/>
    <w:rsid w:val="00404234"/>
    <w:rsid w:val="004046D3"/>
    <w:rsid w:val="004075C0"/>
    <w:rsid w:val="00412176"/>
    <w:rsid w:val="00414995"/>
    <w:rsid w:val="004149DB"/>
    <w:rsid w:val="004167EB"/>
    <w:rsid w:val="00417B39"/>
    <w:rsid w:val="00420A01"/>
    <w:rsid w:val="004245EB"/>
    <w:rsid w:val="00424FE7"/>
    <w:rsid w:val="004255DD"/>
    <w:rsid w:val="00425CB1"/>
    <w:rsid w:val="004279CB"/>
    <w:rsid w:val="0043161C"/>
    <w:rsid w:val="0043307D"/>
    <w:rsid w:val="00440632"/>
    <w:rsid w:val="00440A9D"/>
    <w:rsid w:val="004430EA"/>
    <w:rsid w:val="00443AF2"/>
    <w:rsid w:val="00443E0C"/>
    <w:rsid w:val="004454E5"/>
    <w:rsid w:val="004516F4"/>
    <w:rsid w:val="00451DF9"/>
    <w:rsid w:val="004529AF"/>
    <w:rsid w:val="00452DE8"/>
    <w:rsid w:val="00454353"/>
    <w:rsid w:val="004544B3"/>
    <w:rsid w:val="004546A5"/>
    <w:rsid w:val="00455B82"/>
    <w:rsid w:val="004570AC"/>
    <w:rsid w:val="004601CF"/>
    <w:rsid w:val="00461400"/>
    <w:rsid w:val="004625CF"/>
    <w:rsid w:val="0046368F"/>
    <w:rsid w:val="00464E32"/>
    <w:rsid w:val="00473B21"/>
    <w:rsid w:val="004743DE"/>
    <w:rsid w:val="004759D0"/>
    <w:rsid w:val="004767CE"/>
    <w:rsid w:val="00476C09"/>
    <w:rsid w:val="004817A5"/>
    <w:rsid w:val="00482111"/>
    <w:rsid w:val="0048417A"/>
    <w:rsid w:val="00486F85"/>
    <w:rsid w:val="004933F5"/>
    <w:rsid w:val="00496399"/>
    <w:rsid w:val="004A0008"/>
    <w:rsid w:val="004A0ECB"/>
    <w:rsid w:val="004A14B1"/>
    <w:rsid w:val="004A1D83"/>
    <w:rsid w:val="004A29E3"/>
    <w:rsid w:val="004A2E71"/>
    <w:rsid w:val="004A3530"/>
    <w:rsid w:val="004A4ED9"/>
    <w:rsid w:val="004A6173"/>
    <w:rsid w:val="004A7907"/>
    <w:rsid w:val="004B135E"/>
    <w:rsid w:val="004B1AC2"/>
    <w:rsid w:val="004B2297"/>
    <w:rsid w:val="004B49A4"/>
    <w:rsid w:val="004B66C3"/>
    <w:rsid w:val="004C2307"/>
    <w:rsid w:val="004C3D0C"/>
    <w:rsid w:val="004C3FD6"/>
    <w:rsid w:val="004C51BD"/>
    <w:rsid w:val="004C7869"/>
    <w:rsid w:val="004C7A39"/>
    <w:rsid w:val="004C7E8B"/>
    <w:rsid w:val="004D04F7"/>
    <w:rsid w:val="004D1A9F"/>
    <w:rsid w:val="004D632D"/>
    <w:rsid w:val="004D6655"/>
    <w:rsid w:val="004D774E"/>
    <w:rsid w:val="004E0D17"/>
    <w:rsid w:val="004E156C"/>
    <w:rsid w:val="004E3B7E"/>
    <w:rsid w:val="004E3BD2"/>
    <w:rsid w:val="004E4BF9"/>
    <w:rsid w:val="004E51D4"/>
    <w:rsid w:val="004E5222"/>
    <w:rsid w:val="004E68B3"/>
    <w:rsid w:val="004F1D7C"/>
    <w:rsid w:val="004F2D4C"/>
    <w:rsid w:val="004F4562"/>
    <w:rsid w:val="00504C9C"/>
    <w:rsid w:val="00510E6B"/>
    <w:rsid w:val="00511007"/>
    <w:rsid w:val="005124C5"/>
    <w:rsid w:val="00512C4B"/>
    <w:rsid w:val="00517F74"/>
    <w:rsid w:val="005242C6"/>
    <w:rsid w:val="0052441E"/>
    <w:rsid w:val="00533C15"/>
    <w:rsid w:val="00535440"/>
    <w:rsid w:val="00536B02"/>
    <w:rsid w:val="00543721"/>
    <w:rsid w:val="00545D61"/>
    <w:rsid w:val="00550D5A"/>
    <w:rsid w:val="0055229B"/>
    <w:rsid w:val="005527D2"/>
    <w:rsid w:val="005540A3"/>
    <w:rsid w:val="0055494B"/>
    <w:rsid w:val="00556521"/>
    <w:rsid w:val="00562755"/>
    <w:rsid w:val="00566F61"/>
    <w:rsid w:val="0057069D"/>
    <w:rsid w:val="00573068"/>
    <w:rsid w:val="00574783"/>
    <w:rsid w:val="00575410"/>
    <w:rsid w:val="005760C7"/>
    <w:rsid w:val="005771B6"/>
    <w:rsid w:val="005815FF"/>
    <w:rsid w:val="0058629F"/>
    <w:rsid w:val="0058748B"/>
    <w:rsid w:val="00587F42"/>
    <w:rsid w:val="005932EC"/>
    <w:rsid w:val="0059356C"/>
    <w:rsid w:val="00595F3D"/>
    <w:rsid w:val="00597DBD"/>
    <w:rsid w:val="005A11D5"/>
    <w:rsid w:val="005A2631"/>
    <w:rsid w:val="005A71D8"/>
    <w:rsid w:val="005C23EC"/>
    <w:rsid w:val="005C3C87"/>
    <w:rsid w:val="005C65E2"/>
    <w:rsid w:val="005D0A44"/>
    <w:rsid w:val="005D0E58"/>
    <w:rsid w:val="005D15B5"/>
    <w:rsid w:val="005D2835"/>
    <w:rsid w:val="005D2C4D"/>
    <w:rsid w:val="005D33AE"/>
    <w:rsid w:val="005D3579"/>
    <w:rsid w:val="005D3C59"/>
    <w:rsid w:val="005D6215"/>
    <w:rsid w:val="005E306B"/>
    <w:rsid w:val="005E3997"/>
    <w:rsid w:val="005E4CA4"/>
    <w:rsid w:val="005E5EA8"/>
    <w:rsid w:val="005E769C"/>
    <w:rsid w:val="005E7BD7"/>
    <w:rsid w:val="005F0ED1"/>
    <w:rsid w:val="005F1131"/>
    <w:rsid w:val="005F188B"/>
    <w:rsid w:val="005F3492"/>
    <w:rsid w:val="005F615B"/>
    <w:rsid w:val="005F6374"/>
    <w:rsid w:val="005F673C"/>
    <w:rsid w:val="005F6BCD"/>
    <w:rsid w:val="005F7642"/>
    <w:rsid w:val="005F7686"/>
    <w:rsid w:val="005F7848"/>
    <w:rsid w:val="00603C48"/>
    <w:rsid w:val="0060659B"/>
    <w:rsid w:val="00607B9C"/>
    <w:rsid w:val="00607C35"/>
    <w:rsid w:val="00612023"/>
    <w:rsid w:val="0061433D"/>
    <w:rsid w:val="00616D9B"/>
    <w:rsid w:val="006179CD"/>
    <w:rsid w:val="00620C71"/>
    <w:rsid w:val="00626B18"/>
    <w:rsid w:val="00633200"/>
    <w:rsid w:val="006341A8"/>
    <w:rsid w:val="00634369"/>
    <w:rsid w:val="00634F85"/>
    <w:rsid w:val="00636B37"/>
    <w:rsid w:val="00641432"/>
    <w:rsid w:val="0064268D"/>
    <w:rsid w:val="0064501C"/>
    <w:rsid w:val="00645A21"/>
    <w:rsid w:val="006475AB"/>
    <w:rsid w:val="00650281"/>
    <w:rsid w:val="00650C7D"/>
    <w:rsid w:val="00650CE8"/>
    <w:rsid w:val="006533E6"/>
    <w:rsid w:val="006559F0"/>
    <w:rsid w:val="006579DE"/>
    <w:rsid w:val="0066016D"/>
    <w:rsid w:val="00661E4E"/>
    <w:rsid w:val="00663DCB"/>
    <w:rsid w:val="00664953"/>
    <w:rsid w:val="00664DCA"/>
    <w:rsid w:val="0066750A"/>
    <w:rsid w:val="00667B18"/>
    <w:rsid w:val="00667E75"/>
    <w:rsid w:val="006706B5"/>
    <w:rsid w:val="00672155"/>
    <w:rsid w:val="0067608C"/>
    <w:rsid w:val="006801FC"/>
    <w:rsid w:val="00680727"/>
    <w:rsid w:val="00683FA2"/>
    <w:rsid w:val="006842FF"/>
    <w:rsid w:val="00684766"/>
    <w:rsid w:val="00684C20"/>
    <w:rsid w:val="00690827"/>
    <w:rsid w:val="00691ACF"/>
    <w:rsid w:val="00691F2D"/>
    <w:rsid w:val="00693BD7"/>
    <w:rsid w:val="006959AB"/>
    <w:rsid w:val="006966CE"/>
    <w:rsid w:val="006A0026"/>
    <w:rsid w:val="006A05BC"/>
    <w:rsid w:val="006A0CAC"/>
    <w:rsid w:val="006A0F81"/>
    <w:rsid w:val="006A2D33"/>
    <w:rsid w:val="006A5525"/>
    <w:rsid w:val="006A77B0"/>
    <w:rsid w:val="006B066D"/>
    <w:rsid w:val="006B0741"/>
    <w:rsid w:val="006B28E9"/>
    <w:rsid w:val="006B32C3"/>
    <w:rsid w:val="006B4EFC"/>
    <w:rsid w:val="006C0072"/>
    <w:rsid w:val="006C06C2"/>
    <w:rsid w:val="006C1FB7"/>
    <w:rsid w:val="006C2CFA"/>
    <w:rsid w:val="006C4C77"/>
    <w:rsid w:val="006C6850"/>
    <w:rsid w:val="006C752F"/>
    <w:rsid w:val="006D1505"/>
    <w:rsid w:val="006D40CD"/>
    <w:rsid w:val="006D4697"/>
    <w:rsid w:val="006D7056"/>
    <w:rsid w:val="006D7EAF"/>
    <w:rsid w:val="006E08B6"/>
    <w:rsid w:val="006E2E5B"/>
    <w:rsid w:val="006E3D6B"/>
    <w:rsid w:val="006E3ECB"/>
    <w:rsid w:val="006E6392"/>
    <w:rsid w:val="006E71D7"/>
    <w:rsid w:val="006F202E"/>
    <w:rsid w:val="00700EA2"/>
    <w:rsid w:val="00702438"/>
    <w:rsid w:val="0070251C"/>
    <w:rsid w:val="007038A8"/>
    <w:rsid w:val="0070461D"/>
    <w:rsid w:val="00705049"/>
    <w:rsid w:val="00707394"/>
    <w:rsid w:val="007112CF"/>
    <w:rsid w:val="00712743"/>
    <w:rsid w:val="00713054"/>
    <w:rsid w:val="0071438B"/>
    <w:rsid w:val="0071445E"/>
    <w:rsid w:val="007147D4"/>
    <w:rsid w:val="0071715D"/>
    <w:rsid w:val="007209A2"/>
    <w:rsid w:val="00720F21"/>
    <w:rsid w:val="00722D7F"/>
    <w:rsid w:val="00724921"/>
    <w:rsid w:val="00727D31"/>
    <w:rsid w:val="007316A7"/>
    <w:rsid w:val="00741268"/>
    <w:rsid w:val="007421AE"/>
    <w:rsid w:val="0074382A"/>
    <w:rsid w:val="00744391"/>
    <w:rsid w:val="007459BD"/>
    <w:rsid w:val="00745CA5"/>
    <w:rsid w:val="00745D9A"/>
    <w:rsid w:val="00746508"/>
    <w:rsid w:val="00746AC4"/>
    <w:rsid w:val="007478AF"/>
    <w:rsid w:val="00753F64"/>
    <w:rsid w:val="00755CF5"/>
    <w:rsid w:val="00756A89"/>
    <w:rsid w:val="00757F2C"/>
    <w:rsid w:val="007602A5"/>
    <w:rsid w:val="007623FE"/>
    <w:rsid w:val="007639EB"/>
    <w:rsid w:val="0076666E"/>
    <w:rsid w:val="00766B78"/>
    <w:rsid w:val="00767D9D"/>
    <w:rsid w:val="00772165"/>
    <w:rsid w:val="00772A46"/>
    <w:rsid w:val="0078091D"/>
    <w:rsid w:val="00781C2B"/>
    <w:rsid w:val="00781F6C"/>
    <w:rsid w:val="0078389A"/>
    <w:rsid w:val="007946C3"/>
    <w:rsid w:val="007949AE"/>
    <w:rsid w:val="007961CE"/>
    <w:rsid w:val="007A1328"/>
    <w:rsid w:val="007A2772"/>
    <w:rsid w:val="007A3F9D"/>
    <w:rsid w:val="007A425F"/>
    <w:rsid w:val="007A497F"/>
    <w:rsid w:val="007A64C3"/>
    <w:rsid w:val="007A67CB"/>
    <w:rsid w:val="007A7FDF"/>
    <w:rsid w:val="007B07F8"/>
    <w:rsid w:val="007B18A8"/>
    <w:rsid w:val="007B7544"/>
    <w:rsid w:val="007C09AC"/>
    <w:rsid w:val="007C0E4A"/>
    <w:rsid w:val="007C6EF5"/>
    <w:rsid w:val="007D73EF"/>
    <w:rsid w:val="007D78AC"/>
    <w:rsid w:val="007E19A9"/>
    <w:rsid w:val="007F1648"/>
    <w:rsid w:val="007F3245"/>
    <w:rsid w:val="007F42E4"/>
    <w:rsid w:val="007F7377"/>
    <w:rsid w:val="00800A07"/>
    <w:rsid w:val="0080130D"/>
    <w:rsid w:val="00801DAD"/>
    <w:rsid w:val="0080529F"/>
    <w:rsid w:val="00805E7C"/>
    <w:rsid w:val="008125B2"/>
    <w:rsid w:val="00820775"/>
    <w:rsid w:val="00821206"/>
    <w:rsid w:val="008214A9"/>
    <w:rsid w:val="00821535"/>
    <w:rsid w:val="00821E8D"/>
    <w:rsid w:val="00823AE2"/>
    <w:rsid w:val="00827369"/>
    <w:rsid w:val="008327C6"/>
    <w:rsid w:val="008334F5"/>
    <w:rsid w:val="00833917"/>
    <w:rsid w:val="00835056"/>
    <w:rsid w:val="0083688C"/>
    <w:rsid w:val="00841FDF"/>
    <w:rsid w:val="00843477"/>
    <w:rsid w:val="00846432"/>
    <w:rsid w:val="00846ECB"/>
    <w:rsid w:val="00847815"/>
    <w:rsid w:val="0085475A"/>
    <w:rsid w:val="0085492A"/>
    <w:rsid w:val="0085661C"/>
    <w:rsid w:val="008566AA"/>
    <w:rsid w:val="00857C51"/>
    <w:rsid w:val="008617B1"/>
    <w:rsid w:val="00864224"/>
    <w:rsid w:val="00866208"/>
    <w:rsid w:val="0086780F"/>
    <w:rsid w:val="00871D3A"/>
    <w:rsid w:val="0087279F"/>
    <w:rsid w:val="00874916"/>
    <w:rsid w:val="00874B2C"/>
    <w:rsid w:val="008837A3"/>
    <w:rsid w:val="008916CB"/>
    <w:rsid w:val="00891C71"/>
    <w:rsid w:val="008936DE"/>
    <w:rsid w:val="0089449A"/>
    <w:rsid w:val="00894A17"/>
    <w:rsid w:val="008A00B8"/>
    <w:rsid w:val="008A14BB"/>
    <w:rsid w:val="008A3513"/>
    <w:rsid w:val="008A5F4B"/>
    <w:rsid w:val="008A6BA9"/>
    <w:rsid w:val="008B0E84"/>
    <w:rsid w:val="008B11F4"/>
    <w:rsid w:val="008B205F"/>
    <w:rsid w:val="008C0DE2"/>
    <w:rsid w:val="008C1693"/>
    <w:rsid w:val="008C1934"/>
    <w:rsid w:val="008C3EA8"/>
    <w:rsid w:val="008C613E"/>
    <w:rsid w:val="008C7D42"/>
    <w:rsid w:val="008D07C0"/>
    <w:rsid w:val="008D0999"/>
    <w:rsid w:val="008D124A"/>
    <w:rsid w:val="008D50A2"/>
    <w:rsid w:val="008D5102"/>
    <w:rsid w:val="008D66AF"/>
    <w:rsid w:val="008D7099"/>
    <w:rsid w:val="008D7CC7"/>
    <w:rsid w:val="008E0181"/>
    <w:rsid w:val="008E5DB4"/>
    <w:rsid w:val="008E6152"/>
    <w:rsid w:val="008E7BB2"/>
    <w:rsid w:val="008E7FB2"/>
    <w:rsid w:val="008F14BF"/>
    <w:rsid w:val="008F7584"/>
    <w:rsid w:val="00901B93"/>
    <w:rsid w:val="009038F1"/>
    <w:rsid w:val="0090769F"/>
    <w:rsid w:val="00907871"/>
    <w:rsid w:val="00911505"/>
    <w:rsid w:val="00911E4D"/>
    <w:rsid w:val="009121FF"/>
    <w:rsid w:val="00917A4F"/>
    <w:rsid w:val="00923C25"/>
    <w:rsid w:val="00925764"/>
    <w:rsid w:val="00930B7D"/>
    <w:rsid w:val="00930D9D"/>
    <w:rsid w:val="00931F61"/>
    <w:rsid w:val="00933DCA"/>
    <w:rsid w:val="00934AFA"/>
    <w:rsid w:val="0093526B"/>
    <w:rsid w:val="00936D31"/>
    <w:rsid w:val="00937634"/>
    <w:rsid w:val="0093773C"/>
    <w:rsid w:val="00944AA1"/>
    <w:rsid w:val="00944CC5"/>
    <w:rsid w:val="009470F8"/>
    <w:rsid w:val="009475C7"/>
    <w:rsid w:val="009541A5"/>
    <w:rsid w:val="0096064F"/>
    <w:rsid w:val="00961433"/>
    <w:rsid w:val="00965214"/>
    <w:rsid w:val="00970149"/>
    <w:rsid w:val="00970F71"/>
    <w:rsid w:val="00971A90"/>
    <w:rsid w:val="0097298C"/>
    <w:rsid w:val="00972A1E"/>
    <w:rsid w:val="00972BD3"/>
    <w:rsid w:val="0097420A"/>
    <w:rsid w:val="009746CE"/>
    <w:rsid w:val="009747CE"/>
    <w:rsid w:val="00974BDB"/>
    <w:rsid w:val="009762EA"/>
    <w:rsid w:val="00976653"/>
    <w:rsid w:val="00977F95"/>
    <w:rsid w:val="0098078E"/>
    <w:rsid w:val="009807A8"/>
    <w:rsid w:val="00980CD1"/>
    <w:rsid w:val="009812CA"/>
    <w:rsid w:val="00983FC2"/>
    <w:rsid w:val="0098648D"/>
    <w:rsid w:val="00987E66"/>
    <w:rsid w:val="00994A69"/>
    <w:rsid w:val="00994AA3"/>
    <w:rsid w:val="00994C64"/>
    <w:rsid w:val="00995772"/>
    <w:rsid w:val="0099610D"/>
    <w:rsid w:val="0099743F"/>
    <w:rsid w:val="009A258D"/>
    <w:rsid w:val="009A47BB"/>
    <w:rsid w:val="009A53A5"/>
    <w:rsid w:val="009A53E3"/>
    <w:rsid w:val="009A5471"/>
    <w:rsid w:val="009A601C"/>
    <w:rsid w:val="009B0A58"/>
    <w:rsid w:val="009B2BC3"/>
    <w:rsid w:val="009B6852"/>
    <w:rsid w:val="009B6F7E"/>
    <w:rsid w:val="009B7857"/>
    <w:rsid w:val="009B78F3"/>
    <w:rsid w:val="009C2746"/>
    <w:rsid w:val="009C3FE2"/>
    <w:rsid w:val="009C5DE9"/>
    <w:rsid w:val="009C5E14"/>
    <w:rsid w:val="009D2E2B"/>
    <w:rsid w:val="009D3246"/>
    <w:rsid w:val="009D4A54"/>
    <w:rsid w:val="009D55C3"/>
    <w:rsid w:val="009D56AE"/>
    <w:rsid w:val="009D57D3"/>
    <w:rsid w:val="009D5D25"/>
    <w:rsid w:val="009D631E"/>
    <w:rsid w:val="009E3341"/>
    <w:rsid w:val="009E416A"/>
    <w:rsid w:val="009F08F9"/>
    <w:rsid w:val="009F0B80"/>
    <w:rsid w:val="009F241F"/>
    <w:rsid w:val="009F288F"/>
    <w:rsid w:val="009F2D23"/>
    <w:rsid w:val="009F2EBD"/>
    <w:rsid w:val="009F49CB"/>
    <w:rsid w:val="009F53C5"/>
    <w:rsid w:val="009F7982"/>
    <w:rsid w:val="009F7D8D"/>
    <w:rsid w:val="00A00DE5"/>
    <w:rsid w:val="00A01792"/>
    <w:rsid w:val="00A01E46"/>
    <w:rsid w:val="00A02E78"/>
    <w:rsid w:val="00A033E6"/>
    <w:rsid w:val="00A0357E"/>
    <w:rsid w:val="00A060C1"/>
    <w:rsid w:val="00A07189"/>
    <w:rsid w:val="00A11DC7"/>
    <w:rsid w:val="00A2060A"/>
    <w:rsid w:val="00A214BF"/>
    <w:rsid w:val="00A2197B"/>
    <w:rsid w:val="00A21F8B"/>
    <w:rsid w:val="00A240C0"/>
    <w:rsid w:val="00A279C1"/>
    <w:rsid w:val="00A309B6"/>
    <w:rsid w:val="00A3114A"/>
    <w:rsid w:val="00A33C52"/>
    <w:rsid w:val="00A347DB"/>
    <w:rsid w:val="00A36243"/>
    <w:rsid w:val="00A36428"/>
    <w:rsid w:val="00A42548"/>
    <w:rsid w:val="00A4270A"/>
    <w:rsid w:val="00A43CDF"/>
    <w:rsid w:val="00A43EEB"/>
    <w:rsid w:val="00A45414"/>
    <w:rsid w:val="00A45A03"/>
    <w:rsid w:val="00A45AE2"/>
    <w:rsid w:val="00A468B6"/>
    <w:rsid w:val="00A46E8D"/>
    <w:rsid w:val="00A500A1"/>
    <w:rsid w:val="00A5385B"/>
    <w:rsid w:val="00A53DBA"/>
    <w:rsid w:val="00A541DB"/>
    <w:rsid w:val="00A54DF2"/>
    <w:rsid w:val="00A56C10"/>
    <w:rsid w:val="00A57D64"/>
    <w:rsid w:val="00A6005C"/>
    <w:rsid w:val="00A60C96"/>
    <w:rsid w:val="00A614B6"/>
    <w:rsid w:val="00A637C5"/>
    <w:rsid w:val="00A65D3B"/>
    <w:rsid w:val="00A73E65"/>
    <w:rsid w:val="00A7629C"/>
    <w:rsid w:val="00A76463"/>
    <w:rsid w:val="00A76D38"/>
    <w:rsid w:val="00A8498B"/>
    <w:rsid w:val="00A87042"/>
    <w:rsid w:val="00AA0821"/>
    <w:rsid w:val="00AA09B4"/>
    <w:rsid w:val="00AA0B6A"/>
    <w:rsid w:val="00AA15B6"/>
    <w:rsid w:val="00AA52CC"/>
    <w:rsid w:val="00AA5A23"/>
    <w:rsid w:val="00AA703C"/>
    <w:rsid w:val="00AA7042"/>
    <w:rsid w:val="00AA7A4F"/>
    <w:rsid w:val="00AB1120"/>
    <w:rsid w:val="00AB2D0E"/>
    <w:rsid w:val="00AB3749"/>
    <w:rsid w:val="00AB3EDF"/>
    <w:rsid w:val="00AB6A17"/>
    <w:rsid w:val="00AB6B3B"/>
    <w:rsid w:val="00AB6BB9"/>
    <w:rsid w:val="00AC0B86"/>
    <w:rsid w:val="00AC463C"/>
    <w:rsid w:val="00AC545E"/>
    <w:rsid w:val="00AD223F"/>
    <w:rsid w:val="00AD3641"/>
    <w:rsid w:val="00AD3C8A"/>
    <w:rsid w:val="00AD5999"/>
    <w:rsid w:val="00AD6CA1"/>
    <w:rsid w:val="00AE4716"/>
    <w:rsid w:val="00AE72CD"/>
    <w:rsid w:val="00AF08EA"/>
    <w:rsid w:val="00AF642B"/>
    <w:rsid w:val="00AF7986"/>
    <w:rsid w:val="00AF7DF8"/>
    <w:rsid w:val="00B07122"/>
    <w:rsid w:val="00B079C1"/>
    <w:rsid w:val="00B10953"/>
    <w:rsid w:val="00B10C72"/>
    <w:rsid w:val="00B12FE7"/>
    <w:rsid w:val="00B153C3"/>
    <w:rsid w:val="00B20B7B"/>
    <w:rsid w:val="00B20DC1"/>
    <w:rsid w:val="00B21ED9"/>
    <w:rsid w:val="00B23C30"/>
    <w:rsid w:val="00B24772"/>
    <w:rsid w:val="00B25A45"/>
    <w:rsid w:val="00B26FA4"/>
    <w:rsid w:val="00B32C1E"/>
    <w:rsid w:val="00B350E5"/>
    <w:rsid w:val="00B369DC"/>
    <w:rsid w:val="00B4254A"/>
    <w:rsid w:val="00B42C71"/>
    <w:rsid w:val="00B42F17"/>
    <w:rsid w:val="00B46EBC"/>
    <w:rsid w:val="00B46EF0"/>
    <w:rsid w:val="00B518D8"/>
    <w:rsid w:val="00B534D6"/>
    <w:rsid w:val="00B53DEC"/>
    <w:rsid w:val="00B5439C"/>
    <w:rsid w:val="00B54B9A"/>
    <w:rsid w:val="00B54C80"/>
    <w:rsid w:val="00B5680F"/>
    <w:rsid w:val="00B61407"/>
    <w:rsid w:val="00B6185B"/>
    <w:rsid w:val="00B62838"/>
    <w:rsid w:val="00B64BCB"/>
    <w:rsid w:val="00B64DFD"/>
    <w:rsid w:val="00B64F58"/>
    <w:rsid w:val="00B66B43"/>
    <w:rsid w:val="00B714A6"/>
    <w:rsid w:val="00B721E4"/>
    <w:rsid w:val="00B74D42"/>
    <w:rsid w:val="00B81C3A"/>
    <w:rsid w:val="00B82257"/>
    <w:rsid w:val="00B84179"/>
    <w:rsid w:val="00B85489"/>
    <w:rsid w:val="00B85592"/>
    <w:rsid w:val="00B87E15"/>
    <w:rsid w:val="00B92364"/>
    <w:rsid w:val="00B94CFD"/>
    <w:rsid w:val="00B95303"/>
    <w:rsid w:val="00B96283"/>
    <w:rsid w:val="00BA18FE"/>
    <w:rsid w:val="00BA4431"/>
    <w:rsid w:val="00BA5BB5"/>
    <w:rsid w:val="00BA77C2"/>
    <w:rsid w:val="00BB2BBD"/>
    <w:rsid w:val="00BB4D89"/>
    <w:rsid w:val="00BB5073"/>
    <w:rsid w:val="00BC1C47"/>
    <w:rsid w:val="00BC7033"/>
    <w:rsid w:val="00BC772A"/>
    <w:rsid w:val="00BD3426"/>
    <w:rsid w:val="00BD490A"/>
    <w:rsid w:val="00BD5B26"/>
    <w:rsid w:val="00BE15B7"/>
    <w:rsid w:val="00BE299C"/>
    <w:rsid w:val="00BE3ABB"/>
    <w:rsid w:val="00BE3F2A"/>
    <w:rsid w:val="00BE44D8"/>
    <w:rsid w:val="00BE6DB4"/>
    <w:rsid w:val="00BF161B"/>
    <w:rsid w:val="00BF19CC"/>
    <w:rsid w:val="00BF6BC0"/>
    <w:rsid w:val="00BF6F15"/>
    <w:rsid w:val="00C007AC"/>
    <w:rsid w:val="00C02A95"/>
    <w:rsid w:val="00C056FC"/>
    <w:rsid w:val="00C066B2"/>
    <w:rsid w:val="00C06A78"/>
    <w:rsid w:val="00C06A91"/>
    <w:rsid w:val="00C07AE5"/>
    <w:rsid w:val="00C121A0"/>
    <w:rsid w:val="00C13C74"/>
    <w:rsid w:val="00C15430"/>
    <w:rsid w:val="00C17A1A"/>
    <w:rsid w:val="00C201AB"/>
    <w:rsid w:val="00C204BB"/>
    <w:rsid w:val="00C20616"/>
    <w:rsid w:val="00C2387E"/>
    <w:rsid w:val="00C26450"/>
    <w:rsid w:val="00C27783"/>
    <w:rsid w:val="00C3295E"/>
    <w:rsid w:val="00C334A8"/>
    <w:rsid w:val="00C3571A"/>
    <w:rsid w:val="00C37788"/>
    <w:rsid w:val="00C37997"/>
    <w:rsid w:val="00C41734"/>
    <w:rsid w:val="00C42D15"/>
    <w:rsid w:val="00C43166"/>
    <w:rsid w:val="00C43C67"/>
    <w:rsid w:val="00C45953"/>
    <w:rsid w:val="00C471B3"/>
    <w:rsid w:val="00C534FA"/>
    <w:rsid w:val="00C53C06"/>
    <w:rsid w:val="00C53CD6"/>
    <w:rsid w:val="00C540A7"/>
    <w:rsid w:val="00C5635F"/>
    <w:rsid w:val="00C569A7"/>
    <w:rsid w:val="00C572E4"/>
    <w:rsid w:val="00C57486"/>
    <w:rsid w:val="00C57EAD"/>
    <w:rsid w:val="00C57FDF"/>
    <w:rsid w:val="00C60E2D"/>
    <w:rsid w:val="00C610C3"/>
    <w:rsid w:val="00C614E0"/>
    <w:rsid w:val="00C630D0"/>
    <w:rsid w:val="00C64113"/>
    <w:rsid w:val="00C715A4"/>
    <w:rsid w:val="00C72670"/>
    <w:rsid w:val="00C72931"/>
    <w:rsid w:val="00C80F9D"/>
    <w:rsid w:val="00C81CBD"/>
    <w:rsid w:val="00C81D58"/>
    <w:rsid w:val="00C84989"/>
    <w:rsid w:val="00C851F9"/>
    <w:rsid w:val="00C875D7"/>
    <w:rsid w:val="00C92469"/>
    <w:rsid w:val="00C9290C"/>
    <w:rsid w:val="00C93211"/>
    <w:rsid w:val="00C93410"/>
    <w:rsid w:val="00C97CFA"/>
    <w:rsid w:val="00CA0058"/>
    <w:rsid w:val="00CA0358"/>
    <w:rsid w:val="00CA1E47"/>
    <w:rsid w:val="00CA1EC7"/>
    <w:rsid w:val="00CA2AC4"/>
    <w:rsid w:val="00CA4685"/>
    <w:rsid w:val="00CA7034"/>
    <w:rsid w:val="00CB14AF"/>
    <w:rsid w:val="00CB33C2"/>
    <w:rsid w:val="00CB3F29"/>
    <w:rsid w:val="00CB476C"/>
    <w:rsid w:val="00CB6810"/>
    <w:rsid w:val="00CB6B08"/>
    <w:rsid w:val="00CB6D71"/>
    <w:rsid w:val="00CB7364"/>
    <w:rsid w:val="00CB758E"/>
    <w:rsid w:val="00CC079B"/>
    <w:rsid w:val="00CC0E81"/>
    <w:rsid w:val="00CC3EF5"/>
    <w:rsid w:val="00CC7DE1"/>
    <w:rsid w:val="00CD10D0"/>
    <w:rsid w:val="00CD191A"/>
    <w:rsid w:val="00CD1977"/>
    <w:rsid w:val="00CD40F2"/>
    <w:rsid w:val="00CD51A6"/>
    <w:rsid w:val="00CD56D8"/>
    <w:rsid w:val="00CD5B9A"/>
    <w:rsid w:val="00CD6AB5"/>
    <w:rsid w:val="00CE0B75"/>
    <w:rsid w:val="00CE3A3C"/>
    <w:rsid w:val="00CE50B6"/>
    <w:rsid w:val="00CE6A7D"/>
    <w:rsid w:val="00CF090D"/>
    <w:rsid w:val="00CF09D2"/>
    <w:rsid w:val="00CF1FB7"/>
    <w:rsid w:val="00CF4195"/>
    <w:rsid w:val="00CF50CC"/>
    <w:rsid w:val="00D03188"/>
    <w:rsid w:val="00D0704F"/>
    <w:rsid w:val="00D17E6F"/>
    <w:rsid w:val="00D21420"/>
    <w:rsid w:val="00D21795"/>
    <w:rsid w:val="00D259C6"/>
    <w:rsid w:val="00D2721B"/>
    <w:rsid w:val="00D27F1E"/>
    <w:rsid w:val="00D30ED5"/>
    <w:rsid w:val="00D327E8"/>
    <w:rsid w:val="00D332E9"/>
    <w:rsid w:val="00D34316"/>
    <w:rsid w:val="00D34F63"/>
    <w:rsid w:val="00D35879"/>
    <w:rsid w:val="00D43CDB"/>
    <w:rsid w:val="00D43F71"/>
    <w:rsid w:val="00D538D1"/>
    <w:rsid w:val="00D572ED"/>
    <w:rsid w:val="00D60251"/>
    <w:rsid w:val="00D62D5E"/>
    <w:rsid w:val="00D6488B"/>
    <w:rsid w:val="00D66550"/>
    <w:rsid w:val="00D66AF4"/>
    <w:rsid w:val="00D67031"/>
    <w:rsid w:val="00D700D4"/>
    <w:rsid w:val="00D7336F"/>
    <w:rsid w:val="00D73AAD"/>
    <w:rsid w:val="00D80E29"/>
    <w:rsid w:val="00D910FE"/>
    <w:rsid w:val="00D94474"/>
    <w:rsid w:val="00D9586E"/>
    <w:rsid w:val="00D97CEA"/>
    <w:rsid w:val="00DA0689"/>
    <w:rsid w:val="00DA163D"/>
    <w:rsid w:val="00DA2CF4"/>
    <w:rsid w:val="00DA3957"/>
    <w:rsid w:val="00DA6B67"/>
    <w:rsid w:val="00DB19C6"/>
    <w:rsid w:val="00DB2096"/>
    <w:rsid w:val="00DB255F"/>
    <w:rsid w:val="00DB2B7D"/>
    <w:rsid w:val="00DB44EF"/>
    <w:rsid w:val="00DC1AA3"/>
    <w:rsid w:val="00DC23D8"/>
    <w:rsid w:val="00DC5F01"/>
    <w:rsid w:val="00DC5FD8"/>
    <w:rsid w:val="00DD0487"/>
    <w:rsid w:val="00DD0D1D"/>
    <w:rsid w:val="00DD1772"/>
    <w:rsid w:val="00DD1CBC"/>
    <w:rsid w:val="00DD35CB"/>
    <w:rsid w:val="00DD3A94"/>
    <w:rsid w:val="00DD4F66"/>
    <w:rsid w:val="00DD62DE"/>
    <w:rsid w:val="00DD65D3"/>
    <w:rsid w:val="00DD7F62"/>
    <w:rsid w:val="00DE060C"/>
    <w:rsid w:val="00DE184C"/>
    <w:rsid w:val="00DE1ADB"/>
    <w:rsid w:val="00DE253A"/>
    <w:rsid w:val="00DE4647"/>
    <w:rsid w:val="00DE5CA7"/>
    <w:rsid w:val="00DE6FD1"/>
    <w:rsid w:val="00DE70A1"/>
    <w:rsid w:val="00DF1DAD"/>
    <w:rsid w:val="00DF3724"/>
    <w:rsid w:val="00DF5ECA"/>
    <w:rsid w:val="00DF7A1C"/>
    <w:rsid w:val="00E004BF"/>
    <w:rsid w:val="00E03374"/>
    <w:rsid w:val="00E07FDA"/>
    <w:rsid w:val="00E12182"/>
    <w:rsid w:val="00E13B84"/>
    <w:rsid w:val="00E149D3"/>
    <w:rsid w:val="00E17C19"/>
    <w:rsid w:val="00E202BD"/>
    <w:rsid w:val="00E20441"/>
    <w:rsid w:val="00E20953"/>
    <w:rsid w:val="00E234BE"/>
    <w:rsid w:val="00E23A7E"/>
    <w:rsid w:val="00E275B0"/>
    <w:rsid w:val="00E31CB8"/>
    <w:rsid w:val="00E342CD"/>
    <w:rsid w:val="00E35BA2"/>
    <w:rsid w:val="00E3646B"/>
    <w:rsid w:val="00E36857"/>
    <w:rsid w:val="00E37D78"/>
    <w:rsid w:val="00E41438"/>
    <w:rsid w:val="00E428D5"/>
    <w:rsid w:val="00E46967"/>
    <w:rsid w:val="00E4759C"/>
    <w:rsid w:val="00E477A9"/>
    <w:rsid w:val="00E47826"/>
    <w:rsid w:val="00E47D0A"/>
    <w:rsid w:val="00E47D1C"/>
    <w:rsid w:val="00E47FF8"/>
    <w:rsid w:val="00E52A7B"/>
    <w:rsid w:val="00E53FFC"/>
    <w:rsid w:val="00E55166"/>
    <w:rsid w:val="00E62782"/>
    <w:rsid w:val="00E62F1C"/>
    <w:rsid w:val="00E667DE"/>
    <w:rsid w:val="00E764BD"/>
    <w:rsid w:val="00E8134C"/>
    <w:rsid w:val="00E818A2"/>
    <w:rsid w:val="00E8253D"/>
    <w:rsid w:val="00E83878"/>
    <w:rsid w:val="00E84C83"/>
    <w:rsid w:val="00E853EF"/>
    <w:rsid w:val="00E86D3E"/>
    <w:rsid w:val="00E86F75"/>
    <w:rsid w:val="00E94EBA"/>
    <w:rsid w:val="00E950B2"/>
    <w:rsid w:val="00E95E5A"/>
    <w:rsid w:val="00E979F0"/>
    <w:rsid w:val="00EA322E"/>
    <w:rsid w:val="00EA3865"/>
    <w:rsid w:val="00EA640E"/>
    <w:rsid w:val="00EA7B36"/>
    <w:rsid w:val="00EB00CE"/>
    <w:rsid w:val="00EB0377"/>
    <w:rsid w:val="00EB09E6"/>
    <w:rsid w:val="00EC1A02"/>
    <w:rsid w:val="00EC26D0"/>
    <w:rsid w:val="00EC3724"/>
    <w:rsid w:val="00EC38F9"/>
    <w:rsid w:val="00EC3C4E"/>
    <w:rsid w:val="00EC6D6E"/>
    <w:rsid w:val="00EC7DB0"/>
    <w:rsid w:val="00ED38E1"/>
    <w:rsid w:val="00ED3E0F"/>
    <w:rsid w:val="00ED7439"/>
    <w:rsid w:val="00EE254B"/>
    <w:rsid w:val="00EE66E4"/>
    <w:rsid w:val="00EE7345"/>
    <w:rsid w:val="00EE7702"/>
    <w:rsid w:val="00EF10E7"/>
    <w:rsid w:val="00EF4631"/>
    <w:rsid w:val="00EF687D"/>
    <w:rsid w:val="00EF74AF"/>
    <w:rsid w:val="00F0090A"/>
    <w:rsid w:val="00F00D06"/>
    <w:rsid w:val="00F04202"/>
    <w:rsid w:val="00F11749"/>
    <w:rsid w:val="00F12365"/>
    <w:rsid w:val="00F143C5"/>
    <w:rsid w:val="00F1488E"/>
    <w:rsid w:val="00F14A0C"/>
    <w:rsid w:val="00F14FF3"/>
    <w:rsid w:val="00F1655A"/>
    <w:rsid w:val="00F16D35"/>
    <w:rsid w:val="00F17AAA"/>
    <w:rsid w:val="00F21A98"/>
    <w:rsid w:val="00F2263C"/>
    <w:rsid w:val="00F23CD5"/>
    <w:rsid w:val="00F244CF"/>
    <w:rsid w:val="00F249DA"/>
    <w:rsid w:val="00F273AA"/>
    <w:rsid w:val="00F319D2"/>
    <w:rsid w:val="00F31F76"/>
    <w:rsid w:val="00F34573"/>
    <w:rsid w:val="00F354C6"/>
    <w:rsid w:val="00F35F1F"/>
    <w:rsid w:val="00F36428"/>
    <w:rsid w:val="00F36B72"/>
    <w:rsid w:val="00F373B6"/>
    <w:rsid w:val="00F41A02"/>
    <w:rsid w:val="00F43772"/>
    <w:rsid w:val="00F46846"/>
    <w:rsid w:val="00F46DAC"/>
    <w:rsid w:val="00F5291A"/>
    <w:rsid w:val="00F5407C"/>
    <w:rsid w:val="00F54E19"/>
    <w:rsid w:val="00F5719B"/>
    <w:rsid w:val="00F6164E"/>
    <w:rsid w:val="00F67309"/>
    <w:rsid w:val="00F7036B"/>
    <w:rsid w:val="00F70AFE"/>
    <w:rsid w:val="00F7204F"/>
    <w:rsid w:val="00F74013"/>
    <w:rsid w:val="00F7498C"/>
    <w:rsid w:val="00F75041"/>
    <w:rsid w:val="00F76A01"/>
    <w:rsid w:val="00F76CE4"/>
    <w:rsid w:val="00F83AEC"/>
    <w:rsid w:val="00F84C5A"/>
    <w:rsid w:val="00F85B1A"/>
    <w:rsid w:val="00F906C9"/>
    <w:rsid w:val="00F924B5"/>
    <w:rsid w:val="00FA2913"/>
    <w:rsid w:val="00FA55EF"/>
    <w:rsid w:val="00FA6A5E"/>
    <w:rsid w:val="00FB0B13"/>
    <w:rsid w:val="00FB13FA"/>
    <w:rsid w:val="00FB4C8B"/>
    <w:rsid w:val="00FB534D"/>
    <w:rsid w:val="00FB5AA1"/>
    <w:rsid w:val="00FB7115"/>
    <w:rsid w:val="00FC10DA"/>
    <w:rsid w:val="00FC12F8"/>
    <w:rsid w:val="00FC31C0"/>
    <w:rsid w:val="00FD16DE"/>
    <w:rsid w:val="00FD2146"/>
    <w:rsid w:val="00FD33C7"/>
    <w:rsid w:val="00FD6702"/>
    <w:rsid w:val="00FD6767"/>
    <w:rsid w:val="00FD7957"/>
    <w:rsid w:val="00FE0876"/>
    <w:rsid w:val="00FE11B9"/>
    <w:rsid w:val="00FE1AB1"/>
    <w:rsid w:val="00FE43BF"/>
    <w:rsid w:val="00FE4898"/>
    <w:rsid w:val="00FE7AC7"/>
    <w:rsid w:val="00FF000D"/>
    <w:rsid w:val="00FF5FBC"/>
    <w:rsid w:val="00FF6E13"/>
    <w:rsid w:val="00FF74F9"/>
    <w:rsid w:val="00FF7622"/>
    <w:rsid w:val="03CF5779"/>
    <w:rsid w:val="0D042FA4"/>
    <w:rsid w:val="0F1876A3"/>
    <w:rsid w:val="15BE1A74"/>
    <w:rsid w:val="15FA13E3"/>
    <w:rsid w:val="18306FFE"/>
    <w:rsid w:val="1C717B99"/>
    <w:rsid w:val="1D331CA9"/>
    <w:rsid w:val="1DE57935"/>
    <w:rsid w:val="1E3E7A0D"/>
    <w:rsid w:val="38FD4F23"/>
    <w:rsid w:val="39945F03"/>
    <w:rsid w:val="430B6F1A"/>
    <w:rsid w:val="45EF1679"/>
    <w:rsid w:val="4811077E"/>
    <w:rsid w:val="48A32B79"/>
    <w:rsid w:val="55E475CD"/>
    <w:rsid w:val="576349B8"/>
    <w:rsid w:val="5CDA514E"/>
    <w:rsid w:val="60C506DB"/>
    <w:rsid w:val="68787954"/>
    <w:rsid w:val="77AC3283"/>
    <w:rsid w:val="7C8C0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szCs w:val="24"/>
    </w:rPr>
  </w:style>
  <w:style w:type="character" w:styleId="8">
    <w:name w:val="Strong"/>
    <w:basedOn w:val="7"/>
    <w:qFormat/>
    <w:uiPriority w:val="0"/>
    <w:rPr>
      <w:b/>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1">
    <w:name w:val="标题 1 Char"/>
    <w:basedOn w:val="7"/>
    <w:link w:val="2"/>
    <w:qFormat/>
    <w:uiPriority w:val="9"/>
    <w:rPr>
      <w:rFonts w:ascii="Calibri" w:hAnsi="Calibri" w:eastAsia="宋体" w:cs="Times New Roman"/>
      <w:b/>
      <w:bCs/>
      <w:kern w:val="44"/>
      <w:sz w:val="44"/>
      <w:szCs w:val="44"/>
    </w:rPr>
  </w:style>
  <w:style w:type="character" w:customStyle="1" w:styleId="12">
    <w:name w:val="页眉 Char"/>
    <w:basedOn w:val="7"/>
    <w:link w:val="4"/>
    <w:semiHidden/>
    <w:qFormat/>
    <w:uiPriority w:val="99"/>
    <w:rPr>
      <w:rFonts w:ascii="Calibri" w:hAnsi="Calibri" w:eastAsia="宋体" w:cs="Times New Roman"/>
      <w:sz w:val="18"/>
      <w:szCs w:val="18"/>
    </w:rPr>
  </w:style>
  <w:style w:type="character" w:customStyle="1" w:styleId="13">
    <w:name w:val="页脚 Char"/>
    <w:basedOn w:val="7"/>
    <w:link w:val="3"/>
    <w:semiHidden/>
    <w:qFormat/>
    <w:uiPriority w:val="99"/>
    <w:rPr>
      <w:rFonts w:ascii="Calibri" w:hAnsi="Calibri" w:eastAsia="宋体" w:cs="Times New Roman"/>
      <w:sz w:val="18"/>
      <w:szCs w:val="18"/>
    </w:rPr>
  </w:style>
  <w:style w:type="paragraph" w:customStyle="1" w:styleId="14">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23</Pages>
  <Words>1359</Words>
  <Characters>7750</Characters>
  <Lines>64</Lines>
  <Paragraphs>18</Paragraphs>
  <TotalTime>14</TotalTime>
  <ScaleCrop>false</ScaleCrop>
  <LinksUpToDate>false</LinksUpToDate>
  <CharactersWithSpaces>9091</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2023-04-20T02:32:00Z</dcterms:created>
  <dc:creator>User</dc:creator>
  <cp:lastModifiedBy>DELL</cp:lastModifiedBy>
  <dcterms:modified xsi:type="dcterms:W3CDTF">2023-04-21T06:32:48Z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