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after="100" w:line="590" w:lineRule="atLeast"/>
        <w:ind w:firstLine="600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  <w:t>盘龙区社会福利中心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年“三公”经费决算公开</w:t>
      </w:r>
    </w:p>
    <w:p>
      <w:pPr>
        <w:pStyle w:val="10"/>
        <w:spacing w:before="0" w:after="0" w:line="590" w:lineRule="atLeast"/>
        <w:ind w:left="0" w:right="0" w:firstLine="601"/>
        <w:rPr>
          <w:rFonts w:ascii="宋体" w:hAnsi="宋体" w:eastAsia="宋体" w:cs="宋体"/>
        </w:rPr>
      </w:pPr>
      <w:r>
        <w:rPr>
          <w:rFonts w:ascii="仿宋" w:hAnsi="仿宋" w:eastAsia="仿宋" w:cs="仿宋"/>
          <w:sz w:val="30"/>
          <w:szCs w:val="30"/>
        </w:rPr>
        <w:t>2022年度财政拨款</w:t>
      </w:r>
      <w:r>
        <w:rPr>
          <w:rFonts w:ascii="Times New Roman" w:hAnsi="Times New Roman" w:eastAsia="Times New Roman" w:cs="Times New Roman"/>
          <w:sz w:val="30"/>
          <w:szCs w:val="30"/>
        </w:rPr>
        <w:t>“</w:t>
      </w:r>
      <w:r>
        <w:rPr>
          <w:rFonts w:ascii="仿宋" w:hAnsi="仿宋" w:eastAsia="仿宋" w:cs="仿宋"/>
          <w:sz w:val="30"/>
          <w:szCs w:val="30"/>
        </w:rPr>
        <w:t>三公</w:t>
      </w:r>
      <w:r>
        <w:rPr>
          <w:rFonts w:ascii="Times New Roman" w:hAnsi="Times New Roman" w:eastAsia="Times New Roman" w:cs="Times New Roman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>经费支出决算中，财政拨款</w:t>
      </w:r>
      <w:r>
        <w:rPr>
          <w:rFonts w:ascii="Times New Roman" w:hAnsi="Times New Roman" w:eastAsia="Times New Roman" w:cs="Times New Roman"/>
          <w:sz w:val="30"/>
          <w:szCs w:val="30"/>
        </w:rPr>
        <w:t>“</w:t>
      </w:r>
      <w:r>
        <w:rPr>
          <w:rFonts w:ascii="仿宋" w:hAnsi="仿宋" w:eastAsia="仿宋" w:cs="仿宋"/>
          <w:sz w:val="30"/>
          <w:szCs w:val="30"/>
        </w:rPr>
        <w:t>三公</w:t>
      </w:r>
      <w:r>
        <w:rPr>
          <w:rFonts w:ascii="Times New Roman" w:hAnsi="Times New Roman" w:eastAsia="Times New Roman" w:cs="Times New Roman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>经费支出年初预算为0.00元，支出决算为0.00元，完成年初预算的0.00%。其中：因公出国（境）费支出决算0.00元，占总支出决算的0.00%；公务用车购置费支出决算0.00元，占总支出决算的0.00%；公务用车运行维护费支出决算0.00元，占总支出决算的0.00%；公务接待费支出决算0.00元，占总支出决算的0.00%，具体是国内接待费支出决算0.00元（其中：外事接待费支出决算0.00元），国（境）外接待费支出决算0.00元。明细情况如下：</w:t>
      </w:r>
    </w:p>
    <w:p>
      <w:pPr>
        <w:pStyle w:val="10"/>
        <w:spacing w:before="0" w:after="0" w:line="590" w:lineRule="atLeast"/>
        <w:ind w:left="0" w:right="0" w:firstLine="600"/>
        <w:rPr>
          <w:rFonts w:ascii="宋体" w:hAnsi="宋体" w:eastAsia="宋体" w:cs="宋体"/>
        </w:rPr>
      </w:pPr>
      <w:r>
        <w:rPr>
          <w:rFonts w:ascii="楷体" w:hAnsi="楷体" w:eastAsia="楷体" w:cs="楷体"/>
          <w:sz w:val="30"/>
          <w:szCs w:val="30"/>
        </w:rPr>
        <w:t>(一)</w:t>
      </w:r>
      <w:r>
        <w:rPr>
          <w:rFonts w:ascii="Calibri" w:hAnsi="Calibri" w:eastAsia="Calibri" w:cs="Calibri"/>
          <w:sz w:val="30"/>
          <w:szCs w:val="30"/>
        </w:rPr>
        <w:t> </w:t>
      </w:r>
      <w:r>
        <w:rPr>
          <w:rFonts w:ascii="楷体" w:hAnsi="楷体" w:eastAsia="楷体" w:cs="楷体"/>
          <w:sz w:val="30"/>
          <w:szCs w:val="30"/>
        </w:rPr>
        <w:t>一般公共预算财政拨款</w:t>
      </w:r>
      <w:r>
        <w:rPr>
          <w:rFonts w:ascii="Times New Roman" w:hAnsi="Times New Roman" w:eastAsia="Times New Roman" w:cs="Times New Roman"/>
          <w:sz w:val="30"/>
          <w:szCs w:val="30"/>
        </w:rPr>
        <w:t>“</w:t>
      </w:r>
      <w:r>
        <w:rPr>
          <w:rFonts w:ascii="楷体" w:hAnsi="楷体" w:eastAsia="楷体" w:cs="楷体"/>
          <w:sz w:val="30"/>
          <w:szCs w:val="30"/>
        </w:rPr>
        <w:t>三公</w:t>
      </w:r>
      <w:r>
        <w:rPr>
          <w:rFonts w:ascii="Times New Roman" w:hAnsi="Times New Roman" w:eastAsia="Times New Roman" w:cs="Times New Roman"/>
          <w:sz w:val="30"/>
          <w:szCs w:val="30"/>
        </w:rPr>
        <w:t>”</w:t>
      </w:r>
      <w:r>
        <w:rPr>
          <w:rFonts w:ascii="楷体" w:hAnsi="楷体" w:eastAsia="楷体" w:cs="楷体"/>
          <w:sz w:val="30"/>
          <w:szCs w:val="30"/>
        </w:rPr>
        <w:t>经费支出决算总体情况</w:t>
      </w:r>
    </w:p>
    <w:p>
      <w:pPr>
        <w:pStyle w:val="10"/>
        <w:spacing w:before="0" w:after="0" w:line="590" w:lineRule="atLeast"/>
        <w:ind w:left="0" w:right="0" w:firstLine="601"/>
        <w:jc w:val="both"/>
        <w:rPr>
          <w:rFonts w:ascii="宋体" w:hAnsi="宋体" w:eastAsia="宋体" w:cs="宋体"/>
        </w:rPr>
      </w:pPr>
      <w:r>
        <w:rPr>
          <w:rFonts w:ascii="仿宋" w:hAnsi="仿宋" w:eastAsia="仿宋" w:cs="仿宋"/>
          <w:sz w:val="30"/>
          <w:szCs w:val="30"/>
        </w:rPr>
        <w:t>昆明市盘龙区社会福利中心部门2022年度一般公共预算财政拨款</w:t>
      </w:r>
      <w:r>
        <w:rPr>
          <w:rFonts w:ascii="Times New Roman" w:hAnsi="Times New Roman" w:eastAsia="Times New Roman" w:cs="Times New Roman"/>
          <w:sz w:val="30"/>
          <w:szCs w:val="30"/>
        </w:rPr>
        <w:t>“</w:t>
      </w:r>
      <w:r>
        <w:rPr>
          <w:rFonts w:ascii="仿宋" w:hAnsi="仿宋" w:eastAsia="仿宋" w:cs="仿宋"/>
          <w:sz w:val="30"/>
          <w:szCs w:val="30"/>
        </w:rPr>
        <w:t>三公</w:t>
      </w:r>
      <w:r>
        <w:rPr>
          <w:rFonts w:ascii="Times New Roman" w:hAnsi="Times New Roman" w:eastAsia="Times New Roman" w:cs="Times New Roman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>经费支出年初预算为0.00元，支出决算为0.00元，完成年初预算的0.00%。其中：因公出国（境）费支出决算为0.00元，完成年初预算的0.00%；公务用车购置费支出决算为0.00元，完成年初预算的0.00%；公务用车运行维护费支出决算为0.00元，完成年初预算的0%；公务接待费支出决算为0.00元，完成年初预算的0.00%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2022年度一般公共预算财政拨款“三公”经费支出决算数等于年初预算数的主要原因是2022年预算定额标准与上年一致。</w:t>
      </w:r>
    </w:p>
    <w:p>
      <w:pPr>
        <w:pStyle w:val="10"/>
        <w:spacing w:before="0" w:after="0" w:line="590" w:lineRule="atLeast"/>
        <w:ind w:left="0" w:right="0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2022年度一般公共预算财政拨款“三公”经费支出决算数比上年减少0.00元，下降0.00%。其中：因公出国（境）费支出决算减少0.00元，下降0.00%；公务用车购置费支出决算增减少0.00元，下降0.00%；公务用车运行维护费支出决算减少0.00元，下降0.00%；公务接待费支出决算减少0.00元，下降0.00%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2022年度一般公共预算财政拨款“三公”经费支出决算减少的主要原因是2022年控制支出。</w:t>
      </w:r>
    </w:p>
    <w:p>
      <w:pPr>
        <w:pStyle w:val="10"/>
        <w:spacing w:before="0" w:after="0" w:line="590" w:lineRule="atLeast"/>
        <w:ind w:left="0" w:right="0" w:firstLine="600"/>
        <w:rPr>
          <w:rFonts w:ascii="宋体" w:hAnsi="宋体" w:eastAsia="宋体" w:cs="宋体"/>
        </w:rPr>
      </w:pPr>
      <w:r>
        <w:rPr>
          <w:rFonts w:ascii="仿宋" w:hAnsi="仿宋" w:eastAsia="仿宋" w:cs="仿宋"/>
          <w:sz w:val="30"/>
          <w:szCs w:val="30"/>
        </w:rPr>
        <w:t>(二) 一般公共预算财政拨款“三公”经费支出实物量的具体情况</w:t>
      </w:r>
    </w:p>
    <w:p>
      <w:pPr>
        <w:pStyle w:val="10"/>
        <w:spacing w:before="0" w:after="0" w:line="590" w:lineRule="atLeast"/>
        <w:ind w:left="0" w:right="0" w:firstLine="602"/>
        <w:rPr>
          <w:rFonts w:ascii="宋体" w:hAnsi="宋体" w:eastAsia="宋体" w:cs="宋体"/>
        </w:rPr>
      </w:pPr>
      <w:r>
        <w:rPr>
          <w:rFonts w:ascii="仿宋" w:hAnsi="仿宋" w:eastAsia="仿宋" w:cs="仿宋"/>
          <w:sz w:val="30"/>
          <w:szCs w:val="30"/>
        </w:rPr>
        <w:t>1.安排因公出国（境）团组0个，累计0人次。</w:t>
      </w:r>
    </w:p>
    <w:p>
      <w:pPr>
        <w:pStyle w:val="10"/>
        <w:spacing w:before="0" w:after="0" w:line="590" w:lineRule="atLeast"/>
        <w:ind w:left="0" w:right="0" w:firstLine="602"/>
        <w:rPr>
          <w:rFonts w:ascii="宋体" w:hAnsi="宋体" w:eastAsia="宋体" w:cs="宋体"/>
        </w:rPr>
      </w:pPr>
      <w:r>
        <w:rPr>
          <w:rFonts w:ascii="仿宋" w:hAnsi="仿宋" w:eastAsia="仿宋" w:cs="仿宋"/>
          <w:sz w:val="30"/>
          <w:szCs w:val="30"/>
        </w:rPr>
        <w:t>2.购置车辆0辆。开支一般公共预算财政拨款的公务用车保有量为0辆。</w:t>
      </w:r>
    </w:p>
    <w:p>
      <w:pPr>
        <w:pStyle w:val="10"/>
        <w:spacing w:before="0" w:after="0" w:line="590" w:lineRule="atLeast"/>
        <w:ind w:left="0" w:right="0" w:firstLine="602"/>
        <w:rPr>
          <w:rFonts w:ascii="宋体" w:hAnsi="宋体" w:eastAsia="宋体" w:cs="宋体"/>
        </w:rPr>
      </w:pPr>
      <w:r>
        <w:rPr>
          <w:rFonts w:ascii="仿宋" w:hAnsi="仿宋" w:eastAsia="仿宋" w:cs="仿宋"/>
          <w:sz w:val="30"/>
          <w:szCs w:val="30"/>
        </w:rPr>
        <w:t>3.安排国内公务接待0批次（其中：外事接待0批次），接待人次0人（其中：外事接待人次0人）。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安排国（境）外公务接待0批次，接待人次0人。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 w:line="590" w:lineRule="atLeast"/>
        <w:ind w:left="0" w:right="0" w:firstLine="600"/>
        <w:jc w:val="both"/>
        <w:rPr>
          <w:rFonts w:hint="eastAsia" w:ascii="仿宋" w:hAnsi="仿宋" w:eastAsia="仿宋" w:cs="仿宋"/>
          <w:kern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F77"/>
    <w:rsid w:val="00235A87"/>
    <w:rsid w:val="00316091"/>
    <w:rsid w:val="0057514E"/>
    <w:rsid w:val="005D3F77"/>
    <w:rsid w:val="00A133FB"/>
    <w:rsid w:val="00DA4657"/>
    <w:rsid w:val="00E43794"/>
    <w:rsid w:val="00F13D91"/>
    <w:rsid w:val="048849A0"/>
    <w:rsid w:val="094F23A2"/>
    <w:rsid w:val="0A685A42"/>
    <w:rsid w:val="10920BFC"/>
    <w:rsid w:val="1AA9600E"/>
    <w:rsid w:val="1CE70152"/>
    <w:rsid w:val="7BA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p_MsoNormal"/>
    <w:basedOn w:val="1"/>
    <w:uiPriority w:val="0"/>
    <w:pPr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2022-09-22T04:00:00Z</dcterms:created>
  <dc:creator>PC</dc:creator>
  <cp:lastModifiedBy>Administrator</cp:lastModifiedBy>
  <dcterms:modified xsi:type="dcterms:W3CDTF">2023-11-08T07:51:30Z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