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36"/>
          <w:szCs w:val="36"/>
        </w:rPr>
      </w:pPr>
      <w:r>
        <w:rPr>
          <w:rFonts w:hint="eastAsia" w:ascii="方正小标宋简体" w:eastAsia="方正小标宋简体"/>
          <w:sz w:val="36"/>
          <w:szCs w:val="36"/>
        </w:rPr>
        <w:t>昆明市盘龙区商务和投资促进局2022年度部门决算</w:t>
      </w:r>
    </w:p>
    <w:p>
      <w:pPr>
        <w:jc w:val="center"/>
        <w:rPr>
          <w:rFonts w:ascii="方正小标宋简体" w:eastAsia="方正小标宋简体"/>
          <w:sz w:val="36"/>
          <w:szCs w:val="36"/>
        </w:rPr>
      </w:pPr>
      <w:r>
        <w:rPr>
          <w:rFonts w:hint="eastAsia" w:ascii="方正小标宋简体" w:eastAsia="方正小标宋简体"/>
          <w:sz w:val="36"/>
          <w:szCs w:val="36"/>
        </w:rPr>
        <w:t xml:space="preserve"> </w:t>
      </w:r>
    </w:p>
    <w:p>
      <w:pPr>
        <w:jc w:val="center"/>
        <w:rPr>
          <w:rFonts w:ascii="方正小标宋简体" w:eastAsia="方正小标宋简体"/>
          <w:sz w:val="36"/>
          <w:szCs w:val="36"/>
        </w:rPr>
      </w:pPr>
      <w:r>
        <w:rPr>
          <w:rFonts w:hint="eastAsia" w:ascii="方正小标宋简体" w:eastAsia="方正小标宋简体"/>
          <w:sz w:val="36"/>
          <w:szCs w:val="36"/>
        </w:rPr>
        <w:t>目录</w:t>
      </w:r>
    </w:p>
    <w:p>
      <w:pPr>
        <w:jc w:val="left"/>
        <w:rPr>
          <w:rFonts w:ascii="黑体" w:hAnsi="黑体" w:eastAsia="黑体"/>
          <w:sz w:val="30"/>
          <w:szCs w:val="30"/>
        </w:rPr>
      </w:pPr>
      <w:r>
        <w:rPr>
          <w:rFonts w:hint="eastAsia" w:ascii="黑体" w:hAnsi="黑体" w:eastAsia="黑体"/>
          <w:sz w:val="30"/>
          <w:szCs w:val="30"/>
        </w:rPr>
        <w:t xml:space="preserve"> </w:t>
      </w:r>
    </w:p>
    <w:p>
      <w:pPr>
        <w:jc w:val="left"/>
        <w:rPr>
          <w:rFonts w:ascii="黑体" w:hAnsi="黑体" w:eastAsia="黑体"/>
          <w:sz w:val="30"/>
          <w:szCs w:val="30"/>
        </w:rPr>
      </w:pPr>
      <w:r>
        <w:rPr>
          <w:rFonts w:hint="eastAsia" w:ascii="黑体" w:hAnsi="黑体" w:eastAsia="黑体"/>
          <w:sz w:val="30"/>
          <w:szCs w:val="30"/>
        </w:rPr>
        <w:t>第一部分  部门概况</w:t>
      </w:r>
    </w:p>
    <w:p>
      <w:pPr>
        <w:spacing w:line="240" w:lineRule="atLeast"/>
        <w:jc w:val="left"/>
        <w:rPr>
          <w:rFonts w:ascii="楷体" w:hAnsi="楷体" w:eastAsia="楷体"/>
          <w:sz w:val="30"/>
          <w:szCs w:val="30"/>
        </w:rPr>
      </w:pPr>
      <w:r>
        <w:rPr>
          <w:rFonts w:hint="eastAsia" w:ascii="楷体" w:hAnsi="楷体" w:eastAsia="楷体"/>
          <w:sz w:val="30"/>
          <w:szCs w:val="30"/>
        </w:rPr>
        <w:t>一、主要职能</w:t>
      </w:r>
    </w:p>
    <w:p>
      <w:pPr>
        <w:spacing w:line="240" w:lineRule="atLeast"/>
        <w:jc w:val="left"/>
        <w:rPr>
          <w:rFonts w:ascii="楷体" w:hAnsi="楷体" w:eastAsia="楷体"/>
          <w:sz w:val="30"/>
          <w:szCs w:val="30"/>
        </w:rPr>
      </w:pPr>
      <w:r>
        <w:rPr>
          <w:rFonts w:hint="eastAsia" w:ascii="楷体" w:hAnsi="楷体" w:eastAsia="楷体"/>
          <w:sz w:val="30"/>
          <w:szCs w:val="30"/>
        </w:rPr>
        <w:t>二、部门基本情况</w:t>
      </w:r>
    </w:p>
    <w:p>
      <w:pPr>
        <w:jc w:val="left"/>
        <w:rPr>
          <w:rFonts w:ascii="黑体" w:hAnsi="黑体" w:eastAsia="黑体"/>
          <w:sz w:val="30"/>
          <w:szCs w:val="30"/>
        </w:rPr>
      </w:pPr>
      <w:r>
        <w:rPr>
          <w:rFonts w:hint="eastAsia" w:ascii="黑体" w:hAnsi="黑体" w:eastAsia="黑体"/>
          <w:sz w:val="30"/>
          <w:szCs w:val="30"/>
        </w:rPr>
        <w:t>第二部分  2022年度部门决算表</w:t>
      </w:r>
    </w:p>
    <w:p>
      <w:pPr>
        <w:jc w:val="left"/>
        <w:rPr>
          <w:rFonts w:ascii="楷体" w:hAnsi="楷体" w:eastAsia="楷体"/>
          <w:sz w:val="30"/>
          <w:szCs w:val="30"/>
        </w:rPr>
      </w:pPr>
      <w:r>
        <w:rPr>
          <w:rFonts w:hint="eastAsia" w:ascii="楷体" w:hAnsi="楷体" w:eastAsia="楷体"/>
          <w:sz w:val="30"/>
          <w:szCs w:val="30"/>
        </w:rPr>
        <w:t>一、收入支出决算总表</w:t>
      </w:r>
    </w:p>
    <w:p>
      <w:pPr>
        <w:jc w:val="left"/>
        <w:rPr>
          <w:rFonts w:ascii="楷体" w:hAnsi="楷体" w:eastAsia="楷体"/>
          <w:sz w:val="30"/>
          <w:szCs w:val="30"/>
        </w:rPr>
      </w:pPr>
      <w:r>
        <w:rPr>
          <w:rFonts w:hint="eastAsia" w:ascii="楷体" w:hAnsi="楷体" w:eastAsia="楷体"/>
          <w:sz w:val="30"/>
          <w:szCs w:val="30"/>
        </w:rPr>
        <w:t>二、收入决算表</w:t>
      </w:r>
    </w:p>
    <w:p>
      <w:pPr>
        <w:jc w:val="left"/>
        <w:rPr>
          <w:rFonts w:ascii="楷体" w:hAnsi="楷体" w:eastAsia="楷体"/>
          <w:sz w:val="30"/>
          <w:szCs w:val="30"/>
        </w:rPr>
      </w:pPr>
      <w:r>
        <w:rPr>
          <w:rFonts w:hint="eastAsia" w:ascii="楷体" w:hAnsi="楷体" w:eastAsia="楷体"/>
          <w:sz w:val="30"/>
          <w:szCs w:val="30"/>
        </w:rPr>
        <w:t>三、支出决算表</w:t>
      </w:r>
    </w:p>
    <w:p>
      <w:pPr>
        <w:jc w:val="left"/>
        <w:rPr>
          <w:rFonts w:ascii="楷体" w:hAnsi="楷体" w:eastAsia="楷体"/>
          <w:sz w:val="30"/>
          <w:szCs w:val="30"/>
        </w:rPr>
      </w:pPr>
      <w:r>
        <w:rPr>
          <w:rFonts w:hint="eastAsia" w:ascii="楷体" w:hAnsi="楷体" w:eastAsia="楷体"/>
          <w:sz w:val="30"/>
          <w:szCs w:val="30"/>
        </w:rPr>
        <w:t>四、财政拨款收入支出决算总表</w:t>
      </w:r>
    </w:p>
    <w:p>
      <w:pPr>
        <w:jc w:val="left"/>
        <w:rPr>
          <w:rFonts w:ascii="楷体" w:hAnsi="楷体" w:eastAsia="楷体"/>
          <w:sz w:val="30"/>
          <w:szCs w:val="30"/>
        </w:rPr>
      </w:pPr>
      <w:r>
        <w:rPr>
          <w:rFonts w:hint="eastAsia" w:ascii="楷体" w:hAnsi="楷体" w:eastAsia="楷体"/>
          <w:sz w:val="30"/>
          <w:szCs w:val="30"/>
        </w:rPr>
        <w:t>五、一般公共预算财政拨款收入支出决算表</w:t>
      </w:r>
    </w:p>
    <w:p>
      <w:pPr>
        <w:jc w:val="left"/>
        <w:rPr>
          <w:rFonts w:ascii="楷体" w:hAnsi="楷体" w:eastAsia="楷体"/>
          <w:sz w:val="30"/>
          <w:szCs w:val="30"/>
        </w:rPr>
      </w:pPr>
      <w:r>
        <w:rPr>
          <w:rFonts w:hint="eastAsia" w:ascii="楷体" w:hAnsi="楷体" w:eastAsia="楷体"/>
          <w:sz w:val="30"/>
          <w:szCs w:val="30"/>
        </w:rPr>
        <w:t>六、一般公共预算财政拨款基本支出决算表</w:t>
      </w:r>
    </w:p>
    <w:p>
      <w:pPr>
        <w:jc w:val="left"/>
        <w:rPr>
          <w:rFonts w:ascii="楷体" w:hAnsi="楷体" w:eastAsia="楷体"/>
          <w:sz w:val="30"/>
          <w:szCs w:val="30"/>
        </w:rPr>
      </w:pPr>
      <w:r>
        <w:rPr>
          <w:rFonts w:hint="eastAsia" w:ascii="楷体" w:hAnsi="楷体" w:eastAsia="楷体"/>
          <w:sz w:val="30"/>
          <w:szCs w:val="30"/>
        </w:rPr>
        <w:t>七、一般公共预算财政拨款项目支出决算表</w:t>
      </w:r>
    </w:p>
    <w:p>
      <w:pPr>
        <w:jc w:val="left"/>
        <w:rPr>
          <w:rFonts w:ascii="楷体" w:hAnsi="楷体" w:eastAsia="楷体"/>
          <w:sz w:val="30"/>
          <w:szCs w:val="30"/>
        </w:rPr>
      </w:pPr>
      <w:r>
        <w:rPr>
          <w:rFonts w:hint="eastAsia" w:ascii="楷体" w:hAnsi="楷体" w:eastAsia="楷体"/>
          <w:sz w:val="30"/>
          <w:szCs w:val="30"/>
        </w:rPr>
        <w:t>八、政府性基金预算财政拨款收入支出决算表</w:t>
      </w:r>
    </w:p>
    <w:p>
      <w:pPr>
        <w:jc w:val="left"/>
        <w:rPr>
          <w:rFonts w:ascii="楷体" w:hAnsi="楷体" w:eastAsia="楷体"/>
          <w:sz w:val="30"/>
          <w:szCs w:val="30"/>
        </w:rPr>
      </w:pPr>
      <w:r>
        <w:rPr>
          <w:rFonts w:hint="eastAsia" w:ascii="楷体" w:hAnsi="楷体" w:eastAsia="楷体"/>
          <w:sz w:val="30"/>
          <w:szCs w:val="30"/>
        </w:rPr>
        <w:t>九、国有资本经营预算财政拨款收入支出决算表</w:t>
      </w:r>
    </w:p>
    <w:p>
      <w:pPr>
        <w:jc w:val="left"/>
        <w:rPr>
          <w:rFonts w:ascii="楷体" w:hAnsi="楷体" w:eastAsia="楷体"/>
          <w:sz w:val="30"/>
          <w:szCs w:val="30"/>
        </w:rPr>
      </w:pPr>
      <w:r>
        <w:rPr>
          <w:rFonts w:hint="eastAsia" w:ascii="楷体" w:hAnsi="楷体" w:eastAsia="楷体"/>
          <w:sz w:val="30"/>
          <w:szCs w:val="30"/>
        </w:rPr>
        <w:t>十、“三公”经费、行政参公单位机关运行经费情况表</w:t>
      </w:r>
    </w:p>
    <w:p>
      <w:pPr>
        <w:jc w:val="left"/>
        <w:rPr>
          <w:rFonts w:ascii="黑体" w:hAnsi="黑体" w:eastAsia="黑体"/>
          <w:sz w:val="30"/>
          <w:szCs w:val="30"/>
        </w:rPr>
      </w:pPr>
      <w:r>
        <w:rPr>
          <w:rFonts w:hint="eastAsia" w:ascii="黑体" w:hAnsi="黑体" w:eastAsia="黑体"/>
          <w:sz w:val="30"/>
          <w:szCs w:val="30"/>
        </w:rPr>
        <w:t>第三部分  2022年度部门决算情况说明</w:t>
      </w:r>
    </w:p>
    <w:p>
      <w:pPr>
        <w:jc w:val="left"/>
        <w:rPr>
          <w:rFonts w:ascii="楷体" w:hAnsi="楷体" w:eastAsia="楷体"/>
          <w:sz w:val="30"/>
          <w:szCs w:val="30"/>
        </w:rPr>
      </w:pPr>
      <w:r>
        <w:rPr>
          <w:rFonts w:hint="eastAsia" w:ascii="楷体" w:hAnsi="楷体" w:eastAsia="楷体"/>
          <w:sz w:val="30"/>
          <w:szCs w:val="30"/>
        </w:rPr>
        <w:t>一、收入决算情况说明</w:t>
      </w:r>
    </w:p>
    <w:p>
      <w:pPr>
        <w:jc w:val="left"/>
        <w:rPr>
          <w:rFonts w:ascii="楷体" w:hAnsi="楷体" w:eastAsia="楷体"/>
          <w:sz w:val="30"/>
          <w:szCs w:val="30"/>
        </w:rPr>
      </w:pPr>
      <w:r>
        <w:rPr>
          <w:rFonts w:hint="eastAsia" w:ascii="楷体" w:hAnsi="楷体" w:eastAsia="楷体"/>
          <w:sz w:val="30"/>
          <w:szCs w:val="30"/>
        </w:rPr>
        <w:t>二、支出决算情况说明</w:t>
      </w:r>
    </w:p>
    <w:p>
      <w:pPr>
        <w:jc w:val="left"/>
        <w:rPr>
          <w:rFonts w:ascii="楷体" w:hAnsi="楷体" w:eastAsia="楷体"/>
          <w:sz w:val="30"/>
          <w:szCs w:val="30"/>
        </w:rPr>
      </w:pPr>
      <w:r>
        <w:rPr>
          <w:rFonts w:hint="eastAsia" w:ascii="楷体" w:hAnsi="楷体" w:eastAsia="楷体"/>
          <w:sz w:val="30"/>
          <w:szCs w:val="30"/>
        </w:rPr>
        <w:t>三、一般公共预算财政拨款支出决算情况说明</w:t>
      </w:r>
    </w:p>
    <w:p>
      <w:pPr>
        <w:widowControl/>
        <w:snapToGrid w:val="0"/>
        <w:spacing w:before="100" w:after="100" w:line="360" w:lineRule="auto"/>
        <w:jc w:val="left"/>
        <w:rPr>
          <w:rFonts w:ascii="楷体" w:hAnsi="楷体" w:eastAsia="楷体"/>
          <w:sz w:val="30"/>
          <w:szCs w:val="30"/>
        </w:rPr>
      </w:pPr>
      <w:r>
        <w:rPr>
          <w:rFonts w:hint="eastAsia" w:ascii="楷体" w:hAnsi="楷体" w:eastAsia="楷体"/>
          <w:sz w:val="30"/>
          <w:szCs w:val="30"/>
        </w:rPr>
        <w:t>四、财政拨款“三公”经费支出决算情况说明</w:t>
      </w:r>
    </w:p>
    <w:p>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第四部分</w:t>
      </w:r>
      <w:r>
        <w:rPr>
          <w:rFonts w:hint="eastAsia" w:ascii="楷体" w:hAnsi="楷体" w:eastAsia="楷体"/>
          <w:sz w:val="30"/>
          <w:szCs w:val="30"/>
        </w:rPr>
        <w:t xml:space="preserve">  </w:t>
      </w:r>
      <w:r>
        <w:rPr>
          <w:rFonts w:hint="eastAsia" w:ascii="黑体" w:hAnsi="黑体" w:eastAsia="黑体"/>
          <w:sz w:val="30"/>
          <w:szCs w:val="30"/>
        </w:rPr>
        <w:t>其他重要事项及相关口径情况说明</w:t>
      </w:r>
    </w:p>
    <w:p>
      <w:pPr>
        <w:jc w:val="left"/>
        <w:rPr>
          <w:rFonts w:ascii="楷体" w:hAnsi="楷体" w:eastAsia="楷体"/>
          <w:sz w:val="30"/>
          <w:szCs w:val="30"/>
        </w:rPr>
      </w:pPr>
      <w:r>
        <w:rPr>
          <w:rFonts w:hint="eastAsia" w:ascii="楷体" w:hAnsi="楷体" w:eastAsia="楷体"/>
          <w:sz w:val="30"/>
          <w:szCs w:val="30"/>
        </w:rPr>
        <w:t>一、机关运行经费支出情况</w:t>
      </w:r>
    </w:p>
    <w:p>
      <w:pPr>
        <w:jc w:val="left"/>
        <w:rPr>
          <w:rFonts w:ascii="楷体" w:hAnsi="楷体" w:eastAsia="楷体"/>
          <w:sz w:val="30"/>
          <w:szCs w:val="30"/>
        </w:rPr>
      </w:pPr>
      <w:r>
        <w:rPr>
          <w:rFonts w:hint="eastAsia" w:ascii="楷体" w:hAnsi="楷体" w:eastAsia="楷体"/>
          <w:sz w:val="30"/>
          <w:szCs w:val="30"/>
        </w:rPr>
        <w:t>二、国有资产占用情况</w:t>
      </w:r>
    </w:p>
    <w:p>
      <w:pPr>
        <w:jc w:val="left"/>
        <w:rPr>
          <w:rFonts w:ascii="楷体" w:hAnsi="楷体" w:eastAsia="楷体"/>
          <w:sz w:val="30"/>
          <w:szCs w:val="30"/>
        </w:rPr>
      </w:pPr>
      <w:r>
        <w:rPr>
          <w:rFonts w:hint="eastAsia" w:ascii="楷体" w:hAnsi="楷体" w:eastAsia="楷体"/>
          <w:sz w:val="30"/>
          <w:szCs w:val="30"/>
        </w:rPr>
        <w:t>三、政府采购支出情况</w:t>
      </w:r>
    </w:p>
    <w:p>
      <w:pPr>
        <w:jc w:val="left"/>
        <w:rPr>
          <w:rFonts w:ascii="楷体" w:hAnsi="楷体" w:eastAsia="楷体"/>
          <w:sz w:val="30"/>
          <w:szCs w:val="30"/>
        </w:rPr>
      </w:pPr>
      <w:r>
        <w:rPr>
          <w:rFonts w:hint="eastAsia" w:ascii="楷体" w:hAnsi="楷体" w:eastAsia="楷体"/>
          <w:sz w:val="30"/>
          <w:szCs w:val="30"/>
        </w:rPr>
        <w:t>四、部门绩效自评情况</w:t>
      </w:r>
    </w:p>
    <w:p>
      <w:pPr>
        <w:jc w:val="left"/>
        <w:rPr>
          <w:rFonts w:ascii="楷体" w:hAnsi="楷体" w:eastAsia="楷体"/>
          <w:sz w:val="30"/>
          <w:szCs w:val="30"/>
        </w:rPr>
      </w:pPr>
      <w:r>
        <w:rPr>
          <w:rFonts w:hint="eastAsia" w:ascii="楷体" w:hAnsi="楷体" w:eastAsia="楷体"/>
          <w:sz w:val="30"/>
          <w:szCs w:val="30"/>
        </w:rPr>
        <w:t>（一）部门整体支出绩效自评情况</w:t>
      </w:r>
    </w:p>
    <w:p>
      <w:pPr>
        <w:jc w:val="left"/>
        <w:rPr>
          <w:rFonts w:ascii="楷体" w:hAnsi="楷体" w:eastAsia="楷体"/>
          <w:sz w:val="30"/>
          <w:szCs w:val="30"/>
        </w:rPr>
      </w:pPr>
      <w:r>
        <w:rPr>
          <w:rFonts w:hint="eastAsia" w:ascii="楷体" w:hAnsi="楷体" w:eastAsia="楷体"/>
          <w:sz w:val="30"/>
          <w:szCs w:val="30"/>
        </w:rPr>
        <w:t>（二）部门整体支出绩效自评表</w:t>
      </w:r>
    </w:p>
    <w:p>
      <w:pPr>
        <w:jc w:val="left"/>
        <w:rPr>
          <w:rFonts w:ascii="楷体" w:hAnsi="楷体" w:eastAsia="楷体"/>
          <w:sz w:val="30"/>
          <w:szCs w:val="30"/>
        </w:rPr>
      </w:pPr>
      <w:r>
        <w:rPr>
          <w:rFonts w:hint="eastAsia" w:ascii="楷体" w:hAnsi="楷体" w:eastAsia="楷体"/>
          <w:sz w:val="30"/>
          <w:szCs w:val="30"/>
        </w:rPr>
        <w:t>（三）项目支出绩效自评表</w:t>
      </w:r>
    </w:p>
    <w:p>
      <w:pPr>
        <w:jc w:val="left"/>
        <w:rPr>
          <w:rFonts w:ascii="楷体" w:hAnsi="楷体" w:eastAsia="楷体"/>
          <w:sz w:val="30"/>
          <w:szCs w:val="30"/>
        </w:rPr>
      </w:pPr>
      <w:r>
        <w:rPr>
          <w:rFonts w:hint="eastAsia" w:ascii="楷体" w:hAnsi="楷体" w:eastAsia="楷体"/>
          <w:sz w:val="30"/>
          <w:szCs w:val="30"/>
        </w:rPr>
        <w:t>五、其他重要事项情况说明</w:t>
      </w:r>
    </w:p>
    <w:p>
      <w:pPr>
        <w:jc w:val="left"/>
        <w:rPr>
          <w:rFonts w:ascii="楷体" w:hAnsi="楷体" w:eastAsia="楷体"/>
          <w:sz w:val="30"/>
          <w:szCs w:val="30"/>
        </w:rPr>
      </w:pPr>
      <w:r>
        <w:rPr>
          <w:rFonts w:hint="eastAsia" w:ascii="楷体" w:hAnsi="楷体" w:eastAsia="楷体"/>
          <w:sz w:val="30"/>
          <w:szCs w:val="30"/>
        </w:rPr>
        <w:t>六、相关口径说明</w:t>
      </w:r>
    </w:p>
    <w:p>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第五部分  名词解释</w:t>
      </w:r>
    </w:p>
    <w:p>
      <w:pPr>
        <w:jc w:val="center"/>
        <w:rPr>
          <w:rFonts w:ascii="黑体" w:hAnsi="黑体" w:eastAsia="黑体"/>
          <w:sz w:val="32"/>
          <w:szCs w:val="32"/>
        </w:rPr>
      </w:pPr>
      <w:r>
        <w:rPr>
          <w:rFonts w:hint="eastAsia" w:ascii="黑体" w:hAnsi="黑体" w:eastAsia="黑体"/>
          <w:sz w:val="32"/>
          <w:szCs w:val="32"/>
        </w:rPr>
        <w:t xml:space="preserve"> </w:t>
      </w:r>
    </w:p>
    <w:p>
      <w:pPr>
        <w:jc w:val="center"/>
        <w:rPr>
          <w:rFonts w:ascii="黑体" w:hAnsi="黑体" w:eastAsia="黑体"/>
          <w:sz w:val="32"/>
          <w:szCs w:val="32"/>
        </w:rPr>
      </w:pPr>
      <w:r>
        <w:rPr>
          <w:rFonts w:hint="eastAsia" w:ascii="黑体" w:hAnsi="黑体" w:eastAsia="黑体"/>
          <w:sz w:val="32"/>
          <w:szCs w:val="32"/>
        </w:rPr>
        <w:t xml:space="preserve"> </w:t>
      </w:r>
    </w:p>
    <w:p>
      <w:pPr>
        <w:jc w:val="center"/>
        <w:rPr>
          <w:rFonts w:ascii="黑体" w:hAnsi="黑体" w:eastAsia="黑体"/>
          <w:sz w:val="32"/>
          <w:szCs w:val="32"/>
        </w:rPr>
      </w:pPr>
      <w:r>
        <w:rPr>
          <w:rFonts w:hint="eastAsia" w:ascii="黑体" w:hAnsi="黑体" w:eastAsia="黑体"/>
          <w:sz w:val="32"/>
          <w:szCs w:val="32"/>
        </w:rPr>
        <w:t xml:space="preserve"> </w:t>
      </w:r>
    </w:p>
    <w:p>
      <w:pPr>
        <w:jc w:val="center"/>
        <w:rPr>
          <w:rFonts w:ascii="黑体" w:hAnsi="黑体" w:eastAsia="黑体"/>
          <w:sz w:val="32"/>
          <w:szCs w:val="32"/>
        </w:rPr>
      </w:pPr>
      <w:r>
        <w:rPr>
          <w:rFonts w:hint="eastAsia" w:ascii="黑体" w:hAnsi="黑体" w:eastAsia="黑体"/>
          <w:sz w:val="32"/>
          <w:szCs w:val="32"/>
        </w:rPr>
        <w:t xml:space="preserve"> </w:t>
      </w:r>
    </w:p>
    <w:p>
      <w:pPr>
        <w:jc w:val="center"/>
        <w:rPr>
          <w:rFonts w:ascii="黑体" w:hAnsi="黑体" w:eastAsia="黑体"/>
          <w:sz w:val="32"/>
          <w:szCs w:val="32"/>
        </w:rPr>
      </w:pPr>
      <w:r>
        <w:rPr>
          <w:rFonts w:hint="eastAsia" w:ascii="黑体" w:hAnsi="黑体" w:eastAsia="黑体"/>
          <w:sz w:val="32"/>
          <w:szCs w:val="32"/>
        </w:rPr>
        <w:t xml:space="preserve"> </w:t>
      </w:r>
    </w:p>
    <w:p>
      <w:pPr>
        <w:rPr>
          <w:rFonts w:ascii="黑体" w:hAnsi="黑体" w:eastAsia="黑体"/>
          <w:sz w:val="32"/>
          <w:szCs w:val="32"/>
        </w:rPr>
      </w:pPr>
      <w:r>
        <w:rPr>
          <w:rFonts w:hint="eastAsia" w:ascii="黑体" w:hAnsi="黑体" w:eastAsia="黑体"/>
          <w:sz w:val="32"/>
          <w:szCs w:val="32"/>
        </w:rPr>
        <w:t xml:space="preserve"> </w:t>
      </w:r>
    </w:p>
    <w:p>
      <w:pPr>
        <w:rPr>
          <w:rFonts w:hint="eastAsia" w:ascii="黑体" w:hAnsi="黑体" w:eastAsia="黑体"/>
          <w:sz w:val="32"/>
          <w:szCs w:val="32"/>
        </w:rPr>
      </w:pPr>
      <w:r>
        <w:rPr>
          <w:rFonts w:hint="eastAsia" w:ascii="黑体" w:hAnsi="黑体" w:eastAsia="黑体"/>
          <w:sz w:val="32"/>
          <w:szCs w:val="32"/>
        </w:rPr>
        <w:t xml:space="preserve"> </w:t>
      </w:r>
    </w:p>
    <w:p>
      <w:pPr>
        <w:rPr>
          <w:rFonts w:hint="eastAsia" w:ascii="黑体" w:hAnsi="黑体" w:eastAsia="黑体"/>
          <w:sz w:val="32"/>
          <w:szCs w:val="32"/>
        </w:rPr>
      </w:pPr>
    </w:p>
    <w:p>
      <w:pPr>
        <w:rPr>
          <w:rFonts w:hint="eastAsia" w:ascii="黑体" w:hAnsi="黑体" w:eastAsia="黑体"/>
          <w:sz w:val="32"/>
          <w:szCs w:val="32"/>
        </w:rPr>
      </w:pPr>
    </w:p>
    <w:p>
      <w:pPr>
        <w:rPr>
          <w:rFonts w:ascii="黑体" w:hAnsi="黑体" w:eastAsia="黑体"/>
          <w:sz w:val="32"/>
          <w:szCs w:val="32"/>
        </w:rPr>
      </w:pPr>
    </w:p>
    <w:p>
      <w:pPr>
        <w:jc w:val="center"/>
        <w:rPr>
          <w:rFonts w:ascii="黑体" w:hAnsi="黑体" w:eastAsia="黑体"/>
          <w:sz w:val="32"/>
          <w:szCs w:val="32"/>
        </w:rPr>
      </w:pPr>
      <w:r>
        <w:rPr>
          <w:rFonts w:hint="eastAsia" w:ascii="黑体" w:hAnsi="黑体" w:eastAsia="黑体"/>
          <w:sz w:val="32"/>
          <w:szCs w:val="32"/>
        </w:rPr>
        <w:t>第一部分  部门概况</w:t>
      </w:r>
    </w:p>
    <w:p>
      <w:pPr>
        <w:spacing w:line="600" w:lineRule="exact"/>
        <w:ind w:firstLine="600" w:firstLineChars="200"/>
        <w:rPr>
          <w:rFonts w:ascii="黑体" w:hAnsi="黑体" w:eastAsia="黑体"/>
          <w:sz w:val="30"/>
          <w:szCs w:val="30"/>
        </w:rPr>
      </w:pPr>
      <w:r>
        <w:rPr>
          <w:rFonts w:hint="eastAsia" w:ascii="黑体" w:hAnsi="黑体" w:eastAsia="黑体"/>
          <w:sz w:val="30"/>
          <w:szCs w:val="30"/>
        </w:rPr>
        <w:t>一、主要职能</w:t>
      </w:r>
    </w:p>
    <w:p>
      <w:pPr>
        <w:spacing w:line="600" w:lineRule="exact"/>
        <w:ind w:firstLine="600" w:firstLineChars="200"/>
        <w:rPr>
          <w:rFonts w:ascii="楷体" w:hAnsi="楷体" w:eastAsia="楷体"/>
          <w:sz w:val="30"/>
          <w:szCs w:val="30"/>
        </w:rPr>
      </w:pPr>
      <w:r>
        <w:rPr>
          <w:rFonts w:hint="eastAsia" w:ascii="楷体" w:hAnsi="楷体" w:eastAsia="楷体"/>
          <w:bCs/>
          <w:sz w:val="30"/>
          <w:szCs w:val="30"/>
        </w:rPr>
        <w:t>（一）主要职能</w:t>
      </w:r>
    </w:p>
    <w:p>
      <w:pPr>
        <w:pStyle w:val="10"/>
        <w:shd w:val="clear" w:color="auto" w:fill="FFFFFF"/>
        <w:spacing w:before="0" w:beforeAutospacing="0" w:after="0" w:afterAutospacing="0" w:line="585" w:lineRule="atLeast"/>
        <w:ind w:firstLine="600"/>
        <w:jc w:val="both"/>
        <w:rPr>
          <w:rFonts w:ascii="仿宋_GB2312" w:hAnsi="Times New Roman" w:eastAsia="仿宋_GB2312" w:cs="Times New Roman"/>
          <w:kern w:val="2"/>
          <w:sz w:val="30"/>
          <w:szCs w:val="30"/>
        </w:rPr>
      </w:pPr>
      <w:r>
        <w:rPr>
          <w:rFonts w:hint="eastAsia" w:ascii="仿宋_GB2312" w:hAnsi="Times New Roman" w:eastAsia="仿宋_GB2312" w:cs="Times New Roman"/>
          <w:kern w:val="2"/>
          <w:sz w:val="30"/>
          <w:szCs w:val="30"/>
        </w:rPr>
        <w:t>1.贯彻执行国家、省、市、区发展经济的有关法律、法规和方针、政策；参与制定并实施全行业产业发展规划；协调区域经济运行中的重大问题并向区委、区政府提出工作意见和建议。负责全区各种经济成分企业开展经济活动的宏观管理和服务；负责全区经济运行态势和重要产品供求状况的监测，综合分析经济信息并向有关部门通报。</w:t>
      </w:r>
    </w:p>
    <w:p>
      <w:pPr>
        <w:pStyle w:val="10"/>
        <w:shd w:val="clear" w:color="auto" w:fill="FFFFFF"/>
        <w:spacing w:before="0" w:beforeAutospacing="0" w:after="0" w:afterAutospacing="0" w:line="585" w:lineRule="atLeast"/>
        <w:ind w:firstLine="600"/>
        <w:jc w:val="both"/>
        <w:rPr>
          <w:rFonts w:ascii="仿宋_GB2312" w:hAnsi="Times New Roman" w:eastAsia="仿宋_GB2312" w:cs="Times New Roman"/>
          <w:kern w:val="2"/>
          <w:sz w:val="30"/>
          <w:szCs w:val="30"/>
        </w:rPr>
      </w:pPr>
      <w:r>
        <w:rPr>
          <w:rFonts w:hint="eastAsia" w:ascii="仿宋_GB2312" w:hAnsi="Times New Roman" w:eastAsia="仿宋_GB2312" w:cs="Times New Roman"/>
          <w:kern w:val="2"/>
          <w:sz w:val="30"/>
          <w:szCs w:val="30"/>
        </w:rPr>
        <w:t>2.贯彻执行国家、省、市、区有关商贸经济发展的法规、方针、政策；监测分析全区市场运行情况；组织商务领域消费促进工作；配合做好商品流通的行业监督和安全生产检查；按分工做好生活必需品市场监测工作；参与规范商务市场经济秩序工作；共同推动商务领域信用建设；执行市商务药品流通行业发展规划、行业标准和有关政策；配合推进商务诚信建设。</w:t>
      </w:r>
    </w:p>
    <w:p>
      <w:pPr>
        <w:pStyle w:val="10"/>
        <w:shd w:val="clear" w:color="auto" w:fill="FFFFFF"/>
        <w:spacing w:before="0" w:beforeAutospacing="0" w:after="0" w:afterAutospacing="0" w:line="585" w:lineRule="atLeast"/>
        <w:ind w:firstLine="600"/>
        <w:jc w:val="both"/>
        <w:rPr>
          <w:rFonts w:ascii="仿宋_GB2312" w:hAnsi="Times New Roman" w:eastAsia="仿宋_GB2312" w:cs="Times New Roman"/>
          <w:kern w:val="2"/>
          <w:sz w:val="30"/>
          <w:szCs w:val="30"/>
        </w:rPr>
      </w:pPr>
      <w:r>
        <w:rPr>
          <w:rFonts w:hint="eastAsia" w:ascii="仿宋_GB2312" w:hAnsi="Times New Roman" w:eastAsia="仿宋_GB2312" w:cs="Times New Roman"/>
          <w:kern w:val="2"/>
          <w:sz w:val="30"/>
          <w:szCs w:val="30"/>
        </w:rPr>
        <w:t>3.贯彻执行国家、省、市、区关于楼宇经济、总部经济发展的方针政策；参与拟定全区楼宇经济发展的实施方案；负责管理、指导和综合协调全区各部门、街道楼宇经济（总部经济）发展，负责全区楼宇经济（总部经济）工作考核、奖励政策的拟定和实施；推动连锁经营等现代流通方式发展；促进部分批发、零售、餐饮业行业发展；负责全区成品油的行业规划布局、协调服务、供应保障等工作；负责做好对外贸易、对外经济工作。</w:t>
      </w:r>
    </w:p>
    <w:p>
      <w:pPr>
        <w:pStyle w:val="10"/>
        <w:shd w:val="clear" w:color="auto" w:fill="FFFFFF"/>
        <w:spacing w:before="0" w:beforeAutospacing="0" w:after="0" w:afterAutospacing="0" w:line="585" w:lineRule="atLeast"/>
        <w:ind w:firstLine="600"/>
        <w:jc w:val="both"/>
        <w:rPr>
          <w:rFonts w:ascii="仿宋_GB2312" w:hAnsi="Times New Roman" w:eastAsia="仿宋_GB2312" w:cs="Times New Roman"/>
          <w:kern w:val="2"/>
          <w:sz w:val="30"/>
          <w:szCs w:val="30"/>
        </w:rPr>
      </w:pPr>
      <w:r>
        <w:rPr>
          <w:rFonts w:hint="eastAsia" w:ascii="仿宋_GB2312" w:hAnsi="Times New Roman" w:eastAsia="仿宋_GB2312" w:cs="Times New Roman"/>
          <w:kern w:val="2"/>
          <w:sz w:val="30"/>
          <w:szCs w:val="30"/>
        </w:rPr>
        <w:t>4.贯彻执行国家、省、市、区关于招商引资、对外开放、经济合作的方针政策；参与拟定全区招商引资、对外开放、经济合作的实施方案、中长期规划和有关政策，并负责组织实施；负责提供相关投资政策咨询服务；贯彻国家、省市外资管理和促进的战略、方针、政策；负责盘龙区利用外资工作机制建设；指导推进各部门、街道开展利用外资工作；负责区招商引资考核办公室的日常工作，研究提出年度全区内资工作目标及分解建议；负责全区招商引资工作考核、奖励政策的拟定；负责对全区各部门、街道招商引资指标任务的考核、认定、奖惩等工作；负责做好招商引资项目的跟踪服务、投资商接待、接洽，及对外来投资的综合服务工作；组织、筹备、参与各类招商引资活动；做好招商引资项目落地的综合协调服务工作。</w:t>
      </w:r>
    </w:p>
    <w:p>
      <w:pPr>
        <w:pStyle w:val="10"/>
        <w:shd w:val="clear" w:color="auto" w:fill="FFFFFF"/>
        <w:spacing w:before="0" w:beforeAutospacing="0" w:after="0" w:afterAutospacing="0" w:line="585" w:lineRule="atLeast"/>
        <w:ind w:firstLine="600"/>
        <w:jc w:val="both"/>
        <w:rPr>
          <w:rFonts w:ascii="仿宋_GB2312" w:hAnsi="Times New Roman" w:eastAsia="仿宋_GB2312" w:cs="Times New Roman"/>
          <w:kern w:val="2"/>
          <w:sz w:val="30"/>
          <w:szCs w:val="30"/>
        </w:rPr>
      </w:pPr>
      <w:r>
        <w:rPr>
          <w:rFonts w:hint="eastAsia" w:ascii="仿宋_GB2312" w:hAnsi="Times New Roman" w:eastAsia="仿宋_GB2312" w:cs="Times New Roman"/>
          <w:kern w:val="2"/>
          <w:sz w:val="30"/>
          <w:szCs w:val="30"/>
        </w:rPr>
        <w:t>5.负责全区中小企业和非公经济发展，参与拟订全区非公经济发展规划；会同有关部门拟订促进中小企业发展和非公有制经济发展的有关政策和措施，推动建立完善服务体系；检查督促区属部门贯彻省、市、区扶持非公经济发展政策的落实。监测分析区非公经济、中小企业运行情况。负责区域内集体企业改革备案工作；负责全区工业企业开展经济活动的管理和服务。研究提出新型工业化发展战略和政策措施，提出调整优化产业布局、结构的政策建议，推进产业结构调整和优化升级；负责全区工业经济监测与发展促进工作，监测分析工业经济运行情况，对全区工业经济运行中的重要问题进行专题调研。</w:t>
      </w:r>
    </w:p>
    <w:p>
      <w:pPr>
        <w:pStyle w:val="10"/>
        <w:shd w:val="clear" w:color="auto" w:fill="FFFFFF"/>
        <w:spacing w:before="0" w:beforeAutospacing="0" w:after="0" w:afterAutospacing="0" w:line="585" w:lineRule="atLeast"/>
        <w:ind w:firstLine="600"/>
        <w:jc w:val="both"/>
        <w:rPr>
          <w:rFonts w:ascii="仿宋_GB2312" w:hAnsi="Times New Roman" w:eastAsia="仿宋_GB2312" w:cs="Times New Roman"/>
          <w:kern w:val="2"/>
          <w:sz w:val="30"/>
          <w:szCs w:val="30"/>
        </w:rPr>
      </w:pPr>
      <w:r>
        <w:rPr>
          <w:rFonts w:hint="eastAsia" w:ascii="仿宋_GB2312" w:hAnsi="Times New Roman" w:eastAsia="仿宋_GB2312" w:cs="Times New Roman"/>
          <w:kern w:val="2"/>
          <w:sz w:val="30"/>
          <w:szCs w:val="30"/>
        </w:rPr>
        <w:t>6.贯彻落实国家、省、市相关工业法律法规及方针政策；参与拟订全区工业经济发展规划；负责区域内工业经济的协调服务；为工业企业提供政策、信息等方面的咨询服务。监督工业企业贯彻执行新产品工业领域相关行业标准、法规和政策；负责节能减排工作、资源综合利用和清洁生产审核验收工作；负责节水型企业创建工作，推进落实最严格水资源管理制度。</w:t>
      </w:r>
    </w:p>
    <w:p>
      <w:pPr>
        <w:pStyle w:val="10"/>
        <w:shd w:val="clear" w:color="auto" w:fill="FFFFFF"/>
        <w:spacing w:before="0" w:beforeAutospacing="0" w:after="0" w:afterAutospacing="0" w:line="585" w:lineRule="atLeast"/>
        <w:ind w:firstLine="600"/>
        <w:jc w:val="both"/>
        <w:rPr>
          <w:rFonts w:ascii="仿宋_GB2312" w:hAnsi="Times New Roman" w:eastAsia="仿宋_GB2312" w:cs="Times New Roman"/>
          <w:kern w:val="2"/>
          <w:sz w:val="30"/>
          <w:szCs w:val="30"/>
        </w:rPr>
      </w:pPr>
      <w:r>
        <w:rPr>
          <w:rFonts w:hint="eastAsia" w:ascii="仿宋_GB2312" w:hAnsi="Times New Roman" w:eastAsia="仿宋_GB2312" w:cs="Times New Roman"/>
          <w:kern w:val="2"/>
          <w:sz w:val="30"/>
          <w:szCs w:val="30"/>
        </w:rPr>
        <w:t>7.负责本行业领域的安全生产监管工作。</w:t>
      </w:r>
    </w:p>
    <w:p>
      <w:pPr>
        <w:pStyle w:val="2"/>
        <w:adjustRightInd w:val="0"/>
        <w:snapToGrid w:val="0"/>
        <w:spacing w:before="93" w:line="600" w:lineRule="exact"/>
        <w:ind w:firstLine="630" w:firstLineChars="210"/>
        <w:rPr>
          <w:bCs/>
        </w:rPr>
      </w:pPr>
      <w:r>
        <w:rPr>
          <w:rFonts w:hint="eastAsia" w:hAnsi="Times New Roman" w:cs="Times New Roman"/>
        </w:rPr>
        <w:t>8.承办区委、区政府和上级部门交办的其他事项。</w:t>
      </w:r>
    </w:p>
    <w:p>
      <w:pPr>
        <w:pStyle w:val="2"/>
        <w:numPr>
          <w:ilvl w:val="0"/>
          <w:numId w:val="1"/>
        </w:numPr>
        <w:adjustRightInd w:val="0"/>
        <w:snapToGrid w:val="0"/>
        <w:spacing w:before="93" w:line="600" w:lineRule="exact"/>
        <w:ind w:firstLine="630" w:firstLineChars="210"/>
        <w:rPr>
          <w:rFonts w:ascii="楷体" w:hAnsi="楷体" w:eastAsia="楷体"/>
          <w:bCs/>
        </w:rPr>
      </w:pPr>
      <w:r>
        <w:rPr>
          <w:rFonts w:hint="eastAsia" w:ascii="楷体" w:hAnsi="楷体" w:eastAsia="楷体"/>
          <w:bCs/>
        </w:rPr>
        <w:t>2022年度重点工作任务概述</w:t>
      </w:r>
    </w:p>
    <w:p>
      <w:pPr>
        <w:widowControl/>
        <w:snapToGrid w:val="0"/>
        <w:spacing w:line="590" w:lineRule="atLeast"/>
        <w:ind w:firstLine="600"/>
        <w:jc w:val="left"/>
        <w:rPr>
          <w:rFonts w:hint="eastAsia" w:ascii="仿宋_GB2312" w:eastAsia="仿宋_GB2312"/>
          <w:sz w:val="30"/>
          <w:szCs w:val="30"/>
        </w:rPr>
      </w:pPr>
      <w:r>
        <w:rPr>
          <w:rFonts w:hint="eastAsia" w:ascii="仿宋_GB2312" w:eastAsia="仿宋_GB2312"/>
          <w:sz w:val="30"/>
          <w:szCs w:val="30"/>
        </w:rPr>
        <w:t>2022年度本部门重点工作有规模以上工业增加值增速、规模以下工业增加值增速、社会消费品零售总额限额以上增长率、批发业商品销售额增加率、零售业商品销售额增加率、工业和信息化投资（工业）、民营经济增加值、新增总部经济企业户数、实际利用外资、实际引进市外到位资金、外贸进出口总额等工作。</w:t>
      </w:r>
    </w:p>
    <w:p>
      <w:pPr>
        <w:widowControl/>
        <w:snapToGrid w:val="0"/>
        <w:spacing w:line="590" w:lineRule="atLeast"/>
        <w:ind w:firstLine="600"/>
        <w:jc w:val="left"/>
        <w:rPr>
          <w:rFonts w:hint="eastAsia" w:ascii="仿宋_GB2312" w:eastAsia="仿宋_GB2312"/>
          <w:sz w:val="30"/>
          <w:szCs w:val="30"/>
        </w:rPr>
      </w:pPr>
    </w:p>
    <w:p>
      <w:pPr>
        <w:spacing w:line="600" w:lineRule="exact"/>
        <w:ind w:firstLine="600" w:firstLineChars="200"/>
        <w:rPr>
          <w:rFonts w:ascii="黑体" w:hAnsi="黑体" w:eastAsia="黑体"/>
          <w:sz w:val="30"/>
          <w:szCs w:val="30"/>
        </w:rPr>
      </w:pPr>
      <w:r>
        <w:rPr>
          <w:rFonts w:hint="eastAsia" w:ascii="黑体" w:hAnsi="黑体" w:eastAsia="黑体"/>
          <w:sz w:val="30"/>
          <w:szCs w:val="30"/>
        </w:rPr>
        <w:t>二、部门基本情况</w:t>
      </w:r>
    </w:p>
    <w:p>
      <w:pPr>
        <w:spacing w:line="600" w:lineRule="exact"/>
        <w:ind w:firstLine="600" w:firstLineChars="200"/>
        <w:rPr>
          <w:rFonts w:ascii="楷体" w:hAnsi="楷体" w:eastAsia="楷体"/>
          <w:sz w:val="30"/>
          <w:szCs w:val="30"/>
        </w:rPr>
      </w:pPr>
      <w:r>
        <w:rPr>
          <w:rFonts w:hint="eastAsia" w:ascii="楷体" w:hAnsi="楷体" w:eastAsia="楷体"/>
          <w:sz w:val="30"/>
          <w:szCs w:val="30"/>
        </w:rPr>
        <w:t>（一）机构设置情况</w:t>
      </w:r>
    </w:p>
    <w:p>
      <w:pPr>
        <w:spacing w:line="600" w:lineRule="exact"/>
        <w:ind w:firstLine="600" w:firstLineChars="200"/>
        <w:rPr>
          <w:rFonts w:ascii="仿宋_GB2312" w:eastAsia="仿宋_GB2312"/>
          <w:sz w:val="30"/>
          <w:szCs w:val="30"/>
        </w:rPr>
      </w:pPr>
      <w:r>
        <w:rPr>
          <w:rFonts w:hint="eastAsia" w:ascii="仿宋_GB2312" w:eastAsia="仿宋_GB2312"/>
          <w:sz w:val="30"/>
          <w:szCs w:val="30"/>
        </w:rPr>
        <w:t>我部门共设置7个内设机构，包括：办公室、市场建设和运行调节科、都市经济发展科、投资管理科、投资促进科、中小企业服务科、工业经济科。</w:t>
      </w:r>
    </w:p>
    <w:p>
      <w:pPr>
        <w:spacing w:line="600" w:lineRule="exact"/>
        <w:ind w:firstLine="600" w:firstLineChars="200"/>
        <w:rPr>
          <w:rFonts w:ascii="仿宋_GB2312" w:eastAsia="仿宋_GB2312"/>
          <w:sz w:val="30"/>
          <w:szCs w:val="30"/>
        </w:rPr>
      </w:pPr>
      <w:r>
        <w:rPr>
          <w:rFonts w:hint="eastAsia" w:ascii="仿宋_GB2312" w:eastAsia="仿宋_GB2312"/>
          <w:sz w:val="30"/>
          <w:szCs w:val="30"/>
        </w:rPr>
        <w:t>所属单位2个，分别是：</w:t>
      </w:r>
    </w:p>
    <w:p>
      <w:pPr>
        <w:spacing w:line="600" w:lineRule="exact"/>
        <w:ind w:firstLine="600" w:firstLineChars="200"/>
        <w:rPr>
          <w:rFonts w:ascii="仿宋_GB2312" w:eastAsia="仿宋_GB2312"/>
          <w:sz w:val="30"/>
          <w:szCs w:val="30"/>
        </w:rPr>
      </w:pPr>
      <w:r>
        <w:rPr>
          <w:rFonts w:hint="eastAsia" w:ascii="仿宋_GB2312" w:eastAsia="仿宋_GB2312"/>
          <w:sz w:val="30"/>
          <w:szCs w:val="30"/>
        </w:rPr>
        <w:t>1.昆明市盘龙区商务执法大队</w:t>
      </w:r>
    </w:p>
    <w:p>
      <w:pPr>
        <w:spacing w:line="600" w:lineRule="exact"/>
        <w:ind w:firstLine="600" w:firstLineChars="200"/>
        <w:rPr>
          <w:rFonts w:ascii="仿宋_GB2312" w:eastAsia="仿宋_GB2312"/>
          <w:sz w:val="30"/>
          <w:szCs w:val="30"/>
        </w:rPr>
      </w:pPr>
      <w:r>
        <w:rPr>
          <w:rFonts w:hint="eastAsia" w:ascii="仿宋_GB2312" w:eastAsia="仿宋_GB2312"/>
          <w:sz w:val="30"/>
          <w:szCs w:val="30"/>
        </w:rPr>
        <w:t>2.昆明市盘龙区商业网点建设管理处</w:t>
      </w:r>
    </w:p>
    <w:p>
      <w:pPr>
        <w:spacing w:line="600" w:lineRule="exact"/>
        <w:ind w:firstLine="600" w:firstLineChars="200"/>
        <w:rPr>
          <w:rFonts w:ascii="楷体" w:hAnsi="楷体" w:eastAsia="楷体"/>
          <w:sz w:val="30"/>
          <w:szCs w:val="30"/>
        </w:rPr>
      </w:pPr>
      <w:r>
        <w:rPr>
          <w:rFonts w:hint="eastAsia" w:ascii="楷体" w:hAnsi="楷体" w:eastAsia="楷体"/>
          <w:sz w:val="30"/>
          <w:szCs w:val="30"/>
        </w:rPr>
        <w:t>（二）决算单位构成</w:t>
      </w:r>
    </w:p>
    <w:p>
      <w:pPr>
        <w:spacing w:line="600" w:lineRule="exact"/>
        <w:ind w:firstLine="600" w:firstLineChars="200"/>
        <w:rPr>
          <w:rFonts w:ascii="仿宋_GB2312" w:eastAsia="仿宋_GB2312"/>
          <w:sz w:val="30"/>
          <w:szCs w:val="30"/>
        </w:rPr>
      </w:pPr>
      <w:r>
        <w:rPr>
          <w:rFonts w:hint="eastAsia" w:ascii="仿宋_GB2312" w:eastAsia="仿宋_GB2312"/>
          <w:sz w:val="30"/>
          <w:szCs w:val="30"/>
        </w:rPr>
        <w:t>纳入昆明市盘龙区商务和投资促进局2022年度部门决算编报的单位共1个。其中：行政单位1个，参照公务员法管理的事业单位</w:t>
      </w:r>
      <w:r>
        <w:rPr>
          <w:rFonts w:hint="eastAsia" w:ascii="仿宋_GB2312" w:eastAsia="仿宋_GB2312"/>
          <w:bCs/>
          <w:sz w:val="30"/>
          <w:szCs w:val="30"/>
        </w:rPr>
        <w:t>0</w:t>
      </w:r>
      <w:r>
        <w:rPr>
          <w:rFonts w:hint="eastAsia" w:ascii="仿宋_GB2312" w:eastAsia="仿宋_GB2312"/>
          <w:sz w:val="30"/>
          <w:szCs w:val="30"/>
        </w:rPr>
        <w:t>个，其他事业单位0个。分别是：</w:t>
      </w:r>
    </w:p>
    <w:p>
      <w:pPr>
        <w:spacing w:line="600" w:lineRule="exact"/>
        <w:ind w:firstLine="600" w:firstLineChars="200"/>
        <w:rPr>
          <w:rFonts w:ascii="仿宋_GB2312" w:eastAsia="仿宋_GB2312"/>
          <w:sz w:val="30"/>
          <w:szCs w:val="30"/>
        </w:rPr>
      </w:pPr>
      <w:r>
        <w:rPr>
          <w:rFonts w:hint="eastAsia" w:ascii="仿宋_GB2312" w:eastAsia="仿宋_GB2312"/>
          <w:sz w:val="30"/>
          <w:szCs w:val="30"/>
        </w:rPr>
        <w:t>1.昆明市盘龙区商务和投资促进局</w:t>
      </w:r>
    </w:p>
    <w:p>
      <w:pPr>
        <w:ind w:firstLine="600" w:firstLineChars="200"/>
        <w:rPr>
          <w:rFonts w:ascii="楷体" w:hAnsi="楷体" w:eastAsia="楷体"/>
          <w:sz w:val="30"/>
          <w:szCs w:val="30"/>
        </w:rPr>
      </w:pPr>
      <w:r>
        <w:rPr>
          <w:rFonts w:hint="eastAsia" w:ascii="楷体" w:hAnsi="楷体" w:eastAsia="楷体"/>
          <w:sz w:val="30"/>
          <w:szCs w:val="30"/>
        </w:rPr>
        <w:t xml:space="preserve">（三）部门人员和车辆的编制及实有情况 </w:t>
      </w:r>
    </w:p>
    <w:p>
      <w:pPr>
        <w:spacing w:line="600" w:lineRule="exact"/>
        <w:ind w:firstLine="600" w:firstLineChars="200"/>
        <w:rPr>
          <w:rFonts w:ascii="仿宋_GB2312" w:hAnsi="宋体" w:eastAsia="仿宋_GB2312" w:cs="Arial"/>
          <w:kern w:val="0"/>
          <w:sz w:val="30"/>
          <w:szCs w:val="30"/>
        </w:rPr>
      </w:pPr>
      <w:r>
        <w:rPr>
          <w:rFonts w:hint="eastAsia" w:ascii="仿宋_GB2312" w:eastAsia="仿宋_GB2312"/>
          <w:sz w:val="30"/>
          <w:szCs w:val="30"/>
        </w:rPr>
        <w:t>昆明市盘龙区商务和投资促进局2022年末实有人员编制23</w:t>
      </w:r>
      <w:r>
        <w:rPr>
          <w:rFonts w:hint="eastAsia" w:ascii="仿宋_GB2312" w:hAnsi="宋体" w:eastAsia="仿宋_GB2312" w:cs="Arial"/>
          <w:kern w:val="0"/>
          <w:sz w:val="30"/>
          <w:szCs w:val="30"/>
        </w:rPr>
        <w:t>人。其中：行政编制</w:t>
      </w:r>
      <w:r>
        <w:rPr>
          <w:rFonts w:hint="eastAsia" w:ascii="仿宋_GB2312" w:eastAsia="仿宋_GB2312"/>
          <w:sz w:val="30"/>
          <w:szCs w:val="30"/>
        </w:rPr>
        <w:t>15</w:t>
      </w:r>
      <w:r>
        <w:rPr>
          <w:rFonts w:hint="eastAsia" w:ascii="仿宋_GB2312" w:hAnsi="宋体" w:eastAsia="仿宋_GB2312" w:cs="Arial"/>
          <w:kern w:val="0"/>
          <w:sz w:val="30"/>
          <w:szCs w:val="30"/>
        </w:rPr>
        <w:t>人（含行政工勤编制</w:t>
      </w:r>
      <w:r>
        <w:rPr>
          <w:rFonts w:hint="eastAsia" w:ascii="仿宋_GB2312" w:eastAsia="仿宋_GB2312"/>
          <w:sz w:val="30"/>
          <w:szCs w:val="30"/>
        </w:rPr>
        <w:t>1</w:t>
      </w:r>
      <w:r>
        <w:rPr>
          <w:rFonts w:hint="eastAsia" w:ascii="仿宋_GB2312" w:hAnsi="宋体" w:eastAsia="仿宋_GB2312" w:cs="Arial"/>
          <w:kern w:val="0"/>
          <w:sz w:val="30"/>
          <w:szCs w:val="30"/>
        </w:rPr>
        <w:t>人），事业编制</w:t>
      </w:r>
      <w:r>
        <w:rPr>
          <w:rFonts w:hint="eastAsia" w:ascii="仿宋_GB2312" w:eastAsia="仿宋_GB2312"/>
          <w:sz w:val="30"/>
          <w:szCs w:val="30"/>
        </w:rPr>
        <w:t>8</w:t>
      </w:r>
      <w:r>
        <w:rPr>
          <w:rFonts w:hint="eastAsia" w:ascii="仿宋_GB2312" w:hAnsi="宋体" w:eastAsia="仿宋_GB2312" w:cs="Arial"/>
          <w:kern w:val="0"/>
          <w:sz w:val="30"/>
          <w:szCs w:val="30"/>
        </w:rPr>
        <w:t>人（含参公管理事业编制</w:t>
      </w:r>
      <w:r>
        <w:rPr>
          <w:rFonts w:hint="eastAsia" w:ascii="仿宋_GB2312" w:eastAsia="仿宋_GB2312"/>
          <w:sz w:val="30"/>
          <w:szCs w:val="30"/>
        </w:rPr>
        <w:t>0</w:t>
      </w:r>
      <w:r>
        <w:rPr>
          <w:rFonts w:hint="eastAsia" w:ascii="仿宋_GB2312" w:hAnsi="宋体" w:eastAsia="仿宋_GB2312" w:cs="Arial"/>
          <w:kern w:val="0"/>
          <w:sz w:val="30"/>
          <w:szCs w:val="30"/>
        </w:rPr>
        <w:t>人）；在职在编实有行政人员</w:t>
      </w:r>
      <w:r>
        <w:rPr>
          <w:rFonts w:hint="eastAsia" w:ascii="仿宋_GB2312" w:eastAsia="仿宋_GB2312"/>
          <w:sz w:val="30"/>
          <w:szCs w:val="30"/>
        </w:rPr>
        <w:t>15</w:t>
      </w:r>
      <w:r>
        <w:rPr>
          <w:rFonts w:hint="eastAsia" w:ascii="仿宋_GB2312" w:hAnsi="宋体" w:eastAsia="仿宋_GB2312" w:cs="Arial"/>
          <w:kern w:val="0"/>
          <w:sz w:val="30"/>
          <w:szCs w:val="30"/>
        </w:rPr>
        <w:t>人（含行政工勤人员</w:t>
      </w:r>
      <w:r>
        <w:rPr>
          <w:rFonts w:hint="eastAsia" w:ascii="仿宋_GB2312" w:eastAsia="仿宋_GB2312"/>
          <w:sz w:val="30"/>
          <w:szCs w:val="30"/>
        </w:rPr>
        <w:t>1</w:t>
      </w:r>
      <w:r>
        <w:rPr>
          <w:rFonts w:hint="eastAsia" w:ascii="仿宋_GB2312" w:hAnsi="宋体" w:eastAsia="仿宋_GB2312" w:cs="Arial"/>
          <w:kern w:val="0"/>
          <w:sz w:val="30"/>
          <w:szCs w:val="30"/>
        </w:rPr>
        <w:t>人），事业人员</w:t>
      </w:r>
      <w:r>
        <w:rPr>
          <w:rFonts w:hint="eastAsia" w:ascii="仿宋_GB2312" w:eastAsia="仿宋_GB2312"/>
          <w:sz w:val="30"/>
          <w:szCs w:val="30"/>
        </w:rPr>
        <w:t>8</w:t>
      </w:r>
      <w:r>
        <w:rPr>
          <w:rFonts w:hint="eastAsia" w:ascii="仿宋_GB2312" w:hAnsi="宋体" w:eastAsia="仿宋_GB2312" w:cs="Arial"/>
          <w:kern w:val="0"/>
          <w:sz w:val="30"/>
          <w:szCs w:val="30"/>
        </w:rPr>
        <w:t>人（含参公管理事业人员</w:t>
      </w:r>
      <w:r>
        <w:rPr>
          <w:rFonts w:hint="eastAsia" w:ascii="仿宋_GB2312" w:eastAsia="仿宋_GB2312"/>
          <w:sz w:val="30"/>
          <w:szCs w:val="30"/>
        </w:rPr>
        <w:t>0</w:t>
      </w:r>
      <w:r>
        <w:rPr>
          <w:rFonts w:hint="eastAsia" w:ascii="仿宋_GB2312" w:hAnsi="宋体" w:eastAsia="仿宋_GB2312" w:cs="Arial"/>
          <w:kern w:val="0"/>
          <w:sz w:val="30"/>
          <w:szCs w:val="30"/>
        </w:rPr>
        <w:t>人）。</w:t>
      </w:r>
    </w:p>
    <w:p>
      <w:pPr>
        <w:spacing w:line="60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尚未移交养老保险基金发放养老金的离退休人员共计</w:t>
      </w:r>
      <w:r>
        <w:rPr>
          <w:rFonts w:hint="eastAsia" w:ascii="仿宋_GB2312" w:eastAsia="仿宋_GB2312"/>
          <w:sz w:val="30"/>
          <w:szCs w:val="30"/>
        </w:rPr>
        <w:t>1</w:t>
      </w:r>
      <w:r>
        <w:rPr>
          <w:rFonts w:hint="eastAsia" w:ascii="仿宋_GB2312" w:hAnsi="宋体" w:eastAsia="仿宋_GB2312" w:cs="Arial"/>
          <w:kern w:val="0"/>
          <w:sz w:val="30"/>
          <w:szCs w:val="30"/>
        </w:rPr>
        <w:t>人（离休</w:t>
      </w:r>
      <w:r>
        <w:rPr>
          <w:rFonts w:hint="eastAsia" w:ascii="仿宋_GB2312" w:eastAsia="仿宋_GB2312"/>
          <w:sz w:val="30"/>
          <w:szCs w:val="30"/>
        </w:rPr>
        <w:t>1</w:t>
      </w:r>
      <w:r>
        <w:rPr>
          <w:rFonts w:hint="eastAsia" w:ascii="仿宋_GB2312" w:hAnsi="宋体" w:eastAsia="仿宋_GB2312" w:cs="Arial"/>
          <w:kern w:val="0"/>
          <w:sz w:val="30"/>
          <w:szCs w:val="30"/>
        </w:rPr>
        <w:t>人，退休</w:t>
      </w:r>
      <w:r>
        <w:rPr>
          <w:rFonts w:hint="eastAsia" w:ascii="仿宋_GB2312" w:eastAsia="仿宋_GB2312"/>
          <w:sz w:val="30"/>
          <w:szCs w:val="30"/>
        </w:rPr>
        <w:t>0</w:t>
      </w:r>
      <w:r>
        <w:rPr>
          <w:rFonts w:hint="eastAsia" w:ascii="仿宋_GB2312" w:hAnsi="宋体" w:eastAsia="仿宋_GB2312" w:cs="Arial"/>
          <w:kern w:val="0"/>
          <w:sz w:val="30"/>
          <w:szCs w:val="30"/>
        </w:rPr>
        <w:t>人）；由养老保险基金发放养老金的离退休人员53人（离休</w:t>
      </w:r>
      <w:r>
        <w:rPr>
          <w:rFonts w:hint="eastAsia" w:ascii="仿宋_GB2312" w:eastAsia="仿宋_GB2312"/>
          <w:sz w:val="30"/>
          <w:szCs w:val="30"/>
        </w:rPr>
        <w:t>0</w:t>
      </w:r>
      <w:r>
        <w:rPr>
          <w:rFonts w:hint="eastAsia" w:ascii="仿宋_GB2312" w:hAnsi="宋体" w:eastAsia="仿宋_GB2312" w:cs="Arial"/>
          <w:kern w:val="0"/>
          <w:sz w:val="30"/>
          <w:szCs w:val="30"/>
        </w:rPr>
        <w:t>人，退休</w:t>
      </w:r>
      <w:r>
        <w:rPr>
          <w:rFonts w:hint="eastAsia" w:ascii="仿宋_GB2312" w:eastAsia="仿宋_GB2312"/>
          <w:sz w:val="30"/>
          <w:szCs w:val="30"/>
        </w:rPr>
        <w:t>53</w:t>
      </w:r>
      <w:r>
        <w:rPr>
          <w:rFonts w:hint="eastAsia" w:ascii="仿宋_GB2312" w:hAnsi="宋体" w:eastAsia="仿宋_GB2312" w:cs="Arial"/>
          <w:kern w:val="0"/>
          <w:sz w:val="30"/>
          <w:szCs w:val="30"/>
        </w:rPr>
        <w:t>人）。</w:t>
      </w:r>
    </w:p>
    <w:p>
      <w:pPr>
        <w:spacing w:line="60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实有车辆编制</w:t>
      </w:r>
      <w:r>
        <w:rPr>
          <w:rFonts w:hint="eastAsia" w:ascii="仿宋_GB2312" w:eastAsia="仿宋_GB2312"/>
          <w:sz w:val="30"/>
          <w:szCs w:val="30"/>
        </w:rPr>
        <w:t>0</w:t>
      </w:r>
      <w:r>
        <w:rPr>
          <w:rFonts w:hint="eastAsia" w:ascii="仿宋_GB2312" w:hAnsi="宋体" w:eastAsia="仿宋_GB2312" w:cs="Arial"/>
          <w:kern w:val="0"/>
          <w:sz w:val="30"/>
          <w:szCs w:val="30"/>
        </w:rPr>
        <w:t>辆，在编实有车辆</w:t>
      </w:r>
      <w:r>
        <w:rPr>
          <w:rFonts w:hint="eastAsia" w:ascii="仿宋_GB2312" w:eastAsia="仿宋_GB2312"/>
          <w:sz w:val="30"/>
          <w:szCs w:val="30"/>
        </w:rPr>
        <w:t>0</w:t>
      </w:r>
      <w:r>
        <w:rPr>
          <w:rFonts w:hint="eastAsia" w:ascii="仿宋_GB2312" w:hAnsi="宋体" w:eastAsia="仿宋_GB2312" w:cs="Arial"/>
          <w:kern w:val="0"/>
          <w:sz w:val="30"/>
          <w:szCs w:val="30"/>
        </w:rPr>
        <w:t>辆。</w:t>
      </w:r>
    </w:p>
    <w:p>
      <w:pPr>
        <w:spacing w:line="60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 xml:space="preserve"> </w:t>
      </w:r>
    </w:p>
    <w:p>
      <w:pPr>
        <w:jc w:val="center"/>
        <w:rPr>
          <w:rFonts w:ascii="黑体" w:hAnsi="黑体" w:eastAsia="黑体"/>
          <w:sz w:val="32"/>
          <w:szCs w:val="32"/>
        </w:rPr>
      </w:pPr>
      <w:r>
        <w:rPr>
          <w:rFonts w:hint="eastAsia" w:ascii="黑体" w:hAnsi="黑体" w:eastAsia="黑体"/>
          <w:sz w:val="32"/>
          <w:szCs w:val="32"/>
        </w:rPr>
        <w:t>第二部分  2022年度部门决算表</w:t>
      </w:r>
    </w:p>
    <w:p>
      <w:pPr>
        <w:spacing w:line="600" w:lineRule="exact"/>
        <w:ind w:firstLine="600" w:firstLineChars="200"/>
        <w:jc w:val="center"/>
        <w:rPr>
          <w:rFonts w:ascii="仿宋_GB2312" w:eastAsia="仿宋_GB2312"/>
          <w:sz w:val="30"/>
          <w:szCs w:val="30"/>
        </w:rPr>
      </w:pPr>
      <w:r>
        <w:rPr>
          <w:rFonts w:hint="eastAsia" w:ascii="仿宋_GB2312" w:eastAsia="仿宋_GB2312"/>
          <w:sz w:val="30"/>
          <w:szCs w:val="30"/>
        </w:rPr>
        <w:t>（详见附件）</w:t>
      </w:r>
    </w:p>
    <w:p>
      <w:pPr>
        <w:spacing w:line="600" w:lineRule="exact"/>
        <w:ind w:firstLine="600" w:firstLineChars="200"/>
        <w:jc w:val="left"/>
        <w:rPr>
          <w:rFonts w:ascii="仿宋_GB2312" w:eastAsia="仿宋_GB2312"/>
          <w:sz w:val="30"/>
          <w:szCs w:val="30"/>
        </w:rPr>
      </w:pPr>
      <w:r>
        <w:rPr>
          <w:rFonts w:hint="eastAsia" w:ascii="仿宋_GB2312" w:eastAsia="仿宋_GB2312"/>
          <w:sz w:val="30"/>
          <w:szCs w:val="30"/>
        </w:rPr>
        <w:t>备注:昆明市盘龙区商务和投资促进局2022年度无国有资本经营预算财政拨款收入，也没有使用国有资本经营预算安排的支出，故《国有资本经营预算财政拨款收入支出决算表》无数据。</w:t>
      </w:r>
    </w:p>
    <w:p>
      <w:pPr>
        <w:spacing w:line="600" w:lineRule="exact"/>
        <w:ind w:firstLine="600" w:firstLineChars="200"/>
        <w:jc w:val="left"/>
        <w:rPr>
          <w:rFonts w:ascii="仿宋_GB2312" w:eastAsia="仿宋_GB2312"/>
          <w:sz w:val="30"/>
          <w:szCs w:val="30"/>
        </w:rPr>
      </w:pPr>
      <w:r>
        <w:rPr>
          <w:rFonts w:hint="eastAsia" w:ascii="仿宋_GB2312" w:eastAsia="仿宋_GB2312"/>
          <w:sz w:val="30"/>
          <w:szCs w:val="30"/>
        </w:rPr>
        <w:t xml:space="preserve"> </w:t>
      </w:r>
    </w:p>
    <w:p>
      <w:pPr>
        <w:jc w:val="center"/>
        <w:rPr>
          <w:rFonts w:ascii="黑体" w:hAnsi="黑体" w:eastAsia="黑体"/>
          <w:sz w:val="32"/>
          <w:szCs w:val="32"/>
        </w:rPr>
      </w:pPr>
      <w:r>
        <w:rPr>
          <w:rFonts w:hint="eastAsia" w:ascii="黑体" w:hAnsi="黑体" w:eastAsia="黑体"/>
          <w:sz w:val="32"/>
          <w:szCs w:val="32"/>
        </w:rPr>
        <w:t>第三部分  2022年度部门决算情况说明</w:t>
      </w:r>
    </w:p>
    <w:p>
      <w:pPr>
        <w:ind w:firstLine="600" w:firstLineChars="200"/>
        <w:jc w:val="left"/>
        <w:rPr>
          <w:rFonts w:ascii="黑体" w:hAnsi="黑体" w:eastAsia="黑体"/>
          <w:sz w:val="30"/>
          <w:szCs w:val="30"/>
        </w:rPr>
      </w:pPr>
      <w:r>
        <w:rPr>
          <w:rFonts w:hint="eastAsia" w:ascii="黑体" w:hAnsi="黑体" w:eastAsia="黑体"/>
          <w:sz w:val="30"/>
          <w:szCs w:val="30"/>
        </w:rPr>
        <w:t>一、收入决算情况说明</w:t>
      </w:r>
    </w:p>
    <w:p>
      <w:pPr>
        <w:widowControl/>
        <w:snapToGrid w:val="0"/>
        <w:spacing w:line="590" w:lineRule="atLeast"/>
        <w:ind w:firstLine="600"/>
        <w:jc w:val="left"/>
        <w:rPr>
          <w:rFonts w:ascii="仿宋_GB2312" w:hAnsi="宋体" w:eastAsia="仿宋_GB2312" w:cs="Arial"/>
          <w:kern w:val="0"/>
          <w:sz w:val="30"/>
          <w:szCs w:val="30"/>
        </w:rPr>
      </w:pPr>
      <w:r>
        <w:rPr>
          <w:rFonts w:hint="eastAsia" w:ascii="仿宋_GB2312" w:eastAsia="仿宋_GB2312"/>
          <w:sz w:val="30"/>
          <w:szCs w:val="30"/>
        </w:rPr>
        <w:t>昆明市盘龙区商务和投资促进局2022年度收入合计61,188,128.55元。其中：财政拨款收入55,637,335.51元，占总收入的90.93%；上级补助收入0.00元，占总收入的0.00%；事业收入0.00元（含教育收费0.00元），占总收入的0.00%；经营收入0.00元，占总收入的0.00%；附属单位上缴收入0.00元，占总收入的0.00%；其他收入5,550,793.04元，占总收入的9.07%。与上年相比，收入合计减少6,530,071.49元，下降9.64%。其中：财政拨款收入减少9,259,888.72元，下降14.27%；上级补助收入增加0.00元，增长0.00%；事业收入增加0.00元，增长0.00%；经营收入增加0.00元，增长0.00%；附属单位上缴收入增加0.00元，增长0.00%；其他收入增加2,729,817.23元，增长96.77%。主要原因是:1.2022年省市上级转移支付专项资金比上年减少；2.2022年本级横向转拨款比上年增加形成的。</w:t>
      </w:r>
    </w:p>
    <w:p>
      <w:pPr>
        <w:ind w:firstLine="600" w:firstLineChars="200"/>
        <w:jc w:val="left"/>
        <w:rPr>
          <w:rFonts w:ascii="黑体" w:hAnsi="黑体" w:eastAsia="黑体"/>
          <w:sz w:val="30"/>
          <w:szCs w:val="30"/>
        </w:rPr>
      </w:pPr>
      <w:r>
        <w:rPr>
          <w:rFonts w:hint="eastAsia" w:ascii="黑体" w:hAnsi="黑体" w:eastAsia="黑体"/>
          <w:sz w:val="30"/>
          <w:szCs w:val="30"/>
        </w:rPr>
        <w:t>二、支出决算情况说明</w:t>
      </w:r>
    </w:p>
    <w:p>
      <w:pPr>
        <w:widowControl/>
        <w:snapToGrid w:val="0"/>
        <w:spacing w:line="590" w:lineRule="atLeast"/>
        <w:ind w:firstLine="600"/>
        <w:jc w:val="left"/>
        <w:rPr>
          <w:rFonts w:ascii="仿宋_GB2312" w:hAnsi="宋体" w:eastAsia="仿宋_GB2312" w:cs="Arial"/>
          <w:kern w:val="0"/>
          <w:sz w:val="30"/>
          <w:szCs w:val="30"/>
        </w:rPr>
      </w:pPr>
      <w:r>
        <w:rPr>
          <w:rFonts w:hint="eastAsia" w:ascii="仿宋_GB2312" w:eastAsia="仿宋_GB2312"/>
          <w:sz w:val="30"/>
          <w:szCs w:val="30"/>
        </w:rPr>
        <w:t>昆明市盘龙区商务和投资促进局2022年度支出合计60,561,481.58元。其中：基本支出7,747,453.15元，占总支出的12.79%；项目支出52,814,028.43元，占总支出的87.21%；上缴上级支出0.00元，占总支出的0.00%；经营支出0.00元，占总支出的0.00%；对附属单位补助支出0.00元，占总支出的0.00%。与上年相比，支出合计减少7,281,699.79元，下降10.73%。其中：基本支出增加1,585,834.78元，增长25.74%；项目支出减少8,867,534.57元，下降14.38%；上缴上级支出增加0.00元，增长0.00%；经营支出增加0.00元，增长0.00%；对附属单位补助支出增加0.00元，增长0.00%。主要原因是:1.2022年省市上级转移支付专项资金比上年减少；2.2022年离退休生活补助纳入部门收支预算形成的。</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（一）基本支出情况</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2022年度用于保障昆明市盘龙区商务和投资促进局机关、下属事业单位等机构正常运转的日常支出7,747,453.15元。其中：基本工资、津贴补贴等人员经费支出7,296,186.83元，占基本支出的94.18%；办公费、邮电费、水费、维修费、培训费、公务接待费、福利费、其他交通费等公用经费451,266.32元，占基本支出的5.82%。</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（二）项目支出情况</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2022年度用于保障昆明市盘龙区商务和投资促进局机构、下属事业单位等机构为完成特定的行政工作任务或事业发展目标，用于专项业务工作的经费支出52,814,028.43元。其中：基本建设类项目支出0.00元。具体项目开支及开展工作情况如下：</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1.盘百大楼资产托管财政补助经费支出742,653.00元；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2.楼宇总部经济专项经费支出130,000.00元；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3.盘龙区“彩云盘龙消费券”发放活动经费1,120,529.41元；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4.招商引资工作专项经费支出316,814.88元；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5.盘龙区第二期“彩云盘龙消费券”活动专项资金1,807,209.25元；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6.2021年楼宇经济和现代服务业发展补助资金支出4,594,493.65元；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7.2018年省招商引资省对下专项转移支付资金财政拨款结转专项资金73,000.00元；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8.2022年昆明市一季度经济运行平稳开局工业经济奖补专项资金500,000.00元；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9.2022年昆明市工业能效提升及淘汰落后产能专项资金29,000.00元；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10.2022年昆明市技术改造及创新平台建设补助资金2,200,000.00元；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11.2022年昆明市企业升规补助资金50,000.00元；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12.昆迪合作项目帮扶资金支出2,000,000.00元；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13.盘龙区工业重点企业扶持专项资金1,980,000.00元；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14.云南三龙机械集团有限公司生活区供电改造专项资金1,080,000.00元；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15.2017年第二批小微企业创业创新基地城市示范中央财政专项资金319,200.00元；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16.2021年省级中小企业发展专项资金1,000,000.00元；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17.2022年省级中小企业发展专项资金7,340,000.00元；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18.2022年中央小企发展（小微企业融资担保降费奖补方向）专项资金886,400.00元；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19.2022年中小微企业纾困发展以奖代补资金6,200,000.00元；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20.2016年批发零售餐饮业奖励资金3,900.00元；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21.“绿色食品牌”招商引资工作经费49,800.00元；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22.2020年度新入库住宿、餐饮企业（个体）扶持奖励专项资金50,000.00元；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23.2021年限额以上企业培育促销费奖补专项资金80,000.00元；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24.昆明市2021年度“节约示范餐饮单位”专项资金200,000.00元；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25.住宿餐饮企业贷款贴息补助专项资金187,300.00元；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26.昆明市纳入限额以上管理住宿餐饮企业奖补专项资金2,400,000.00元；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27.昆明市2021年企业培育促消费扶持奖励专项资金1,500,000.00元；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28.2021年“千企冲刺”销售竞赛第一批奖补专项资金1,600,000.00元；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29.2016年稳增长进出口奖励资金121,550.00元；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30.中央外经贸发展专项资金支持境外罂粟替代发展项目专项资金127,600.00元；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31.中央外经贸发展专项资金支持对外投资合作事项专项资金1,130,193.00元；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32.2021年支持服务贸易创新发展专项资金750,000.00元；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33.2021年支持文化贸易发展专项资金200,000.00元；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34.2021年中央外经贸专项资金促进外贸稳中提质专项资金819,944.00元；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35.2022年第二批商贸进出口专项经费支持外贸稳增长项目专项资金800,000.00元；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36.2022年度中央外经贸支持促进外贸稳中提质项目（第一批）专项资金849,792.20元；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37.外向型农业发展百强企业专项资金600,000.00元；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38.2022年度中央外经贸专项资金支持促进对外投资项目专项资金580,100.00元；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39.2022年中央外经贸支持进口贴息项目专项资金68,836.00元；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40.2022年度中央外经贸支持境外罂粟替代种植项目专项资金1,706,000.00元；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41.中央外贸发展专项资金支持服务贸易发展项目专项资金635,000.00元；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42.大型商场（超市）全国文明城市创建及商务领域爱国卫生运动工作补助资金32,680.00元；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43.昆明市商贸业固定资产投资补助资金570,000.00元；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44.昆明市2021年稳增长促消费扶持奖励资金390,000.00元；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45.2021年度新增入库商贸类服务业企业扶持奖励资金182,000.00元；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46.2022年稳增长电子商务奖补专项资金250,000.00元；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47.昆明市盘龙区发展和改革局拨盘龙区稳增长奖励资金支出4,072,500.00元；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48.中共昆明市盘龙区委组织部拨书记补贴及工作经费支出3,600.00元；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49.中共昆明市盘龙区委组织部拨离退休党组织经费支出17,280.00元；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50.昆明市盘龙区卫生健康局拨8.21疫情生活慰问物资资金支出451,253.04元；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51.中共昆明市盘龙区委组织部拨春节慰问老干部经费支出9,600.00元；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52.中共昆明市盘龙区委组织部敬老节走访慰问金支出4,800.00元；</w:t>
      </w:r>
    </w:p>
    <w:p>
      <w:pPr>
        <w:widowControl/>
        <w:snapToGrid w:val="0"/>
        <w:spacing w:line="590" w:lineRule="atLeast"/>
        <w:ind w:firstLine="600"/>
        <w:jc w:val="left"/>
        <w:rPr>
          <w:rFonts w:ascii="仿宋_GB2312" w:eastAsia="仿宋_GB2312"/>
          <w:sz w:val="30"/>
          <w:szCs w:val="30"/>
        </w:rPr>
      </w:pPr>
      <w:r>
        <w:rPr>
          <w:rFonts w:hint="eastAsia" w:ascii="仿宋_GB2312" w:eastAsia="仿宋_GB2312"/>
          <w:sz w:val="30"/>
          <w:szCs w:val="30"/>
        </w:rPr>
        <w:t>53.昆明市盘龙区退役军人事务局拨春节、“八一”节日慰问费支出1,000.00元。</w:t>
      </w:r>
    </w:p>
    <w:p>
      <w:pPr>
        <w:widowControl/>
        <w:snapToGrid w:val="0"/>
        <w:spacing w:before="100" w:after="100" w:line="600" w:lineRule="exact"/>
        <w:ind w:firstLine="600" w:firstLineChars="200"/>
        <w:jc w:val="left"/>
        <w:rPr>
          <w:rFonts w:ascii="黑体" w:hAnsi="黑体" w:eastAsia="黑体"/>
          <w:sz w:val="30"/>
          <w:szCs w:val="30"/>
        </w:rPr>
      </w:pPr>
      <w:r>
        <w:rPr>
          <w:rFonts w:hint="eastAsia" w:ascii="黑体" w:hAnsi="黑体" w:eastAsia="黑体"/>
          <w:sz w:val="30"/>
          <w:szCs w:val="30"/>
        </w:rPr>
        <w:t>三、一般公共预算财政拨款支出决算情况说明</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（一）一般公共预算财政拨款支出决算总体情况</w:t>
      </w:r>
    </w:p>
    <w:p>
      <w:pPr>
        <w:widowControl/>
        <w:snapToGrid w:val="0"/>
        <w:spacing w:line="590" w:lineRule="atLeast"/>
        <w:ind w:firstLine="600"/>
        <w:jc w:val="left"/>
        <w:rPr>
          <w:rFonts w:ascii="仿宋_GB2312" w:hAnsi="宋体" w:eastAsia="仿宋_GB2312" w:cs="Arial"/>
          <w:kern w:val="0"/>
          <w:sz w:val="30"/>
          <w:szCs w:val="30"/>
        </w:rPr>
      </w:pPr>
      <w:r>
        <w:rPr>
          <w:rFonts w:hint="eastAsia" w:ascii="仿宋_GB2312" w:eastAsia="仿宋_GB2312"/>
          <w:sz w:val="30"/>
          <w:szCs w:val="30"/>
        </w:rPr>
        <w:t>昆明市盘龙区商务和投资促进局2022年度一般公共预算财政拨款支出51,242,448.54元,占本年支出合计的84.61%。与上年相比减少13,793,497.02元，下降21.21%,主要</w:t>
      </w:r>
      <w:r>
        <w:rPr>
          <w:rFonts w:hint="eastAsia" w:ascii="仿宋_GB2312" w:hAnsi="宋体" w:eastAsia="仿宋_GB2312" w:cs="Arial"/>
          <w:kern w:val="0"/>
          <w:sz w:val="30"/>
          <w:szCs w:val="30"/>
        </w:rPr>
        <w:t>原因是</w:t>
      </w:r>
      <w:r>
        <w:rPr>
          <w:rFonts w:hint="eastAsia" w:ascii="仿宋_GB2312" w:eastAsia="仿宋_GB2312"/>
          <w:sz w:val="30"/>
          <w:szCs w:val="30"/>
        </w:rPr>
        <w:t>2022年省市上级转移支付专项资金比上年减少</w:t>
      </w:r>
      <w:r>
        <w:rPr>
          <w:rFonts w:hint="eastAsia" w:ascii="仿宋_GB2312" w:hAnsi="宋体" w:eastAsia="仿宋_GB2312" w:cs="Arial"/>
          <w:kern w:val="0"/>
          <w:sz w:val="30"/>
          <w:szCs w:val="30"/>
        </w:rPr>
        <w:t>。</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（二）一般公共预算财政拨款支出决算具体情况</w:t>
      </w:r>
      <w:r>
        <w:rPr>
          <w:rFonts w:hint="eastAsia" w:ascii="楷体" w:hAnsi="楷体" w:eastAsia="楷体"/>
          <w:sz w:val="30"/>
          <w:szCs w:val="30"/>
        </w:rPr>
        <w:tab/>
      </w:r>
      <w:r>
        <w:rPr>
          <w:rFonts w:hint="eastAsia" w:ascii="楷体" w:hAnsi="楷体" w:eastAsia="楷体"/>
          <w:sz w:val="30"/>
          <w:szCs w:val="30"/>
        </w:rPr>
        <w:tab/>
      </w:r>
      <w:r>
        <w:rPr>
          <w:rFonts w:hint="eastAsia" w:ascii="楷体" w:hAnsi="楷体" w:eastAsia="楷体"/>
          <w:sz w:val="30"/>
          <w:szCs w:val="30"/>
        </w:rPr>
        <w:tab/>
      </w:r>
    </w:p>
    <w:p>
      <w:pPr>
        <w:widowControl/>
        <w:snapToGrid w:val="0"/>
        <w:spacing w:line="590" w:lineRule="atLeast"/>
        <w:ind w:firstLine="6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1.一般公共服务（类）支出12,717,440.27元，占一般公共预算财政拨款总支出的24.82%。主要用于保障本局机关机构正常运转的日常支出，其中：行政运行支出2,823,097.66元，事业运行支出1,109,642.42元，一般行政管理事务支出3,800,391.66元，招商引资支出389,814.88元，其他商贸事务支出4,594,493.65元；</w:t>
      </w:r>
    </w:p>
    <w:p>
      <w:pPr>
        <w:widowControl/>
        <w:snapToGrid w:val="0"/>
        <w:spacing w:line="590" w:lineRule="atLeast"/>
        <w:ind w:firstLine="6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2.外交（类）支出0元，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3.国防（类）支出0元，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4.公共安全（类）支出0元，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5.教育（类）支出0元，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eastAsia"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6.科学技术（类）支出0元，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7.文化旅游体育与传媒（类）支出0元，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ascii="仿宋_GB2312" w:hAnsi="宋体" w:eastAsia="仿宋_GB2312" w:cs="Arial"/>
          <w:kern w:val="0"/>
          <w:sz w:val="30"/>
          <w:szCs w:val="30"/>
        </w:rPr>
      </w:pPr>
      <w:r>
        <w:rPr>
          <w:rFonts w:hint="eastAsia" w:ascii="仿宋_GB2312" w:hAnsi="宋体" w:eastAsia="仿宋_GB2312" w:cs="Arial"/>
          <w:kern w:val="0"/>
          <w:sz w:val="30"/>
          <w:szCs w:val="30"/>
          <w:lang w:val="en-US" w:eastAsia="zh-CN"/>
        </w:rPr>
        <w:t>8</w:t>
      </w:r>
      <w:r>
        <w:rPr>
          <w:rFonts w:hint="eastAsia" w:ascii="仿宋_GB2312" w:hAnsi="宋体" w:eastAsia="仿宋_GB2312" w:cs="Arial"/>
          <w:kern w:val="0"/>
          <w:sz w:val="30"/>
          <w:szCs w:val="30"/>
        </w:rPr>
        <w:t>.社会保障和就业（类）支出2,870,454.80元，占一般公共预算财政拨款总支出的5.60%。主要用于离休人员的离休费、抚恤金、公用经费、单位基本养老保险缴费、职业年金支出，其中：行政单位离退休支出2,158,196.00元，事业单位离退休支出124,203.20元，机关事业单位基本养老保险缴费支出363,356.00元，死亡抚恤支出224,699.60元；</w:t>
      </w:r>
    </w:p>
    <w:p>
      <w:pPr>
        <w:widowControl/>
        <w:snapToGrid w:val="0"/>
        <w:spacing w:line="590" w:lineRule="atLeast"/>
        <w:ind w:firstLine="6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9</w:t>
      </w:r>
      <w:r>
        <w:rPr>
          <w:rFonts w:hint="eastAsia" w:ascii="仿宋_GB2312" w:hAnsi="宋体" w:eastAsia="仿宋_GB2312" w:cs="Arial"/>
          <w:kern w:val="0"/>
          <w:sz w:val="30"/>
          <w:szCs w:val="30"/>
        </w:rPr>
        <w:t>.卫生健康（类）支出551,312.27元，占一般公共预算财政拨款总支出的1.08%。主要用于在职和离退休人员的医疗保险缴费，其中：行政单位医疗支出212,390.00元，事业单位医疗支出31,105.03元，公务员医疗补助支出307,817.24元；</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10.节能环保（类）支出0元，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11.城乡社区（类）支出0元，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12</w:t>
      </w:r>
      <w:r>
        <w:rPr>
          <w:rFonts w:hint="eastAsia" w:ascii="仿宋_GB2312" w:hAnsi="宋体" w:eastAsia="仿宋_GB2312" w:cs="Arial"/>
          <w:kern w:val="0"/>
          <w:sz w:val="30"/>
          <w:szCs w:val="30"/>
        </w:rPr>
        <w:t>.农林水（类）支出2,000,000.00元，占一般公共预算财政拨款总支出的3.90%。主要用于拨付昆迪合作项目帮扶资金；</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13.交通运输（类）支出0元，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ascii="仿宋_GB2312" w:hAnsi="宋体" w:eastAsia="仿宋_GB2312" w:cs="Arial"/>
          <w:kern w:val="0"/>
          <w:sz w:val="30"/>
          <w:szCs w:val="30"/>
        </w:rPr>
      </w:pPr>
      <w:r>
        <w:rPr>
          <w:rFonts w:hint="eastAsia" w:ascii="仿宋_GB2312" w:hAnsi="宋体" w:eastAsia="仿宋_GB2312" w:cs="Arial"/>
          <w:kern w:val="0"/>
          <w:sz w:val="30"/>
          <w:szCs w:val="30"/>
          <w:lang w:val="en-US" w:eastAsia="zh-CN"/>
        </w:rPr>
        <w:t>14</w:t>
      </w:r>
      <w:r>
        <w:rPr>
          <w:rFonts w:hint="eastAsia" w:ascii="仿宋_GB2312" w:hAnsi="宋体" w:eastAsia="仿宋_GB2312" w:cs="Arial"/>
          <w:kern w:val="0"/>
          <w:sz w:val="30"/>
          <w:szCs w:val="30"/>
        </w:rPr>
        <w:t>.资源勘探工业信息等（类）支出类16,825,600.00元，占一般公共预算财政拨款总支出的32.84%。主要用于拨付省市工信口上级补助资金专款，其中：其他国有资产监管支出1,080,000.00元，中小企业发展专项支出15,745,600.00元；</w:t>
      </w:r>
    </w:p>
    <w:p>
      <w:pPr>
        <w:widowControl/>
        <w:snapToGrid w:val="0"/>
        <w:spacing w:line="590" w:lineRule="atLeast"/>
        <w:ind w:firstLine="6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15</w:t>
      </w:r>
      <w:r>
        <w:rPr>
          <w:rFonts w:hint="eastAsia" w:ascii="仿宋_GB2312" w:hAnsi="宋体" w:eastAsia="仿宋_GB2312" w:cs="Arial"/>
          <w:kern w:val="0"/>
          <w:sz w:val="30"/>
          <w:szCs w:val="30"/>
        </w:rPr>
        <w:t>.商业服务业等（类）支出15,884,695.20元，占一般公共预算财政拨款总支出的31.00%。主要用于拨付内贸流通统计监测、促进外贸发展、稳增长促进社会消费等上级补助资金专款，其中：其他商业流通事务支出6,071,000.00元，其他涉外发展服务支出8,389,015.20元，其他商业服务业等支出1,424,680.00元；</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16.金融（类）支出0元，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17.援助其他地区（类）支出0元，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18.自然资源海洋气象等（类）支出0元，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eastAsia" w:ascii="仿宋_GB2312" w:hAnsi="宋体" w:eastAsia="仿宋_GB2312" w:cs="Arial"/>
          <w:kern w:val="0"/>
          <w:sz w:val="30"/>
          <w:szCs w:val="30"/>
          <w:lang w:eastAsia="zh-CN"/>
        </w:rPr>
      </w:pPr>
      <w:r>
        <w:rPr>
          <w:rFonts w:hint="eastAsia" w:ascii="仿宋_GB2312" w:hAnsi="宋体" w:eastAsia="仿宋_GB2312" w:cs="Arial"/>
          <w:kern w:val="0"/>
          <w:sz w:val="30"/>
          <w:szCs w:val="30"/>
          <w:lang w:val="en-US" w:eastAsia="zh-CN"/>
        </w:rPr>
        <w:t>19</w:t>
      </w:r>
      <w:r>
        <w:rPr>
          <w:rFonts w:hint="eastAsia" w:ascii="仿宋_GB2312" w:hAnsi="宋体" w:eastAsia="仿宋_GB2312" w:cs="Arial"/>
          <w:kern w:val="0"/>
          <w:sz w:val="30"/>
          <w:szCs w:val="30"/>
        </w:rPr>
        <w:t>.住房保障（类）支出392,946.00元，占一般公共预算财政拨款总支出的0.77%。主要用于在职人员住房公积金的缴纳</w:t>
      </w:r>
      <w:r>
        <w:rPr>
          <w:rFonts w:hint="eastAsia" w:ascii="仿宋_GB2312" w:hAnsi="宋体" w:eastAsia="仿宋_GB2312" w:cs="Arial"/>
          <w:kern w:val="0"/>
          <w:sz w:val="30"/>
          <w:szCs w:val="30"/>
          <w:lang w:eastAsia="zh-CN"/>
        </w:rPr>
        <w:t>；</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20.粮油物资储备（类）支出0元，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21.国有资本经营预算（类）支出0元，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22.灾害防治及应急管理（类）支出0元，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23.其他（类）支出0元，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24.债务还本（类）支出0元，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widowControl/>
        <w:snapToGrid w:val="0"/>
        <w:spacing w:line="590" w:lineRule="atLeast"/>
        <w:ind w:firstLine="600"/>
        <w:jc w:val="left"/>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25.债务付息（类）支出0元，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keepNext w:val="0"/>
        <w:keepLines w:val="0"/>
        <w:pageBreakBefore w:val="0"/>
        <w:widowControl/>
        <w:kinsoku/>
        <w:wordWrap/>
        <w:overflowPunct/>
        <w:topLinePunct w:val="0"/>
        <w:autoSpaceDE/>
        <w:autoSpaceDN/>
        <w:bidi w:val="0"/>
        <w:adjustRightInd/>
        <w:snapToGrid w:val="0"/>
        <w:spacing w:line="360" w:lineRule="auto"/>
        <w:ind w:firstLine="600"/>
        <w:jc w:val="left"/>
        <w:textAlignment w:val="auto"/>
        <w:rPr>
          <w:rFonts w:hint="default" w:ascii="仿宋_GB2312" w:hAnsi="宋体" w:eastAsia="仿宋_GB2312" w:cs="Arial"/>
          <w:kern w:val="0"/>
          <w:sz w:val="30"/>
          <w:szCs w:val="30"/>
          <w:lang w:val="en-US" w:eastAsia="zh-CN"/>
        </w:rPr>
      </w:pPr>
      <w:r>
        <w:rPr>
          <w:rFonts w:hint="eastAsia" w:ascii="仿宋_GB2312" w:hAnsi="宋体" w:eastAsia="仿宋_GB2312" w:cs="Arial"/>
          <w:kern w:val="0"/>
          <w:sz w:val="30"/>
          <w:szCs w:val="30"/>
          <w:lang w:val="en-US" w:eastAsia="zh-CN"/>
        </w:rPr>
        <w:t>26.抗疫特别国债安排（类）支出0元，</w:t>
      </w:r>
      <w:r>
        <w:rPr>
          <w:rFonts w:hint="eastAsia" w:ascii="仿宋_GB2312" w:hAnsi="宋体" w:eastAsia="仿宋_GB2312" w:cs="Arial"/>
          <w:kern w:val="0"/>
          <w:sz w:val="30"/>
          <w:szCs w:val="30"/>
        </w:rPr>
        <w:t>占一般公共预算财政拨款总支出的</w:t>
      </w:r>
      <w:r>
        <w:rPr>
          <w:rFonts w:hint="eastAsia" w:ascii="仿宋_GB2312" w:hAnsi="宋体" w:eastAsia="仿宋_GB2312" w:cs="Arial"/>
          <w:kern w:val="0"/>
          <w:sz w:val="30"/>
          <w:szCs w:val="30"/>
          <w:lang w:val="en-US" w:eastAsia="zh-CN"/>
        </w:rPr>
        <w:t>0%。</w:t>
      </w:r>
    </w:p>
    <w:p>
      <w:pPr>
        <w:keepNext w:val="0"/>
        <w:keepLines w:val="0"/>
        <w:pageBreakBefore w:val="0"/>
        <w:widowControl/>
        <w:numPr>
          <w:ilvl w:val="0"/>
          <w:numId w:val="2"/>
        </w:numPr>
        <w:kinsoku/>
        <w:wordWrap/>
        <w:overflowPunct/>
        <w:topLinePunct w:val="0"/>
        <w:autoSpaceDE/>
        <w:autoSpaceDN/>
        <w:bidi w:val="0"/>
        <w:adjustRightInd/>
        <w:snapToGrid w:val="0"/>
        <w:spacing w:before="100" w:after="100" w:line="360" w:lineRule="auto"/>
        <w:ind w:firstLine="600" w:firstLineChars="200"/>
        <w:jc w:val="left"/>
        <w:textAlignment w:val="auto"/>
        <w:rPr>
          <w:rFonts w:ascii="黑体" w:hAnsi="黑体" w:eastAsia="黑体"/>
          <w:sz w:val="30"/>
          <w:szCs w:val="30"/>
        </w:rPr>
      </w:pPr>
      <w:r>
        <w:rPr>
          <w:rFonts w:hint="eastAsia" w:ascii="黑体" w:hAnsi="黑体" w:eastAsia="黑体"/>
          <w:sz w:val="30"/>
          <w:szCs w:val="30"/>
        </w:rPr>
        <w:t>财政拨款“三公”经费支出决算情况说明</w:t>
      </w:r>
    </w:p>
    <w:p>
      <w:pPr>
        <w:keepNext w:val="0"/>
        <w:keepLines w:val="0"/>
        <w:pageBreakBefore w:val="0"/>
        <w:widowControl/>
        <w:kinsoku/>
        <w:wordWrap/>
        <w:overflowPunct/>
        <w:topLinePunct w:val="0"/>
        <w:autoSpaceDE/>
        <w:autoSpaceDN/>
        <w:bidi w:val="0"/>
        <w:adjustRightInd/>
        <w:snapToGrid w:val="0"/>
        <w:spacing w:line="360" w:lineRule="auto"/>
        <w:ind w:firstLine="601"/>
        <w:jc w:val="left"/>
        <w:textAlignment w:val="auto"/>
        <w:rPr>
          <w:rFonts w:ascii="仿宋_GB2312" w:hAnsi="宋体" w:eastAsia="仿宋_GB2312" w:cs="Arial"/>
          <w:kern w:val="0"/>
          <w:sz w:val="30"/>
          <w:szCs w:val="30"/>
        </w:rPr>
      </w:pPr>
      <w:r>
        <w:rPr>
          <w:rFonts w:hint="eastAsia" w:ascii="仿宋_GB2312" w:hAnsi="宋体" w:eastAsia="仿宋_GB2312" w:cs="Arial"/>
          <w:kern w:val="0"/>
          <w:sz w:val="30"/>
          <w:szCs w:val="30"/>
        </w:rPr>
        <w:t>2022年度财政拨款“三公”经费支出决算中，财政拨款“三公”经费支出年初预算为42,300.00元，支出决算为954.00元，完成年初预算的2.25%。其中：因公出国（境）费支出决算0.00元，占总支出决算的0.00%；公务用车购置费支出决算0.00元，占总支出决算的0.00%；公务用车运行维护费支出决算0.00元，占总支出决算的0.00%；公务接待费支出决算954.00元，占总支出决算的100.00%，具体是国内接待费支出决算954.00元（其中：外事接待费支出决算0.00元），国（境）外接待费支出决算0.00元。明细情况如下：</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(一)一般公共预算财政拨款“三公”经费支出决算总体情况</w:t>
      </w:r>
    </w:p>
    <w:p>
      <w:pPr>
        <w:autoSpaceDE w:val="0"/>
        <w:autoSpaceDN w:val="0"/>
        <w:spacing w:line="590" w:lineRule="atLeast"/>
        <w:ind w:firstLine="600"/>
        <w:rPr>
          <w:rFonts w:ascii="仿宋_GB2312" w:eastAsia="仿宋_GB2312"/>
          <w:sz w:val="30"/>
          <w:szCs w:val="30"/>
        </w:rPr>
      </w:pPr>
      <w:r>
        <w:rPr>
          <w:rFonts w:hint="eastAsia" w:ascii="仿宋_GB2312" w:eastAsia="仿宋_GB2312"/>
          <w:sz w:val="30"/>
          <w:szCs w:val="30"/>
        </w:rPr>
        <w:t>昆明市盘龙区商务和投资促进局2022年度一般公共预算财政拨款“三公”经费支出</w:t>
      </w:r>
      <w:r>
        <w:rPr>
          <w:rFonts w:hint="eastAsia" w:ascii="仿宋_GB2312" w:hAnsi="宋体" w:eastAsia="仿宋_GB2312" w:cs="Arial"/>
          <w:kern w:val="0"/>
          <w:sz w:val="30"/>
          <w:szCs w:val="30"/>
        </w:rPr>
        <w:t>年初</w:t>
      </w:r>
      <w:r>
        <w:rPr>
          <w:rFonts w:hint="eastAsia" w:ascii="仿宋_GB2312" w:eastAsia="仿宋_GB2312"/>
          <w:sz w:val="30"/>
          <w:szCs w:val="30"/>
        </w:rPr>
        <w:t>预算为</w:t>
      </w:r>
      <w:r>
        <w:rPr>
          <w:rFonts w:hint="eastAsia" w:ascii="仿宋_GB2312" w:hAnsi="宋体" w:eastAsia="仿宋_GB2312" w:cs="Arial"/>
          <w:kern w:val="0"/>
          <w:sz w:val="30"/>
          <w:szCs w:val="30"/>
        </w:rPr>
        <w:t>42,300.00</w:t>
      </w:r>
      <w:r>
        <w:rPr>
          <w:rFonts w:hint="eastAsia" w:ascii="仿宋_GB2312" w:eastAsia="仿宋_GB2312"/>
          <w:sz w:val="30"/>
          <w:szCs w:val="30"/>
        </w:rPr>
        <w:t>元，支出决算为954.00元，完成</w:t>
      </w:r>
      <w:r>
        <w:rPr>
          <w:rFonts w:hint="eastAsia" w:ascii="仿宋_GB2312" w:hAnsi="宋体" w:eastAsia="仿宋_GB2312" w:cs="Arial"/>
          <w:kern w:val="0"/>
          <w:sz w:val="30"/>
          <w:szCs w:val="30"/>
        </w:rPr>
        <w:t>年初</w:t>
      </w:r>
      <w:r>
        <w:rPr>
          <w:rFonts w:hint="eastAsia" w:ascii="仿宋_GB2312" w:eastAsia="仿宋_GB2312"/>
          <w:sz w:val="30"/>
          <w:szCs w:val="30"/>
        </w:rPr>
        <w:t>预算的2.25%。其中：因公出国（境）费支出决算为0.00元，完成</w:t>
      </w:r>
      <w:r>
        <w:rPr>
          <w:rFonts w:hint="eastAsia" w:ascii="仿宋_GB2312" w:hAnsi="宋体" w:eastAsia="仿宋_GB2312" w:cs="Arial"/>
          <w:kern w:val="0"/>
          <w:sz w:val="30"/>
          <w:szCs w:val="30"/>
        </w:rPr>
        <w:t>年初</w:t>
      </w:r>
      <w:r>
        <w:rPr>
          <w:rFonts w:hint="eastAsia" w:ascii="仿宋_GB2312" w:eastAsia="仿宋_GB2312"/>
          <w:sz w:val="30"/>
          <w:szCs w:val="30"/>
        </w:rPr>
        <w:t>预算的0.00%；公务用车购置费支出决算为0.00元，完成</w:t>
      </w:r>
      <w:r>
        <w:rPr>
          <w:rFonts w:hint="eastAsia" w:ascii="仿宋_GB2312" w:hAnsi="宋体" w:eastAsia="仿宋_GB2312" w:cs="Arial"/>
          <w:kern w:val="0"/>
          <w:sz w:val="30"/>
          <w:szCs w:val="30"/>
        </w:rPr>
        <w:t>年初</w:t>
      </w:r>
      <w:r>
        <w:rPr>
          <w:rFonts w:hint="eastAsia" w:ascii="仿宋_GB2312" w:eastAsia="仿宋_GB2312"/>
          <w:sz w:val="30"/>
          <w:szCs w:val="30"/>
        </w:rPr>
        <w:t>预算的0.00%；公务用车运行维护费支出决算为0.00元，完成</w:t>
      </w:r>
      <w:r>
        <w:rPr>
          <w:rFonts w:hint="eastAsia" w:ascii="仿宋_GB2312" w:hAnsi="宋体" w:eastAsia="仿宋_GB2312" w:cs="Arial"/>
          <w:kern w:val="0"/>
          <w:sz w:val="30"/>
          <w:szCs w:val="30"/>
        </w:rPr>
        <w:t>年初</w:t>
      </w:r>
      <w:r>
        <w:rPr>
          <w:rFonts w:hint="eastAsia" w:ascii="仿宋_GB2312" w:eastAsia="仿宋_GB2312"/>
          <w:sz w:val="30"/>
          <w:szCs w:val="30"/>
        </w:rPr>
        <w:t>预算的0.00%；公务接待费支出决算为954.00元，完成</w:t>
      </w:r>
      <w:r>
        <w:rPr>
          <w:rFonts w:hint="eastAsia" w:ascii="仿宋_GB2312" w:hAnsi="宋体" w:eastAsia="仿宋_GB2312" w:cs="Arial"/>
          <w:kern w:val="0"/>
          <w:sz w:val="30"/>
          <w:szCs w:val="30"/>
        </w:rPr>
        <w:t>年初</w:t>
      </w:r>
      <w:r>
        <w:rPr>
          <w:rFonts w:hint="eastAsia" w:ascii="仿宋_GB2312" w:eastAsia="仿宋_GB2312"/>
          <w:sz w:val="30"/>
          <w:szCs w:val="30"/>
        </w:rPr>
        <w:t>预算的2.25%。2022年度一般公共预算财政拨款“三公”经费支出决算数小于</w:t>
      </w:r>
      <w:r>
        <w:rPr>
          <w:rFonts w:hint="eastAsia" w:ascii="仿宋_GB2312" w:hAnsi="宋体" w:eastAsia="仿宋_GB2312" w:cs="Arial"/>
          <w:kern w:val="0"/>
          <w:sz w:val="30"/>
          <w:szCs w:val="30"/>
        </w:rPr>
        <w:t>年初</w:t>
      </w:r>
      <w:r>
        <w:rPr>
          <w:rFonts w:hint="eastAsia" w:ascii="仿宋_GB2312" w:eastAsia="仿宋_GB2312"/>
          <w:sz w:val="30"/>
          <w:szCs w:val="30"/>
        </w:rPr>
        <w:t>预算数的主要原因是：压缩“三公”经费开支，切实降低行政成本。</w:t>
      </w:r>
    </w:p>
    <w:p>
      <w:pPr>
        <w:autoSpaceDE w:val="0"/>
        <w:autoSpaceDN w:val="0"/>
        <w:spacing w:line="590" w:lineRule="atLeast"/>
        <w:ind w:firstLine="600"/>
        <w:rPr>
          <w:rFonts w:ascii="仿宋_GB2312" w:eastAsia="仿宋_GB2312"/>
          <w:sz w:val="30"/>
          <w:szCs w:val="30"/>
        </w:rPr>
      </w:pPr>
      <w:r>
        <w:rPr>
          <w:rFonts w:hint="eastAsia" w:ascii="仿宋_GB2312" w:eastAsia="仿宋_GB2312"/>
          <w:sz w:val="30"/>
          <w:szCs w:val="30"/>
        </w:rPr>
        <w:t>2022年度一般公共预算财政拨款“三公”经费支出决算数比上年减少12,897.57元，下降93.11%。其中：因公出国（境）费支出决算减少0.00元，下降0.00%；公务用车购置费支出决算减少0.00元，下降0.00%；公务用车运行维护费支出决算减少12,302.57元，下降100.00%；公务接待费支出决算减少595.00元，下降38.41%。2022年度一般公共预算财政拨款“三公”经费支出决算减少的主要原因是：1.压缩“三公”经费开支，切实降低行政成本；2.2022年事业人员公务用车定额包干经费支出已调整为其他交通费支出，不再列入公务用车运行维护费支出。</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(二)</w:t>
      </w:r>
      <w:r>
        <w:rPr>
          <w:rFonts w:hint="eastAsia" w:ascii="仿宋_GB2312" w:eastAsia="仿宋_GB2312"/>
          <w:sz w:val="30"/>
          <w:szCs w:val="30"/>
        </w:rPr>
        <w:t xml:space="preserve"> </w:t>
      </w:r>
      <w:r>
        <w:rPr>
          <w:rFonts w:hint="eastAsia" w:ascii="楷体" w:hAnsi="楷体" w:eastAsia="楷体"/>
          <w:sz w:val="30"/>
          <w:szCs w:val="30"/>
        </w:rPr>
        <w:t>一般公共预算财政拨款“三公”经费支出实物量的具体情况</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1.</w:t>
      </w:r>
      <w:r>
        <w:rPr>
          <w:rFonts w:hint="eastAsia" w:ascii="仿宋_GB2312" w:eastAsia="仿宋_GB2312"/>
          <w:sz w:val="30"/>
          <w:szCs w:val="30"/>
        </w:rPr>
        <w:t>安排因公出国（境）团组0个，累计0人次。</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2.</w:t>
      </w:r>
      <w:r>
        <w:rPr>
          <w:rFonts w:hint="eastAsia" w:ascii="仿宋_GB2312" w:eastAsia="仿宋_GB2312"/>
          <w:sz w:val="30"/>
          <w:szCs w:val="30"/>
        </w:rPr>
        <w:t>购置车辆0辆。开支一般公共预算财政拨款的公务用车保有量为0辆。</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3.</w:t>
      </w:r>
      <w:r>
        <w:rPr>
          <w:rFonts w:hint="eastAsia" w:ascii="仿宋_GB2312" w:eastAsia="仿宋_GB2312"/>
          <w:sz w:val="30"/>
          <w:szCs w:val="30"/>
        </w:rPr>
        <w:t>安排国内公务接待1批次（其中：外事接待0批次），接待人次8人（其中：外事接待人次0人）。主要用于招商引资相关工作产生的接待批次及人次等发生的接待支出。安排国（境）外公务接待0批次，接待人次0人。</w:t>
      </w:r>
    </w:p>
    <w:p>
      <w:pPr>
        <w:widowControl/>
        <w:snapToGrid w:val="0"/>
        <w:spacing w:before="100" w:after="100" w:line="360" w:lineRule="auto"/>
        <w:ind w:firstLine="640" w:firstLineChars="200"/>
        <w:jc w:val="left"/>
        <w:rPr>
          <w:rFonts w:ascii="仿宋_GB2312" w:eastAsia="仿宋_GB2312"/>
          <w:sz w:val="32"/>
          <w:szCs w:val="32"/>
        </w:rPr>
      </w:pPr>
      <w:r>
        <w:rPr>
          <w:rFonts w:hint="eastAsia" w:ascii="黑体" w:hAnsi="黑体" w:eastAsia="黑体" w:cs="方正小标宋简体"/>
          <w:sz w:val="32"/>
          <w:szCs w:val="32"/>
        </w:rPr>
        <w:t xml:space="preserve">第四部分  </w:t>
      </w:r>
      <w:r>
        <w:rPr>
          <w:rFonts w:hint="eastAsia" w:ascii="黑体" w:hAnsi="黑体" w:eastAsia="黑体"/>
          <w:sz w:val="32"/>
          <w:szCs w:val="32"/>
        </w:rPr>
        <w:t>其他重要事项及相关口径情况说明</w:t>
      </w:r>
    </w:p>
    <w:p>
      <w:pPr>
        <w:ind w:firstLine="600" w:firstLineChars="200"/>
        <w:jc w:val="left"/>
        <w:rPr>
          <w:rFonts w:ascii="黑体" w:hAnsi="黑体" w:eastAsia="黑体"/>
          <w:sz w:val="30"/>
          <w:szCs w:val="30"/>
        </w:rPr>
      </w:pPr>
      <w:r>
        <w:rPr>
          <w:rFonts w:hint="eastAsia" w:ascii="黑体" w:hAnsi="黑体" w:eastAsia="黑体"/>
          <w:sz w:val="30"/>
          <w:szCs w:val="30"/>
        </w:rPr>
        <w:t>一、机关运行经费支出情况</w:t>
      </w:r>
    </w:p>
    <w:p>
      <w:pPr>
        <w:autoSpaceDE w:val="0"/>
        <w:autoSpaceDN w:val="0"/>
        <w:spacing w:line="590" w:lineRule="atLeast"/>
        <w:ind w:firstLine="600"/>
        <w:rPr>
          <w:rFonts w:ascii="仿宋_GB2312" w:hAnsi="黑体" w:eastAsia="仿宋_GB2312" w:cs="方正小标宋简体"/>
          <w:sz w:val="30"/>
          <w:szCs w:val="30"/>
        </w:rPr>
      </w:pPr>
      <w:r>
        <w:rPr>
          <w:rFonts w:hint="eastAsia" w:ascii="仿宋_GB2312" w:eastAsia="仿宋_GB2312"/>
          <w:sz w:val="30"/>
          <w:szCs w:val="30"/>
        </w:rPr>
        <w:t>昆明市盘龙区商务和投资促进局2022年</w:t>
      </w:r>
      <w:r>
        <w:rPr>
          <w:rFonts w:hint="eastAsia" w:ascii="仿宋_GB2312" w:hAnsi="黑体" w:eastAsia="仿宋_GB2312" w:cs="方正小标宋简体"/>
          <w:sz w:val="30"/>
          <w:szCs w:val="30"/>
        </w:rPr>
        <w:t>机关运行经费支出</w:t>
      </w:r>
      <w:r>
        <w:rPr>
          <w:rFonts w:hint="eastAsia" w:ascii="仿宋_GB2312" w:eastAsia="仿宋_GB2312"/>
          <w:sz w:val="30"/>
          <w:szCs w:val="30"/>
        </w:rPr>
        <w:t>451,266.32元，减少88,749.39元，下降16.43%,</w:t>
      </w:r>
      <w:r>
        <w:rPr>
          <w:rFonts w:hint="eastAsia" w:ascii="仿宋_GB2312" w:hAnsi="黑体" w:eastAsia="仿宋_GB2312" w:cs="方正小标宋简体"/>
          <w:sz w:val="30"/>
          <w:szCs w:val="30"/>
        </w:rPr>
        <w:t>主要原因是2022年办公支出比上年减少。部门机关运行经费主要用于办公费、水费、邮电费、差旅费、维修（护））费、公务接待费、福利费、公务用车运行维护费、其他交通费用、其他商品和服务支出等保障机关运行的支出。</w:t>
      </w:r>
    </w:p>
    <w:p>
      <w:pPr>
        <w:widowControl/>
        <w:ind w:firstLine="600" w:firstLineChars="200"/>
        <w:rPr>
          <w:rFonts w:ascii="黑体" w:hAnsi="黑体" w:eastAsia="黑体"/>
          <w:color w:val="000000"/>
          <w:kern w:val="0"/>
          <w:sz w:val="30"/>
          <w:szCs w:val="30"/>
        </w:rPr>
      </w:pPr>
      <w:r>
        <w:rPr>
          <w:rFonts w:hint="eastAsia" w:ascii="黑体" w:hAnsi="黑体" w:eastAsia="黑体"/>
          <w:color w:val="000000"/>
          <w:kern w:val="0"/>
          <w:sz w:val="30"/>
          <w:szCs w:val="30"/>
        </w:rPr>
        <w:t>二、国有资产占用情况</w:t>
      </w:r>
    </w:p>
    <w:p>
      <w:pPr>
        <w:widowControl/>
        <w:ind w:firstLine="600" w:firstLineChars="200"/>
        <w:rPr>
          <w:rFonts w:ascii="仿宋_GB2312" w:hAnsi="黑体" w:eastAsia="仿宋_GB2312" w:cs="方正小标宋简体"/>
          <w:color w:val="000000"/>
          <w:kern w:val="0"/>
          <w:sz w:val="30"/>
          <w:szCs w:val="30"/>
        </w:rPr>
      </w:pPr>
      <w:r>
        <w:rPr>
          <w:rFonts w:hint="eastAsia" w:ascii="仿宋_GB2312" w:hAnsi="黑体" w:eastAsia="仿宋_GB2312" w:cs="方正小标宋简体"/>
          <w:color w:val="000000"/>
          <w:kern w:val="0"/>
          <w:sz w:val="30"/>
          <w:szCs w:val="30"/>
        </w:rPr>
        <w:t>截至2022年12月31日，</w:t>
      </w:r>
      <w:r>
        <w:rPr>
          <w:rFonts w:hint="eastAsia" w:ascii="仿宋_GB2312" w:eastAsia="仿宋_GB2312"/>
          <w:sz w:val="30"/>
          <w:szCs w:val="30"/>
        </w:rPr>
        <w:t>昆明市盘龙区商务和投资促进局</w:t>
      </w:r>
      <w:r>
        <w:rPr>
          <w:rFonts w:hint="eastAsia" w:ascii="仿宋_GB2312" w:hAnsi="黑体" w:eastAsia="仿宋_GB2312" w:cs="方正小标宋简体"/>
          <w:color w:val="000000"/>
          <w:kern w:val="0"/>
          <w:sz w:val="30"/>
          <w:szCs w:val="30"/>
        </w:rPr>
        <w:t>资产总额13,712,273.94元，其中，流动资产11,385,179.57元，固定资产2,327,094.37元，对外投资及有价证券0.00元，在建工程0.00元，无形资产0.00元，其他资产0.00元（具体内容详见附表11）。与上年相比，本年资产总额增加406,908.81元，其中固定资产增加0.00元。处置房屋建筑物0.00平方米，账面原值0.00元；处置车辆0辆，账面原值0.00元；报废报损资产0.00项，账面原值0.00元，实现资产处置收入0.00元；出租房屋0.00平方米，账面原值0.00元，实现资产使用收入0.00元。（国有资产占有使用情况表详见附表11）</w:t>
      </w:r>
    </w:p>
    <w:p>
      <w:pPr>
        <w:ind w:firstLine="600" w:firstLineChars="200"/>
        <w:jc w:val="left"/>
        <w:rPr>
          <w:rFonts w:ascii="黑体" w:hAnsi="黑体" w:eastAsia="黑体"/>
          <w:sz w:val="30"/>
          <w:szCs w:val="30"/>
        </w:rPr>
      </w:pPr>
      <w:bookmarkStart w:id="0" w:name="_GoBack"/>
      <w:bookmarkEnd w:id="0"/>
      <w:r>
        <w:rPr>
          <w:rFonts w:hint="eastAsia" w:ascii="黑体" w:hAnsi="黑体" w:eastAsia="黑体"/>
          <w:sz w:val="30"/>
          <w:szCs w:val="30"/>
        </w:rPr>
        <w:t>三、政府采购支出情况</w:t>
      </w:r>
    </w:p>
    <w:p>
      <w:pPr>
        <w:ind w:firstLine="600" w:firstLineChars="200"/>
        <w:rPr>
          <w:rFonts w:ascii="仿宋_GB2312" w:eastAsia="仿宋_GB2312"/>
          <w:sz w:val="30"/>
          <w:szCs w:val="30"/>
        </w:rPr>
      </w:pPr>
      <w:r>
        <w:rPr>
          <w:rFonts w:hint="eastAsia" w:ascii="仿宋_GB2312" w:eastAsia="仿宋_GB2312"/>
          <w:sz w:val="30"/>
          <w:szCs w:val="30"/>
        </w:rPr>
        <w:t>2022年度，部门政府采购支出总额4,994.88元，其中：政府采购货物支出4,994.88元；政府采购工程支出0.00元；政府采购服务支出0.00元。授予中小企业合同金额0.00元，占政府采购支出总额的0.00%。</w:t>
      </w:r>
    </w:p>
    <w:p>
      <w:pPr>
        <w:ind w:firstLine="600" w:firstLineChars="200"/>
        <w:jc w:val="left"/>
        <w:rPr>
          <w:rFonts w:ascii="黑体" w:hAnsi="黑体" w:eastAsia="黑体"/>
          <w:sz w:val="30"/>
          <w:szCs w:val="30"/>
        </w:rPr>
      </w:pPr>
      <w:r>
        <w:rPr>
          <w:rFonts w:hint="eastAsia" w:ascii="黑体" w:hAnsi="黑体" w:eastAsia="黑体"/>
          <w:sz w:val="30"/>
          <w:szCs w:val="30"/>
        </w:rPr>
        <w:t>四、部门绩效自评情况</w:t>
      </w:r>
    </w:p>
    <w:p>
      <w:pPr>
        <w:widowControl/>
        <w:snapToGrid w:val="0"/>
        <w:spacing w:before="100" w:after="100" w:line="360" w:lineRule="auto"/>
        <w:ind w:firstLine="600"/>
        <w:jc w:val="left"/>
        <w:rPr>
          <w:rFonts w:ascii="仿宋_GB2312" w:eastAsia="仿宋_GB2312"/>
          <w:sz w:val="30"/>
          <w:szCs w:val="30"/>
        </w:rPr>
      </w:pPr>
      <w:r>
        <w:rPr>
          <w:rFonts w:hint="eastAsia" w:ascii="仿宋_GB2312" w:eastAsia="仿宋_GB2312"/>
          <w:sz w:val="30"/>
          <w:szCs w:val="30"/>
        </w:rPr>
        <w:t>部门绩效自评情况详见附表(附表12-附表14)。</w:t>
      </w:r>
    </w:p>
    <w:p>
      <w:pPr>
        <w:widowControl/>
        <w:snapToGrid w:val="0"/>
        <w:spacing w:before="100" w:after="100" w:line="360" w:lineRule="auto"/>
        <w:ind w:firstLine="600" w:firstLineChars="200"/>
        <w:jc w:val="left"/>
        <w:rPr>
          <w:rFonts w:ascii="黑体" w:hAnsi="黑体" w:eastAsia="黑体"/>
          <w:sz w:val="30"/>
          <w:szCs w:val="30"/>
        </w:rPr>
      </w:pPr>
      <w:r>
        <w:rPr>
          <w:rFonts w:hint="eastAsia" w:ascii="黑体" w:hAnsi="黑体" w:eastAsia="黑体"/>
          <w:sz w:val="30"/>
          <w:szCs w:val="30"/>
        </w:rPr>
        <w:t>五、其他重要事项情况说明</w:t>
      </w:r>
    </w:p>
    <w:p>
      <w:pPr>
        <w:pStyle w:val="9"/>
        <w:shd w:val="clear" w:color="auto" w:fill="FFFFFF"/>
        <w:spacing w:before="105" w:beforeAutospacing="0" w:after="105" w:afterAutospacing="0" w:line="585" w:lineRule="atLeast"/>
        <w:ind w:firstLine="600"/>
        <w:jc w:val="both"/>
        <w:rPr>
          <w:rFonts w:ascii="仿宋_GB2312" w:eastAsia="仿宋_GB2312"/>
          <w:kern w:val="2"/>
          <w:sz w:val="30"/>
          <w:szCs w:val="30"/>
        </w:rPr>
      </w:pPr>
      <w:r>
        <w:rPr>
          <w:rFonts w:hint="eastAsia" w:ascii="仿宋_GB2312" w:eastAsia="仿宋_GB2312"/>
          <w:kern w:val="2"/>
          <w:sz w:val="30"/>
          <w:szCs w:val="30"/>
        </w:rPr>
        <w:t>1. 2021年末结转和结余与2022年初数不一致说明</w:t>
      </w:r>
    </w:p>
    <w:p>
      <w:pPr>
        <w:autoSpaceDE w:val="0"/>
        <w:autoSpaceDN w:val="0"/>
        <w:spacing w:line="590" w:lineRule="atLeast"/>
        <w:ind w:firstLine="600"/>
        <w:rPr>
          <w:rFonts w:ascii="仿宋_GB2312" w:eastAsia="仿宋_GB2312"/>
          <w:sz w:val="30"/>
          <w:szCs w:val="30"/>
        </w:rPr>
      </w:pPr>
      <w:r>
        <w:rPr>
          <w:rFonts w:hint="eastAsia" w:ascii="仿宋_GB2312" w:eastAsia="仿宋_GB2312"/>
          <w:sz w:val="30"/>
          <w:szCs w:val="30"/>
        </w:rPr>
        <w:t>2021年末结转和结余1,611,501.32元，与2022年初数1,118,750.00元相差492,751.32元，原因为:2022年按照市财政及区财政清理存量资金的要求，将不使用的结余结转资金交回国库，账务处理直接冲减上年结余。</w:t>
      </w:r>
    </w:p>
    <w:p>
      <w:pPr>
        <w:widowControl/>
        <w:snapToGrid w:val="0"/>
        <w:spacing w:before="100" w:after="100" w:line="360" w:lineRule="auto"/>
        <w:ind w:firstLine="600" w:firstLineChars="200"/>
        <w:jc w:val="left"/>
        <w:rPr>
          <w:rFonts w:ascii="黑体" w:hAnsi="黑体" w:eastAsia="黑体"/>
          <w:sz w:val="30"/>
          <w:szCs w:val="30"/>
        </w:rPr>
      </w:pPr>
      <w:r>
        <w:rPr>
          <w:rFonts w:hint="eastAsia" w:ascii="黑体" w:hAnsi="黑体" w:eastAsia="黑体"/>
          <w:sz w:val="30"/>
          <w:szCs w:val="30"/>
        </w:rPr>
        <w:t>六、相关口径说明</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（一）基本支出中人员经费包括工资福利支出和对个人和家庭的补助，公用经费包括商品和服务支出、资本性支出等人员经费以外的支出。</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（二）机关运行经费指行政单位和参照公务员法管理的事业单位使用一般公共预算财政拨款安排的基本支出中的公用经费支出。</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四）“三公”经费决算数是指各部门（含下属单位）当年通过本级财政拨款和以前年度财政拨款结转结余资金安排的因公出国（境）费、公务用车购置及运行维护费和公务接待费支出数（包括基本支出和项目支出）。</w:t>
      </w:r>
    </w:p>
    <w:p>
      <w:pPr>
        <w:jc w:val="center"/>
        <w:rPr>
          <w:rFonts w:ascii="仿宋_GB2312" w:hAnsi="黑体" w:eastAsia="仿宋_GB2312" w:cs="方正小标宋简体"/>
          <w:sz w:val="30"/>
          <w:szCs w:val="30"/>
        </w:rPr>
      </w:pPr>
      <w:r>
        <w:rPr>
          <w:rFonts w:hint="eastAsia" w:ascii="黑体" w:hAnsi="黑体" w:eastAsia="黑体" w:cs="方正小标宋简体"/>
          <w:sz w:val="32"/>
          <w:szCs w:val="32"/>
        </w:rPr>
        <w:t>第五部分  名词解释</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1.社会消费品零售总额：社会消费品零售总额是指（Total Retail Sales of Consumer Goods）批发和零售业、住宿和餐饮业以及其他行业直接售给城乡居民和社会集团的消费品零售额。</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2．楼宇总部经济：楼宇总部经济是近年来中国城市经济发展中涌现的一种新型经济形态。它是以商务楼、功能性板块和区域性设施为主要载体，以开发、出租楼宇引进各种企业，吸引各类型总部企业入驻，从而引进税源，带动区域经济发展为目的，以体现集约型、高密度为特点的一种经济形态。</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3.规模以上工业增加值：是指年主营收入大于2000万的工业企业在报告期内以货币形式表现的工业生产活动的最终结果。是企业全部生产活动的总成果扣除了在生产过程中消耗或转移的物质产品和劳务价值后的余额，是企业生产过程中新增加的价值。</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1A5D78"/>
    <w:multiLevelType w:val="multilevel"/>
    <w:tmpl w:val="021A5D78"/>
    <w:lvl w:ilvl="0" w:tentative="0">
      <w:start w:val="2"/>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59CD5C06"/>
    <w:multiLevelType w:val="multilevel"/>
    <w:tmpl w:val="59CD5C06"/>
    <w:lvl w:ilvl="0" w:tentative="0">
      <w:start w:val="4"/>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C0C"/>
    <w:rsid w:val="00392B38"/>
    <w:rsid w:val="006E7C0C"/>
    <w:rsid w:val="00760195"/>
    <w:rsid w:val="124157EA"/>
    <w:rsid w:val="16BA6D54"/>
    <w:rsid w:val="1E6A1A40"/>
    <w:rsid w:val="272E0698"/>
    <w:rsid w:val="33065743"/>
    <w:rsid w:val="37321E9B"/>
    <w:rsid w:val="491C7983"/>
    <w:rsid w:val="59A2321A"/>
    <w:rsid w:val="607E14E9"/>
    <w:rsid w:val="7EF82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nhideWhenUsed/>
    <w:uiPriority w:val="99"/>
    <w:pPr>
      <w:spacing w:beforeLines="30" w:after="100" w:afterAutospacing="1"/>
    </w:pPr>
    <w:rPr>
      <w:rFonts w:ascii="仿宋_GB2312" w:hAnsi="宋体" w:eastAsia="仿宋_GB2312" w:cs="宋体"/>
      <w:sz w:val="30"/>
      <w:szCs w:val="30"/>
    </w:r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semiHidden/>
    <w:uiPriority w:val="99"/>
    <w:rPr>
      <w:sz w:val="18"/>
      <w:szCs w:val="18"/>
    </w:rPr>
  </w:style>
  <w:style w:type="paragraph" w:customStyle="1" w:styleId="9">
    <w:name w:val="普通(网站) Char Char"/>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0">
    <w:name w:val="普通(网站) Char"/>
    <w:basedOn w:val="1"/>
    <w:uiPriority w:val="0"/>
    <w:pPr>
      <w:widowControl/>
      <w:spacing w:before="100" w:beforeAutospacing="1" w:after="100" w:afterAutospacing="1"/>
      <w:jc w:val="left"/>
    </w:pPr>
    <w:rPr>
      <w:rFonts w:ascii="宋体" w:hAnsi="宋体" w:cs="宋体"/>
      <w:kern w:val="0"/>
      <w:sz w:val="24"/>
      <w:szCs w:val="24"/>
    </w:rPr>
  </w:style>
  <w:style w:type="character" w:customStyle="1" w:styleId="11">
    <w:name w:val="正文文本 Char"/>
    <w:basedOn w:val="6"/>
    <w:link w:val="2"/>
    <w:uiPriority w:val="99"/>
    <w:rPr>
      <w:rFonts w:ascii="仿宋_GB2312" w:hAnsi="宋体" w:eastAsia="仿宋_GB2312" w:cs="宋体"/>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19</Pages>
  <Words>1440</Words>
  <Characters>8211</Characters>
  <Lines>68</Lines>
  <Paragraphs>19</Paragraphs>
  <TotalTime>14</TotalTime>
  <ScaleCrop>false</ScaleCrop>
  <LinksUpToDate>false</LinksUpToDate>
  <CharactersWithSpaces>9632</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2023-10-20T06:46:00Z</dcterms:created>
  <dc:creator>Windows 用户</dc:creator>
  <cp:lastModifiedBy>Administrator</cp:lastModifiedBy>
  <dcterms:modified xsi:type="dcterms:W3CDTF">2023-11-09T06:53:00Z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F8F8E34264CA4149AF800330D7E33660</vt:lpwstr>
  </property>
</Properties>
</file>