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hint="eastAsia" w:ascii="Times New Roman" w:hAnsi="Times New Roman" w:eastAsia="黑体"/>
          <w:b/>
          <w:bCs/>
          <w:sz w:val="52"/>
          <w:szCs w:val="52"/>
          <w:lang w:eastAsia="zh-CN"/>
        </w:rPr>
      </w:pPr>
      <w:r>
        <w:rPr>
          <w:rFonts w:hint="eastAsia" w:ascii="Times New Roman" w:hAnsi="Times New Roman" w:eastAsia="黑体"/>
          <w:b/>
          <w:bCs/>
          <w:sz w:val="52"/>
          <w:szCs w:val="52"/>
          <w:lang w:eastAsia="zh-CN"/>
        </w:rPr>
        <w:drawing>
          <wp:inline distT="0" distB="0" distL="114300" distR="114300">
            <wp:extent cx="5267325" cy="7495540"/>
            <wp:effectExtent l="0" t="0" r="9525" b="10160"/>
            <wp:docPr id="1" name="图片 1" descr="妇联工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妇联工作"/>
                    <pic:cNvPicPr>
                      <a:picLocks noChangeAspect="1"/>
                    </pic:cNvPicPr>
                  </pic:nvPicPr>
                  <pic:blipFill>
                    <a:blip r:embed="rId7"/>
                    <a:stretch>
                      <a:fillRect/>
                    </a:stretch>
                  </pic:blipFill>
                  <pic:spPr>
                    <a:xfrm>
                      <a:off x="0" y="0"/>
                      <a:ext cx="5267325" cy="7495540"/>
                    </a:xfrm>
                    <a:prstGeom prst="rect">
                      <a:avLst/>
                    </a:prstGeom>
                  </pic:spPr>
                </pic:pic>
              </a:graphicData>
            </a:graphic>
          </wp:inline>
        </w:drawing>
      </w:r>
    </w:p>
    <w:p>
      <w:pPr>
        <w:spacing w:line="560" w:lineRule="exact"/>
        <w:jc w:val="center"/>
        <w:rPr>
          <w:rFonts w:hint="eastAsia" w:ascii="方正小标宋简体" w:hAnsi="方正小标宋简体" w:eastAsia="方正小标宋简体" w:cs="方正小标宋简体"/>
          <w:sz w:val="44"/>
          <w:szCs w:val="44"/>
        </w:rPr>
      </w:pPr>
    </w:p>
    <w:p>
      <w:pPr>
        <w:spacing w:line="560" w:lineRule="exact"/>
        <w:jc w:val="center"/>
        <w:rPr>
          <w:rFonts w:hint="eastAsia" w:ascii="方正小标宋简体" w:hAnsi="方正小标宋简体" w:eastAsia="方正小标宋简体" w:cs="方正小标宋简体"/>
          <w:sz w:val="44"/>
          <w:szCs w:val="44"/>
        </w:rPr>
      </w:pPr>
    </w:p>
    <w:p>
      <w:pPr>
        <w:spacing w:line="560" w:lineRule="exact"/>
        <w:jc w:val="center"/>
        <w:rPr>
          <w:rFonts w:hint="eastAsia" w:ascii="方正小标宋简体" w:hAnsi="方正小标宋简体" w:eastAsia="方正小标宋简体" w:cs="方正小标宋简体"/>
          <w:sz w:val="44"/>
          <w:szCs w:val="44"/>
        </w:rPr>
      </w:pPr>
    </w:p>
    <w:p>
      <w:pPr>
        <w:spacing w:line="560" w:lineRule="exact"/>
        <w:jc w:val="center"/>
        <w:rPr>
          <w:rFonts w:hint="eastAsia" w:ascii="方正小标宋简体" w:hAnsi="方正小标宋简体" w:eastAsia="方正小标宋简体" w:cs="方正小标宋简体"/>
          <w:sz w:val="44"/>
          <w:szCs w:val="44"/>
        </w:rPr>
      </w:pPr>
    </w:p>
    <w:p>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昆明市盘龙区妇女联合会妇联工作</w:t>
      </w:r>
    </w:p>
    <w:p>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专项经费支出绩效自评报告</w:t>
      </w:r>
    </w:p>
    <w:p>
      <w:pPr>
        <w:topLinePunct/>
        <w:spacing w:line="560" w:lineRule="exact"/>
        <w:ind w:firstLine="1100" w:firstLineChars="250"/>
        <w:rPr>
          <w:rFonts w:hint="eastAsia" w:ascii="方正小标宋简体" w:hAnsi="方正小标宋简体" w:eastAsia="方正小标宋简体" w:cs="方正小标宋简体"/>
          <w:sz w:val="44"/>
          <w:szCs w:val="44"/>
        </w:rPr>
      </w:pPr>
    </w:p>
    <w:p>
      <w:pPr>
        <w:jc w:val="center"/>
        <w:rPr>
          <w:rFonts w:ascii="黑体" w:hAnsi="黑体" w:eastAsia="黑体"/>
          <w:bCs/>
          <w:sz w:val="44"/>
          <w:szCs w:val="44"/>
        </w:rPr>
      </w:pPr>
      <w:r>
        <w:rPr>
          <w:rFonts w:hint="eastAsia" w:ascii="方正小标宋简体" w:hAnsi="方正小标宋简体" w:eastAsia="方正小标宋简体" w:cs="方正小标宋简体"/>
          <w:bCs/>
          <w:sz w:val="44"/>
          <w:szCs w:val="44"/>
        </w:rPr>
        <w:t>（ 202</w:t>
      </w:r>
      <w:r>
        <w:rPr>
          <w:rFonts w:hint="eastAsia" w:ascii="方正小标宋简体" w:hAnsi="方正小标宋简体" w:eastAsia="方正小标宋简体" w:cs="方正小标宋简体"/>
          <w:bCs/>
          <w:sz w:val="44"/>
          <w:szCs w:val="44"/>
          <w:lang w:val="en-US" w:eastAsia="zh-CN"/>
        </w:rPr>
        <w:t>2</w:t>
      </w:r>
      <w:r>
        <w:rPr>
          <w:rFonts w:hint="eastAsia" w:ascii="方正小标宋简体" w:hAnsi="方正小标宋简体" w:eastAsia="方正小标宋简体" w:cs="方正小标宋简体"/>
          <w:bCs/>
          <w:sz w:val="44"/>
          <w:szCs w:val="44"/>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eastAsia="黑体"/>
          <w:b w:val="0"/>
          <w:bCs w:val="0"/>
          <w:sz w:val="52"/>
          <w:szCs w:val="52"/>
        </w:rPr>
      </w:pPr>
    </w:p>
    <w:p>
      <w:pPr>
        <w:spacing w:before="120" w:after="120" w:line="480" w:lineRule="auto"/>
        <w:ind w:firstLine="1257" w:firstLineChars="393"/>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xml:space="preserve">单位名称：  </w:t>
      </w:r>
      <w:r>
        <w:rPr>
          <w:rFonts w:hint="eastAsia" w:ascii="仿宋_GB2312" w:hAnsi="仿宋_GB2312" w:eastAsia="仿宋_GB2312" w:cs="仿宋_GB2312"/>
          <w:b w:val="0"/>
          <w:bCs w:val="0"/>
          <w:sz w:val="32"/>
          <w:szCs w:val="32"/>
          <w:u w:val="single"/>
        </w:rPr>
        <w:t xml:space="preserve">（公章）              </w:t>
      </w:r>
      <w:r>
        <w:rPr>
          <w:rFonts w:hint="eastAsia" w:ascii="仿宋_GB2312" w:hAnsi="仿宋_GB2312" w:eastAsia="仿宋_GB2312" w:cs="仿宋_GB2312"/>
          <w:b w:val="0"/>
          <w:bCs w:val="0"/>
          <w:sz w:val="32"/>
          <w:szCs w:val="32"/>
        </w:rPr>
        <w:t xml:space="preserve">     </w:t>
      </w:r>
    </w:p>
    <w:p>
      <w:pPr>
        <w:spacing w:before="120" w:after="120" w:line="480" w:lineRule="auto"/>
        <w:ind w:firstLine="1257" w:firstLineChars="393"/>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xml:space="preserve">项目单位： </w:t>
      </w:r>
      <w:r>
        <w:rPr>
          <w:rFonts w:hint="eastAsia" w:ascii="仿宋_GB2312" w:hAnsi="仿宋_GB2312" w:eastAsia="仿宋_GB2312" w:cs="仿宋_GB2312"/>
          <w:b w:val="0"/>
          <w:bCs w:val="0"/>
          <w:sz w:val="32"/>
          <w:szCs w:val="32"/>
          <w:u w:val="single"/>
        </w:rPr>
        <w:t xml:space="preserve">  </w:t>
      </w:r>
      <w:r>
        <w:rPr>
          <w:rFonts w:hint="eastAsia" w:ascii="仿宋_GB2312" w:hAnsi="仿宋_GB2312" w:eastAsia="仿宋_GB2312" w:cs="仿宋_GB2312"/>
          <w:b w:val="0"/>
          <w:bCs w:val="0"/>
          <w:sz w:val="32"/>
          <w:szCs w:val="32"/>
          <w:u w:val="single"/>
          <w:lang w:val="en-US" w:eastAsia="zh-CN"/>
        </w:rPr>
        <w:t xml:space="preserve"> </w:t>
      </w:r>
      <w:r>
        <w:rPr>
          <w:rFonts w:hint="eastAsia" w:ascii="仿宋_GB2312" w:hAnsi="仿宋_GB2312" w:eastAsia="仿宋_GB2312" w:cs="仿宋_GB2312"/>
          <w:b w:val="0"/>
          <w:bCs w:val="0"/>
          <w:sz w:val="32"/>
          <w:szCs w:val="32"/>
          <w:u w:val="single"/>
          <w:lang w:eastAsia="zh-CN"/>
        </w:rPr>
        <w:t>盘龙区妇女联合会</w:t>
      </w:r>
      <w:r>
        <w:rPr>
          <w:rFonts w:hint="eastAsia" w:ascii="仿宋_GB2312" w:hAnsi="仿宋_GB2312" w:eastAsia="仿宋_GB2312" w:cs="仿宋_GB2312"/>
          <w:b w:val="0"/>
          <w:bCs w:val="0"/>
          <w:sz w:val="32"/>
          <w:szCs w:val="32"/>
          <w:u w:val="single"/>
        </w:rPr>
        <w:t xml:space="preserve">      </w:t>
      </w:r>
      <w:r>
        <w:rPr>
          <w:rFonts w:hint="eastAsia" w:ascii="仿宋_GB2312" w:hAnsi="仿宋_GB2312" w:eastAsia="仿宋_GB2312" w:cs="仿宋_GB2312"/>
          <w:b w:val="0"/>
          <w:bCs w:val="0"/>
          <w:sz w:val="32"/>
          <w:szCs w:val="32"/>
        </w:rPr>
        <w:t xml:space="preserve">              </w:t>
      </w:r>
    </w:p>
    <w:p>
      <w:pPr>
        <w:spacing w:before="120" w:after="120" w:line="480" w:lineRule="auto"/>
        <w:ind w:firstLine="1257" w:firstLineChars="393"/>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xml:space="preserve">主管单位： </w:t>
      </w:r>
      <w:r>
        <w:rPr>
          <w:rFonts w:hint="eastAsia" w:ascii="仿宋_GB2312" w:hAnsi="仿宋_GB2312" w:eastAsia="仿宋_GB2312" w:cs="仿宋_GB2312"/>
          <w:b w:val="0"/>
          <w:bCs w:val="0"/>
          <w:sz w:val="32"/>
          <w:szCs w:val="32"/>
          <w:u w:val="single"/>
        </w:rPr>
        <w:t xml:space="preserve">   </w:t>
      </w:r>
      <w:r>
        <w:rPr>
          <w:rFonts w:hint="eastAsia" w:ascii="仿宋_GB2312" w:hAnsi="仿宋_GB2312" w:eastAsia="仿宋_GB2312" w:cs="仿宋_GB2312"/>
          <w:b w:val="0"/>
          <w:bCs w:val="0"/>
          <w:sz w:val="32"/>
          <w:szCs w:val="32"/>
          <w:u w:val="single"/>
          <w:lang w:eastAsia="zh-CN"/>
        </w:rPr>
        <w:t>盘龙区妇女联合会</w:t>
      </w:r>
      <w:r>
        <w:rPr>
          <w:rFonts w:hint="eastAsia" w:ascii="仿宋_GB2312" w:hAnsi="仿宋_GB2312" w:eastAsia="仿宋_GB2312" w:cs="仿宋_GB2312"/>
          <w:b w:val="0"/>
          <w:bCs w:val="0"/>
          <w:sz w:val="32"/>
          <w:szCs w:val="32"/>
          <w:u w:val="single"/>
        </w:rPr>
        <w:t xml:space="preserve">                 </w:t>
      </w:r>
      <w:r>
        <w:rPr>
          <w:rFonts w:hint="eastAsia" w:ascii="仿宋_GB2312" w:hAnsi="仿宋_GB2312" w:eastAsia="仿宋_GB2312" w:cs="仿宋_GB2312"/>
          <w:b w:val="0"/>
          <w:bCs w:val="0"/>
          <w:sz w:val="32"/>
          <w:szCs w:val="32"/>
          <w:u w:val="single"/>
          <w:lang w:val="en-US" w:eastAsia="zh-CN"/>
        </w:rPr>
        <w:t xml:space="preserve">  </w:t>
      </w:r>
      <w:r>
        <w:rPr>
          <w:rFonts w:hint="eastAsia" w:ascii="仿宋_GB2312" w:hAnsi="仿宋_GB2312" w:eastAsia="仿宋_GB2312" w:cs="仿宋_GB2312"/>
          <w:b w:val="0"/>
          <w:bCs w:val="0"/>
          <w:sz w:val="32"/>
          <w:szCs w:val="32"/>
          <w:u w:val="single"/>
        </w:rPr>
        <w:t xml:space="preserve"> </w:t>
      </w:r>
      <w:r>
        <w:rPr>
          <w:rFonts w:hint="eastAsia" w:ascii="仿宋_GB2312" w:hAnsi="仿宋_GB2312" w:eastAsia="仿宋_GB2312" w:cs="仿宋_GB2312"/>
          <w:b w:val="0"/>
          <w:bCs w:val="0"/>
          <w:sz w:val="32"/>
          <w:szCs w:val="32"/>
        </w:rPr>
        <w:t xml:space="preserve">     </w:t>
      </w:r>
    </w:p>
    <w:p>
      <w:pPr>
        <w:spacing w:before="120" w:after="120" w:line="480" w:lineRule="auto"/>
        <w:ind w:firstLine="1257" w:firstLineChars="393"/>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 xml:space="preserve">项目名称： </w:t>
      </w:r>
      <w:r>
        <w:rPr>
          <w:rFonts w:hint="eastAsia" w:ascii="仿宋_GB2312" w:hAnsi="仿宋_GB2312" w:eastAsia="仿宋_GB2312" w:cs="仿宋_GB2312"/>
          <w:b w:val="0"/>
          <w:bCs w:val="0"/>
          <w:sz w:val="32"/>
          <w:szCs w:val="32"/>
          <w:u w:val="single"/>
        </w:rPr>
        <w:t xml:space="preserve">  </w:t>
      </w:r>
      <w:r>
        <w:rPr>
          <w:rFonts w:hint="eastAsia" w:ascii="仿宋_GB2312" w:hAnsi="仿宋_GB2312" w:eastAsia="仿宋_GB2312" w:cs="仿宋_GB2312"/>
          <w:b w:val="0"/>
          <w:bCs w:val="0"/>
          <w:sz w:val="32"/>
          <w:szCs w:val="32"/>
          <w:u w:val="single"/>
          <w:lang w:val="en-US" w:eastAsia="zh-CN"/>
        </w:rPr>
        <w:t xml:space="preserve"> </w:t>
      </w:r>
      <w:r>
        <w:rPr>
          <w:rFonts w:hint="eastAsia" w:ascii="仿宋_GB2312" w:hAnsi="仿宋_GB2312" w:eastAsia="仿宋_GB2312" w:cs="仿宋_GB2312"/>
          <w:b w:val="0"/>
          <w:bCs w:val="0"/>
          <w:sz w:val="32"/>
          <w:szCs w:val="32"/>
          <w:u w:val="single"/>
        </w:rPr>
        <w:t xml:space="preserve">妇联工作专项经费     </w:t>
      </w:r>
      <w:r>
        <w:rPr>
          <w:rFonts w:hint="eastAsia" w:ascii="仿宋_GB2312" w:hAnsi="仿宋_GB2312" w:eastAsia="仿宋_GB2312" w:cs="仿宋_GB2312"/>
          <w:b w:val="0"/>
          <w:bCs w:val="0"/>
          <w:sz w:val="32"/>
          <w:szCs w:val="32"/>
        </w:rPr>
        <w:t xml:space="preserve">                   </w:t>
      </w:r>
    </w:p>
    <w:p>
      <w:pPr>
        <w:spacing w:before="120" w:after="120" w:line="480" w:lineRule="auto"/>
        <w:ind w:firstLine="1280" w:firstLineChars="4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绩效自评日期：</w:t>
      </w:r>
      <w:r>
        <w:rPr>
          <w:rFonts w:hint="eastAsia" w:ascii="仿宋_GB2312" w:hAnsi="仿宋_GB2312" w:eastAsia="仿宋_GB2312" w:cs="仿宋_GB2312"/>
          <w:b w:val="0"/>
          <w:bCs w:val="0"/>
          <w:sz w:val="32"/>
          <w:szCs w:val="32"/>
          <w:u w:val="single"/>
        </w:rPr>
        <w:t xml:space="preserve"> </w:t>
      </w:r>
      <w:r>
        <w:rPr>
          <w:rFonts w:hint="eastAsia" w:ascii="仿宋_GB2312" w:hAnsi="仿宋_GB2312" w:eastAsia="仿宋_GB2312" w:cs="仿宋_GB2312"/>
          <w:b w:val="0"/>
          <w:bCs w:val="0"/>
          <w:sz w:val="32"/>
          <w:szCs w:val="32"/>
          <w:u w:val="single"/>
          <w:lang w:val="en-US" w:eastAsia="zh-CN"/>
        </w:rPr>
        <w:t xml:space="preserve">      </w:t>
      </w:r>
      <w:r>
        <w:rPr>
          <w:rFonts w:hint="eastAsia" w:ascii="仿宋_GB2312" w:hAnsi="仿宋_GB2312" w:eastAsia="仿宋_GB2312" w:cs="仿宋_GB2312"/>
          <w:b w:val="0"/>
          <w:bCs w:val="0"/>
          <w:sz w:val="32"/>
          <w:szCs w:val="32"/>
          <w:u w:val="single"/>
        </w:rPr>
        <w:t>202</w:t>
      </w:r>
      <w:r>
        <w:rPr>
          <w:rFonts w:hint="eastAsia" w:ascii="仿宋_GB2312" w:hAnsi="仿宋_GB2312" w:eastAsia="仿宋_GB2312" w:cs="仿宋_GB2312"/>
          <w:b w:val="0"/>
          <w:bCs w:val="0"/>
          <w:sz w:val="32"/>
          <w:szCs w:val="32"/>
          <w:u w:val="single"/>
          <w:lang w:val="en-US" w:eastAsia="zh-CN"/>
        </w:rPr>
        <w:t>3</w:t>
      </w:r>
      <w:r>
        <w:rPr>
          <w:rFonts w:hint="eastAsia" w:ascii="仿宋_GB2312" w:hAnsi="仿宋_GB2312" w:eastAsia="仿宋_GB2312" w:cs="仿宋_GB2312"/>
          <w:b w:val="0"/>
          <w:bCs w:val="0"/>
          <w:sz w:val="32"/>
          <w:szCs w:val="32"/>
          <w:u w:val="single"/>
        </w:rPr>
        <w:t>年</w:t>
      </w:r>
      <w:r>
        <w:rPr>
          <w:rFonts w:hint="eastAsia" w:ascii="仿宋_GB2312" w:hAnsi="仿宋_GB2312" w:eastAsia="仿宋_GB2312" w:cs="仿宋_GB2312"/>
          <w:b w:val="0"/>
          <w:bCs w:val="0"/>
          <w:sz w:val="32"/>
          <w:szCs w:val="32"/>
          <w:u w:val="single"/>
          <w:lang w:val="en-US" w:eastAsia="zh-CN"/>
        </w:rPr>
        <w:t>5月</w:t>
      </w:r>
      <w:r>
        <w:rPr>
          <w:rFonts w:hint="eastAsia" w:ascii="仿宋_GB2312" w:hAnsi="仿宋_GB2312" w:eastAsia="仿宋_GB2312" w:cs="仿宋_GB2312"/>
          <w:b w:val="0"/>
          <w:bCs w:val="0"/>
          <w:sz w:val="32"/>
          <w:szCs w:val="32"/>
          <w:u w:val="single"/>
        </w:rPr>
        <w:t xml:space="preserve">    </w:t>
      </w:r>
      <w:r>
        <w:rPr>
          <w:rFonts w:hint="eastAsia" w:ascii="仿宋_GB2312" w:hAnsi="仿宋_GB2312" w:eastAsia="仿宋_GB2312" w:cs="仿宋_GB2312"/>
          <w:b w:val="0"/>
          <w:bCs w:val="0"/>
          <w:sz w:val="32"/>
          <w:szCs w:val="32"/>
        </w:rPr>
        <w:t xml:space="preserve">              </w:t>
      </w:r>
    </w:p>
    <w:p>
      <w:pPr>
        <w:jc w:val="center"/>
        <w:rPr>
          <w:rFonts w:hint="eastAsia" w:ascii="仿宋_GB2312" w:hAnsi="仿宋_GB2312" w:eastAsia="仿宋_GB2312" w:cs="仿宋_GB2312"/>
          <w:b w:val="0"/>
          <w:bCs w:val="0"/>
          <w:sz w:val="32"/>
          <w:szCs w:val="32"/>
        </w:rPr>
      </w:pPr>
    </w:p>
    <w:p>
      <w:pPr>
        <w:jc w:val="cente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footerReference r:id="rId4" w:type="default"/>
          <w:headerReference r:id="rId3" w:type="even"/>
          <w:footerReference r:id="rId5" w:type="even"/>
          <w:pgSz w:w="11906" w:h="16838"/>
          <w:pgMar w:top="1440" w:right="1800" w:bottom="1440" w:left="1800" w:header="851" w:footer="992" w:gutter="0"/>
          <w:cols w:space="425" w:num="1"/>
          <w:titlePg/>
          <w:docGrid w:type="lines" w:linePitch="312" w:charSpace="0"/>
        </w:sectPr>
      </w:pPr>
    </w:p>
    <w:p>
      <w:pPr>
        <w:pStyle w:val="17"/>
        <w:widowControl w:val="0"/>
        <w:spacing w:after="0" w:line="360" w:lineRule="auto"/>
        <w:ind w:left="420" w:leftChars="200"/>
        <w:jc w:val="both"/>
        <w:rPr>
          <w:rFonts w:ascii="Times New Roman" w:hAnsi="Times New Roman" w:eastAsia="黑体" w:cs="Times New Roman"/>
          <w:kern w:val="2"/>
          <w:sz w:val="28"/>
          <w:szCs w:val="28"/>
          <w:lang w:val="zh-TW" w:eastAsia="zh-TW"/>
        </w:rPr>
      </w:pPr>
      <w:r>
        <w:rPr>
          <w:rFonts w:hint="eastAsia" w:ascii="Times New Roman" w:hAnsi="Times New Roman" w:eastAsia="黑体" w:cs="黑体"/>
          <w:kern w:val="2"/>
          <w:sz w:val="28"/>
          <w:szCs w:val="28"/>
          <w:lang w:val="zh-TW" w:eastAsia="zh-TW"/>
        </w:rPr>
        <w:t>评价小组成员：</w:t>
      </w:r>
    </w:p>
    <w:tbl>
      <w:tblPr>
        <w:tblStyle w:val="10"/>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726"/>
        <w:gridCol w:w="1515"/>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7"/>
              <w:widowControl w:val="0"/>
              <w:spacing w:after="0" w:line="240" w:lineRule="auto"/>
              <w:jc w:val="center"/>
              <w:rPr>
                <w:rFonts w:hint="eastAsia" w:ascii="仿宋_GB2312" w:hAnsi="仿宋_GB2312" w:eastAsia="仿宋_GB2312" w:cs="仿宋_GB2312"/>
                <w:b/>
                <w:bCs/>
                <w:kern w:val="2"/>
                <w:sz w:val="30"/>
                <w:szCs w:val="30"/>
                <w:lang w:val="zh-TW"/>
              </w:rPr>
            </w:pPr>
            <w:r>
              <w:rPr>
                <w:rFonts w:hint="eastAsia" w:ascii="仿宋_GB2312" w:hAnsi="仿宋_GB2312" w:eastAsia="仿宋_GB2312" w:cs="仿宋_GB2312"/>
                <w:b/>
                <w:bCs/>
                <w:kern w:val="2"/>
                <w:sz w:val="30"/>
                <w:szCs w:val="30"/>
                <w:lang w:val="zh-TW"/>
              </w:rPr>
              <w:t>评价小组</w:t>
            </w:r>
          </w:p>
          <w:p>
            <w:pPr>
              <w:pStyle w:val="17"/>
              <w:widowControl w:val="0"/>
              <w:spacing w:after="0" w:line="240" w:lineRule="auto"/>
              <w:jc w:val="center"/>
              <w:rPr>
                <w:rFonts w:hint="eastAsia" w:ascii="仿宋_GB2312" w:hAnsi="仿宋_GB2312" w:eastAsia="仿宋_GB2312" w:cs="仿宋_GB2312"/>
                <w:b/>
                <w:bCs/>
                <w:kern w:val="2"/>
                <w:sz w:val="30"/>
                <w:szCs w:val="30"/>
                <w:lang w:val="zh-TW"/>
              </w:rPr>
            </w:pPr>
            <w:r>
              <w:rPr>
                <w:rFonts w:hint="eastAsia" w:ascii="仿宋_GB2312" w:hAnsi="仿宋_GB2312" w:eastAsia="仿宋_GB2312" w:cs="仿宋_GB2312"/>
                <w:b/>
                <w:bCs/>
                <w:kern w:val="2"/>
                <w:sz w:val="30"/>
                <w:szCs w:val="30"/>
                <w:lang w:val="zh-TW"/>
              </w:rPr>
              <w:t>机构职位</w:t>
            </w:r>
          </w:p>
        </w:tc>
        <w:tc>
          <w:tcPr>
            <w:tcW w:w="1620" w:type="dxa"/>
            <w:vAlign w:val="center"/>
          </w:tcPr>
          <w:p>
            <w:pPr>
              <w:pStyle w:val="17"/>
              <w:widowControl w:val="0"/>
              <w:spacing w:after="0" w:line="240" w:lineRule="auto"/>
              <w:jc w:val="center"/>
              <w:rPr>
                <w:rFonts w:hint="eastAsia" w:ascii="仿宋_GB2312" w:hAnsi="仿宋_GB2312" w:eastAsia="仿宋_GB2312" w:cs="仿宋_GB2312"/>
                <w:b/>
                <w:bCs/>
                <w:kern w:val="2"/>
                <w:sz w:val="30"/>
                <w:szCs w:val="30"/>
                <w:lang w:val="zh-TW"/>
              </w:rPr>
            </w:pPr>
            <w:r>
              <w:rPr>
                <w:rFonts w:hint="eastAsia" w:ascii="仿宋_GB2312" w:hAnsi="仿宋_GB2312" w:eastAsia="仿宋_GB2312" w:cs="仿宋_GB2312"/>
                <w:b/>
                <w:bCs/>
                <w:kern w:val="2"/>
                <w:sz w:val="30"/>
                <w:szCs w:val="30"/>
                <w:lang w:val="zh-TW"/>
              </w:rPr>
              <w:t>姓名</w:t>
            </w:r>
          </w:p>
        </w:tc>
        <w:tc>
          <w:tcPr>
            <w:tcW w:w="1726" w:type="dxa"/>
            <w:vAlign w:val="center"/>
          </w:tcPr>
          <w:p>
            <w:pPr>
              <w:pStyle w:val="17"/>
              <w:widowControl w:val="0"/>
              <w:spacing w:after="0" w:line="240" w:lineRule="auto"/>
              <w:jc w:val="center"/>
              <w:rPr>
                <w:rFonts w:hint="eastAsia" w:ascii="仿宋_GB2312" w:hAnsi="仿宋_GB2312" w:eastAsia="仿宋_GB2312" w:cs="仿宋_GB2312"/>
                <w:b/>
                <w:bCs/>
                <w:kern w:val="2"/>
                <w:sz w:val="30"/>
                <w:szCs w:val="30"/>
                <w:lang w:val="zh-TW"/>
              </w:rPr>
            </w:pPr>
            <w:r>
              <w:rPr>
                <w:rFonts w:hint="eastAsia" w:ascii="仿宋_GB2312" w:hAnsi="仿宋_GB2312" w:eastAsia="仿宋_GB2312" w:cs="仿宋_GB2312"/>
                <w:b/>
                <w:bCs/>
                <w:kern w:val="2"/>
                <w:sz w:val="30"/>
                <w:szCs w:val="30"/>
                <w:lang w:val="zh-TW"/>
              </w:rPr>
              <w:t>职务/职称</w:t>
            </w:r>
          </w:p>
        </w:tc>
        <w:tc>
          <w:tcPr>
            <w:tcW w:w="1515" w:type="dxa"/>
            <w:vAlign w:val="center"/>
          </w:tcPr>
          <w:p>
            <w:pPr>
              <w:pStyle w:val="17"/>
              <w:widowControl w:val="0"/>
              <w:spacing w:after="0" w:line="240" w:lineRule="auto"/>
              <w:jc w:val="center"/>
              <w:rPr>
                <w:rFonts w:hint="eastAsia" w:ascii="仿宋_GB2312" w:hAnsi="仿宋_GB2312" w:eastAsia="仿宋_GB2312" w:cs="仿宋_GB2312"/>
                <w:b/>
                <w:bCs/>
                <w:kern w:val="2"/>
                <w:sz w:val="30"/>
                <w:szCs w:val="30"/>
                <w:lang w:val="zh-TW"/>
              </w:rPr>
            </w:pPr>
            <w:r>
              <w:rPr>
                <w:rFonts w:hint="eastAsia" w:ascii="仿宋_GB2312" w:hAnsi="仿宋_GB2312" w:eastAsia="仿宋_GB2312" w:cs="仿宋_GB2312"/>
                <w:b/>
                <w:bCs/>
                <w:kern w:val="2"/>
                <w:sz w:val="30"/>
                <w:szCs w:val="30"/>
                <w:lang w:val="zh-TW"/>
              </w:rPr>
              <w:t>所属</w:t>
            </w:r>
          </w:p>
          <w:p>
            <w:pPr>
              <w:pStyle w:val="17"/>
              <w:widowControl w:val="0"/>
              <w:spacing w:after="0" w:line="240" w:lineRule="auto"/>
              <w:jc w:val="center"/>
              <w:rPr>
                <w:rFonts w:hint="eastAsia" w:ascii="仿宋_GB2312" w:hAnsi="仿宋_GB2312" w:eastAsia="仿宋_GB2312" w:cs="仿宋_GB2312"/>
                <w:b/>
                <w:bCs/>
                <w:kern w:val="2"/>
                <w:sz w:val="30"/>
                <w:szCs w:val="30"/>
                <w:lang w:val="zh-TW"/>
              </w:rPr>
            </w:pPr>
            <w:r>
              <w:rPr>
                <w:rFonts w:hint="eastAsia" w:ascii="仿宋_GB2312" w:hAnsi="仿宋_GB2312" w:eastAsia="仿宋_GB2312" w:cs="仿宋_GB2312"/>
                <w:b/>
                <w:bCs/>
                <w:kern w:val="2"/>
                <w:sz w:val="30"/>
                <w:szCs w:val="30"/>
                <w:lang w:val="zh-TW"/>
              </w:rPr>
              <w:t>单位/处室</w:t>
            </w:r>
          </w:p>
        </w:tc>
        <w:tc>
          <w:tcPr>
            <w:tcW w:w="1621" w:type="dxa"/>
            <w:vAlign w:val="center"/>
          </w:tcPr>
          <w:p>
            <w:pPr>
              <w:pStyle w:val="17"/>
              <w:widowControl w:val="0"/>
              <w:spacing w:after="0" w:line="240" w:lineRule="auto"/>
              <w:jc w:val="center"/>
              <w:rPr>
                <w:rFonts w:hint="eastAsia" w:ascii="仿宋_GB2312" w:hAnsi="仿宋_GB2312" w:eastAsia="仿宋_GB2312" w:cs="仿宋_GB2312"/>
                <w:b/>
                <w:bCs/>
                <w:kern w:val="2"/>
                <w:sz w:val="30"/>
                <w:szCs w:val="30"/>
                <w:lang w:val="zh-TW"/>
              </w:rPr>
            </w:pPr>
            <w:r>
              <w:rPr>
                <w:rFonts w:hint="eastAsia" w:ascii="仿宋_GB2312" w:hAnsi="仿宋_GB2312" w:eastAsia="仿宋_GB2312" w:cs="仿宋_GB2312"/>
                <w:b/>
                <w:bCs/>
                <w:kern w:val="2"/>
                <w:sz w:val="30"/>
                <w:szCs w:val="30"/>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1620" w:type="dxa"/>
            <w:vAlign w:val="center"/>
          </w:tcPr>
          <w:p>
            <w:pPr>
              <w:pStyle w:val="17"/>
              <w:widowControl w:val="0"/>
              <w:spacing w:after="0" w:line="240" w:lineRule="auto"/>
              <w:jc w:val="center"/>
              <w:rPr>
                <w:rFonts w:hint="eastAsia" w:ascii="仿宋_GB2312" w:hAnsi="仿宋_GB2312" w:eastAsia="仿宋_GB2312" w:cs="仿宋_GB2312"/>
                <w:b/>
                <w:bCs/>
                <w:kern w:val="2"/>
                <w:sz w:val="30"/>
                <w:szCs w:val="30"/>
                <w:lang w:val="zh-TW"/>
              </w:rPr>
            </w:pPr>
            <w:r>
              <w:rPr>
                <w:rFonts w:hint="eastAsia" w:ascii="仿宋_GB2312" w:hAnsi="仿宋_GB2312" w:eastAsia="仿宋_GB2312" w:cs="仿宋_GB2312"/>
                <w:b/>
                <w:bCs/>
                <w:kern w:val="2"/>
                <w:sz w:val="30"/>
                <w:szCs w:val="30"/>
                <w:lang w:val="zh-TW"/>
              </w:rPr>
              <w:t>组长</w:t>
            </w:r>
          </w:p>
        </w:tc>
        <w:tc>
          <w:tcPr>
            <w:tcW w:w="1620" w:type="dxa"/>
            <w:vAlign w:val="center"/>
          </w:tcPr>
          <w:p>
            <w:pPr>
              <w:pStyle w:val="17"/>
              <w:widowControl w:val="0"/>
              <w:spacing w:after="0" w:line="240" w:lineRule="auto"/>
              <w:jc w:val="center"/>
              <w:rPr>
                <w:rFonts w:hint="eastAsia" w:ascii="仿宋_GB2312" w:hAnsi="仿宋_GB2312" w:eastAsia="仿宋_GB2312" w:cs="仿宋_GB2312"/>
                <w:kern w:val="2"/>
                <w:sz w:val="30"/>
                <w:szCs w:val="30"/>
                <w:lang w:val="zh-TW" w:eastAsia="zh-TW"/>
              </w:rPr>
            </w:pPr>
            <w:r>
              <w:rPr>
                <w:rFonts w:hint="eastAsia" w:ascii="仿宋_GB2312" w:hAnsi="仿宋_GB2312" w:eastAsia="仿宋_GB2312" w:cs="仿宋_GB2312"/>
                <w:kern w:val="2"/>
                <w:sz w:val="30"/>
                <w:szCs w:val="30"/>
                <w:lang w:val="zh-TW"/>
              </w:rPr>
              <w:t>李哲</w:t>
            </w:r>
          </w:p>
        </w:tc>
        <w:tc>
          <w:tcPr>
            <w:tcW w:w="1726" w:type="dxa"/>
            <w:vAlign w:val="center"/>
          </w:tcPr>
          <w:p>
            <w:pPr>
              <w:pStyle w:val="17"/>
              <w:widowControl w:val="0"/>
              <w:spacing w:after="0" w:line="240" w:lineRule="auto"/>
              <w:jc w:val="center"/>
              <w:rPr>
                <w:rFonts w:hint="eastAsia" w:ascii="仿宋_GB2312" w:hAnsi="仿宋_GB2312" w:eastAsia="仿宋_GB2312" w:cs="仿宋_GB2312"/>
                <w:kern w:val="2"/>
                <w:sz w:val="30"/>
                <w:szCs w:val="30"/>
                <w:lang w:val="zh-TW" w:eastAsia="zh-TW"/>
              </w:rPr>
            </w:pPr>
            <w:r>
              <w:rPr>
                <w:rFonts w:hint="eastAsia" w:ascii="仿宋_GB2312" w:hAnsi="仿宋_GB2312" w:eastAsia="仿宋_GB2312" w:cs="仿宋_GB2312"/>
                <w:kern w:val="2"/>
                <w:sz w:val="30"/>
                <w:szCs w:val="30"/>
                <w:lang w:val="zh-TW"/>
              </w:rPr>
              <w:t>主席</w:t>
            </w:r>
          </w:p>
        </w:tc>
        <w:tc>
          <w:tcPr>
            <w:tcW w:w="1515" w:type="dxa"/>
            <w:vAlign w:val="center"/>
          </w:tcPr>
          <w:p>
            <w:pPr>
              <w:pStyle w:val="17"/>
              <w:widowControl w:val="0"/>
              <w:spacing w:after="0" w:line="240" w:lineRule="auto"/>
              <w:jc w:val="center"/>
              <w:rPr>
                <w:rFonts w:hint="eastAsia" w:ascii="仿宋_GB2312" w:hAnsi="仿宋_GB2312" w:eastAsia="仿宋_GB2312" w:cs="仿宋_GB2312"/>
                <w:kern w:val="2"/>
                <w:sz w:val="30"/>
                <w:szCs w:val="30"/>
                <w:lang w:val="zh-TW" w:eastAsia="zh-TW"/>
              </w:rPr>
            </w:pPr>
            <w:r>
              <w:rPr>
                <w:rFonts w:hint="eastAsia" w:ascii="仿宋_GB2312" w:hAnsi="仿宋_GB2312" w:eastAsia="仿宋_GB2312" w:cs="仿宋_GB2312"/>
                <w:kern w:val="2"/>
                <w:sz w:val="30"/>
                <w:szCs w:val="30"/>
                <w:lang w:val="zh-TW"/>
              </w:rPr>
              <w:t>办公室</w:t>
            </w:r>
          </w:p>
        </w:tc>
        <w:tc>
          <w:tcPr>
            <w:tcW w:w="1621" w:type="dxa"/>
            <w:vAlign w:val="center"/>
          </w:tcPr>
          <w:p>
            <w:pPr>
              <w:pStyle w:val="17"/>
              <w:widowControl w:val="0"/>
              <w:spacing w:after="0" w:line="240" w:lineRule="auto"/>
              <w:jc w:val="center"/>
              <w:rPr>
                <w:rFonts w:hint="eastAsia" w:ascii="仿宋_GB2312" w:hAnsi="仿宋_GB2312" w:eastAsia="仿宋_GB2312" w:cs="仿宋_GB2312"/>
                <w:kern w:val="2"/>
                <w:sz w:val="30"/>
                <w:szCs w:val="30"/>
                <w:lang w:val="zh-TW" w:eastAsia="zh-CN"/>
              </w:rPr>
            </w:pPr>
            <w:r>
              <w:rPr>
                <w:rFonts w:hint="eastAsia" w:ascii="仿宋_GB2312" w:hAnsi="仿宋_GB2312" w:eastAsia="仿宋_GB2312" w:cs="仿宋_GB2312"/>
                <w:kern w:val="2"/>
                <w:sz w:val="30"/>
                <w:szCs w:val="30"/>
                <w:lang w:val="zh-TW"/>
              </w:rPr>
              <w:t>李哲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1620" w:type="dxa"/>
            <w:vAlign w:val="center"/>
          </w:tcPr>
          <w:p>
            <w:pPr>
              <w:pStyle w:val="17"/>
              <w:widowControl w:val="0"/>
              <w:spacing w:after="0" w:line="360" w:lineRule="auto"/>
              <w:jc w:val="center"/>
              <w:rPr>
                <w:rFonts w:hint="eastAsia" w:ascii="仿宋_GB2312" w:hAnsi="仿宋_GB2312" w:eastAsia="仿宋_GB2312" w:cs="仿宋_GB2312"/>
                <w:b/>
                <w:bCs/>
                <w:kern w:val="2"/>
                <w:sz w:val="30"/>
                <w:szCs w:val="30"/>
                <w:lang w:val="zh-TW"/>
              </w:rPr>
            </w:pPr>
            <w:r>
              <w:rPr>
                <w:rFonts w:hint="eastAsia" w:ascii="仿宋_GB2312" w:hAnsi="仿宋_GB2312" w:eastAsia="仿宋_GB2312" w:cs="仿宋_GB2312"/>
                <w:b/>
                <w:bCs/>
                <w:kern w:val="2"/>
                <w:sz w:val="30"/>
                <w:szCs w:val="30"/>
                <w:lang w:val="zh-TW"/>
              </w:rPr>
              <w:t>副组长</w:t>
            </w:r>
          </w:p>
        </w:tc>
        <w:tc>
          <w:tcPr>
            <w:tcW w:w="1620" w:type="dxa"/>
            <w:vAlign w:val="center"/>
          </w:tcPr>
          <w:p>
            <w:pPr>
              <w:pStyle w:val="17"/>
              <w:widowControl w:val="0"/>
              <w:spacing w:after="0" w:line="360" w:lineRule="auto"/>
              <w:jc w:val="center"/>
              <w:rPr>
                <w:rFonts w:hint="eastAsia" w:ascii="仿宋_GB2312" w:hAnsi="仿宋_GB2312" w:eastAsia="仿宋_GB2312" w:cs="仿宋_GB2312"/>
                <w:kern w:val="2"/>
                <w:sz w:val="30"/>
                <w:szCs w:val="30"/>
                <w:lang w:val="en-US" w:eastAsia="zh-CN"/>
              </w:rPr>
            </w:pPr>
            <w:r>
              <w:rPr>
                <w:rFonts w:hint="eastAsia" w:ascii="仿宋_GB2312" w:hAnsi="仿宋_GB2312" w:eastAsia="仿宋_GB2312" w:cs="仿宋_GB2312"/>
                <w:kern w:val="2"/>
                <w:sz w:val="30"/>
                <w:szCs w:val="30"/>
                <w:lang w:val="en-US" w:eastAsia="zh-CN"/>
              </w:rPr>
              <w:t>赵云</w:t>
            </w:r>
          </w:p>
        </w:tc>
        <w:tc>
          <w:tcPr>
            <w:tcW w:w="1726" w:type="dxa"/>
            <w:vAlign w:val="center"/>
          </w:tcPr>
          <w:p>
            <w:pPr>
              <w:pStyle w:val="17"/>
              <w:widowControl w:val="0"/>
              <w:spacing w:after="0" w:line="360" w:lineRule="auto"/>
              <w:jc w:val="center"/>
              <w:rPr>
                <w:rFonts w:hint="eastAsia" w:ascii="仿宋_GB2312" w:hAnsi="仿宋_GB2312" w:eastAsia="仿宋_GB2312" w:cs="仿宋_GB2312"/>
                <w:kern w:val="2"/>
                <w:sz w:val="30"/>
                <w:szCs w:val="30"/>
                <w:lang w:val="zh-TW" w:eastAsia="zh-TW"/>
              </w:rPr>
            </w:pPr>
            <w:r>
              <w:rPr>
                <w:rFonts w:hint="eastAsia" w:ascii="仿宋_GB2312" w:hAnsi="仿宋_GB2312" w:eastAsia="仿宋_GB2312" w:cs="仿宋_GB2312"/>
                <w:kern w:val="2"/>
                <w:sz w:val="30"/>
                <w:szCs w:val="30"/>
                <w:lang w:val="zh-TW"/>
              </w:rPr>
              <w:t>副主席</w:t>
            </w:r>
          </w:p>
        </w:tc>
        <w:tc>
          <w:tcPr>
            <w:tcW w:w="1515" w:type="dxa"/>
            <w:vAlign w:val="center"/>
          </w:tcPr>
          <w:p>
            <w:pPr>
              <w:pStyle w:val="17"/>
              <w:widowControl w:val="0"/>
              <w:spacing w:after="0" w:line="360" w:lineRule="auto"/>
              <w:jc w:val="center"/>
              <w:rPr>
                <w:rFonts w:hint="eastAsia" w:ascii="仿宋_GB2312" w:hAnsi="仿宋_GB2312" w:eastAsia="仿宋_GB2312" w:cs="仿宋_GB2312"/>
                <w:kern w:val="2"/>
                <w:sz w:val="30"/>
                <w:szCs w:val="30"/>
                <w:lang w:val="zh-TW" w:eastAsia="zh-TW"/>
              </w:rPr>
            </w:pPr>
            <w:r>
              <w:rPr>
                <w:rFonts w:hint="eastAsia" w:ascii="仿宋_GB2312" w:hAnsi="仿宋_GB2312" w:eastAsia="仿宋_GB2312" w:cs="仿宋_GB2312"/>
                <w:kern w:val="2"/>
                <w:sz w:val="30"/>
                <w:szCs w:val="30"/>
                <w:lang w:val="zh-TW"/>
              </w:rPr>
              <w:t>办公室</w:t>
            </w:r>
          </w:p>
        </w:tc>
        <w:tc>
          <w:tcPr>
            <w:tcW w:w="1621" w:type="dxa"/>
            <w:vAlign w:val="center"/>
          </w:tcPr>
          <w:p>
            <w:pPr>
              <w:pStyle w:val="17"/>
              <w:widowControl w:val="0"/>
              <w:spacing w:after="0" w:line="360" w:lineRule="auto"/>
              <w:jc w:val="center"/>
              <w:rPr>
                <w:rFonts w:hint="eastAsia" w:ascii="仿宋_GB2312" w:hAnsi="仿宋_GB2312" w:eastAsia="仿宋_GB2312" w:cs="仿宋_GB2312"/>
                <w:kern w:val="2"/>
                <w:sz w:val="30"/>
                <w:szCs w:val="30"/>
                <w:lang w:val="zh-TW" w:eastAsia="zh-CN"/>
              </w:rPr>
            </w:pPr>
            <w:r>
              <w:rPr>
                <w:rFonts w:hint="eastAsia" w:ascii="仿宋_GB2312" w:hAnsi="仿宋_GB2312" w:eastAsia="仿宋_GB2312" w:cs="仿宋_GB2312"/>
                <w:kern w:val="2"/>
                <w:sz w:val="30"/>
                <w:szCs w:val="30"/>
                <w:lang w:val="en-US" w:eastAsia="zh-CN"/>
              </w:rPr>
              <w:t>赵云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1620" w:type="dxa"/>
            <w:vAlign w:val="center"/>
          </w:tcPr>
          <w:p>
            <w:pPr>
              <w:pStyle w:val="17"/>
              <w:widowControl w:val="0"/>
              <w:spacing w:after="0" w:line="360" w:lineRule="auto"/>
              <w:jc w:val="center"/>
              <w:rPr>
                <w:rFonts w:hint="eastAsia" w:ascii="仿宋_GB2312" w:hAnsi="仿宋_GB2312" w:eastAsia="仿宋_GB2312" w:cs="仿宋_GB2312"/>
                <w:b/>
                <w:bCs/>
                <w:kern w:val="2"/>
                <w:sz w:val="30"/>
                <w:szCs w:val="30"/>
                <w:lang w:val="zh-TW"/>
              </w:rPr>
            </w:pPr>
            <w:r>
              <w:rPr>
                <w:rFonts w:hint="eastAsia" w:ascii="仿宋_GB2312" w:hAnsi="仿宋_GB2312" w:eastAsia="仿宋_GB2312" w:cs="仿宋_GB2312"/>
                <w:b/>
                <w:bCs/>
                <w:kern w:val="2"/>
                <w:sz w:val="30"/>
                <w:szCs w:val="30"/>
                <w:lang w:val="zh-TW"/>
              </w:rPr>
              <w:t>成员</w:t>
            </w:r>
          </w:p>
        </w:tc>
        <w:tc>
          <w:tcPr>
            <w:tcW w:w="1620" w:type="dxa"/>
            <w:vAlign w:val="center"/>
          </w:tcPr>
          <w:p>
            <w:pPr>
              <w:pStyle w:val="17"/>
              <w:widowControl w:val="0"/>
              <w:spacing w:after="0" w:line="360" w:lineRule="auto"/>
              <w:jc w:val="center"/>
              <w:rPr>
                <w:rFonts w:hint="eastAsia" w:ascii="仿宋_GB2312" w:hAnsi="仿宋_GB2312" w:eastAsia="仿宋_GB2312" w:cs="仿宋_GB2312"/>
                <w:kern w:val="2"/>
                <w:sz w:val="30"/>
                <w:szCs w:val="30"/>
                <w:lang w:val="zh-TW" w:eastAsia="zh-CN"/>
              </w:rPr>
            </w:pPr>
            <w:r>
              <w:rPr>
                <w:rFonts w:hint="eastAsia" w:ascii="仿宋_GB2312" w:hAnsi="仿宋_GB2312" w:eastAsia="仿宋_GB2312" w:cs="仿宋_GB2312"/>
                <w:kern w:val="2"/>
                <w:sz w:val="30"/>
                <w:szCs w:val="30"/>
                <w:lang w:val="zh-TW" w:eastAsia="zh-CN"/>
              </w:rPr>
              <w:t>张锡敏</w:t>
            </w:r>
          </w:p>
        </w:tc>
        <w:tc>
          <w:tcPr>
            <w:tcW w:w="1726" w:type="dxa"/>
            <w:vAlign w:val="center"/>
          </w:tcPr>
          <w:p>
            <w:pPr>
              <w:pStyle w:val="17"/>
              <w:widowControl w:val="0"/>
              <w:spacing w:after="0" w:line="360" w:lineRule="auto"/>
              <w:jc w:val="center"/>
              <w:rPr>
                <w:rFonts w:hint="eastAsia" w:ascii="仿宋_GB2312" w:hAnsi="仿宋_GB2312" w:eastAsia="仿宋_GB2312" w:cs="仿宋_GB2312"/>
                <w:kern w:val="2"/>
                <w:sz w:val="30"/>
                <w:szCs w:val="30"/>
                <w:lang w:val="zh-TW" w:eastAsia="zh-TW"/>
              </w:rPr>
            </w:pPr>
            <w:r>
              <w:rPr>
                <w:rFonts w:hint="eastAsia" w:ascii="仿宋_GB2312" w:hAnsi="仿宋_GB2312" w:eastAsia="仿宋_GB2312" w:cs="仿宋_GB2312"/>
                <w:kern w:val="2"/>
                <w:sz w:val="30"/>
                <w:szCs w:val="30"/>
                <w:lang w:val="zh-TW"/>
              </w:rPr>
              <w:t>办公室主任</w:t>
            </w:r>
          </w:p>
        </w:tc>
        <w:tc>
          <w:tcPr>
            <w:tcW w:w="1515" w:type="dxa"/>
            <w:vAlign w:val="center"/>
          </w:tcPr>
          <w:p>
            <w:pPr>
              <w:pStyle w:val="17"/>
              <w:widowControl w:val="0"/>
              <w:spacing w:after="0" w:line="360" w:lineRule="auto"/>
              <w:jc w:val="center"/>
              <w:rPr>
                <w:rFonts w:hint="eastAsia" w:ascii="仿宋_GB2312" w:hAnsi="仿宋_GB2312" w:eastAsia="仿宋_GB2312" w:cs="仿宋_GB2312"/>
                <w:kern w:val="2"/>
                <w:sz w:val="30"/>
                <w:szCs w:val="30"/>
                <w:lang w:val="zh-TW" w:eastAsia="zh-TW"/>
              </w:rPr>
            </w:pPr>
            <w:r>
              <w:rPr>
                <w:rFonts w:hint="eastAsia" w:ascii="仿宋_GB2312" w:hAnsi="仿宋_GB2312" w:eastAsia="仿宋_GB2312" w:cs="仿宋_GB2312"/>
                <w:kern w:val="2"/>
                <w:sz w:val="30"/>
                <w:szCs w:val="30"/>
                <w:lang w:val="zh-TW"/>
              </w:rPr>
              <w:t>办公室</w:t>
            </w:r>
          </w:p>
        </w:tc>
        <w:tc>
          <w:tcPr>
            <w:tcW w:w="1621" w:type="dxa"/>
            <w:vAlign w:val="center"/>
          </w:tcPr>
          <w:p>
            <w:pPr>
              <w:pStyle w:val="17"/>
              <w:widowControl w:val="0"/>
              <w:spacing w:after="0" w:line="360" w:lineRule="auto"/>
              <w:jc w:val="center"/>
              <w:rPr>
                <w:rFonts w:hint="eastAsia" w:ascii="仿宋_GB2312" w:hAnsi="仿宋_GB2312" w:eastAsia="仿宋_GB2312" w:cs="仿宋_GB2312"/>
                <w:kern w:val="2"/>
                <w:sz w:val="30"/>
                <w:szCs w:val="30"/>
                <w:lang w:val="zh-TW" w:eastAsia="zh-CN"/>
              </w:rPr>
            </w:pPr>
            <w:r>
              <w:rPr>
                <w:rFonts w:hint="eastAsia" w:ascii="仿宋_GB2312" w:hAnsi="仿宋_GB2312" w:eastAsia="仿宋_GB2312" w:cs="仿宋_GB2312"/>
                <w:kern w:val="2"/>
                <w:sz w:val="30"/>
                <w:szCs w:val="30"/>
                <w:lang w:val="zh-TW" w:eastAsia="zh-CN"/>
              </w:rPr>
              <w:t>张锡敏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5" w:hRule="atLeast"/>
        </w:trPr>
        <w:tc>
          <w:tcPr>
            <w:tcW w:w="1620" w:type="dxa"/>
            <w:vAlign w:val="center"/>
          </w:tcPr>
          <w:p>
            <w:pPr>
              <w:pStyle w:val="17"/>
              <w:widowControl w:val="0"/>
              <w:spacing w:after="0" w:line="360" w:lineRule="auto"/>
              <w:jc w:val="center"/>
              <w:rPr>
                <w:rFonts w:hint="eastAsia" w:ascii="仿宋_GB2312" w:hAnsi="仿宋_GB2312" w:eastAsia="仿宋_GB2312" w:cs="仿宋_GB2312"/>
                <w:kern w:val="2"/>
                <w:sz w:val="30"/>
                <w:szCs w:val="30"/>
                <w:lang w:val="zh-TW" w:eastAsia="zh-CN"/>
              </w:rPr>
            </w:pPr>
            <w:r>
              <w:rPr>
                <w:rFonts w:hint="eastAsia" w:ascii="仿宋_GB2312" w:hAnsi="仿宋_GB2312" w:eastAsia="仿宋_GB2312" w:cs="仿宋_GB2312"/>
                <w:b/>
                <w:bCs/>
                <w:kern w:val="2"/>
                <w:sz w:val="24"/>
                <w:szCs w:val="24"/>
                <w:lang w:val="zh-TW"/>
              </w:rPr>
              <w:t>成员</w:t>
            </w:r>
          </w:p>
        </w:tc>
        <w:tc>
          <w:tcPr>
            <w:tcW w:w="1620" w:type="dxa"/>
            <w:vAlign w:val="center"/>
          </w:tcPr>
          <w:p>
            <w:pPr>
              <w:pStyle w:val="17"/>
              <w:widowControl w:val="0"/>
              <w:spacing w:after="0" w:line="360" w:lineRule="auto"/>
              <w:jc w:val="center"/>
              <w:rPr>
                <w:rFonts w:hint="eastAsia" w:ascii="仿宋_GB2312" w:hAnsi="仿宋_GB2312" w:eastAsia="仿宋_GB2312" w:cs="仿宋_GB2312"/>
                <w:kern w:val="2"/>
                <w:sz w:val="30"/>
                <w:szCs w:val="30"/>
                <w:lang w:val="zh-TW" w:eastAsia="zh-CN"/>
              </w:rPr>
            </w:pPr>
            <w:r>
              <w:rPr>
                <w:rFonts w:hint="eastAsia" w:ascii="仿宋_GB2312" w:hAnsi="仿宋_GB2312" w:eastAsia="仿宋_GB2312" w:cs="仿宋_GB2312"/>
                <w:kern w:val="2"/>
                <w:sz w:val="24"/>
                <w:szCs w:val="24"/>
                <w:lang w:val="zh-TW" w:eastAsia="zh-CN"/>
              </w:rPr>
              <w:t>邵蕾</w:t>
            </w:r>
          </w:p>
        </w:tc>
        <w:tc>
          <w:tcPr>
            <w:tcW w:w="1726" w:type="dxa"/>
            <w:vAlign w:val="center"/>
          </w:tcPr>
          <w:p>
            <w:pPr>
              <w:pStyle w:val="17"/>
              <w:widowControl w:val="0"/>
              <w:spacing w:after="0" w:line="360" w:lineRule="auto"/>
              <w:jc w:val="center"/>
              <w:rPr>
                <w:rFonts w:hint="eastAsia" w:ascii="仿宋_GB2312" w:hAnsi="仿宋_GB2312" w:eastAsia="仿宋_GB2312" w:cs="仿宋_GB2312"/>
                <w:kern w:val="2"/>
                <w:sz w:val="30"/>
                <w:szCs w:val="30"/>
                <w:lang w:val="zh-TW" w:eastAsia="zh-TW"/>
              </w:rPr>
            </w:pPr>
            <w:r>
              <w:rPr>
                <w:rFonts w:hint="eastAsia" w:ascii="仿宋_GB2312" w:hAnsi="仿宋_GB2312" w:eastAsia="仿宋_GB2312" w:cs="仿宋_GB2312"/>
                <w:kern w:val="2"/>
                <w:sz w:val="24"/>
                <w:szCs w:val="24"/>
                <w:lang w:val="zh-TW" w:eastAsia="zh-CN"/>
              </w:rPr>
              <w:t>妇儿工委</w:t>
            </w:r>
            <w:r>
              <w:rPr>
                <w:rFonts w:hint="eastAsia" w:ascii="仿宋_GB2312" w:hAnsi="仿宋_GB2312" w:eastAsia="仿宋_GB2312" w:cs="仿宋_GB2312"/>
                <w:kern w:val="2"/>
                <w:sz w:val="24"/>
                <w:szCs w:val="24"/>
                <w:lang w:val="zh-TW"/>
              </w:rPr>
              <w:t>办公室主任</w:t>
            </w:r>
          </w:p>
        </w:tc>
        <w:tc>
          <w:tcPr>
            <w:tcW w:w="1515" w:type="dxa"/>
            <w:vAlign w:val="center"/>
          </w:tcPr>
          <w:p>
            <w:pPr>
              <w:pStyle w:val="17"/>
              <w:widowControl w:val="0"/>
              <w:spacing w:after="0" w:line="360" w:lineRule="auto"/>
              <w:jc w:val="center"/>
              <w:rPr>
                <w:rFonts w:hint="eastAsia" w:ascii="仿宋_GB2312" w:hAnsi="仿宋_GB2312" w:eastAsia="仿宋_GB2312" w:cs="仿宋_GB2312"/>
                <w:kern w:val="2"/>
                <w:sz w:val="30"/>
                <w:szCs w:val="30"/>
                <w:lang w:val="zh-TW" w:eastAsia="zh-TW"/>
              </w:rPr>
            </w:pPr>
            <w:r>
              <w:rPr>
                <w:rFonts w:hint="eastAsia" w:ascii="仿宋_GB2312" w:hAnsi="仿宋_GB2312" w:eastAsia="仿宋_GB2312" w:cs="仿宋_GB2312"/>
                <w:kern w:val="2"/>
                <w:sz w:val="24"/>
                <w:szCs w:val="24"/>
                <w:lang w:val="zh-TW" w:eastAsia="zh-CN"/>
              </w:rPr>
              <w:t>妇儿工委</w:t>
            </w:r>
            <w:r>
              <w:rPr>
                <w:rFonts w:hint="eastAsia" w:ascii="仿宋_GB2312" w:hAnsi="仿宋_GB2312" w:eastAsia="仿宋_GB2312" w:cs="仿宋_GB2312"/>
                <w:kern w:val="2"/>
                <w:sz w:val="24"/>
                <w:szCs w:val="24"/>
                <w:lang w:val="zh-TW"/>
              </w:rPr>
              <w:t>办公室</w:t>
            </w:r>
          </w:p>
        </w:tc>
        <w:tc>
          <w:tcPr>
            <w:tcW w:w="1621" w:type="dxa"/>
            <w:vAlign w:val="center"/>
          </w:tcPr>
          <w:p>
            <w:pPr>
              <w:pStyle w:val="17"/>
              <w:widowControl w:val="0"/>
              <w:spacing w:after="0" w:line="360" w:lineRule="auto"/>
              <w:jc w:val="center"/>
              <w:rPr>
                <w:rFonts w:hint="eastAsia" w:ascii="仿宋_GB2312" w:hAnsi="仿宋_GB2312" w:eastAsia="仿宋_GB2312" w:cs="仿宋_GB2312"/>
                <w:kern w:val="2"/>
                <w:sz w:val="30"/>
                <w:szCs w:val="30"/>
                <w:lang w:val="zh-TW" w:eastAsia="zh-TW"/>
              </w:rPr>
            </w:pPr>
            <w:r>
              <w:rPr>
                <w:rFonts w:hint="eastAsia" w:ascii="仿宋_GB2312" w:hAnsi="仿宋_GB2312" w:eastAsia="仿宋_GB2312" w:cs="仿宋_GB2312"/>
                <w:kern w:val="2"/>
                <w:sz w:val="24"/>
                <w:szCs w:val="24"/>
                <w:lang w:val="zh-TW" w:eastAsia="zh-CN"/>
              </w:rPr>
              <w:t>邵蕾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1" w:hRule="atLeast"/>
        </w:trPr>
        <w:tc>
          <w:tcPr>
            <w:tcW w:w="8102" w:type="dxa"/>
            <w:gridSpan w:val="5"/>
          </w:tcPr>
          <w:p>
            <w:pPr>
              <w:pStyle w:val="17"/>
              <w:widowControl w:val="0"/>
              <w:spacing w:after="0" w:line="360" w:lineRule="auto"/>
              <w:jc w:val="both"/>
              <w:rPr>
                <w:rFonts w:hint="eastAsia" w:ascii="仿宋_GB2312" w:hAnsi="仿宋_GB2312" w:eastAsia="仿宋_GB2312" w:cs="仿宋_GB2312"/>
                <w:b/>
                <w:bCs/>
                <w:kern w:val="2"/>
                <w:sz w:val="30"/>
                <w:szCs w:val="30"/>
                <w:lang w:val="zh-TW"/>
              </w:rPr>
            </w:pPr>
            <w:r>
              <w:rPr>
                <w:rFonts w:hint="eastAsia" w:ascii="仿宋_GB2312" w:hAnsi="仿宋_GB2312" w:eastAsia="仿宋_GB2312" w:cs="仿宋_GB2312"/>
                <w:b/>
                <w:bCs/>
                <w:kern w:val="2"/>
                <w:sz w:val="30"/>
                <w:szCs w:val="30"/>
                <w:lang w:val="zh-TW"/>
              </w:rPr>
              <w:t>报告撰写人（签字）：</w:t>
            </w:r>
          </w:p>
          <w:p>
            <w:pPr>
              <w:pStyle w:val="17"/>
              <w:widowControl w:val="0"/>
              <w:spacing w:after="0" w:line="360" w:lineRule="auto"/>
              <w:jc w:val="both"/>
              <w:rPr>
                <w:rFonts w:hint="eastAsia" w:ascii="仿宋_GB2312" w:hAnsi="仿宋_GB2312" w:eastAsia="仿宋_GB2312" w:cs="仿宋_GB2312"/>
                <w:b/>
                <w:bCs/>
                <w:kern w:val="2"/>
                <w:sz w:val="30"/>
                <w:szCs w:val="30"/>
                <w:lang w:val="zh-TW" w:eastAsia="zh-CN"/>
              </w:rPr>
            </w:pPr>
            <w:r>
              <w:rPr>
                <w:rFonts w:hint="eastAsia" w:ascii="仿宋_GB2312" w:hAnsi="仿宋_GB2312" w:eastAsia="仿宋_GB2312" w:cs="仿宋_GB2312"/>
                <w:b/>
                <w:bCs/>
                <w:kern w:val="2"/>
                <w:sz w:val="30"/>
                <w:szCs w:val="30"/>
                <w:lang w:val="zh-TW"/>
              </w:rPr>
              <w:t xml:space="preserve">         </w:t>
            </w:r>
            <w:r>
              <w:rPr>
                <w:rFonts w:hint="eastAsia" w:ascii="仿宋_GB2312" w:hAnsi="仿宋_GB2312" w:eastAsia="仿宋_GB2312" w:cs="仿宋_GB2312"/>
                <w:b/>
                <w:bCs/>
                <w:kern w:val="2"/>
                <w:sz w:val="30"/>
                <w:szCs w:val="30"/>
                <w:lang w:val="en-US" w:eastAsia="zh-CN"/>
              </w:rPr>
              <w:t xml:space="preserve"> </w:t>
            </w:r>
            <w:r>
              <w:rPr>
                <w:rFonts w:hint="eastAsia" w:ascii="仿宋_GB2312" w:hAnsi="仿宋_GB2312" w:eastAsia="仿宋_GB2312" w:cs="仿宋_GB2312"/>
                <w:b/>
                <w:bCs/>
                <w:kern w:val="2"/>
                <w:sz w:val="30"/>
                <w:szCs w:val="30"/>
                <w:lang w:val="zh-TW"/>
              </w:rPr>
              <w:t xml:space="preserve">          </w:t>
            </w:r>
            <w:r>
              <w:rPr>
                <w:rFonts w:hint="eastAsia" w:ascii="仿宋_GB2312" w:hAnsi="仿宋_GB2312" w:eastAsia="仿宋_GB2312" w:cs="仿宋_GB2312"/>
                <w:b/>
                <w:bCs/>
                <w:kern w:val="2"/>
                <w:sz w:val="30"/>
                <w:szCs w:val="30"/>
                <w:lang w:val="en-US" w:eastAsia="zh-CN"/>
              </w:rPr>
              <w:t xml:space="preserve"> </w:t>
            </w:r>
          </w:p>
          <w:p>
            <w:pPr>
              <w:pStyle w:val="17"/>
              <w:widowControl w:val="0"/>
              <w:spacing w:after="0" w:line="360" w:lineRule="auto"/>
              <w:ind w:firstLine="4216" w:firstLineChars="1400"/>
              <w:jc w:val="both"/>
              <w:rPr>
                <w:rFonts w:hint="default" w:ascii="仿宋_GB2312" w:hAnsi="仿宋_GB2312" w:eastAsia="仿宋_GB2312" w:cs="仿宋_GB2312"/>
                <w:b/>
                <w:bCs/>
                <w:kern w:val="2"/>
                <w:sz w:val="30"/>
                <w:szCs w:val="30"/>
                <w:lang w:val="en-US" w:eastAsia="zh-CN"/>
              </w:rPr>
            </w:pPr>
            <w:r>
              <w:rPr>
                <w:rFonts w:hint="eastAsia" w:ascii="仿宋_GB2312" w:hAnsi="仿宋_GB2312" w:eastAsia="仿宋_GB2312" w:cs="仿宋_GB2312"/>
                <w:b/>
                <w:bCs/>
                <w:kern w:val="2"/>
                <w:sz w:val="30"/>
                <w:szCs w:val="30"/>
                <w:lang w:val="zh-TW" w:eastAsia="zh-CN"/>
              </w:rPr>
              <w:t>李勇</w:t>
            </w:r>
            <w:r>
              <w:rPr>
                <w:rFonts w:hint="eastAsia" w:ascii="仿宋_GB2312" w:hAnsi="仿宋_GB2312" w:eastAsia="仿宋_GB2312" w:cs="仿宋_GB2312"/>
                <w:b/>
                <w:bCs/>
                <w:kern w:val="2"/>
                <w:sz w:val="30"/>
                <w:szCs w:val="30"/>
                <w:lang w:val="en-US" w:eastAsia="zh-CN"/>
              </w:rPr>
              <w:t xml:space="preserve">                </w:t>
            </w:r>
          </w:p>
          <w:p>
            <w:pPr>
              <w:pStyle w:val="17"/>
              <w:widowControl w:val="0"/>
              <w:wordWrap w:val="0"/>
              <w:spacing w:after="0" w:line="360" w:lineRule="auto"/>
              <w:jc w:val="right"/>
              <w:rPr>
                <w:rFonts w:hint="eastAsia" w:ascii="仿宋_GB2312" w:hAnsi="仿宋_GB2312" w:eastAsia="仿宋_GB2312" w:cs="仿宋_GB2312"/>
                <w:b/>
                <w:bCs/>
                <w:kern w:val="2"/>
                <w:sz w:val="30"/>
                <w:szCs w:val="30"/>
                <w:lang w:val="zh-TW"/>
              </w:rPr>
            </w:pPr>
          </w:p>
          <w:p>
            <w:pPr>
              <w:pStyle w:val="17"/>
              <w:widowControl w:val="0"/>
              <w:wordWrap w:val="0"/>
              <w:spacing w:after="0" w:line="360" w:lineRule="auto"/>
              <w:jc w:val="right"/>
              <w:rPr>
                <w:rFonts w:hint="eastAsia" w:ascii="仿宋_GB2312" w:hAnsi="仿宋_GB2312" w:eastAsia="仿宋_GB2312" w:cs="仿宋_GB2312"/>
                <w:b/>
                <w:bCs/>
                <w:kern w:val="2"/>
                <w:sz w:val="30"/>
                <w:szCs w:val="30"/>
                <w:lang w:val="zh-TW"/>
              </w:rPr>
            </w:pPr>
            <w:r>
              <w:rPr>
                <w:rFonts w:hint="eastAsia" w:ascii="仿宋_GB2312" w:hAnsi="仿宋_GB2312" w:eastAsia="仿宋_GB2312" w:cs="仿宋_GB2312"/>
                <w:b w:val="0"/>
                <w:bCs w:val="0"/>
                <w:kern w:val="2"/>
                <w:sz w:val="30"/>
                <w:szCs w:val="30"/>
                <w:lang w:val="zh-TW"/>
              </w:rPr>
              <w:t>202</w:t>
            </w:r>
            <w:r>
              <w:rPr>
                <w:rFonts w:hint="eastAsia" w:ascii="仿宋_GB2312" w:hAnsi="仿宋_GB2312" w:eastAsia="仿宋_GB2312" w:cs="仿宋_GB2312"/>
                <w:b w:val="0"/>
                <w:bCs w:val="0"/>
                <w:kern w:val="2"/>
                <w:sz w:val="30"/>
                <w:szCs w:val="30"/>
                <w:lang w:val="en-US" w:eastAsia="zh-CN"/>
              </w:rPr>
              <w:t>3</w:t>
            </w:r>
            <w:r>
              <w:rPr>
                <w:rFonts w:hint="eastAsia" w:ascii="仿宋_GB2312" w:hAnsi="仿宋_GB2312" w:eastAsia="仿宋_GB2312" w:cs="仿宋_GB2312"/>
                <w:b w:val="0"/>
                <w:bCs w:val="0"/>
                <w:kern w:val="2"/>
                <w:sz w:val="30"/>
                <w:szCs w:val="30"/>
                <w:lang w:val="zh-TW"/>
              </w:rPr>
              <w:t xml:space="preserve">年 </w:t>
            </w:r>
            <w:r>
              <w:rPr>
                <w:rFonts w:hint="eastAsia" w:ascii="仿宋_GB2312" w:hAnsi="仿宋_GB2312" w:eastAsia="仿宋_GB2312" w:cs="仿宋_GB2312"/>
                <w:b w:val="0"/>
                <w:bCs w:val="0"/>
                <w:kern w:val="2"/>
                <w:sz w:val="30"/>
                <w:szCs w:val="30"/>
                <w:lang w:val="en-US" w:eastAsia="zh-CN"/>
              </w:rPr>
              <w:t>5</w:t>
            </w:r>
            <w:r>
              <w:rPr>
                <w:rFonts w:hint="eastAsia" w:ascii="仿宋_GB2312" w:hAnsi="仿宋_GB2312" w:eastAsia="仿宋_GB2312" w:cs="仿宋_GB2312"/>
                <w:b w:val="0"/>
                <w:bCs w:val="0"/>
                <w:kern w:val="2"/>
                <w:sz w:val="30"/>
                <w:szCs w:val="30"/>
                <w:lang w:val="zh-TW"/>
              </w:rPr>
              <w:t xml:space="preserve">月 </w:t>
            </w:r>
            <w:r>
              <w:rPr>
                <w:rFonts w:hint="eastAsia" w:ascii="仿宋_GB2312" w:hAnsi="仿宋_GB2312" w:eastAsia="仿宋_GB2312" w:cs="仿宋_GB2312"/>
                <w:b w:val="0"/>
                <w:bCs w:val="0"/>
                <w:kern w:val="2"/>
                <w:sz w:val="30"/>
                <w:szCs w:val="30"/>
                <w:lang w:val="en-US" w:eastAsia="zh-CN"/>
              </w:rPr>
              <w:t xml:space="preserve">12 </w:t>
            </w:r>
            <w:r>
              <w:rPr>
                <w:rFonts w:hint="eastAsia" w:ascii="仿宋_GB2312" w:hAnsi="仿宋_GB2312" w:eastAsia="仿宋_GB2312" w:cs="仿宋_GB2312"/>
                <w:b w:val="0"/>
                <w:bCs w:val="0"/>
                <w:kern w:val="2"/>
                <w:sz w:val="30"/>
                <w:szCs w:val="30"/>
                <w:lang w:val="zh-TW"/>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8" w:hRule="atLeast"/>
        </w:trPr>
        <w:tc>
          <w:tcPr>
            <w:tcW w:w="8102" w:type="dxa"/>
            <w:gridSpan w:val="5"/>
          </w:tcPr>
          <w:p>
            <w:pPr>
              <w:pStyle w:val="17"/>
              <w:widowControl w:val="0"/>
              <w:spacing w:after="0" w:line="360" w:lineRule="auto"/>
              <w:jc w:val="both"/>
              <w:rPr>
                <w:rFonts w:hint="eastAsia" w:ascii="仿宋_GB2312" w:hAnsi="仿宋_GB2312" w:eastAsia="仿宋_GB2312" w:cs="仿宋_GB2312"/>
                <w:b/>
                <w:bCs/>
                <w:kern w:val="2"/>
                <w:sz w:val="30"/>
                <w:szCs w:val="30"/>
                <w:lang w:val="zh-TW"/>
              </w:rPr>
            </w:pPr>
            <w:r>
              <w:rPr>
                <w:rFonts w:hint="eastAsia" w:ascii="仿宋_GB2312" w:hAnsi="仿宋_GB2312" w:eastAsia="仿宋_GB2312" w:cs="仿宋_GB2312"/>
                <w:b/>
                <w:bCs/>
                <w:kern w:val="2"/>
                <w:sz w:val="30"/>
                <w:szCs w:val="30"/>
                <w:lang w:val="zh-TW"/>
              </w:rPr>
              <w:t>评价工作负责人（签字）：</w:t>
            </w:r>
          </w:p>
          <w:p>
            <w:pPr>
              <w:pStyle w:val="17"/>
              <w:widowControl w:val="0"/>
              <w:spacing w:after="0" w:line="360" w:lineRule="auto"/>
              <w:jc w:val="both"/>
              <w:rPr>
                <w:rFonts w:hint="eastAsia" w:ascii="仿宋_GB2312" w:hAnsi="仿宋_GB2312" w:eastAsia="仿宋_GB2312" w:cs="仿宋_GB2312"/>
                <w:b/>
                <w:bCs/>
                <w:kern w:val="2"/>
                <w:sz w:val="30"/>
                <w:szCs w:val="30"/>
                <w:lang w:val="zh-TW" w:eastAsia="zh-CN"/>
              </w:rPr>
            </w:pPr>
            <w:r>
              <w:rPr>
                <w:rFonts w:hint="eastAsia" w:ascii="仿宋_GB2312" w:hAnsi="仿宋_GB2312" w:eastAsia="仿宋_GB2312" w:cs="仿宋_GB2312"/>
                <w:b/>
                <w:bCs/>
                <w:kern w:val="2"/>
                <w:sz w:val="30"/>
                <w:szCs w:val="30"/>
                <w:lang w:val="zh-TW"/>
              </w:rPr>
              <w:t xml:space="preserve">           </w:t>
            </w:r>
            <w:r>
              <w:rPr>
                <w:rFonts w:hint="eastAsia" w:ascii="仿宋_GB2312" w:hAnsi="仿宋_GB2312" w:eastAsia="仿宋_GB2312" w:cs="仿宋_GB2312"/>
                <w:b/>
                <w:bCs/>
                <w:kern w:val="2"/>
                <w:sz w:val="30"/>
                <w:szCs w:val="30"/>
                <w:lang w:val="en-US" w:eastAsia="zh-CN"/>
              </w:rPr>
              <w:t xml:space="preserve"> </w:t>
            </w:r>
            <w:r>
              <w:rPr>
                <w:rFonts w:hint="eastAsia" w:ascii="仿宋_GB2312" w:hAnsi="仿宋_GB2312" w:eastAsia="仿宋_GB2312" w:cs="仿宋_GB2312"/>
                <w:b/>
                <w:bCs/>
                <w:kern w:val="2"/>
                <w:sz w:val="30"/>
                <w:szCs w:val="30"/>
                <w:lang w:val="zh-TW"/>
              </w:rPr>
              <w:t xml:space="preserve">       </w:t>
            </w:r>
            <w:r>
              <w:rPr>
                <w:rFonts w:hint="eastAsia" w:ascii="仿宋_GB2312" w:hAnsi="仿宋_GB2312" w:eastAsia="仿宋_GB2312" w:cs="仿宋_GB2312"/>
                <w:b/>
                <w:bCs/>
                <w:kern w:val="2"/>
                <w:sz w:val="30"/>
                <w:szCs w:val="30"/>
                <w:lang w:val="en-US" w:eastAsia="zh-CN"/>
              </w:rPr>
              <w:t xml:space="preserve"> </w:t>
            </w:r>
          </w:p>
          <w:p>
            <w:pPr>
              <w:pStyle w:val="17"/>
              <w:widowControl w:val="0"/>
              <w:spacing w:after="0" w:line="360" w:lineRule="auto"/>
              <w:ind w:firstLine="4216" w:firstLineChars="1400"/>
              <w:jc w:val="both"/>
              <w:rPr>
                <w:rFonts w:hint="eastAsia" w:ascii="仿宋_GB2312" w:hAnsi="仿宋_GB2312" w:eastAsia="仿宋_GB2312" w:cs="仿宋_GB2312"/>
                <w:b/>
                <w:bCs/>
                <w:kern w:val="2"/>
                <w:sz w:val="30"/>
                <w:szCs w:val="30"/>
                <w:lang w:val="zh-TW" w:eastAsia="zh-CN"/>
              </w:rPr>
            </w:pPr>
            <w:r>
              <w:rPr>
                <w:rFonts w:hint="eastAsia" w:ascii="仿宋_GB2312" w:hAnsi="仿宋_GB2312" w:eastAsia="仿宋_GB2312" w:cs="仿宋_GB2312"/>
                <w:b/>
                <w:bCs/>
                <w:kern w:val="2"/>
                <w:sz w:val="30"/>
                <w:szCs w:val="30"/>
                <w:lang w:val="zh-TW" w:eastAsia="zh-CN"/>
              </w:rPr>
              <w:t>赵云</w:t>
            </w:r>
          </w:p>
          <w:p>
            <w:pPr>
              <w:pStyle w:val="17"/>
              <w:widowControl w:val="0"/>
              <w:wordWrap w:val="0"/>
              <w:spacing w:after="0" w:line="360" w:lineRule="auto"/>
              <w:jc w:val="right"/>
              <w:rPr>
                <w:rFonts w:hint="eastAsia" w:ascii="仿宋_GB2312" w:hAnsi="仿宋_GB2312" w:eastAsia="仿宋_GB2312" w:cs="仿宋_GB2312"/>
                <w:b/>
                <w:bCs/>
                <w:kern w:val="2"/>
                <w:sz w:val="30"/>
                <w:szCs w:val="30"/>
                <w:lang w:val="zh-TW"/>
              </w:rPr>
            </w:pPr>
          </w:p>
          <w:p>
            <w:pPr>
              <w:pStyle w:val="17"/>
              <w:widowControl w:val="0"/>
              <w:wordWrap w:val="0"/>
              <w:spacing w:after="0" w:line="360" w:lineRule="auto"/>
              <w:jc w:val="right"/>
              <w:rPr>
                <w:rFonts w:hint="eastAsia" w:ascii="仿宋_GB2312" w:hAnsi="仿宋_GB2312" w:eastAsia="仿宋_GB2312" w:cs="仿宋_GB2312"/>
                <w:b/>
                <w:bCs/>
                <w:kern w:val="2"/>
                <w:sz w:val="30"/>
                <w:szCs w:val="30"/>
                <w:lang w:val="zh-TW"/>
              </w:rPr>
            </w:pPr>
            <w:r>
              <w:rPr>
                <w:rFonts w:hint="eastAsia" w:ascii="仿宋_GB2312" w:hAnsi="仿宋_GB2312" w:eastAsia="仿宋_GB2312" w:cs="仿宋_GB2312"/>
                <w:b w:val="0"/>
                <w:bCs w:val="0"/>
                <w:kern w:val="2"/>
                <w:sz w:val="30"/>
                <w:szCs w:val="30"/>
                <w:lang w:val="zh-TW"/>
              </w:rPr>
              <w:t>202</w:t>
            </w:r>
            <w:r>
              <w:rPr>
                <w:rFonts w:hint="eastAsia" w:ascii="仿宋_GB2312" w:hAnsi="仿宋_GB2312" w:eastAsia="仿宋_GB2312" w:cs="仿宋_GB2312"/>
                <w:b w:val="0"/>
                <w:bCs w:val="0"/>
                <w:kern w:val="2"/>
                <w:sz w:val="30"/>
                <w:szCs w:val="30"/>
                <w:lang w:val="en-US" w:eastAsia="zh-CN"/>
              </w:rPr>
              <w:t>3</w:t>
            </w:r>
            <w:r>
              <w:rPr>
                <w:rFonts w:hint="eastAsia" w:ascii="仿宋_GB2312" w:hAnsi="仿宋_GB2312" w:eastAsia="仿宋_GB2312" w:cs="仿宋_GB2312"/>
                <w:b w:val="0"/>
                <w:bCs w:val="0"/>
                <w:kern w:val="2"/>
                <w:sz w:val="30"/>
                <w:szCs w:val="30"/>
                <w:lang w:val="zh-TW"/>
              </w:rPr>
              <w:t xml:space="preserve">年 </w:t>
            </w:r>
            <w:r>
              <w:rPr>
                <w:rFonts w:hint="eastAsia" w:ascii="仿宋_GB2312" w:hAnsi="仿宋_GB2312" w:eastAsia="仿宋_GB2312" w:cs="仿宋_GB2312"/>
                <w:b w:val="0"/>
                <w:bCs w:val="0"/>
                <w:kern w:val="2"/>
                <w:sz w:val="30"/>
                <w:szCs w:val="30"/>
                <w:lang w:val="en-US" w:eastAsia="zh-CN"/>
              </w:rPr>
              <w:t xml:space="preserve"> 5</w:t>
            </w:r>
            <w:r>
              <w:rPr>
                <w:rFonts w:hint="eastAsia" w:ascii="仿宋_GB2312" w:hAnsi="仿宋_GB2312" w:eastAsia="仿宋_GB2312" w:cs="仿宋_GB2312"/>
                <w:b w:val="0"/>
                <w:bCs w:val="0"/>
                <w:kern w:val="2"/>
                <w:sz w:val="30"/>
                <w:szCs w:val="30"/>
                <w:lang w:val="zh-TW"/>
              </w:rPr>
              <w:t xml:space="preserve"> 月 </w:t>
            </w:r>
            <w:r>
              <w:rPr>
                <w:rFonts w:hint="eastAsia" w:ascii="仿宋_GB2312" w:hAnsi="仿宋_GB2312" w:eastAsia="仿宋_GB2312" w:cs="仿宋_GB2312"/>
                <w:b w:val="0"/>
                <w:bCs w:val="0"/>
                <w:kern w:val="2"/>
                <w:sz w:val="30"/>
                <w:szCs w:val="30"/>
                <w:lang w:val="en-US" w:eastAsia="zh-CN"/>
              </w:rPr>
              <w:t xml:space="preserve"> 12</w:t>
            </w:r>
            <w:r>
              <w:rPr>
                <w:rFonts w:hint="eastAsia" w:ascii="仿宋_GB2312" w:hAnsi="仿宋_GB2312" w:eastAsia="仿宋_GB2312" w:cs="仿宋_GB2312"/>
                <w:b w:val="0"/>
                <w:bCs w:val="0"/>
                <w:kern w:val="2"/>
                <w:sz w:val="30"/>
                <w:szCs w:val="30"/>
                <w:lang w:val="zh-TW"/>
              </w:rPr>
              <w:t xml:space="preserve"> 日</w:t>
            </w:r>
          </w:p>
        </w:tc>
      </w:tr>
    </w:tbl>
    <w:p>
      <w:pPr>
        <w:pStyle w:val="17"/>
        <w:widowControl w:val="0"/>
        <w:spacing w:after="0" w:line="360" w:lineRule="auto"/>
        <w:ind w:firstLine="708" w:firstLineChars="236"/>
        <w:jc w:val="both"/>
        <w:rPr>
          <w:rFonts w:hint="eastAsia" w:ascii="仿宋_GB2312" w:hAnsi="仿宋_GB2312" w:eastAsia="仿宋_GB2312" w:cs="仿宋_GB2312"/>
          <w:kern w:val="2"/>
          <w:sz w:val="30"/>
          <w:szCs w:val="30"/>
          <w:lang w:val="zh-TW" w:eastAsia="zh-TW"/>
        </w:rPr>
      </w:pPr>
    </w:p>
    <w:p>
      <w:pPr>
        <w:pStyle w:val="17"/>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16"/>
        <w:jc w:val="center"/>
        <w:rPr>
          <w:rFonts w:hint="eastAsia" w:ascii="黑体" w:hAnsi="黑体" w:eastAsia="黑体" w:cs="黑体"/>
          <w:color w:val="auto"/>
          <w:sz w:val="44"/>
          <w:szCs w:val="44"/>
        </w:rPr>
      </w:pPr>
      <w:r>
        <w:rPr>
          <w:rFonts w:hint="eastAsia" w:ascii="黑体" w:hAnsi="黑体" w:eastAsia="黑体" w:cs="黑体"/>
          <w:color w:val="auto"/>
          <w:sz w:val="44"/>
          <w:szCs w:val="44"/>
          <w:lang w:val="zh-CN"/>
        </w:rPr>
        <w:t>目</w:t>
      </w:r>
      <w:r>
        <w:rPr>
          <w:rFonts w:hint="eastAsia" w:ascii="黑体" w:hAnsi="黑体" w:eastAsia="黑体" w:cs="黑体"/>
          <w:color w:val="auto"/>
          <w:sz w:val="44"/>
          <w:szCs w:val="44"/>
          <w:lang w:val="en-US" w:eastAsia="zh-CN"/>
        </w:rPr>
        <w:t xml:space="preserve">  </w:t>
      </w:r>
      <w:r>
        <w:rPr>
          <w:rFonts w:hint="eastAsia" w:ascii="黑体" w:hAnsi="黑体" w:eastAsia="黑体" w:cs="黑体"/>
          <w:color w:val="auto"/>
          <w:sz w:val="44"/>
          <w:szCs w:val="44"/>
          <w:lang w:val="zh-CN"/>
        </w:rPr>
        <w:t>录</w:t>
      </w:r>
    </w:p>
    <w:p>
      <w:pPr>
        <w:topLinePunct/>
        <w:spacing w:line="440" w:lineRule="exact"/>
        <w:ind w:firstLine="700" w:firstLineChars="250"/>
        <w:rPr>
          <w:rFonts w:hint="eastAsia" w:ascii="仿宋" w:hAnsi="仿宋" w:eastAsia="仿宋"/>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黑体" w:hAnsi="黑体" w:eastAsia="黑体"/>
          <w:b w:val="0"/>
          <w:bCs w:val="0"/>
          <w:sz w:val="24"/>
          <w:szCs w:val="24"/>
          <w:lang w:eastAsia="zh-CN"/>
        </w:rPr>
      </w:pPr>
      <w:r>
        <w:rPr>
          <w:rFonts w:hint="eastAsia" w:ascii="黑体" w:hAnsi="黑体" w:eastAsia="黑体"/>
          <w:b w:val="0"/>
          <w:bCs w:val="0"/>
          <w:sz w:val="24"/>
          <w:szCs w:val="24"/>
        </w:rPr>
        <w:t xml:space="preserve"> </w:t>
      </w:r>
      <w:r>
        <w:rPr>
          <w:rFonts w:hint="eastAsia" w:ascii="黑体" w:hAnsi="黑体" w:eastAsia="黑体"/>
          <w:b w:val="0"/>
          <w:bCs w:val="0"/>
          <w:sz w:val="24"/>
          <w:szCs w:val="24"/>
          <w:lang w:eastAsia="zh-CN"/>
        </w:rPr>
        <w:t>摘要</w:t>
      </w:r>
    </w:p>
    <w:p>
      <w:pPr>
        <w:keepNext w:val="0"/>
        <w:keepLines w:val="0"/>
        <w:pageBreakBefore w:val="0"/>
        <w:widowControl w:val="0"/>
        <w:kinsoku/>
        <w:wordWrap/>
        <w:overflowPunct/>
        <w:topLinePunct w:val="0"/>
        <w:autoSpaceDE/>
        <w:autoSpaceDN/>
        <w:bidi w:val="0"/>
        <w:adjustRightInd/>
        <w:snapToGrid/>
        <w:spacing w:line="360" w:lineRule="auto"/>
        <w:ind w:firstLine="720" w:firstLineChars="300"/>
        <w:jc w:val="left"/>
        <w:textAlignment w:val="auto"/>
        <w:rPr>
          <w:rFonts w:ascii="黑体" w:hAnsi="黑体" w:eastAsia="黑体"/>
          <w:sz w:val="24"/>
          <w:szCs w:val="24"/>
        </w:rPr>
      </w:pPr>
      <w:r>
        <w:rPr>
          <w:rFonts w:hint="eastAsia" w:ascii="黑体" w:hAnsi="黑体" w:eastAsia="黑体"/>
          <w:sz w:val="24"/>
          <w:szCs w:val="24"/>
        </w:rPr>
        <w:t>一、 项目基本情况</w:t>
      </w:r>
      <w:r>
        <w:rPr>
          <w:rFonts w:hint="eastAsia" w:ascii="黑体" w:hAnsi="黑体" w:eastAsia="黑体"/>
          <w:sz w:val="24"/>
          <w:szCs w:val="24"/>
        </w:rPr>
        <w:tab/>
      </w:r>
      <w:r>
        <w:rPr>
          <w:rFonts w:hint="eastAsia" w:ascii="黑体" w:hAnsi="黑体" w:eastAsia="黑体"/>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黑体" w:hAnsi="黑体" w:eastAsia="黑体"/>
          <w:sz w:val="24"/>
          <w:szCs w:val="24"/>
        </w:rPr>
      </w:pPr>
      <w:r>
        <w:rPr>
          <w:rFonts w:hint="eastAsia" w:ascii="黑体" w:hAnsi="黑体" w:eastAsia="黑体"/>
          <w:sz w:val="24"/>
          <w:szCs w:val="24"/>
        </w:rPr>
        <w:t>（一）项目立项背景</w:t>
      </w:r>
      <w:r>
        <w:rPr>
          <w:rFonts w:hint="eastAsia" w:ascii="黑体" w:hAnsi="黑体" w:eastAsia="黑体"/>
          <w:sz w:val="24"/>
          <w:szCs w:val="24"/>
        </w:rPr>
        <w:tab/>
      </w:r>
      <w:r>
        <w:rPr>
          <w:rFonts w:hint="eastAsia" w:ascii="黑体" w:hAnsi="黑体" w:eastAsia="黑体"/>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黑体" w:hAnsi="黑体" w:eastAsia="黑体"/>
          <w:sz w:val="24"/>
          <w:szCs w:val="24"/>
        </w:rPr>
      </w:pPr>
      <w:r>
        <w:rPr>
          <w:rFonts w:hint="eastAsia" w:ascii="黑体" w:hAnsi="黑体" w:eastAsia="黑体"/>
          <w:sz w:val="24"/>
          <w:szCs w:val="24"/>
        </w:rPr>
        <w:t xml:space="preserve">（二）项目立项依据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黑体" w:hAnsi="黑体" w:eastAsia="黑体"/>
          <w:sz w:val="24"/>
          <w:szCs w:val="24"/>
        </w:rPr>
      </w:pPr>
      <w:r>
        <w:rPr>
          <w:rFonts w:hint="eastAsia" w:ascii="黑体" w:hAnsi="黑体" w:eastAsia="黑体"/>
          <w:sz w:val="24"/>
          <w:szCs w:val="24"/>
        </w:rPr>
        <w:t>（三）项目实施内容</w:t>
      </w:r>
      <w:r>
        <w:rPr>
          <w:rFonts w:hint="eastAsia" w:ascii="黑体" w:hAnsi="黑体" w:eastAsia="黑体"/>
          <w:sz w:val="24"/>
          <w:szCs w:val="24"/>
        </w:rPr>
        <w:tab/>
      </w:r>
      <w:r>
        <w:rPr>
          <w:rFonts w:hint="eastAsia" w:ascii="黑体" w:hAnsi="黑体" w:eastAsia="黑体"/>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黑体" w:hAnsi="黑体" w:eastAsia="黑体"/>
          <w:sz w:val="24"/>
          <w:szCs w:val="24"/>
        </w:rPr>
      </w:pPr>
      <w:r>
        <w:rPr>
          <w:rFonts w:hint="eastAsia" w:ascii="黑体" w:hAnsi="黑体" w:eastAsia="黑体"/>
          <w:sz w:val="24"/>
          <w:szCs w:val="24"/>
        </w:rPr>
        <w:t>（四）项目实施计划及完成情况</w:t>
      </w:r>
      <w:r>
        <w:rPr>
          <w:rFonts w:hint="eastAsia" w:ascii="黑体" w:hAnsi="黑体" w:eastAsia="黑体"/>
          <w:sz w:val="24"/>
          <w:szCs w:val="24"/>
        </w:rPr>
        <w:tab/>
      </w:r>
      <w:r>
        <w:rPr>
          <w:rFonts w:hint="eastAsia" w:ascii="黑体" w:hAnsi="黑体" w:eastAsia="黑体"/>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黑体" w:hAnsi="黑体" w:eastAsia="黑体"/>
          <w:sz w:val="24"/>
          <w:szCs w:val="24"/>
        </w:rPr>
      </w:pPr>
      <w:r>
        <w:rPr>
          <w:rFonts w:hint="eastAsia" w:ascii="黑体" w:hAnsi="黑体" w:eastAsia="黑体"/>
          <w:sz w:val="24"/>
          <w:szCs w:val="24"/>
        </w:rPr>
        <w:t>（五）项目的组织及管理</w:t>
      </w:r>
      <w:r>
        <w:rPr>
          <w:rFonts w:hint="eastAsia" w:ascii="黑体" w:hAnsi="黑体" w:eastAsia="黑体"/>
          <w:sz w:val="24"/>
          <w:szCs w:val="24"/>
        </w:rPr>
        <w:tab/>
      </w:r>
      <w:r>
        <w:rPr>
          <w:rFonts w:hint="eastAsia" w:ascii="黑体" w:hAnsi="黑体" w:eastAsia="黑体"/>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黑体" w:hAnsi="黑体" w:eastAsia="黑体"/>
          <w:sz w:val="24"/>
          <w:szCs w:val="24"/>
        </w:rPr>
      </w:pPr>
      <w:r>
        <w:rPr>
          <w:rFonts w:hint="eastAsia" w:ascii="黑体" w:hAnsi="黑体" w:eastAsia="黑体"/>
          <w:sz w:val="24"/>
          <w:szCs w:val="24"/>
        </w:rPr>
        <w:t xml:space="preserve">（六）项目绩效目标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黑体" w:hAnsi="黑体" w:eastAsia="黑体"/>
          <w:sz w:val="24"/>
          <w:szCs w:val="24"/>
        </w:rPr>
      </w:pPr>
      <w:r>
        <w:rPr>
          <w:rFonts w:hint="eastAsia" w:ascii="黑体" w:hAnsi="黑体" w:eastAsia="黑体"/>
          <w:sz w:val="24"/>
          <w:szCs w:val="24"/>
        </w:rPr>
        <w:t>二、绩效评价工作情况</w:t>
      </w:r>
      <w:r>
        <w:rPr>
          <w:rFonts w:hint="eastAsia" w:ascii="黑体" w:hAnsi="黑体" w:eastAsia="黑体"/>
          <w:sz w:val="24"/>
          <w:szCs w:val="24"/>
        </w:rPr>
        <w:tab/>
      </w:r>
      <w:r>
        <w:rPr>
          <w:rFonts w:hint="eastAsia" w:ascii="黑体" w:hAnsi="黑体" w:eastAsia="黑体"/>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黑体" w:hAnsi="黑体" w:eastAsia="黑体"/>
          <w:sz w:val="24"/>
          <w:szCs w:val="24"/>
        </w:rPr>
      </w:pPr>
      <w:r>
        <w:rPr>
          <w:rFonts w:hint="eastAsia" w:ascii="黑体" w:hAnsi="黑体" w:eastAsia="黑体"/>
          <w:sz w:val="24"/>
          <w:szCs w:val="24"/>
        </w:rPr>
        <w:t>(一)评价的目的和依据</w:t>
      </w:r>
      <w:r>
        <w:rPr>
          <w:rFonts w:hint="eastAsia" w:ascii="黑体" w:hAnsi="黑体" w:eastAsia="黑体"/>
          <w:sz w:val="24"/>
          <w:szCs w:val="24"/>
        </w:rPr>
        <w:tab/>
      </w:r>
      <w:r>
        <w:rPr>
          <w:rFonts w:hint="eastAsia" w:ascii="黑体" w:hAnsi="黑体" w:eastAsia="黑体"/>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黑体" w:hAnsi="黑体" w:eastAsia="黑体"/>
          <w:sz w:val="24"/>
          <w:szCs w:val="24"/>
        </w:rPr>
      </w:pPr>
      <w:r>
        <w:rPr>
          <w:rFonts w:hint="eastAsia" w:ascii="黑体" w:hAnsi="黑体" w:eastAsia="黑体"/>
          <w:sz w:val="24"/>
          <w:szCs w:val="24"/>
        </w:rPr>
        <w:t>(二)绩效评价工作方案制定过程</w:t>
      </w:r>
      <w:r>
        <w:rPr>
          <w:rFonts w:hint="eastAsia" w:ascii="黑体" w:hAnsi="黑体" w:eastAsia="黑体"/>
          <w:sz w:val="24"/>
          <w:szCs w:val="24"/>
        </w:rPr>
        <w:tab/>
      </w:r>
      <w:r>
        <w:rPr>
          <w:rFonts w:hint="eastAsia" w:ascii="黑体" w:hAnsi="黑体" w:eastAsia="黑体"/>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黑体" w:hAnsi="黑体" w:eastAsia="黑体"/>
          <w:sz w:val="24"/>
          <w:szCs w:val="24"/>
        </w:rPr>
      </w:pPr>
      <w:r>
        <w:rPr>
          <w:rFonts w:hint="eastAsia" w:ascii="黑体" w:hAnsi="黑体" w:eastAsia="黑体"/>
          <w:sz w:val="24"/>
          <w:szCs w:val="24"/>
        </w:rPr>
        <w:t>(三)绩效评价原则、评价方法等</w:t>
      </w:r>
      <w:r>
        <w:rPr>
          <w:rFonts w:hint="eastAsia" w:ascii="黑体" w:hAnsi="黑体" w:eastAsia="黑体"/>
          <w:sz w:val="24"/>
          <w:szCs w:val="24"/>
        </w:rPr>
        <w:tab/>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黑体" w:hAnsi="黑体" w:eastAsia="黑体"/>
          <w:sz w:val="24"/>
          <w:szCs w:val="24"/>
        </w:rPr>
      </w:pPr>
      <w:r>
        <w:rPr>
          <w:rFonts w:hint="eastAsia" w:ascii="黑体" w:hAnsi="黑体" w:eastAsia="黑体"/>
          <w:sz w:val="24"/>
          <w:szCs w:val="24"/>
        </w:rPr>
        <w:t>(四)绩效评价实施过程</w:t>
      </w:r>
      <w:r>
        <w:rPr>
          <w:rFonts w:hint="eastAsia" w:ascii="黑体" w:hAnsi="黑体" w:eastAsia="黑体"/>
          <w:sz w:val="24"/>
          <w:szCs w:val="24"/>
        </w:rPr>
        <w:tab/>
      </w:r>
      <w:r>
        <w:rPr>
          <w:rFonts w:hint="eastAsia" w:ascii="黑体" w:hAnsi="黑体" w:eastAsia="黑体"/>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黑体" w:hAnsi="黑体" w:eastAsia="黑体"/>
          <w:sz w:val="24"/>
          <w:szCs w:val="24"/>
        </w:rPr>
      </w:pPr>
      <w:r>
        <w:rPr>
          <w:rFonts w:hint="eastAsia" w:ascii="黑体" w:hAnsi="黑体" w:eastAsia="黑体"/>
          <w:sz w:val="24"/>
          <w:szCs w:val="24"/>
        </w:rPr>
        <w:t>(五)绩效评价的局限性</w:t>
      </w:r>
      <w:r>
        <w:rPr>
          <w:rFonts w:hint="eastAsia" w:ascii="黑体" w:hAnsi="黑体" w:eastAsia="黑体"/>
          <w:sz w:val="24"/>
          <w:szCs w:val="24"/>
        </w:rPr>
        <w:tab/>
      </w:r>
      <w:r>
        <w:rPr>
          <w:rFonts w:hint="eastAsia" w:ascii="黑体" w:hAnsi="黑体" w:eastAsia="黑体"/>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黑体" w:hAnsi="黑体" w:eastAsia="黑体"/>
          <w:sz w:val="24"/>
          <w:szCs w:val="24"/>
        </w:rPr>
      </w:pPr>
      <w:r>
        <w:rPr>
          <w:rFonts w:hint="eastAsia" w:ascii="黑体" w:hAnsi="黑体" w:eastAsia="黑体"/>
          <w:sz w:val="24"/>
          <w:szCs w:val="24"/>
        </w:rPr>
        <w:t xml:space="preserve">三、评价结论及绩效分析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黑体" w:hAnsi="黑体" w:eastAsia="黑体"/>
          <w:sz w:val="24"/>
          <w:szCs w:val="24"/>
        </w:rPr>
      </w:pPr>
      <w:r>
        <w:rPr>
          <w:rFonts w:hint="eastAsia" w:ascii="黑体" w:hAnsi="黑体" w:eastAsia="黑体"/>
          <w:sz w:val="24"/>
          <w:szCs w:val="24"/>
        </w:rPr>
        <w:t>(一)评价结论</w:t>
      </w:r>
      <w:r>
        <w:rPr>
          <w:rFonts w:hint="eastAsia" w:ascii="黑体" w:hAnsi="黑体" w:eastAsia="黑体"/>
          <w:sz w:val="24"/>
          <w:szCs w:val="24"/>
        </w:rPr>
        <w:tab/>
      </w:r>
      <w:r>
        <w:rPr>
          <w:rFonts w:hint="eastAsia" w:ascii="黑体" w:hAnsi="黑体" w:eastAsia="黑体"/>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黑体" w:hAnsi="黑体" w:eastAsia="黑体"/>
          <w:sz w:val="24"/>
          <w:szCs w:val="24"/>
        </w:rPr>
      </w:pPr>
      <w:r>
        <w:rPr>
          <w:rFonts w:hint="eastAsia" w:ascii="黑体" w:hAnsi="黑体" w:eastAsia="黑体"/>
          <w:sz w:val="24"/>
          <w:szCs w:val="24"/>
        </w:rPr>
        <w:t>(二)绩效分析</w:t>
      </w:r>
      <w:r>
        <w:rPr>
          <w:rFonts w:hint="eastAsia" w:ascii="黑体" w:hAnsi="黑体" w:eastAsia="黑体"/>
          <w:sz w:val="24"/>
          <w:szCs w:val="24"/>
        </w:rPr>
        <w:tab/>
      </w:r>
      <w:r>
        <w:rPr>
          <w:rFonts w:hint="eastAsia" w:ascii="黑体" w:hAnsi="黑体" w:eastAsia="黑体"/>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黑体" w:hAnsi="黑体" w:eastAsia="黑体"/>
          <w:sz w:val="24"/>
          <w:szCs w:val="24"/>
        </w:rPr>
      </w:pPr>
      <w:r>
        <w:rPr>
          <w:rFonts w:hint="eastAsia" w:ascii="黑体" w:hAnsi="黑体" w:eastAsia="黑体"/>
          <w:sz w:val="24"/>
          <w:szCs w:val="24"/>
        </w:rPr>
        <w:t xml:space="preserve">四、项目主要经验及做法、存在的问题和建议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黑体" w:hAnsi="黑体" w:eastAsia="黑体"/>
          <w:sz w:val="24"/>
          <w:szCs w:val="24"/>
        </w:rPr>
      </w:pPr>
      <w:r>
        <w:rPr>
          <w:rFonts w:hint="eastAsia" w:ascii="黑体" w:hAnsi="黑体" w:eastAsia="黑体"/>
          <w:sz w:val="24"/>
          <w:szCs w:val="24"/>
        </w:rPr>
        <w:t>(一)主要经验及做法</w:t>
      </w:r>
      <w:r>
        <w:rPr>
          <w:rFonts w:hint="eastAsia" w:ascii="黑体" w:hAnsi="黑体" w:eastAsia="黑体"/>
          <w:sz w:val="24"/>
          <w:szCs w:val="24"/>
        </w:rPr>
        <w:tab/>
      </w:r>
      <w:r>
        <w:rPr>
          <w:rFonts w:hint="eastAsia" w:ascii="黑体" w:hAnsi="黑体" w:eastAsia="黑体"/>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黑体" w:hAnsi="黑体" w:eastAsia="黑体"/>
          <w:sz w:val="24"/>
          <w:szCs w:val="24"/>
        </w:rPr>
      </w:pPr>
      <w:r>
        <w:rPr>
          <w:rFonts w:hint="eastAsia" w:ascii="黑体" w:hAnsi="黑体" w:eastAsia="黑体"/>
          <w:sz w:val="24"/>
          <w:szCs w:val="24"/>
        </w:rPr>
        <w:t>(二)存在的问题</w:t>
      </w:r>
      <w:r>
        <w:rPr>
          <w:rFonts w:hint="eastAsia" w:ascii="黑体" w:hAnsi="黑体" w:eastAsia="黑体"/>
          <w:sz w:val="24"/>
          <w:szCs w:val="24"/>
        </w:rPr>
        <w:tab/>
      </w:r>
      <w:r>
        <w:rPr>
          <w:rFonts w:hint="eastAsia" w:ascii="黑体" w:hAnsi="黑体" w:eastAsia="黑体"/>
          <w:sz w:val="24"/>
          <w:szCs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黑体" w:hAnsi="黑体" w:eastAsia="黑体"/>
          <w:sz w:val="24"/>
          <w:szCs w:val="24"/>
        </w:rPr>
      </w:pPr>
      <w:r>
        <w:rPr>
          <w:rFonts w:hint="eastAsia" w:ascii="黑体" w:hAnsi="黑体" w:eastAsia="黑体"/>
          <w:sz w:val="24"/>
          <w:szCs w:val="24"/>
        </w:rPr>
        <w:t xml:space="preserve">(三)建议和改进措施 </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黑体" w:hAnsi="黑体" w:eastAsia="黑体"/>
          <w:sz w:val="28"/>
          <w:szCs w:val="28"/>
        </w:rPr>
      </w:pPr>
    </w:p>
    <w:p>
      <w:pPr>
        <w:spacing w:line="560" w:lineRule="exact"/>
        <w:jc w:val="center"/>
        <w:rPr>
          <w:rFonts w:hint="eastAsia" w:ascii="黑体" w:hAnsi="黑体" w:eastAsia="黑体"/>
          <w:sz w:val="44"/>
          <w:szCs w:val="44"/>
        </w:rPr>
      </w:pPr>
    </w:p>
    <w:p>
      <w:pPr>
        <w:spacing w:line="560" w:lineRule="exact"/>
        <w:jc w:val="center"/>
        <w:rPr>
          <w:rFonts w:hint="eastAsia" w:ascii="黑体" w:hAnsi="黑体" w:eastAsia="黑体"/>
          <w:sz w:val="44"/>
          <w:szCs w:val="44"/>
        </w:rPr>
      </w:pPr>
    </w:p>
    <w:p>
      <w:pPr>
        <w:spacing w:line="560" w:lineRule="exact"/>
        <w:jc w:val="center"/>
        <w:rPr>
          <w:rFonts w:hint="eastAsia" w:ascii="黑体" w:hAnsi="黑体" w:eastAsia="黑体"/>
          <w:sz w:val="44"/>
          <w:szCs w:val="44"/>
        </w:rPr>
      </w:pPr>
    </w:p>
    <w:p>
      <w:pPr>
        <w:spacing w:line="560" w:lineRule="exact"/>
        <w:jc w:val="center"/>
        <w:rPr>
          <w:rFonts w:hint="eastAsia" w:ascii="黑体" w:hAnsi="黑体" w:eastAsia="黑体"/>
          <w:sz w:val="44"/>
          <w:szCs w:val="44"/>
        </w:rPr>
      </w:pPr>
    </w:p>
    <w:p>
      <w:pPr>
        <w:spacing w:line="560" w:lineRule="exact"/>
        <w:jc w:val="center"/>
        <w:rPr>
          <w:rFonts w:hint="eastAsia" w:ascii="黑体" w:hAnsi="黑体" w:eastAsia="黑体"/>
          <w:sz w:val="44"/>
          <w:szCs w:val="44"/>
        </w:rPr>
      </w:pPr>
    </w:p>
    <w:p>
      <w:pPr>
        <w:spacing w:line="560" w:lineRule="exact"/>
        <w:jc w:val="center"/>
        <w:rPr>
          <w:rFonts w:ascii="黑体" w:hAnsi="黑体" w:eastAsia="黑体"/>
          <w:sz w:val="44"/>
          <w:szCs w:val="44"/>
        </w:rPr>
      </w:pPr>
      <w:r>
        <w:rPr>
          <w:rFonts w:hint="eastAsia" w:ascii="黑体" w:hAnsi="黑体" w:eastAsia="黑体"/>
          <w:sz w:val="44"/>
          <w:szCs w:val="44"/>
        </w:rPr>
        <w:t>盘龙区妇女联合会妇联工作专项经费</w:t>
      </w:r>
    </w:p>
    <w:p>
      <w:pPr>
        <w:spacing w:line="560" w:lineRule="exact"/>
        <w:jc w:val="center"/>
        <w:rPr>
          <w:rFonts w:ascii="黑体" w:hAnsi="黑体" w:eastAsia="黑体"/>
          <w:sz w:val="44"/>
          <w:szCs w:val="44"/>
        </w:rPr>
      </w:pPr>
      <w:r>
        <w:rPr>
          <w:rFonts w:hint="eastAsia" w:ascii="黑体" w:hAnsi="黑体" w:eastAsia="黑体"/>
          <w:sz w:val="44"/>
          <w:szCs w:val="44"/>
        </w:rPr>
        <w:t>支出绩效自评报告</w:t>
      </w:r>
    </w:p>
    <w:p>
      <w:pPr>
        <w:topLinePunct/>
        <w:spacing w:line="560" w:lineRule="exact"/>
        <w:ind w:firstLine="800" w:firstLineChars="250"/>
        <w:rPr>
          <w:rFonts w:hint="eastAsia" w:ascii="仿宋" w:hAnsi="仿宋" w:eastAsia="仿宋"/>
          <w:color w:val="000000" w:themeColor="text1"/>
          <w:sz w:val="32"/>
          <w:szCs w:val="32"/>
        </w:rPr>
      </w:pPr>
    </w:p>
    <w:p>
      <w:pPr>
        <w:topLinePunct/>
        <w:spacing w:line="560" w:lineRule="exact"/>
        <w:ind w:firstLine="640" w:firstLineChars="200"/>
        <w:rPr>
          <w:rFonts w:hint="eastAsia" w:ascii="黑体" w:hAnsi="黑体" w:eastAsia="仿宋"/>
          <w:sz w:val="44"/>
          <w:szCs w:val="44"/>
          <w:lang w:eastAsia="zh-CN"/>
        </w:rPr>
      </w:pPr>
      <w:r>
        <w:rPr>
          <w:rFonts w:hint="eastAsia" w:ascii="仿宋" w:hAnsi="仿宋" w:eastAsia="仿宋"/>
          <w:color w:val="000000" w:themeColor="text1"/>
          <w:sz w:val="32"/>
          <w:szCs w:val="32"/>
        </w:rPr>
        <w:t>盘龙区妇女联合会是中共昆明市盘龙区委领导下的人民团体，是党和政府联系妇女群众的桥梁和纽带，在新时代担负着团结引导全区各族各界妇女听党话、跟党走的政治责任，以围绕中心、服务大局为工作主线，以联系和服务妇女为根本任务，以代表和维护妇女权益、促进男女平等和妇女全面发展为基本职能。</w:t>
      </w:r>
      <w:r>
        <w:rPr>
          <w:rFonts w:hint="eastAsia" w:ascii="仿宋" w:hAnsi="仿宋" w:eastAsia="仿宋" w:cs="仿宋_GB2312"/>
          <w:color w:val="000000" w:themeColor="text1"/>
          <w:sz w:val="32"/>
          <w:szCs w:val="32"/>
        </w:rPr>
        <w:t>主要任务为：团结、动员妇女投身改革开放和中国特色社会主义现代化建设；代表妇女参与国家和社会事务的民主决策、民主管理、民主监督</w:t>
      </w:r>
      <w:r>
        <w:rPr>
          <w:rFonts w:hint="eastAsia" w:ascii="仿宋" w:hAnsi="仿宋" w:eastAsia="仿宋" w:cs="仿宋_GB2312"/>
          <w:color w:val="000000" w:themeColor="text1"/>
          <w:sz w:val="32"/>
          <w:szCs w:val="32"/>
          <w:lang w:eastAsia="zh-CN"/>
        </w:rPr>
        <w:t>。</w:t>
      </w:r>
    </w:p>
    <w:p>
      <w:pPr>
        <w:topLinePunct/>
        <w:spacing w:line="560" w:lineRule="exact"/>
        <w:ind w:firstLine="964" w:firstLineChars="300"/>
        <w:rPr>
          <w:rFonts w:hint="eastAsia" w:ascii="黑体" w:hAnsi="黑体" w:eastAsia="黑体" w:cs="黑体"/>
          <w:b/>
          <w:sz w:val="32"/>
          <w:szCs w:val="32"/>
        </w:rPr>
      </w:pPr>
      <w:r>
        <w:rPr>
          <w:rFonts w:hint="eastAsia" w:ascii="黑体" w:hAnsi="黑体" w:eastAsia="黑体" w:cs="黑体"/>
          <w:b/>
          <w:sz w:val="32"/>
          <w:szCs w:val="32"/>
        </w:rPr>
        <w:t>一、项目基本情况</w:t>
      </w:r>
    </w:p>
    <w:p>
      <w:pPr>
        <w:topLinePunct/>
        <w:spacing w:line="560" w:lineRule="exact"/>
        <w:ind w:firstLine="960" w:firstLineChars="300"/>
        <w:rPr>
          <w:rFonts w:hint="eastAsia" w:ascii="楷体_GB2312" w:hAnsi="楷体_GB2312" w:eastAsia="楷体_GB2312" w:cs="楷体_GB2312"/>
          <w:b w:val="0"/>
          <w:bCs w:val="0"/>
          <w:sz w:val="32"/>
          <w:szCs w:val="32"/>
        </w:rPr>
      </w:pPr>
      <w:r>
        <w:rPr>
          <w:rFonts w:hint="eastAsia" w:ascii="楷体_GB2312" w:hAnsi="楷体_GB2312" w:eastAsia="楷体_GB2312" w:cs="楷体_GB2312"/>
          <w:b w:val="0"/>
          <w:bCs w:val="0"/>
          <w:sz w:val="32"/>
          <w:szCs w:val="32"/>
          <w:lang w:eastAsia="zh-CN"/>
        </w:rPr>
        <w:t>（一）项目</w:t>
      </w:r>
      <w:r>
        <w:rPr>
          <w:rFonts w:hint="eastAsia" w:ascii="楷体_GB2312" w:hAnsi="楷体_GB2312" w:eastAsia="楷体_GB2312" w:cs="楷体_GB2312"/>
          <w:b w:val="0"/>
          <w:bCs w:val="0"/>
          <w:sz w:val="32"/>
          <w:szCs w:val="32"/>
        </w:rPr>
        <w:t>立项背景</w:t>
      </w:r>
    </w:p>
    <w:p>
      <w:pPr>
        <w:topLinePunct/>
        <w:spacing w:line="560" w:lineRule="exact"/>
        <w:ind w:firstLine="800" w:firstLineChars="250"/>
        <w:rPr>
          <w:rFonts w:hint="eastAsia" w:ascii="仿宋" w:hAnsi="仿宋" w:eastAsia="仿宋"/>
          <w:sz w:val="32"/>
          <w:szCs w:val="32"/>
        </w:rPr>
      </w:pPr>
      <w:r>
        <w:rPr>
          <w:rFonts w:hint="eastAsia" w:ascii="仿宋" w:hAnsi="仿宋" w:eastAsia="仿宋"/>
          <w:sz w:val="32"/>
          <w:szCs w:val="32"/>
        </w:rPr>
        <w:t>按照盘龙区委、区政府的202</w:t>
      </w:r>
      <w:r>
        <w:rPr>
          <w:rFonts w:hint="eastAsia" w:ascii="仿宋" w:hAnsi="仿宋" w:eastAsia="仿宋"/>
          <w:sz w:val="32"/>
          <w:szCs w:val="32"/>
          <w:lang w:val="en-US" w:eastAsia="zh-CN"/>
        </w:rPr>
        <w:t>2年度</w:t>
      </w:r>
      <w:r>
        <w:rPr>
          <w:rFonts w:hint="eastAsia" w:ascii="仿宋" w:hAnsi="仿宋" w:eastAsia="仿宋"/>
          <w:sz w:val="32"/>
          <w:szCs w:val="32"/>
        </w:rPr>
        <w:t>工作任务</w:t>
      </w:r>
      <w:r>
        <w:rPr>
          <w:rFonts w:hint="eastAsia" w:ascii="仿宋" w:hAnsi="仿宋" w:eastAsia="仿宋"/>
          <w:sz w:val="32"/>
          <w:szCs w:val="32"/>
          <w:lang w:eastAsia="zh-CN"/>
        </w:rPr>
        <w:t>部署</w:t>
      </w:r>
      <w:r>
        <w:rPr>
          <w:rFonts w:hint="eastAsia" w:ascii="仿宋" w:hAnsi="仿宋" w:eastAsia="仿宋"/>
          <w:sz w:val="32"/>
          <w:szCs w:val="32"/>
        </w:rPr>
        <w:t>和昆明市妇女联合会下达的主要工作目标任务，</w:t>
      </w:r>
      <w:r>
        <w:rPr>
          <w:rFonts w:hint="eastAsia" w:ascii="仿宋" w:hAnsi="仿宋" w:eastAsia="仿宋"/>
          <w:color w:val="000000"/>
          <w:sz w:val="32"/>
          <w:szCs w:val="32"/>
        </w:rPr>
        <w:t>以联系和服务妇女为根本任务，</w:t>
      </w:r>
      <w:r>
        <w:rPr>
          <w:rFonts w:hint="eastAsia" w:ascii="仿宋" w:hAnsi="仿宋" w:eastAsia="仿宋"/>
          <w:sz w:val="32"/>
          <w:szCs w:val="32"/>
        </w:rPr>
        <w:t>团结动员全区妇女投身中国特色社会主义现代化建设；维护妇女儿童合法权益，宣传马克思主义妇女观，推动落实男女平等基本国策；关心妇女工作生活，拓宽服务渠道，建设服务阵地，加强与女性社会组织和社会各界的联系，推动全社会为妇女儿童和家庭服务，组织全区妇女开展宣传、咨询、培训、讲座及各项宣传活动，做好联系群众的纽带桥梁作用。</w:t>
      </w:r>
    </w:p>
    <w:p>
      <w:pPr>
        <w:topLinePunct/>
        <w:spacing w:line="560" w:lineRule="exact"/>
        <w:ind w:firstLine="960" w:firstLineChars="300"/>
        <w:rPr>
          <w:rFonts w:hint="eastAsia" w:ascii="楷体_GB2312" w:hAnsi="楷体_GB2312" w:eastAsia="楷体_GB2312" w:cs="楷体_GB2312"/>
          <w:b w:val="0"/>
          <w:bCs w:val="0"/>
          <w:sz w:val="32"/>
          <w:szCs w:val="32"/>
          <w:lang w:eastAsia="zh-CN"/>
        </w:rPr>
      </w:pPr>
      <w:r>
        <w:rPr>
          <w:rFonts w:hint="eastAsia" w:ascii="楷体_GB2312" w:hAnsi="楷体_GB2312" w:eastAsia="楷体_GB2312" w:cs="楷体_GB2312"/>
          <w:b w:val="0"/>
          <w:bCs w:val="0"/>
          <w:sz w:val="32"/>
          <w:szCs w:val="32"/>
          <w:lang w:val="en-US" w:eastAsia="zh-CN"/>
        </w:rPr>
        <w:t>（二）</w:t>
      </w:r>
      <w:r>
        <w:rPr>
          <w:rFonts w:hint="eastAsia" w:ascii="楷体_GB2312" w:hAnsi="楷体_GB2312" w:eastAsia="楷体_GB2312" w:cs="楷体_GB2312"/>
          <w:b w:val="0"/>
          <w:bCs w:val="0"/>
          <w:sz w:val="32"/>
          <w:szCs w:val="32"/>
          <w:lang w:eastAsia="zh-CN"/>
        </w:rPr>
        <w:t xml:space="preserve">项目立项依据  </w:t>
      </w:r>
    </w:p>
    <w:p>
      <w:pPr>
        <w:pageBreakBefore w:val="0"/>
        <w:widowControl w:val="0"/>
        <w:numPr>
          <w:ilvl w:val="0"/>
          <w:numId w:val="0"/>
        </w:numPr>
        <w:kinsoku/>
        <w:wordWrap/>
        <w:overflowPunct/>
        <w:autoSpaceDE/>
        <w:autoSpaceDN/>
        <w:bidi w:val="0"/>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按照</w:t>
      </w:r>
      <w:r>
        <w:rPr>
          <w:rFonts w:hint="eastAsia" w:ascii="仿宋_GB2312" w:hAnsi="仿宋_GB2312" w:eastAsia="仿宋_GB2312" w:cs="仿宋_GB2312"/>
          <w:sz w:val="32"/>
          <w:szCs w:val="32"/>
          <w:lang w:val="en-US" w:eastAsia="zh-CN"/>
        </w:rPr>
        <w:t>2022年</w:t>
      </w:r>
      <w:r>
        <w:rPr>
          <w:rFonts w:hint="eastAsia" w:ascii="仿宋_GB2312" w:hAnsi="仿宋_GB2312" w:eastAsia="仿宋_GB2312" w:cs="仿宋_GB2312"/>
          <w:sz w:val="32"/>
          <w:szCs w:val="32"/>
        </w:rPr>
        <w:t>盘龙区委、区政府</w:t>
      </w:r>
      <w:r>
        <w:rPr>
          <w:rFonts w:hint="eastAsia" w:ascii="仿宋_GB2312" w:hAnsi="仿宋_GB2312" w:eastAsia="仿宋_GB2312" w:cs="仿宋_GB2312"/>
          <w:sz w:val="32"/>
          <w:szCs w:val="32"/>
          <w:lang w:eastAsia="zh-CN"/>
        </w:rPr>
        <w:t>的工作部署</w:t>
      </w:r>
      <w:r>
        <w:rPr>
          <w:rFonts w:hint="eastAsia" w:ascii="仿宋_GB2312" w:hAnsi="仿宋_GB2312" w:eastAsia="仿宋_GB2312" w:cs="仿宋_GB2312"/>
          <w:sz w:val="32"/>
          <w:szCs w:val="32"/>
        </w:rPr>
        <w:t>和昆明市妇女联合会下达的主要工作目标任务</w:t>
      </w:r>
      <w:r>
        <w:rPr>
          <w:rFonts w:hint="eastAsia" w:ascii="仿宋_GB2312" w:hAnsi="仿宋_GB2312" w:eastAsia="仿宋_GB2312" w:cs="仿宋_GB2312"/>
          <w:sz w:val="32"/>
          <w:szCs w:val="32"/>
          <w:lang w:eastAsia="zh-CN"/>
        </w:rPr>
        <w:t>，依据《</w:t>
      </w:r>
      <w:r>
        <w:rPr>
          <w:rFonts w:hint="eastAsia" w:ascii="仿宋_GB2312" w:hAnsi="仿宋_GB2312" w:eastAsia="仿宋_GB2312" w:cs="仿宋_GB2312"/>
          <w:sz w:val="32"/>
          <w:szCs w:val="32"/>
        </w:rPr>
        <w:t>中共昆明市委关于加强新形势下工会共青团妇联工作意见（征求意见稿）</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《中共昆明市盘龙区委办公室关于印发&lt;盘龙区妇联改革实施方案&gt;的通知》盘办通〔2017〕13号通知</w:t>
      </w:r>
      <w:r>
        <w:rPr>
          <w:rFonts w:hint="eastAsia" w:ascii="仿宋_GB2312" w:hAnsi="仿宋_GB2312" w:eastAsia="仿宋_GB2312" w:cs="仿宋_GB2312"/>
          <w:sz w:val="32"/>
          <w:szCs w:val="32"/>
          <w:lang w:eastAsia="zh-CN"/>
        </w:rPr>
        <w:t>（涉密文件）；</w:t>
      </w:r>
      <w:r>
        <w:rPr>
          <w:rFonts w:hint="eastAsia" w:ascii="仿宋_GB2312" w:hAnsi="仿宋_GB2312" w:eastAsia="仿宋_GB2312" w:cs="仿宋_GB2312"/>
          <w:sz w:val="32"/>
          <w:szCs w:val="32"/>
        </w:rPr>
        <w:t>昆妇儿工委办〔2016〕8号关于进一步完善两规监测统计评估工作的通知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000000"/>
          <w:kern w:val="0"/>
          <w:sz w:val="32"/>
          <w:szCs w:val="32"/>
        </w:rPr>
        <w:t>《2021年昆明市妇女联合会重点工作任务》</w:t>
      </w:r>
      <w:r>
        <w:rPr>
          <w:rFonts w:hint="eastAsia" w:ascii="仿宋_GB2312" w:hAnsi="仿宋_GB2312" w:eastAsia="仿宋_GB2312" w:cs="仿宋_GB2312"/>
          <w:sz w:val="32"/>
          <w:szCs w:val="32"/>
        </w:rPr>
        <w:t>等文件</w:t>
      </w:r>
      <w:r>
        <w:rPr>
          <w:rFonts w:hint="eastAsia" w:ascii="仿宋_GB2312" w:hAnsi="仿宋_GB2312" w:eastAsia="仿宋_GB2312" w:cs="仿宋_GB2312"/>
          <w:sz w:val="32"/>
          <w:szCs w:val="32"/>
          <w:lang w:eastAsia="zh-CN"/>
        </w:rPr>
        <w:t>。</w:t>
      </w:r>
    </w:p>
    <w:p>
      <w:pPr>
        <w:topLinePunct/>
        <w:spacing w:line="560" w:lineRule="exact"/>
        <w:ind w:firstLine="960" w:firstLineChars="300"/>
        <w:rPr>
          <w:rFonts w:hint="eastAsia"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（三）项目实施情况</w:t>
      </w:r>
    </w:p>
    <w:p>
      <w:pPr>
        <w:pStyle w:val="5"/>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盘龙区妇女联合会</w:t>
      </w:r>
      <w:r>
        <w:rPr>
          <w:rFonts w:hint="eastAsia" w:ascii="仿宋_GB2312" w:hAnsi="仿宋_GB2312" w:eastAsia="仿宋_GB2312" w:cs="仿宋_GB2312"/>
          <w:sz w:val="32"/>
          <w:szCs w:val="32"/>
          <w:lang w:val="en-US" w:eastAsia="zh-CN"/>
        </w:rPr>
        <w:t>妇联工作专项经费</w:t>
      </w:r>
      <w:r>
        <w:rPr>
          <w:rFonts w:hint="eastAsia" w:ascii="仿宋_GB2312" w:hAnsi="仿宋_GB2312" w:eastAsia="仿宋_GB2312" w:cs="仿宋_GB2312"/>
          <w:sz w:val="32"/>
          <w:szCs w:val="32"/>
        </w:rPr>
        <w:t>部门</w:t>
      </w:r>
      <w:r>
        <w:rPr>
          <w:rFonts w:hint="eastAsia" w:ascii="仿宋_GB2312" w:hAnsi="仿宋_GB2312" w:eastAsia="仿宋_GB2312" w:cs="仿宋_GB2312"/>
          <w:sz w:val="32"/>
          <w:szCs w:val="32"/>
          <w:lang w:eastAsia="zh-CN"/>
        </w:rPr>
        <w:t>预算</w:t>
      </w:r>
      <w:r>
        <w:rPr>
          <w:rFonts w:hint="eastAsia" w:ascii="仿宋_GB2312" w:hAnsi="仿宋_GB2312" w:eastAsia="仿宋_GB2312" w:cs="仿宋_GB2312"/>
          <w:sz w:val="32"/>
          <w:szCs w:val="32"/>
        </w:rPr>
        <w:t>收入</w:t>
      </w:r>
      <w:r>
        <w:rPr>
          <w:rFonts w:hint="eastAsia" w:ascii="仿宋_GB2312" w:hAnsi="仿宋_GB2312" w:eastAsia="仿宋_GB2312" w:cs="仿宋_GB2312"/>
          <w:sz w:val="32"/>
          <w:szCs w:val="32"/>
          <w:lang w:val="en-US" w:eastAsia="zh-CN"/>
        </w:rPr>
        <w:t>330000.00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kern w:val="0"/>
          <w:sz w:val="32"/>
          <w:szCs w:val="32"/>
        </w:rPr>
        <w:t>支出执行数</w:t>
      </w:r>
      <w:r>
        <w:rPr>
          <w:rFonts w:hint="eastAsia" w:ascii="仿宋_GB2312" w:hAnsi="仿宋_GB2312" w:eastAsia="仿宋_GB2312" w:cs="仿宋_GB2312"/>
          <w:sz w:val="32"/>
          <w:szCs w:val="32"/>
          <w:lang w:val="en-US" w:eastAsia="zh-CN"/>
        </w:rPr>
        <w:t>224683.90</w:t>
      </w:r>
      <w:r>
        <w:rPr>
          <w:rFonts w:hint="eastAsia" w:ascii="仿宋_GB2312" w:hAnsi="仿宋_GB2312" w:eastAsia="仿宋_GB2312" w:cs="仿宋_GB2312"/>
          <w:kern w:val="0"/>
          <w:sz w:val="32"/>
          <w:szCs w:val="32"/>
          <w:lang w:val="en-US" w:eastAsia="zh-CN"/>
        </w:rPr>
        <w:t>元，</w:t>
      </w:r>
      <w:r>
        <w:rPr>
          <w:rFonts w:hint="eastAsia" w:ascii="仿宋_GB2312" w:hAnsi="仿宋_GB2312" w:eastAsia="仿宋_GB2312" w:cs="仿宋_GB2312"/>
          <w:sz w:val="32"/>
          <w:szCs w:val="32"/>
          <w:lang w:eastAsia="zh-CN"/>
        </w:rPr>
        <w:t>完成率</w:t>
      </w:r>
      <w:r>
        <w:rPr>
          <w:rFonts w:hint="eastAsia" w:ascii="仿宋_GB2312" w:hAnsi="仿宋_GB2312" w:eastAsia="仿宋_GB2312" w:cs="仿宋_GB2312"/>
          <w:sz w:val="32"/>
          <w:szCs w:val="32"/>
          <w:lang w:val="en-US" w:eastAsia="zh-CN"/>
        </w:rPr>
        <w:t>68%。</w:t>
      </w:r>
    </w:p>
    <w:p>
      <w:pPr>
        <w:topLinePunct/>
        <w:spacing w:line="560" w:lineRule="exact"/>
        <w:ind w:firstLine="960" w:firstLineChars="300"/>
        <w:rPr>
          <w:rFonts w:hint="default" w:ascii="楷体_GB2312" w:hAnsi="楷体_GB2312" w:eastAsia="楷体_GB2312" w:cs="楷体_GB2312"/>
          <w:b w:val="0"/>
          <w:bCs w:val="0"/>
          <w:sz w:val="32"/>
          <w:szCs w:val="32"/>
          <w:lang w:val="en-US" w:eastAsia="zh-CN"/>
        </w:rPr>
      </w:pPr>
      <w:r>
        <w:rPr>
          <w:rFonts w:hint="eastAsia" w:ascii="楷体_GB2312" w:hAnsi="楷体_GB2312" w:eastAsia="楷体_GB2312" w:cs="楷体_GB2312"/>
          <w:b w:val="0"/>
          <w:bCs w:val="0"/>
          <w:sz w:val="32"/>
          <w:szCs w:val="32"/>
          <w:lang w:val="en-US" w:eastAsia="zh-CN"/>
        </w:rPr>
        <w:t>（四）项目实施计划及完成情况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i w:val="0"/>
          <w:caps w:val="0"/>
          <w:color w:val="auto"/>
          <w:spacing w:val="0"/>
          <w:kern w:val="0"/>
          <w:sz w:val="32"/>
          <w:szCs w:val="32"/>
          <w:u w:val="none"/>
          <w:lang w:val="en-US" w:eastAsia="zh-CN" w:bidi="ar"/>
        </w:rPr>
      </w:pPr>
      <w:r>
        <w:rPr>
          <w:rFonts w:hint="eastAsia" w:ascii="仿宋" w:hAnsi="仿宋" w:eastAsia="仿宋" w:cs="仿宋"/>
          <w:b w:val="0"/>
          <w:bCs w:val="0"/>
          <w:i w:val="0"/>
          <w:caps w:val="0"/>
          <w:color w:val="auto"/>
          <w:spacing w:val="0"/>
          <w:kern w:val="0"/>
          <w:sz w:val="32"/>
          <w:szCs w:val="32"/>
          <w:u w:val="none"/>
          <w:lang w:val="en-US" w:eastAsia="zh-CN" w:bidi="ar"/>
        </w:rPr>
        <w:t>盘龙区妇联</w:t>
      </w:r>
      <w:r>
        <w:rPr>
          <w:rFonts w:hint="eastAsia" w:ascii="仿宋" w:hAnsi="仿宋" w:cs="仿宋"/>
          <w:b w:val="0"/>
          <w:bCs w:val="0"/>
          <w:i w:val="0"/>
          <w:caps w:val="0"/>
          <w:color w:val="auto"/>
          <w:spacing w:val="0"/>
          <w:kern w:val="0"/>
          <w:sz w:val="32"/>
          <w:szCs w:val="32"/>
          <w:u w:val="none"/>
          <w:lang w:val="en-US" w:eastAsia="zh-CN" w:bidi="ar"/>
        </w:rPr>
        <w:t>坚持</w:t>
      </w:r>
      <w:r>
        <w:rPr>
          <w:rFonts w:hint="eastAsia" w:ascii="仿宋" w:hAnsi="仿宋" w:eastAsia="仿宋" w:cs="仿宋"/>
          <w:b w:val="0"/>
          <w:bCs w:val="0"/>
          <w:i w:val="0"/>
          <w:caps w:val="0"/>
          <w:color w:val="auto"/>
          <w:spacing w:val="0"/>
          <w:kern w:val="0"/>
          <w:sz w:val="32"/>
          <w:szCs w:val="32"/>
          <w:u w:val="none"/>
          <w:lang w:val="en-US" w:eastAsia="zh-CN" w:bidi="ar"/>
        </w:rPr>
        <w:t>以习近平新时代中国特色社会主义思想、习近平总书记考察云南重要讲话精神，以及关于妇女儿童和妇联工作的重要论述为指导，深入学习贯彻党的二十大精神，以“妇女之家”为阵地，深化妇联改革，全面贯彻落实省市区委关于作风革命、效能革命要求，充分发挥党委政府联系服务妇女的桥梁纽带作用，围绕中心服务大局，全面抓好妇女思想引领、组织建设、妇女发展、妇女维权、家庭文明建设等各项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val="0"/>
          <w:bCs w:val="0"/>
          <w:i w:val="0"/>
          <w:caps w:val="0"/>
          <w:color w:val="auto"/>
          <w:spacing w:val="0"/>
          <w:kern w:val="0"/>
          <w:sz w:val="32"/>
          <w:szCs w:val="32"/>
          <w:u w:val="none"/>
          <w:lang w:val="en-US" w:eastAsia="zh-CN" w:bidi="ar"/>
        </w:rPr>
      </w:pPr>
      <w:r>
        <w:rPr>
          <w:rFonts w:hint="eastAsia" w:ascii="仿宋" w:hAnsi="仿宋" w:eastAsia="仿宋" w:cs="仿宋"/>
          <w:b/>
          <w:bCs/>
          <w:color w:val="auto"/>
          <w:sz w:val="32"/>
          <w:szCs w:val="32"/>
          <w:lang w:val="en-US" w:eastAsia="zh-CN"/>
        </w:rPr>
        <w:t>1、坚持党建引领</w:t>
      </w:r>
      <w:r>
        <w:rPr>
          <w:rFonts w:hint="eastAsia" w:ascii="仿宋" w:hAnsi="仿宋" w:eastAsia="仿宋" w:cs="仿宋"/>
          <w:b/>
          <w:bCs/>
          <w:color w:val="auto"/>
          <w:sz w:val="32"/>
          <w:szCs w:val="32"/>
          <w:lang w:eastAsia="zh-CN"/>
        </w:rPr>
        <w:t>，</w:t>
      </w:r>
      <w:r>
        <w:rPr>
          <w:rFonts w:hint="eastAsia" w:ascii="仿宋" w:hAnsi="仿宋" w:eastAsia="仿宋" w:cs="仿宋"/>
          <w:b/>
          <w:bCs/>
          <w:color w:val="auto"/>
          <w:sz w:val="32"/>
          <w:szCs w:val="32"/>
          <w:lang w:val="en-US" w:eastAsia="zh-CN"/>
        </w:rPr>
        <w:t>做好妇联工作</w:t>
      </w:r>
      <w:r>
        <w:rPr>
          <w:rFonts w:hint="eastAsia" w:ascii="仿宋" w:hAnsi="仿宋" w:cs="仿宋"/>
          <w:b/>
          <w:bCs/>
          <w:color w:val="auto"/>
          <w:sz w:val="32"/>
          <w:szCs w:val="32"/>
          <w:lang w:val="en-US" w:eastAsia="zh-CN"/>
        </w:rPr>
        <w:t>。</w:t>
      </w:r>
      <w:r>
        <w:rPr>
          <w:rFonts w:hint="eastAsia" w:ascii="仿宋" w:hAnsi="仿宋" w:eastAsia="仿宋" w:cs="仿宋"/>
          <w:b w:val="0"/>
          <w:bCs w:val="0"/>
          <w:i w:val="0"/>
          <w:caps w:val="0"/>
          <w:color w:val="auto"/>
          <w:spacing w:val="0"/>
          <w:kern w:val="0"/>
          <w:sz w:val="32"/>
          <w:szCs w:val="32"/>
          <w:u w:val="none"/>
          <w:lang w:val="en-US" w:eastAsia="zh-CN" w:bidi="ar"/>
        </w:rPr>
        <w:t>盘龙区妇联党组</w:t>
      </w:r>
      <w:r>
        <w:rPr>
          <w:rFonts w:hint="eastAsia" w:ascii="仿宋" w:hAnsi="仿宋" w:eastAsia="仿宋" w:cs="仿宋"/>
          <w:b w:val="0"/>
          <w:bCs w:val="0"/>
          <w:color w:val="auto"/>
          <w:sz w:val="32"/>
          <w:szCs w:val="32"/>
          <w:lang w:val="en-US" w:eastAsia="zh-CN"/>
        </w:rPr>
        <w:t>坚定不移地把党的政治建设摆在首位，</w:t>
      </w:r>
      <w:r>
        <w:rPr>
          <w:rFonts w:hint="eastAsia" w:ascii="仿宋" w:hAnsi="仿宋" w:eastAsia="仿宋" w:cs="仿宋"/>
          <w:b w:val="0"/>
          <w:bCs w:val="0"/>
          <w:i w:val="0"/>
          <w:caps w:val="0"/>
          <w:color w:val="auto"/>
          <w:spacing w:val="0"/>
          <w:kern w:val="0"/>
          <w:sz w:val="32"/>
          <w:szCs w:val="32"/>
          <w:u w:val="none"/>
          <w:lang w:val="en-US" w:eastAsia="zh-CN" w:bidi="ar"/>
        </w:rPr>
        <w:t>紧紧围绕</w:t>
      </w:r>
      <w:r>
        <w:rPr>
          <w:rFonts w:hint="eastAsia" w:ascii="仿宋" w:hAnsi="仿宋" w:eastAsia="仿宋" w:cs="仿宋"/>
          <w:b w:val="0"/>
          <w:bCs w:val="0"/>
          <w:color w:val="auto"/>
          <w:sz w:val="32"/>
          <w:szCs w:val="32"/>
          <w:shd w:val="clear" w:color="auto" w:fill="auto"/>
          <w:lang w:val="en-US" w:eastAsia="zh-CN"/>
        </w:rPr>
        <w:t>“幸福盘龙·我们家”党建工作品牌</w:t>
      </w:r>
      <w:r>
        <w:rPr>
          <w:rFonts w:hint="eastAsia" w:ascii="仿宋" w:hAnsi="仿宋" w:eastAsia="仿宋" w:cs="仿宋"/>
          <w:b w:val="0"/>
          <w:bCs w:val="0"/>
          <w:i w:val="0"/>
          <w:caps w:val="0"/>
          <w:color w:val="auto"/>
          <w:spacing w:val="0"/>
          <w:kern w:val="0"/>
          <w:sz w:val="32"/>
          <w:szCs w:val="32"/>
          <w:u w:val="none"/>
          <w:lang w:val="en-US" w:eastAsia="zh-CN" w:bidi="ar"/>
        </w:rPr>
        <w:t>，坚持党组对妇联全面工作的领导，建设模范机关，充分发挥节约型机关和无烟党政机关的示范引领作用，将党建、党风廉政建设工作与妇联业务工作同安排、同部署、同落实</w:t>
      </w:r>
      <w:r>
        <w:rPr>
          <w:rFonts w:hint="eastAsia" w:ascii="仿宋" w:hAnsi="仿宋" w:eastAsia="仿宋" w:cs="仿宋"/>
          <w:b w:val="0"/>
          <w:bCs w:val="0"/>
          <w:color w:val="auto"/>
          <w:sz w:val="32"/>
          <w:szCs w:val="32"/>
          <w:lang w:eastAsia="zh-CN"/>
        </w:rPr>
        <w:t>。一是强化政治理论学习。认真学习贯彻党的十九届五中、六中全会及二十大精神，组织各级妇联组织学习宣传党的二十大精神，</w:t>
      </w:r>
      <w:r>
        <w:rPr>
          <w:rFonts w:hint="eastAsia" w:ascii="仿宋" w:hAnsi="仿宋" w:eastAsia="仿宋" w:cs="仿宋"/>
          <w:b w:val="0"/>
          <w:bCs w:val="0"/>
          <w:color w:val="auto"/>
          <w:sz w:val="32"/>
          <w:szCs w:val="32"/>
          <w:lang w:val="en-US" w:eastAsia="zh-CN"/>
        </w:rPr>
        <w:t>认真落实</w:t>
      </w:r>
      <w:r>
        <w:rPr>
          <w:rFonts w:hint="eastAsia" w:ascii="仿宋" w:hAnsi="仿宋" w:eastAsia="仿宋" w:cs="仿宋"/>
          <w:b w:val="0"/>
          <w:bCs w:val="0"/>
          <w:i w:val="0"/>
          <w:caps w:val="0"/>
          <w:color w:val="auto"/>
          <w:spacing w:val="0"/>
          <w:kern w:val="0"/>
          <w:sz w:val="32"/>
          <w:szCs w:val="32"/>
          <w:u w:val="none"/>
          <w:lang w:val="en-US" w:eastAsia="zh-CN" w:bidi="ar"/>
        </w:rPr>
        <w:t>“第一议题”制度，学习贯彻习近平新时代中国特色社会主义思想。二是建立党建工作责任制，压紧压实党风廉政责任。构建了“一把手”负总责，分管领导具体抓，班子成员认真落实“一岗双责”的工作格局。深化“四风”纠治，抓好作风建设，严格贯彻落实中央八项规定精神和省、市、区委有关规定，开展以“小”见“严”纠四风行动，形成了风清气正的干事创业氛围。以“作风革命、效能革命”活动为契机，广泛开展“三访、四察、五送”活动，引导妇联干部走出机关、走到妇女群众身边，以求真务实、真抓实干的作风，以脚踏实地、钉钉子的精神，主动作为，切实把服务妇女群众的各项工作落到实处，争当新时代“排头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val="0"/>
          <w:bCs w:val="0"/>
          <w:i w:val="0"/>
          <w:caps w:val="0"/>
          <w:color w:val="auto"/>
          <w:spacing w:val="0"/>
          <w:kern w:val="0"/>
          <w:sz w:val="32"/>
          <w:szCs w:val="32"/>
          <w:u w:val="none"/>
          <w:lang w:val="en-US" w:eastAsia="zh-CN" w:bidi="ar"/>
        </w:rPr>
      </w:pPr>
      <w:r>
        <w:rPr>
          <w:rFonts w:hint="eastAsia" w:ascii="仿宋" w:hAnsi="仿宋" w:eastAsia="仿宋" w:cs="仿宋"/>
          <w:b/>
          <w:bCs/>
          <w:i w:val="0"/>
          <w:caps w:val="0"/>
          <w:color w:val="auto"/>
          <w:spacing w:val="0"/>
          <w:kern w:val="0"/>
          <w:sz w:val="32"/>
          <w:szCs w:val="32"/>
          <w:u w:val="none"/>
          <w:lang w:val="en-US" w:eastAsia="zh-CN" w:bidi="ar"/>
        </w:rPr>
        <w:t>2、强化思想引领，凝聚妇女共识</w:t>
      </w:r>
      <w:r>
        <w:rPr>
          <w:rFonts w:hint="eastAsia" w:ascii="仿宋" w:hAnsi="仿宋" w:cs="仿宋"/>
          <w:b/>
          <w:bCs/>
          <w:i w:val="0"/>
          <w:caps w:val="0"/>
          <w:color w:val="auto"/>
          <w:spacing w:val="0"/>
          <w:kern w:val="0"/>
          <w:sz w:val="32"/>
          <w:szCs w:val="32"/>
          <w:u w:val="none"/>
          <w:lang w:val="en-US" w:eastAsia="zh-CN" w:bidi="ar"/>
        </w:rPr>
        <w:t>。</w:t>
      </w:r>
      <w:r>
        <w:rPr>
          <w:rFonts w:hint="eastAsia" w:ascii="仿宋" w:hAnsi="仿宋" w:eastAsia="仿宋" w:cs="仿宋"/>
          <w:b w:val="0"/>
          <w:bCs w:val="0"/>
          <w:color w:val="auto"/>
          <w:sz w:val="32"/>
          <w:szCs w:val="32"/>
          <w:shd w:val="clear" w:color="auto" w:fill="auto"/>
          <w:lang w:val="en-US" w:eastAsia="zh-CN"/>
        </w:rPr>
        <w:t>盘龙区各级妇联组织立足“妇女之家”阵地，以举办“女性大讲坛”“百千万巾帼大宣讲”活动加强妇女思想引领，今年以来开展二十大精神宣讲、女性健康、家庭教育、普法宣传等方面的宣讲培训活动69场，受众13900余人次。一是</w:t>
      </w:r>
      <w:r>
        <w:rPr>
          <w:rFonts w:hint="eastAsia" w:ascii="仿宋" w:hAnsi="仿宋" w:eastAsia="仿宋" w:cs="仿宋"/>
          <w:b w:val="0"/>
          <w:bCs w:val="0"/>
          <w:color w:val="auto"/>
          <w:sz w:val="32"/>
          <w:szCs w:val="32"/>
          <w:shd w:val="clear" w:color="auto" w:fill="auto"/>
          <w:lang w:eastAsia="zh-CN"/>
        </w:rPr>
        <w:t>围绕</w:t>
      </w:r>
      <w:r>
        <w:rPr>
          <w:rFonts w:hint="eastAsia" w:ascii="仿宋" w:hAnsi="仿宋" w:eastAsia="仿宋" w:cs="仿宋"/>
          <w:b w:val="0"/>
          <w:bCs w:val="0"/>
          <w:color w:val="auto"/>
          <w:sz w:val="32"/>
          <w:szCs w:val="32"/>
          <w:shd w:val="clear" w:color="auto" w:fill="auto"/>
        </w:rPr>
        <w:t>“</w:t>
      </w:r>
      <w:r>
        <w:rPr>
          <w:rFonts w:hint="eastAsia" w:ascii="仿宋" w:hAnsi="仿宋" w:eastAsia="仿宋" w:cs="仿宋"/>
          <w:b w:val="0"/>
          <w:bCs w:val="0"/>
          <w:color w:val="auto"/>
          <w:sz w:val="32"/>
          <w:szCs w:val="32"/>
          <w:lang w:val="en-US" w:eastAsia="zh-CN"/>
        </w:rPr>
        <w:t>巾帼心向党·喜迎二十大”</w:t>
      </w:r>
      <w:r>
        <w:rPr>
          <w:rFonts w:hint="eastAsia" w:ascii="仿宋" w:hAnsi="仿宋" w:eastAsia="仿宋" w:cs="仿宋"/>
          <w:b w:val="0"/>
          <w:bCs w:val="0"/>
          <w:color w:val="auto"/>
          <w:sz w:val="32"/>
          <w:szCs w:val="32"/>
          <w:shd w:val="clear" w:color="auto" w:fill="auto"/>
          <w:lang w:eastAsia="zh-CN"/>
        </w:rPr>
        <w:t>群众性主题教育活动。在</w:t>
      </w:r>
      <w:r>
        <w:rPr>
          <w:rFonts w:hint="eastAsia" w:ascii="仿宋" w:hAnsi="仿宋" w:eastAsia="仿宋" w:cs="仿宋"/>
          <w:b w:val="0"/>
          <w:bCs w:val="0"/>
          <w:color w:val="auto"/>
          <w:sz w:val="32"/>
          <w:szCs w:val="32"/>
          <w:lang w:val="en-US" w:eastAsia="zh-CN"/>
        </w:rPr>
        <w:t>中国共产党第二十次全国代表大会隆重开幕之际，盘龙区妇联组织共计3000余人收看开幕会并展开学习讨论，随后又组织辖区内各级妇联干部共计150余人在云南省工青妇干校专题学习党的二十大</w:t>
      </w:r>
      <w:bookmarkStart w:id="0" w:name="_GoBack"/>
      <w:bookmarkEnd w:id="0"/>
      <w:r>
        <w:rPr>
          <w:rFonts w:hint="eastAsia" w:ascii="仿宋" w:hAnsi="仿宋" w:eastAsia="仿宋" w:cs="仿宋"/>
          <w:b w:val="0"/>
          <w:bCs w:val="0"/>
          <w:color w:val="auto"/>
          <w:sz w:val="32"/>
          <w:szCs w:val="32"/>
          <w:lang w:val="en-US" w:eastAsia="zh-CN"/>
        </w:rPr>
        <w:t>精神。二是</w:t>
      </w:r>
      <w:r>
        <w:rPr>
          <w:rFonts w:hint="eastAsia" w:ascii="仿宋" w:hAnsi="仿宋" w:eastAsia="仿宋" w:cs="仿宋"/>
          <w:b w:val="0"/>
          <w:bCs w:val="0"/>
          <w:i w:val="0"/>
          <w:caps w:val="0"/>
          <w:color w:val="auto"/>
          <w:spacing w:val="0"/>
          <w:kern w:val="0"/>
          <w:sz w:val="32"/>
          <w:szCs w:val="32"/>
          <w:u w:val="none"/>
          <w:lang w:val="en-US" w:eastAsia="zh-CN" w:bidi="ar"/>
        </w:rPr>
        <w:t>利用“盘龙女声”微信公众号平台，发挥网络覆盖广泛的优势，宣传习近平新时代中国特色社会主义思想和党的十九届五中、六中全会精神，宣传社会主义核心价值观，宣传先进妇女典型事迹以及我区妇女工作特色亮点，团结广大妇女听党话、感党恩、跟党走。截至10月31日，推送转载及发布新闻稿件和基层工作动态464条，累计</w:t>
      </w:r>
      <w:r>
        <w:rPr>
          <w:rFonts w:hint="eastAsia" w:ascii="仿宋" w:hAnsi="仿宋" w:eastAsia="仿宋" w:cs="仿宋"/>
          <w:b w:val="0"/>
          <w:bCs w:val="0"/>
          <w:i w:val="0"/>
          <w:caps w:val="0"/>
          <w:color w:val="auto"/>
          <w:spacing w:val="0"/>
          <w:kern w:val="0"/>
          <w:sz w:val="32"/>
          <w:szCs w:val="32"/>
          <w:u w:val="none"/>
          <w:lang w:val="en-US" w:eastAsia="zh-Hans" w:bidi="ar"/>
        </w:rPr>
        <w:t>浏览</w:t>
      </w:r>
      <w:r>
        <w:rPr>
          <w:rFonts w:hint="eastAsia" w:ascii="仿宋" w:hAnsi="仿宋" w:eastAsia="仿宋" w:cs="仿宋"/>
          <w:b w:val="0"/>
          <w:bCs w:val="0"/>
          <w:i w:val="0"/>
          <w:caps w:val="0"/>
          <w:color w:val="auto"/>
          <w:spacing w:val="0"/>
          <w:kern w:val="0"/>
          <w:sz w:val="32"/>
          <w:szCs w:val="32"/>
          <w:u w:val="none"/>
          <w:lang w:val="en-US" w:eastAsia="zh-CN" w:bidi="ar"/>
        </w:rPr>
        <w:t>22815</w:t>
      </w:r>
      <w:r>
        <w:rPr>
          <w:rFonts w:hint="eastAsia" w:ascii="仿宋" w:hAnsi="仿宋" w:eastAsia="仿宋" w:cs="仿宋"/>
          <w:b w:val="0"/>
          <w:bCs w:val="0"/>
          <w:i w:val="0"/>
          <w:caps w:val="0"/>
          <w:color w:val="auto"/>
          <w:spacing w:val="0"/>
          <w:kern w:val="0"/>
          <w:sz w:val="32"/>
          <w:szCs w:val="32"/>
          <w:u w:val="none"/>
          <w:lang w:val="en-US" w:eastAsia="zh-Hans" w:bidi="ar"/>
        </w:rPr>
        <w:t>次</w:t>
      </w:r>
      <w:r>
        <w:rPr>
          <w:rFonts w:hint="eastAsia" w:ascii="仿宋" w:hAnsi="仿宋" w:eastAsia="仿宋" w:cs="仿宋"/>
          <w:b w:val="0"/>
          <w:bCs w:val="0"/>
          <w:i w:val="0"/>
          <w:caps w:val="0"/>
          <w:color w:val="auto"/>
          <w:spacing w:val="0"/>
          <w:kern w:val="0"/>
          <w:sz w:val="32"/>
          <w:szCs w:val="32"/>
          <w:u w:val="none"/>
          <w:lang w:val="en-US" w:eastAsia="zh-CN" w:bidi="ar"/>
        </w:rPr>
        <w:t>，各级媒体采用信息95篇，其中国家级媒体采用12篇，省级媒体采用9篇，市级媒体采用74篇）。三是广泛开展巾帼志愿服务活动。</w:t>
      </w:r>
      <w:r>
        <w:rPr>
          <w:rFonts w:hint="eastAsia" w:ascii="仿宋" w:hAnsi="仿宋" w:eastAsia="仿宋" w:cs="仿宋"/>
          <w:b w:val="0"/>
          <w:bCs w:val="0"/>
          <w:color w:val="auto"/>
          <w:kern w:val="2"/>
          <w:sz w:val="32"/>
          <w:szCs w:val="32"/>
          <w:lang w:val="en-US" w:eastAsia="zh-CN" w:bidi="ar-SA"/>
        </w:rPr>
        <w:t>围绕文明城市创建、卫生城市创建、COP15大会、生态环境保护等中心工作，积极</w:t>
      </w:r>
      <w:r>
        <w:rPr>
          <w:rFonts w:hint="eastAsia" w:ascii="仿宋" w:hAnsi="仿宋" w:eastAsia="仿宋" w:cs="仿宋"/>
          <w:b w:val="0"/>
          <w:bCs w:val="0"/>
          <w:i w:val="0"/>
          <w:caps w:val="0"/>
          <w:color w:val="auto"/>
          <w:spacing w:val="0"/>
          <w:kern w:val="0"/>
          <w:sz w:val="32"/>
          <w:szCs w:val="32"/>
          <w:u w:val="none"/>
          <w:lang w:val="en-US" w:eastAsia="zh-CN" w:bidi="ar"/>
        </w:rPr>
        <w:t>组织开展巾帼志愿服务140场,累计服务妇女群众14100余人次。今年“307”</w:t>
      </w:r>
      <w:r>
        <w:rPr>
          <w:rFonts w:hint="eastAsia" w:ascii="仿宋" w:hAnsi="仿宋" w:eastAsia="仿宋" w:cs="仿宋"/>
          <w:b w:val="0"/>
          <w:bCs w:val="0"/>
          <w:color w:val="auto"/>
          <w:kern w:val="2"/>
          <w:sz w:val="32"/>
          <w:szCs w:val="32"/>
          <w:lang w:val="en-US" w:eastAsia="zh-CN" w:bidi="ar-SA"/>
        </w:rPr>
        <w:t>疫情防控期间，招募组建“幸福盘龙·我们家”抗疫巾帼志愿服务队，全力做好宣传疏导、信息采集、隐患排查、转运物资等工作，累计服务6907人次，协助核酸采集4352次，运输238次、累计1776件次。</w:t>
      </w:r>
      <w:r>
        <w:rPr>
          <w:rFonts w:hint="eastAsia" w:ascii="仿宋" w:hAnsi="仿宋" w:eastAsia="仿宋" w:cs="仿宋"/>
          <w:b w:val="0"/>
          <w:bCs w:val="0"/>
          <w:i w:val="0"/>
          <w:caps w:val="0"/>
          <w:color w:val="auto"/>
          <w:spacing w:val="0"/>
          <w:kern w:val="0"/>
          <w:sz w:val="32"/>
          <w:szCs w:val="32"/>
          <w:u w:val="none"/>
          <w:lang w:val="en-US" w:eastAsia="zh-CN" w:bidi="ar"/>
        </w:rPr>
        <w:t>依托成立的4支家政巾帼志愿服务队分别在4个水源区持续开展“美丽庭院”创建培训活动，全年共开展培训17场，创建示范点（村）4个，打造示范户20户，并联合区委社会工委和区农业农村局完成对“美丽庭院”创建工作的评选验收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val="0"/>
          <w:bCs w:val="0"/>
          <w:i w:val="0"/>
          <w:caps w:val="0"/>
          <w:color w:val="auto"/>
          <w:spacing w:val="0"/>
          <w:kern w:val="0"/>
          <w:sz w:val="32"/>
          <w:szCs w:val="32"/>
          <w:u w:val="none"/>
          <w:shd w:val="clear" w:color="auto" w:fill="auto"/>
          <w:lang w:val="en-US" w:eastAsia="zh-CN" w:bidi="ar"/>
        </w:rPr>
      </w:pPr>
      <w:r>
        <w:rPr>
          <w:rFonts w:hint="eastAsia" w:ascii="仿宋" w:hAnsi="仿宋" w:eastAsia="仿宋" w:cs="仿宋"/>
          <w:b/>
          <w:bCs/>
          <w:i w:val="0"/>
          <w:caps w:val="0"/>
          <w:color w:val="auto"/>
          <w:spacing w:val="0"/>
          <w:kern w:val="0"/>
          <w:sz w:val="32"/>
          <w:szCs w:val="32"/>
          <w:u w:val="none"/>
          <w:lang w:val="en-US" w:eastAsia="zh-CN" w:bidi="ar"/>
        </w:rPr>
        <w:t>3、深化妇联改革创新，赋能基层妇联组织</w:t>
      </w:r>
      <w:r>
        <w:rPr>
          <w:rFonts w:hint="eastAsia" w:ascii="仿宋" w:hAnsi="仿宋" w:cs="仿宋"/>
          <w:b/>
          <w:bCs/>
          <w:i w:val="0"/>
          <w:caps w:val="0"/>
          <w:color w:val="auto"/>
          <w:spacing w:val="0"/>
          <w:kern w:val="0"/>
          <w:sz w:val="32"/>
          <w:szCs w:val="32"/>
          <w:u w:val="none"/>
          <w:lang w:val="en-US" w:eastAsia="zh-CN" w:bidi="ar"/>
        </w:rPr>
        <w:t>。</w:t>
      </w:r>
      <w:r>
        <w:rPr>
          <w:rFonts w:hint="eastAsia" w:ascii="仿宋" w:hAnsi="仿宋" w:cs="仿宋"/>
          <w:b w:val="0"/>
          <w:bCs w:val="0"/>
          <w:color w:val="auto"/>
          <w:sz w:val="32"/>
          <w:szCs w:val="32"/>
          <w:lang w:val="en-US" w:eastAsia="zh-CN"/>
        </w:rPr>
        <w:t>盘龙</w:t>
      </w:r>
      <w:r>
        <w:rPr>
          <w:rFonts w:hint="eastAsia" w:ascii="仿宋" w:hAnsi="仿宋" w:eastAsia="仿宋" w:cs="仿宋"/>
          <w:b w:val="0"/>
          <w:bCs w:val="0"/>
          <w:color w:val="auto"/>
          <w:sz w:val="32"/>
          <w:szCs w:val="32"/>
          <w:lang w:val="en-US" w:eastAsia="zh-CN"/>
        </w:rPr>
        <w:t>区妇联</w:t>
      </w:r>
      <w:r>
        <w:rPr>
          <w:rFonts w:hint="eastAsia" w:ascii="仿宋" w:hAnsi="仿宋" w:eastAsia="仿宋" w:cs="仿宋"/>
          <w:b w:val="0"/>
          <w:bCs w:val="0"/>
          <w:color w:val="auto"/>
          <w:kern w:val="2"/>
          <w:sz w:val="32"/>
          <w:szCs w:val="32"/>
          <w:lang w:val="en-US" w:eastAsia="zh-CN" w:bidi="ar-SA"/>
        </w:rPr>
        <w:t>持续深化妇联改革，进一步实施“破难行动”，延伸巩固基层妇联组织建设。一是加强妇联组织队伍建设，指导全区12个街道圆满完成妇联组织换届工作。二是</w:t>
      </w:r>
      <w:r>
        <w:rPr>
          <w:rFonts w:hint="eastAsia" w:ascii="仿宋" w:hAnsi="仿宋" w:eastAsia="仿宋" w:cs="仿宋"/>
          <w:b w:val="0"/>
          <w:bCs w:val="0"/>
          <w:color w:val="auto"/>
          <w:sz w:val="32"/>
          <w:szCs w:val="32"/>
          <w:lang w:val="en-US" w:eastAsia="zh-CN"/>
        </w:rPr>
        <w:t>以基本组织、基本队伍、基本活动、基本制度、基本保障“五个基本”为主要内容，开展基层妇联规范化创建，2022年创建达标率占基层妇联组织的25%。</w:t>
      </w:r>
      <w:r>
        <w:rPr>
          <w:rFonts w:hint="eastAsia" w:ascii="仿宋" w:hAnsi="仿宋" w:eastAsia="仿宋" w:cs="仿宋"/>
          <w:b w:val="0"/>
          <w:bCs w:val="0"/>
          <w:color w:val="auto"/>
          <w:kern w:val="2"/>
          <w:sz w:val="32"/>
          <w:szCs w:val="32"/>
          <w:lang w:val="en-US" w:eastAsia="zh-CN" w:bidi="ar-SA"/>
        </w:rPr>
        <w:t>三是深入实施“基层妇联领头雁行动计划”，分级分</w:t>
      </w:r>
      <w:r>
        <w:rPr>
          <w:rFonts w:hint="eastAsia" w:ascii="仿宋" w:hAnsi="仿宋" w:eastAsia="仿宋" w:cs="仿宋"/>
          <w:b w:val="0"/>
          <w:bCs w:val="0"/>
          <w:color w:val="auto"/>
          <w:sz w:val="32"/>
          <w:szCs w:val="32"/>
          <w:lang w:val="en-US" w:eastAsia="zh-CN"/>
        </w:rPr>
        <w:t>类抓好各基层妇联执委、妇联干部的能力提升培训。今年以来组织盘龙区各级妇联主席、副主席参加省、市、区各类培训200人次。区妇联在云南省工青妇干校举办盘龙区妇女素质提升暨基层妇联领头雁培训班，盘龙辖区内各基层妇联主席、委局妇委会及</w:t>
      </w:r>
      <w:r>
        <w:rPr>
          <w:rFonts w:hint="eastAsia" w:ascii="仿宋" w:hAnsi="仿宋" w:eastAsia="仿宋" w:cs="仿宋"/>
          <w:b w:val="0"/>
          <w:bCs w:val="0"/>
          <w:color w:val="auto"/>
          <w:kern w:val="0"/>
          <w:sz w:val="32"/>
          <w:szCs w:val="32"/>
          <w:lang w:eastAsia="zh-CN"/>
        </w:rPr>
        <w:t>新业态领域</w:t>
      </w:r>
      <w:r>
        <w:rPr>
          <w:rFonts w:hint="eastAsia" w:ascii="仿宋" w:hAnsi="仿宋" w:eastAsia="仿宋" w:cs="仿宋"/>
          <w:b w:val="0"/>
          <w:bCs w:val="0"/>
          <w:color w:val="auto"/>
          <w:kern w:val="0"/>
          <w:sz w:val="32"/>
          <w:szCs w:val="32"/>
        </w:rPr>
        <w:t>“两新”妇女组织负责人、盘龙区巾帼带头人</w:t>
      </w:r>
      <w:r>
        <w:rPr>
          <w:rFonts w:hint="eastAsia" w:ascii="仿宋" w:hAnsi="仿宋" w:eastAsia="仿宋" w:cs="仿宋"/>
          <w:b w:val="0"/>
          <w:bCs w:val="0"/>
          <w:color w:val="auto"/>
          <w:kern w:val="0"/>
          <w:sz w:val="32"/>
          <w:szCs w:val="32"/>
          <w:lang w:eastAsia="zh-CN"/>
        </w:rPr>
        <w:t>等</w:t>
      </w:r>
      <w:r>
        <w:rPr>
          <w:rFonts w:hint="eastAsia" w:ascii="仿宋" w:hAnsi="仿宋" w:eastAsia="仿宋" w:cs="仿宋"/>
          <w:b w:val="0"/>
          <w:bCs w:val="0"/>
          <w:color w:val="auto"/>
          <w:sz w:val="32"/>
          <w:szCs w:val="32"/>
          <w:lang w:val="en-US" w:eastAsia="zh-CN"/>
        </w:rPr>
        <w:t>共计150余人参加此次培训，通过培训进一步强基固本，提升妇联干部的履职能力。四是以党建带妇建，持续推动在新经济组织、新社会组织、行业协会、新业态领域建立妇联组织，形成纵横交错的妇联组织格局。今年新建“两新”妇联组织7个，其中新业态领域妇联组织3个，楼宇联合妇联组织1个，行业协会妇联组织1个，并成立了盘龙区第一家物流行业妇联组织云南快达航空物流有限公司妇联。</w:t>
      </w:r>
    </w:p>
    <w:p>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val="0"/>
          <w:bCs w:val="0"/>
          <w:color w:val="auto"/>
          <w:sz w:val="32"/>
          <w:szCs w:val="32"/>
          <w:shd w:val="clear" w:color="auto" w:fill="auto"/>
          <w:lang w:val="en-US" w:eastAsia="zh-CN"/>
        </w:rPr>
      </w:pPr>
      <w:r>
        <w:rPr>
          <w:rFonts w:hint="eastAsia" w:ascii="仿宋" w:hAnsi="仿宋" w:eastAsia="仿宋" w:cs="仿宋"/>
          <w:b/>
          <w:bCs/>
          <w:color w:val="auto"/>
          <w:sz w:val="32"/>
          <w:szCs w:val="32"/>
          <w:lang w:val="en-US" w:eastAsia="zh-CN"/>
        </w:rPr>
        <w:t>4、健全服务机制，维护妇女儿童权益。</w:t>
      </w:r>
      <w:r>
        <w:rPr>
          <w:rFonts w:hint="eastAsia" w:ascii="仿宋" w:hAnsi="仿宋" w:eastAsia="仿宋" w:cs="仿宋"/>
          <w:b w:val="0"/>
          <w:bCs w:val="0"/>
          <w:color w:val="auto"/>
          <w:kern w:val="2"/>
          <w:sz w:val="32"/>
          <w:szCs w:val="32"/>
          <w:lang w:val="en-US" w:eastAsia="zh-CN" w:bidi="ar-SA"/>
        </w:rPr>
        <w:t>紧扣“建设法治中国，巾帼在行动”活动主题，筑牢基层妇女社会化维权网络，</w:t>
      </w:r>
      <w:r>
        <w:rPr>
          <w:rFonts w:hint="eastAsia" w:ascii="仿宋" w:hAnsi="仿宋" w:eastAsia="仿宋" w:cs="仿宋"/>
          <w:b w:val="0"/>
          <w:bCs w:val="0"/>
          <w:color w:val="auto"/>
          <w:sz w:val="32"/>
          <w:szCs w:val="32"/>
          <w:shd w:val="clear" w:color="auto" w:fill="auto"/>
          <w:lang w:val="en-US" w:eastAsia="zh-CN"/>
        </w:rPr>
        <w:t>用心用情用力为全区妇女儿童权益保护提供坚实保障。</w:t>
      </w:r>
      <w:r>
        <w:rPr>
          <w:rFonts w:hint="eastAsia" w:ascii="仿宋" w:hAnsi="仿宋" w:eastAsia="仿宋" w:cs="仿宋"/>
          <w:b w:val="0"/>
          <w:bCs w:val="0"/>
          <w:color w:val="auto"/>
          <w:kern w:val="2"/>
          <w:sz w:val="32"/>
          <w:szCs w:val="32"/>
          <w:lang w:val="en-US" w:eastAsia="zh-CN" w:bidi="ar-SA"/>
        </w:rPr>
        <w:t>一是加大维权阵地建设，认真开展婚姻家庭矛盾排查化解。</w:t>
      </w:r>
      <w:r>
        <w:rPr>
          <w:rFonts w:hint="eastAsia" w:ascii="仿宋" w:hAnsi="仿宋" w:eastAsia="仿宋" w:cs="仿宋"/>
          <w:b w:val="0"/>
          <w:bCs w:val="0"/>
          <w:color w:val="auto"/>
          <w:kern w:val="0"/>
          <w:sz w:val="32"/>
          <w:szCs w:val="32"/>
          <w:u w:val="none"/>
          <w:lang w:val="en-US" w:eastAsia="zh-CN" w:bidi="ar-SA"/>
        </w:rPr>
        <w:t>在12个街道加挂“婚姻家庭纠纷调解室”标识牌，在明通巷党群服务中心挂牌成立盘龙区“妇女儿童维权工作站”和“婚姻家庭纠纷人民调解委员会”，</w:t>
      </w:r>
      <w:r>
        <w:rPr>
          <w:rFonts w:hint="eastAsia" w:ascii="仿宋" w:hAnsi="仿宋" w:eastAsia="仿宋" w:cs="仿宋"/>
          <w:b w:val="0"/>
          <w:bCs w:val="0"/>
          <w:color w:val="auto"/>
          <w:kern w:val="0"/>
          <w:sz w:val="32"/>
          <w:szCs w:val="32"/>
          <w:lang w:val="en-US" w:eastAsia="zh-CN" w:bidi="ar"/>
        </w:rPr>
        <w:t>发挥妇联执委、家庭教育讲师团的资源优势，</w:t>
      </w:r>
      <w:r>
        <w:rPr>
          <w:rFonts w:hint="eastAsia" w:ascii="仿宋" w:hAnsi="仿宋" w:eastAsia="仿宋" w:cs="仿宋"/>
          <w:b w:val="0"/>
          <w:bCs w:val="0"/>
          <w:color w:val="auto"/>
          <w:kern w:val="0"/>
          <w:sz w:val="32"/>
          <w:szCs w:val="32"/>
          <w:u w:val="none"/>
          <w:lang w:val="en-US" w:eastAsia="zh-CN" w:bidi="ar-SA"/>
        </w:rPr>
        <w:t>实行专家轮值制度，接待群众来电来访,为有家暴救助需求和权益受到侵害的妇女儿童提供</w:t>
      </w:r>
      <w:r>
        <w:rPr>
          <w:rFonts w:hint="eastAsia" w:ascii="仿宋" w:hAnsi="仿宋" w:eastAsia="仿宋" w:cs="仿宋"/>
          <w:b w:val="0"/>
          <w:bCs w:val="0"/>
          <w:color w:val="auto"/>
          <w:kern w:val="0"/>
          <w:sz w:val="32"/>
          <w:szCs w:val="32"/>
        </w:rPr>
        <w:t>关爱帮扶、救助服务和权益保障等工作</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2"/>
          <w:sz w:val="32"/>
          <w:szCs w:val="32"/>
          <w:lang w:val="en-US" w:eastAsia="zh-CN" w:bidi="ar-SA"/>
        </w:rPr>
        <w:t>截止10月底，通过群众来电来访、入户走访及部门通报等多种方式共排查家庭20568户，排查出婚姻家庭矛盾纠纷48件，其中家庭暴力18件、其他家事矛盾30件，化解率达94%。二是引入专业力量，</w:t>
      </w:r>
      <w:r>
        <w:rPr>
          <w:rFonts w:hint="eastAsia" w:ascii="仿宋" w:hAnsi="仿宋" w:eastAsia="仿宋" w:cs="仿宋"/>
          <w:b w:val="0"/>
          <w:bCs w:val="0"/>
          <w:color w:val="auto"/>
          <w:sz w:val="32"/>
          <w:szCs w:val="32"/>
          <w:lang w:val="en-US" w:eastAsia="zh-CN"/>
        </w:rPr>
        <w:t>创新开展巾帼维权关爱行动</w:t>
      </w:r>
      <w:r>
        <w:rPr>
          <w:rFonts w:hint="eastAsia" w:ascii="仿宋" w:hAnsi="仿宋" w:eastAsia="仿宋" w:cs="仿宋"/>
          <w:b w:val="0"/>
          <w:bCs w:val="0"/>
          <w:color w:val="auto"/>
          <w:kern w:val="2"/>
          <w:sz w:val="32"/>
          <w:szCs w:val="32"/>
          <w:lang w:val="en-US" w:eastAsia="zh-CN" w:bidi="ar-SA"/>
        </w:rPr>
        <w:t>。区妇联通过</w:t>
      </w:r>
      <w:r>
        <w:rPr>
          <w:rFonts w:hint="eastAsia" w:ascii="仿宋" w:hAnsi="仿宋" w:eastAsia="仿宋" w:cs="仿宋"/>
          <w:b w:val="0"/>
          <w:bCs w:val="0"/>
          <w:color w:val="auto"/>
          <w:sz w:val="32"/>
          <w:szCs w:val="32"/>
          <w:lang w:val="en-US" w:eastAsia="zh-CN"/>
        </w:rPr>
        <w:t>引入律师、心理咨询师、婚姻家庭咨询师等专业力量，整合家庭教育讲师团专家资源，开展“促进婚姻家庭关系健康发展”巾帼维权服务进社区、进家庭、进学校、进机关、进楼宇活动共计20场，直接为600余人次辖区群众提供了法律、心理、婚姻家庭咨询服务和法律援助政策宣传。</w:t>
      </w:r>
      <w:r>
        <w:rPr>
          <w:rFonts w:hint="eastAsia" w:ascii="仿宋" w:hAnsi="仿宋" w:eastAsia="仿宋" w:cs="仿宋"/>
          <w:b w:val="0"/>
          <w:bCs w:val="0"/>
          <w:color w:val="auto"/>
          <w:sz w:val="32"/>
          <w:szCs w:val="32"/>
          <w:shd w:val="clear" w:color="auto" w:fill="auto"/>
          <w:lang w:val="en-US" w:eastAsia="zh-CN"/>
        </w:rPr>
        <w:t>依托“盘龙女声”微信公众平台开发的“巾帼维权”小程序，打造“幸福盘龙·我们家”巾帼小课堂，</w:t>
      </w:r>
      <w:r>
        <w:rPr>
          <w:rFonts w:hint="eastAsia" w:ascii="仿宋" w:hAnsi="仿宋" w:eastAsia="仿宋" w:cs="仿宋"/>
          <w:b w:val="0"/>
          <w:bCs w:val="0"/>
          <w:color w:val="auto"/>
          <w:sz w:val="32"/>
          <w:szCs w:val="32"/>
          <w:lang w:val="en-US" w:eastAsia="zh-CN"/>
        </w:rPr>
        <w:t>开展</w:t>
      </w:r>
      <w:r>
        <w:rPr>
          <w:rFonts w:hint="eastAsia" w:ascii="仿宋" w:hAnsi="仿宋" w:eastAsia="仿宋" w:cs="仿宋"/>
          <w:b w:val="0"/>
          <w:bCs w:val="0"/>
          <w:color w:val="auto"/>
          <w:kern w:val="0"/>
          <w:sz w:val="32"/>
          <w:szCs w:val="32"/>
          <w:lang w:eastAsia="zh-CN"/>
        </w:rPr>
        <w:t>普法宣传</w:t>
      </w:r>
      <w:r>
        <w:rPr>
          <w:rFonts w:hint="eastAsia" w:ascii="仿宋" w:hAnsi="仿宋" w:eastAsia="仿宋" w:cs="仿宋"/>
          <w:b w:val="0"/>
          <w:bCs w:val="0"/>
          <w:color w:val="auto"/>
          <w:kern w:val="0"/>
          <w:sz w:val="32"/>
          <w:szCs w:val="32"/>
        </w:rPr>
        <w:t>、心理疏导、婚姻家庭关系调适和家庭教育指导</w:t>
      </w:r>
      <w:r>
        <w:rPr>
          <w:rFonts w:hint="eastAsia" w:ascii="仿宋" w:hAnsi="仿宋" w:eastAsia="仿宋" w:cs="仿宋"/>
          <w:b w:val="0"/>
          <w:bCs w:val="0"/>
          <w:color w:val="auto"/>
          <w:kern w:val="0"/>
          <w:sz w:val="32"/>
          <w:szCs w:val="32"/>
          <w:lang w:eastAsia="zh-CN"/>
        </w:rPr>
        <w:t>讲座</w:t>
      </w:r>
      <w:r>
        <w:rPr>
          <w:rFonts w:hint="eastAsia" w:ascii="仿宋" w:hAnsi="仿宋" w:eastAsia="仿宋" w:cs="仿宋"/>
          <w:b w:val="0"/>
          <w:bCs w:val="0"/>
          <w:color w:val="auto"/>
          <w:sz w:val="32"/>
          <w:szCs w:val="32"/>
          <w:shd w:val="clear" w:color="auto" w:fill="auto"/>
          <w:lang w:val="en-US" w:eastAsia="zh-CN"/>
        </w:rPr>
        <w:t>44场，</w:t>
      </w:r>
      <w:r>
        <w:rPr>
          <w:rFonts w:hint="eastAsia" w:ascii="仿宋" w:hAnsi="仿宋" w:eastAsia="仿宋" w:cs="仿宋"/>
          <w:b w:val="0"/>
          <w:bCs w:val="0"/>
          <w:color w:val="auto"/>
          <w:kern w:val="0"/>
          <w:sz w:val="32"/>
          <w:szCs w:val="32"/>
          <w:lang w:eastAsia="zh-CN"/>
        </w:rPr>
        <w:t>服务群众近</w:t>
      </w:r>
      <w:r>
        <w:rPr>
          <w:rFonts w:hint="eastAsia" w:ascii="仿宋" w:hAnsi="仿宋" w:eastAsia="仿宋" w:cs="仿宋"/>
          <w:b w:val="0"/>
          <w:bCs w:val="0"/>
          <w:color w:val="auto"/>
          <w:kern w:val="0"/>
          <w:sz w:val="32"/>
          <w:szCs w:val="32"/>
          <w:lang w:val="en-US" w:eastAsia="zh-CN"/>
        </w:rPr>
        <w:t>13780人次</w:t>
      </w:r>
      <w:r>
        <w:rPr>
          <w:rFonts w:hint="eastAsia" w:ascii="仿宋" w:hAnsi="仿宋" w:eastAsia="仿宋" w:cs="仿宋"/>
          <w:b w:val="0"/>
          <w:bCs w:val="0"/>
          <w:color w:val="auto"/>
          <w:kern w:val="0"/>
          <w:sz w:val="32"/>
          <w:szCs w:val="32"/>
        </w:rPr>
        <w:t>。</w:t>
      </w:r>
      <w:r>
        <w:rPr>
          <w:rFonts w:hint="eastAsia" w:ascii="仿宋" w:hAnsi="仿宋" w:eastAsia="仿宋" w:cs="仿宋"/>
          <w:b w:val="0"/>
          <w:bCs w:val="0"/>
          <w:color w:val="auto"/>
          <w:sz w:val="32"/>
          <w:szCs w:val="32"/>
          <w:shd w:val="clear" w:color="auto" w:fill="auto"/>
          <w:lang w:val="en-US" w:eastAsia="zh-CN"/>
        </w:rPr>
        <w:t>组织</w:t>
      </w:r>
      <w:r>
        <w:rPr>
          <w:rFonts w:hint="eastAsia" w:ascii="仿宋" w:hAnsi="仿宋" w:eastAsia="仿宋" w:cs="仿宋"/>
          <w:b w:val="0"/>
          <w:bCs w:val="0"/>
          <w:color w:val="auto"/>
          <w:kern w:val="0"/>
          <w:sz w:val="32"/>
          <w:szCs w:val="32"/>
          <w:u w:val="none"/>
          <w:lang w:val="en-US" w:eastAsia="zh-CN" w:bidi="ar-SA"/>
        </w:rPr>
        <w:t>各级妇联开展“法入家门”普法宣传主题活动115场，开展法制文化建设活动294场，覆盖群众41780余人次。</w:t>
      </w:r>
      <w:r>
        <w:rPr>
          <w:rFonts w:hint="eastAsia" w:ascii="仿宋" w:hAnsi="仿宋" w:eastAsia="仿宋" w:cs="仿宋"/>
          <w:b w:val="0"/>
          <w:bCs w:val="0"/>
          <w:color w:val="auto"/>
          <w:sz w:val="32"/>
          <w:szCs w:val="32"/>
          <w:lang w:val="en-US" w:eastAsia="zh-CN"/>
        </w:rPr>
        <w:t>三是主动作为，参与妇女儿童维权个案帮扶。对1名受家暴侵害起诉离婚的妇女</w:t>
      </w:r>
      <w:r>
        <w:rPr>
          <w:rFonts w:hint="eastAsia" w:ascii="仿宋" w:hAnsi="仿宋" w:eastAsia="仿宋" w:cs="仿宋"/>
          <w:b w:val="0"/>
          <w:bCs w:val="0"/>
          <w:color w:val="auto"/>
          <w:sz w:val="32"/>
          <w:szCs w:val="32"/>
        </w:rPr>
        <w:t>给予免费民事诉讼代理的法律援助</w:t>
      </w:r>
      <w:r>
        <w:rPr>
          <w:rFonts w:hint="eastAsia" w:ascii="仿宋" w:hAnsi="仿宋" w:eastAsia="仿宋" w:cs="仿宋"/>
          <w:b w:val="0"/>
          <w:bCs w:val="0"/>
          <w:color w:val="auto"/>
          <w:sz w:val="32"/>
          <w:szCs w:val="32"/>
          <w:lang w:eastAsia="zh-CN"/>
        </w:rPr>
        <w:t>，推荐</w:t>
      </w:r>
      <w:r>
        <w:rPr>
          <w:rFonts w:hint="eastAsia" w:ascii="仿宋" w:hAnsi="仿宋" w:eastAsia="仿宋" w:cs="仿宋"/>
          <w:b w:val="0"/>
          <w:bCs w:val="0"/>
          <w:color w:val="auto"/>
          <w:sz w:val="32"/>
          <w:szCs w:val="32"/>
          <w:lang w:val="en-US" w:eastAsia="zh-CN"/>
        </w:rPr>
        <w:t>1个妇女儿童权益保护案申报云南省十大优秀案例评选。</w:t>
      </w:r>
      <w:r>
        <w:rPr>
          <w:rFonts w:hint="eastAsia" w:ascii="仿宋" w:hAnsi="仿宋" w:eastAsia="仿宋" w:cs="仿宋"/>
          <w:b w:val="0"/>
          <w:bCs w:val="0"/>
          <w:color w:val="auto"/>
          <w:sz w:val="32"/>
          <w:szCs w:val="32"/>
          <w:shd w:val="clear" w:color="auto" w:fill="auto"/>
          <w:lang w:val="en-US" w:eastAsia="zh-CN"/>
        </w:rPr>
        <w:t>参与盘龙区“一站式”未成年人保护与取证中心二次会商11次，对21个个案家庭提出了工作建议和措施。联合“一站式”相关成员单位对5个个案家庭开展研判会商和精准帮扶。联合区检察院和区关工委开展涉案未成年人父母“家长课堂”团辅2期，为43人次监护缺失的家长提供家庭教育服务指导。</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仿宋" w:hAnsi="仿宋" w:eastAsia="仿宋" w:cs="仿宋"/>
          <w:b w:val="0"/>
          <w:bCs w:val="0"/>
          <w:sz w:val="32"/>
          <w:szCs w:val="32"/>
        </w:rPr>
      </w:pPr>
      <w:r>
        <w:rPr>
          <w:rFonts w:hint="eastAsia" w:ascii="仿宋" w:hAnsi="仿宋" w:eastAsia="仿宋" w:cs="仿宋"/>
          <w:b/>
          <w:bCs/>
          <w:color w:val="auto"/>
          <w:sz w:val="32"/>
          <w:szCs w:val="32"/>
          <w:lang w:val="en-US" w:eastAsia="zh-CN"/>
        </w:rPr>
        <w:t>5、开展“四送”活动，促进妇女发展。</w:t>
      </w:r>
      <w:r>
        <w:rPr>
          <w:rFonts w:hint="eastAsia" w:ascii="仿宋" w:hAnsi="仿宋" w:eastAsia="仿宋" w:cs="仿宋"/>
          <w:b w:val="0"/>
          <w:bCs w:val="0"/>
          <w:color w:val="auto"/>
          <w:sz w:val="32"/>
          <w:szCs w:val="32"/>
        </w:rPr>
        <w:t>20</w:t>
      </w:r>
      <w:r>
        <w:rPr>
          <w:rFonts w:hint="eastAsia" w:ascii="仿宋" w:hAnsi="仿宋" w:eastAsia="仿宋" w:cs="仿宋"/>
          <w:b w:val="0"/>
          <w:bCs w:val="0"/>
          <w:color w:val="auto"/>
          <w:sz w:val="32"/>
          <w:szCs w:val="32"/>
          <w:lang w:val="en-US" w:eastAsia="zh-CN"/>
        </w:rPr>
        <w:t>22</w:t>
      </w:r>
      <w:r>
        <w:rPr>
          <w:rFonts w:hint="eastAsia" w:ascii="仿宋" w:hAnsi="仿宋" w:eastAsia="仿宋" w:cs="仿宋"/>
          <w:b w:val="0"/>
          <w:bCs w:val="0"/>
          <w:color w:val="auto"/>
          <w:sz w:val="32"/>
          <w:szCs w:val="32"/>
        </w:rPr>
        <w:t>年</w:t>
      </w:r>
      <w:r>
        <w:rPr>
          <w:rFonts w:hint="eastAsia" w:ascii="仿宋" w:hAnsi="仿宋" w:eastAsia="仿宋" w:cs="仿宋"/>
          <w:b w:val="0"/>
          <w:bCs w:val="0"/>
          <w:color w:val="auto"/>
          <w:sz w:val="32"/>
          <w:szCs w:val="32"/>
          <w:lang w:eastAsia="zh-CN"/>
        </w:rPr>
        <w:t>，</w:t>
      </w:r>
      <w:r>
        <w:rPr>
          <w:rFonts w:hint="eastAsia" w:ascii="仿宋" w:hAnsi="仿宋" w:eastAsia="仿宋" w:cs="仿宋"/>
          <w:b w:val="0"/>
          <w:bCs w:val="0"/>
          <w:color w:val="auto"/>
          <w:sz w:val="32"/>
          <w:szCs w:val="32"/>
        </w:rPr>
        <w:t>区妇联充分调动广大妇女参与经济社会发展的热情，</w:t>
      </w:r>
      <w:r>
        <w:rPr>
          <w:rFonts w:hint="eastAsia" w:ascii="仿宋" w:hAnsi="仿宋" w:eastAsia="仿宋" w:cs="仿宋"/>
          <w:b w:val="0"/>
          <w:bCs w:val="0"/>
          <w:color w:val="auto"/>
          <w:sz w:val="32"/>
          <w:szCs w:val="32"/>
          <w:lang w:eastAsia="zh-CN"/>
        </w:rPr>
        <w:t>积极开展“四送”活动，</w:t>
      </w:r>
      <w:r>
        <w:rPr>
          <w:rFonts w:hint="eastAsia" w:ascii="仿宋" w:hAnsi="仿宋" w:eastAsia="仿宋" w:cs="仿宋"/>
          <w:b w:val="0"/>
          <w:bCs w:val="0"/>
          <w:color w:val="auto"/>
          <w:sz w:val="32"/>
          <w:szCs w:val="32"/>
        </w:rPr>
        <w:t>多渠道促进妇女创业就业</w:t>
      </w:r>
      <w:r>
        <w:rPr>
          <w:rFonts w:hint="eastAsia" w:ascii="仿宋" w:hAnsi="仿宋" w:eastAsia="仿宋" w:cs="仿宋"/>
          <w:b w:val="0"/>
          <w:bCs w:val="0"/>
          <w:color w:val="auto"/>
          <w:sz w:val="32"/>
          <w:szCs w:val="32"/>
          <w:lang w:eastAsia="zh-CN"/>
        </w:rPr>
        <w:t>。</w:t>
      </w:r>
      <w:r>
        <w:rPr>
          <w:rFonts w:hint="eastAsia" w:ascii="仿宋" w:hAnsi="仿宋" w:eastAsia="仿宋" w:cs="仿宋"/>
          <w:b w:val="0"/>
          <w:bCs w:val="0"/>
          <w:color w:val="auto"/>
          <w:sz w:val="32"/>
          <w:szCs w:val="32"/>
          <w:lang w:val="en-US" w:eastAsia="zh-CN"/>
        </w:rPr>
        <w:t>一是定向订单式培训送技能。</w:t>
      </w:r>
      <w:r>
        <w:rPr>
          <w:rFonts w:hint="eastAsia" w:ascii="仿宋" w:hAnsi="仿宋" w:eastAsia="仿宋" w:cs="仿宋"/>
          <w:b w:val="0"/>
          <w:bCs w:val="0"/>
          <w:color w:val="auto"/>
          <w:kern w:val="2"/>
          <w:sz w:val="32"/>
          <w:szCs w:val="32"/>
          <w:lang w:val="en-US" w:eastAsia="zh-CN" w:bidi="ar-SA"/>
        </w:rPr>
        <w:t>分别举办了“茶艺师”和“养老护理员”、“新媒体运营”4场定向订单式职业技能提升暨高素质女农民工培训，来自11个街道的妇女群众、“两新”妇女组织、巾帼创业带头人、女科技致富带头人共208名参加了培训，其中89名妇女参加了职业技能等级考证取得初级证书。</w:t>
      </w:r>
      <w:r>
        <w:rPr>
          <w:rFonts w:hint="eastAsia" w:ascii="仿宋" w:hAnsi="仿宋" w:eastAsia="仿宋" w:cs="仿宋"/>
          <w:b w:val="0"/>
          <w:bCs w:val="0"/>
          <w:color w:val="auto"/>
          <w:sz w:val="32"/>
          <w:szCs w:val="32"/>
          <w:lang w:val="en-US" w:eastAsia="zh-CN"/>
        </w:rPr>
        <w:t>到阿子营街道昆明俏如峰蔬菜种植农民专业合作社开展女科技带头人服务高质量发展工作调研，开展专场品宣会和科技创新志愿活动，帮助农户搭建网销平台，以创新带动创业，培育“网红达人”和“直播带货高手”等新业态。</w:t>
      </w:r>
      <w:r>
        <w:rPr>
          <w:rFonts w:hint="eastAsia" w:ascii="仿宋" w:hAnsi="仿宋" w:eastAsia="仿宋" w:cs="仿宋"/>
          <w:b w:val="0"/>
          <w:bCs w:val="0"/>
          <w:color w:val="auto"/>
          <w:sz w:val="32"/>
          <w:szCs w:val="32"/>
          <w:lang w:eastAsia="zh-CN"/>
        </w:rPr>
        <w:t>二是</w:t>
      </w:r>
      <w:r>
        <w:rPr>
          <w:rFonts w:hint="eastAsia" w:ascii="仿宋" w:hAnsi="仿宋" w:eastAsia="仿宋" w:cs="仿宋"/>
          <w:b w:val="0"/>
          <w:bCs w:val="0"/>
          <w:color w:val="auto"/>
          <w:kern w:val="2"/>
          <w:sz w:val="32"/>
          <w:szCs w:val="32"/>
          <w:lang w:val="en-US" w:eastAsia="zh-CN" w:bidi="ar-SA"/>
        </w:rPr>
        <w:t>“春风行动”送岗位。联合市妇联举办了线上“春风行动”女性专场招聘会，组织4家企业共提供755个工作岗位；联合区就业局举办2022年“春风行动”暨“转移就业百日行动”直播带岗活动，提供了1000余个就业岗位，参与直播互动观众1.99万人次，线上投递简历224份。举办</w:t>
      </w:r>
      <w:r>
        <w:rPr>
          <w:rFonts w:hint="eastAsia" w:ascii="仿宋" w:hAnsi="仿宋" w:eastAsia="仿宋" w:cs="仿宋"/>
          <w:b w:val="0"/>
          <w:bCs w:val="0"/>
          <w:color w:val="auto"/>
          <w:kern w:val="0"/>
          <w:sz w:val="32"/>
          <w:szCs w:val="32"/>
          <w:lang w:val="en-US" w:eastAsia="zh-CN"/>
        </w:rPr>
        <w:t>了2场“‘就’在民企，‘职’向未来”小型专场招聘会，来自盘龙区的5家妇字号企业和女性领办企业一共提供了120个就业岗位，87名有就业意愿的妇女群众进行了</w:t>
      </w:r>
      <w:r>
        <w:rPr>
          <w:rFonts w:hint="eastAsia" w:ascii="仿宋" w:hAnsi="仿宋" w:eastAsia="仿宋" w:cs="仿宋"/>
          <w:b w:val="0"/>
          <w:bCs w:val="0"/>
          <w:color w:val="auto"/>
          <w:sz w:val="32"/>
          <w:szCs w:val="32"/>
          <w:lang w:val="en-US" w:eastAsia="zh-CN"/>
        </w:rPr>
        <w:t>现场</w:t>
      </w:r>
      <w:r>
        <w:rPr>
          <w:rFonts w:hint="eastAsia" w:ascii="仿宋" w:hAnsi="仿宋" w:eastAsia="仿宋" w:cs="仿宋"/>
          <w:b w:val="0"/>
          <w:bCs w:val="0"/>
          <w:color w:val="auto"/>
          <w:sz w:val="32"/>
          <w:szCs w:val="32"/>
        </w:rPr>
        <w:t>咨询，达成求职意向</w:t>
      </w:r>
      <w:r>
        <w:rPr>
          <w:rFonts w:hint="eastAsia" w:ascii="仿宋" w:hAnsi="仿宋" w:eastAsia="仿宋" w:cs="仿宋"/>
          <w:b w:val="0"/>
          <w:bCs w:val="0"/>
          <w:color w:val="auto"/>
          <w:sz w:val="32"/>
          <w:szCs w:val="32"/>
          <w:lang w:val="en-US" w:eastAsia="zh-CN"/>
        </w:rPr>
        <w:t>60</w:t>
      </w:r>
      <w:r>
        <w:rPr>
          <w:rFonts w:hint="eastAsia" w:ascii="仿宋" w:hAnsi="仿宋" w:eastAsia="仿宋" w:cs="仿宋"/>
          <w:b w:val="0"/>
          <w:bCs w:val="0"/>
          <w:color w:val="auto"/>
          <w:sz w:val="32"/>
          <w:szCs w:val="32"/>
        </w:rPr>
        <w:t>人</w:t>
      </w:r>
      <w:r>
        <w:rPr>
          <w:rFonts w:hint="eastAsia" w:ascii="仿宋" w:hAnsi="仿宋" w:eastAsia="仿宋" w:cs="仿宋"/>
          <w:b w:val="0"/>
          <w:bCs w:val="0"/>
          <w:color w:val="auto"/>
          <w:sz w:val="32"/>
          <w:szCs w:val="32"/>
          <w:lang w:eastAsia="zh-CN"/>
        </w:rPr>
        <w:t>，</w:t>
      </w:r>
      <w:r>
        <w:rPr>
          <w:rFonts w:hint="eastAsia" w:ascii="仿宋" w:hAnsi="仿宋" w:eastAsia="仿宋" w:cs="仿宋"/>
          <w:b w:val="0"/>
          <w:bCs w:val="0"/>
          <w:color w:val="auto"/>
          <w:sz w:val="32"/>
          <w:szCs w:val="32"/>
          <w:lang w:val="en-US" w:eastAsia="zh-CN"/>
        </w:rPr>
        <w:t>其中失业妇女40人、高校毕业生10人、农民工10人。三</w:t>
      </w:r>
      <w:r>
        <w:rPr>
          <w:rFonts w:hint="eastAsia" w:ascii="仿宋" w:hAnsi="仿宋" w:cs="仿宋"/>
          <w:b w:val="0"/>
          <w:bCs w:val="0"/>
          <w:color w:val="auto"/>
          <w:sz w:val="32"/>
          <w:szCs w:val="32"/>
          <w:lang w:val="en-US" w:eastAsia="zh-CN"/>
        </w:rPr>
        <w:t>、</w:t>
      </w:r>
      <w:r>
        <w:rPr>
          <w:rStyle w:val="20"/>
          <w:rFonts w:hint="eastAsia" w:ascii="仿宋" w:hAnsi="仿宋" w:eastAsia="仿宋" w:cs="仿宋"/>
          <w:b w:val="0"/>
          <w:bCs w:val="0"/>
          <w:color w:val="auto"/>
          <w:sz w:val="32"/>
          <w:szCs w:val="32"/>
          <w:lang w:val="en-US" w:eastAsia="zh-CN"/>
        </w:rPr>
        <w:t>是</w:t>
      </w:r>
      <w:r>
        <w:rPr>
          <w:rFonts w:hint="eastAsia" w:ascii="仿宋" w:hAnsi="仿宋" w:eastAsia="仿宋" w:cs="仿宋"/>
          <w:b w:val="0"/>
          <w:bCs w:val="0"/>
          <w:color w:val="auto"/>
          <w:kern w:val="2"/>
          <w:sz w:val="32"/>
          <w:szCs w:val="32"/>
          <w:lang w:val="en-US" w:eastAsia="zh-CN" w:bidi="ar-SA"/>
        </w:rPr>
        <w:t>“两癌”救助送关爱。</w:t>
      </w:r>
      <w:r>
        <w:rPr>
          <w:rFonts w:hint="eastAsia" w:ascii="仿宋" w:hAnsi="仿宋" w:eastAsia="仿宋" w:cs="仿宋"/>
          <w:b w:val="0"/>
          <w:bCs w:val="0"/>
          <w:color w:val="auto"/>
          <w:kern w:val="0"/>
          <w:sz w:val="32"/>
          <w:szCs w:val="32"/>
          <w:lang w:eastAsia="zh-CN"/>
        </w:rPr>
        <w:t>认真落实省妇联</w:t>
      </w:r>
      <w:r>
        <w:rPr>
          <w:rFonts w:hint="eastAsia" w:ascii="仿宋" w:hAnsi="仿宋" w:eastAsia="仿宋" w:cs="仿宋"/>
          <w:b w:val="0"/>
          <w:bCs w:val="0"/>
          <w:color w:val="auto"/>
          <w:sz w:val="32"/>
          <w:szCs w:val="32"/>
        </w:rPr>
        <w:t>低收入妇女“两癌”救助项目</w:t>
      </w:r>
      <w:r>
        <w:rPr>
          <w:rFonts w:hint="eastAsia" w:ascii="仿宋" w:hAnsi="仿宋" w:eastAsia="仿宋" w:cs="仿宋"/>
          <w:b w:val="0"/>
          <w:bCs w:val="0"/>
          <w:color w:val="auto"/>
          <w:sz w:val="32"/>
          <w:szCs w:val="32"/>
          <w:lang w:eastAsia="zh-CN"/>
        </w:rPr>
        <w:t>要求</w:t>
      </w:r>
      <w:r>
        <w:rPr>
          <w:rFonts w:hint="eastAsia" w:ascii="仿宋" w:hAnsi="仿宋" w:eastAsia="仿宋" w:cs="仿宋"/>
          <w:b w:val="0"/>
          <w:bCs w:val="0"/>
          <w:color w:val="auto"/>
          <w:sz w:val="32"/>
          <w:szCs w:val="32"/>
        </w:rPr>
        <w:t>，</w:t>
      </w:r>
      <w:r>
        <w:rPr>
          <w:rFonts w:hint="eastAsia" w:ascii="仿宋" w:hAnsi="仿宋" w:eastAsia="仿宋" w:cs="仿宋"/>
          <w:b w:val="0"/>
          <w:bCs w:val="0"/>
          <w:color w:val="auto"/>
          <w:sz w:val="32"/>
          <w:szCs w:val="32"/>
          <w:lang w:eastAsia="zh-CN"/>
        </w:rPr>
        <w:t>积极</w:t>
      </w:r>
      <w:r>
        <w:rPr>
          <w:rFonts w:hint="eastAsia" w:ascii="仿宋" w:hAnsi="仿宋" w:eastAsia="仿宋" w:cs="仿宋"/>
          <w:b w:val="0"/>
          <w:bCs w:val="0"/>
          <w:color w:val="auto"/>
          <w:sz w:val="32"/>
          <w:szCs w:val="32"/>
        </w:rPr>
        <w:t>开展政策宣传</w:t>
      </w:r>
      <w:r>
        <w:rPr>
          <w:rFonts w:hint="eastAsia" w:ascii="仿宋" w:hAnsi="仿宋" w:eastAsia="仿宋" w:cs="仿宋"/>
          <w:b w:val="0"/>
          <w:bCs w:val="0"/>
          <w:color w:val="auto"/>
          <w:sz w:val="32"/>
          <w:szCs w:val="32"/>
          <w:lang w:eastAsia="zh-CN"/>
        </w:rPr>
        <w:t>和</w:t>
      </w:r>
      <w:r>
        <w:rPr>
          <w:rFonts w:hint="eastAsia" w:ascii="仿宋" w:hAnsi="仿宋" w:eastAsia="仿宋" w:cs="仿宋"/>
          <w:b w:val="0"/>
          <w:bCs w:val="0"/>
          <w:color w:val="auto"/>
          <w:sz w:val="32"/>
          <w:szCs w:val="32"/>
        </w:rPr>
        <w:t>入户走访，</w:t>
      </w:r>
      <w:r>
        <w:rPr>
          <w:rFonts w:hint="eastAsia" w:ascii="仿宋" w:hAnsi="仿宋" w:eastAsia="仿宋" w:cs="仿宋"/>
          <w:b w:val="0"/>
          <w:bCs w:val="0"/>
          <w:color w:val="auto"/>
          <w:sz w:val="32"/>
          <w:szCs w:val="32"/>
          <w:lang w:eastAsia="zh-CN"/>
        </w:rPr>
        <w:t>为</w:t>
      </w:r>
      <w:r>
        <w:rPr>
          <w:rFonts w:hint="eastAsia" w:ascii="仿宋" w:hAnsi="仿宋" w:eastAsia="仿宋" w:cs="仿宋"/>
          <w:b w:val="0"/>
          <w:bCs w:val="0"/>
          <w:color w:val="auto"/>
          <w:sz w:val="32"/>
          <w:szCs w:val="32"/>
          <w:lang w:val="en-US" w:eastAsia="zh-CN"/>
        </w:rPr>
        <w:t>5名低收入“两癌”妇女申请</w:t>
      </w:r>
      <w:r>
        <w:rPr>
          <w:rFonts w:hint="eastAsia" w:ascii="仿宋" w:hAnsi="仿宋" w:cs="仿宋"/>
          <w:b w:val="0"/>
          <w:bCs w:val="0"/>
          <w:color w:val="auto"/>
          <w:sz w:val="32"/>
          <w:szCs w:val="32"/>
          <w:lang w:val="en-US" w:eastAsia="zh-CN"/>
        </w:rPr>
        <w:t>了</w:t>
      </w:r>
      <w:r>
        <w:rPr>
          <w:rFonts w:hint="eastAsia" w:ascii="仿宋" w:hAnsi="仿宋" w:eastAsia="仿宋" w:cs="仿宋"/>
          <w:b w:val="0"/>
          <w:bCs w:val="0"/>
          <w:color w:val="auto"/>
          <w:sz w:val="32"/>
          <w:szCs w:val="32"/>
          <w:lang w:val="en-US" w:eastAsia="zh-CN"/>
        </w:rPr>
        <w:t>救助金。持续</w:t>
      </w:r>
      <w:r>
        <w:rPr>
          <w:rFonts w:hint="eastAsia" w:ascii="仿宋" w:hAnsi="仿宋" w:eastAsia="仿宋" w:cs="仿宋"/>
          <w:b w:val="0"/>
          <w:bCs w:val="0"/>
          <w:color w:val="auto"/>
          <w:kern w:val="0"/>
          <w:sz w:val="32"/>
          <w:szCs w:val="32"/>
        </w:rPr>
        <w:t>开展“全生命周期健康生活”公益活动，联合市妇</w:t>
      </w:r>
      <w:r>
        <w:rPr>
          <w:rFonts w:hint="eastAsia" w:ascii="仿宋" w:hAnsi="仿宋" w:eastAsia="仿宋" w:cs="仿宋"/>
          <w:b w:val="0"/>
          <w:bCs w:val="0"/>
          <w:color w:val="auto"/>
          <w:kern w:val="0"/>
          <w:sz w:val="32"/>
          <w:szCs w:val="32"/>
          <w:lang w:val="en-US" w:eastAsia="zh-CN"/>
        </w:rPr>
        <w:t>幼保健院在青裕社区挂牌成立“全生命周期健康生活工作站”，</w:t>
      </w:r>
      <w:r>
        <w:rPr>
          <w:rFonts w:hint="eastAsia" w:ascii="仿宋" w:hAnsi="仿宋" w:eastAsia="仿宋" w:cs="仿宋"/>
          <w:b w:val="0"/>
          <w:bCs w:val="0"/>
          <w:color w:val="auto"/>
          <w:kern w:val="0"/>
          <w:sz w:val="32"/>
          <w:szCs w:val="32"/>
        </w:rPr>
        <w:t>为辖区妇女儿童提供宣传教育、咨询指导、筛查评估、综合干预和应急救治等全方位卫生健康服务</w:t>
      </w:r>
      <w:r>
        <w:rPr>
          <w:rFonts w:hint="eastAsia" w:ascii="仿宋" w:hAnsi="仿宋" w:eastAsia="仿宋" w:cs="仿宋"/>
          <w:b w:val="0"/>
          <w:bCs w:val="0"/>
          <w:color w:val="auto"/>
          <w:kern w:val="0"/>
          <w:sz w:val="32"/>
          <w:szCs w:val="32"/>
          <w:lang w:eastAsia="zh-CN"/>
        </w:rPr>
        <w:t>。</w:t>
      </w:r>
    </w:p>
    <w:p>
      <w:pPr>
        <w:adjustRightInd w:val="0"/>
        <w:snapToGrid w:val="0"/>
        <w:spacing w:line="560" w:lineRule="exact"/>
        <w:ind w:firstLine="643" w:firstLineChars="200"/>
        <w:rPr>
          <w:rFonts w:ascii="仿宋" w:hAnsi="仿宋" w:eastAsia="仿宋"/>
          <w:b/>
          <w:bCs/>
          <w:sz w:val="32"/>
          <w:szCs w:val="32"/>
        </w:rPr>
      </w:pPr>
      <w:r>
        <w:rPr>
          <w:rFonts w:hint="eastAsia" w:ascii="仿宋" w:hAnsi="仿宋" w:eastAsia="仿宋"/>
          <w:b/>
          <w:bCs/>
          <w:sz w:val="32"/>
          <w:szCs w:val="32"/>
          <w:lang w:eastAsia="zh-CN"/>
        </w:rPr>
        <w:t>（五）项目的</w:t>
      </w:r>
      <w:r>
        <w:rPr>
          <w:rFonts w:hint="eastAsia" w:ascii="仿宋" w:hAnsi="仿宋" w:eastAsia="仿宋"/>
          <w:b/>
          <w:bCs/>
          <w:sz w:val="32"/>
          <w:szCs w:val="32"/>
        </w:rPr>
        <w:t>组织及管理</w:t>
      </w:r>
    </w:p>
    <w:p>
      <w:pPr>
        <w:pStyle w:val="12"/>
        <w:ind w:firstLine="640" w:firstLineChars="200"/>
        <w:rPr>
          <w:rFonts w:hint="eastAsia" w:ascii="仿宋" w:hAnsi="仿宋" w:eastAsia="仿宋"/>
          <w:sz w:val="32"/>
          <w:szCs w:val="32"/>
        </w:rPr>
      </w:pPr>
      <w:r>
        <w:rPr>
          <w:rFonts w:hint="eastAsia" w:ascii="仿宋" w:hAnsi="仿宋" w:eastAsia="仿宋"/>
          <w:sz w:val="32"/>
          <w:szCs w:val="32"/>
          <w:lang w:eastAsia="zh-CN"/>
        </w:rPr>
        <w:t>妇联</w:t>
      </w:r>
      <w:r>
        <w:rPr>
          <w:rFonts w:hint="eastAsia" w:ascii="仿宋" w:hAnsi="仿宋" w:eastAsia="仿宋"/>
          <w:sz w:val="32"/>
          <w:szCs w:val="32"/>
        </w:rPr>
        <w:t>工作经费的使用，根据年初预算和年度工作任务目标、实施方案的内容及标准细化资金使用。在实施方案中，报经主席办公会或党组会集中研究同意后严格按照预算安排使用资金。</w:t>
      </w:r>
    </w:p>
    <w:p>
      <w:pPr>
        <w:numPr>
          <w:ilvl w:val="0"/>
          <w:numId w:val="1"/>
        </w:numPr>
        <w:adjustRightInd w:val="0"/>
        <w:snapToGrid w:val="0"/>
        <w:spacing w:line="560" w:lineRule="exact"/>
        <w:ind w:firstLine="643" w:firstLineChars="200"/>
        <w:rPr>
          <w:rFonts w:hint="eastAsia" w:ascii="仿宋" w:hAnsi="仿宋" w:eastAsia="仿宋"/>
          <w:b/>
          <w:bCs/>
          <w:sz w:val="32"/>
          <w:szCs w:val="32"/>
          <w:lang w:eastAsia="zh-CN"/>
        </w:rPr>
      </w:pPr>
      <w:r>
        <w:rPr>
          <w:rFonts w:hint="eastAsia" w:ascii="仿宋" w:hAnsi="仿宋" w:eastAsia="仿宋"/>
          <w:b/>
          <w:bCs/>
          <w:sz w:val="32"/>
          <w:szCs w:val="32"/>
          <w:lang w:eastAsia="zh-CN"/>
        </w:rPr>
        <w:t>项目的绩效目标</w:t>
      </w:r>
    </w:p>
    <w:p>
      <w:pPr>
        <w:numPr>
          <w:ilvl w:val="0"/>
          <w:numId w:val="0"/>
        </w:numPr>
        <w:adjustRightInd w:val="0"/>
        <w:snapToGrid w:val="0"/>
        <w:spacing w:line="560" w:lineRule="exact"/>
        <w:ind w:firstLine="960" w:firstLineChars="300"/>
        <w:rPr>
          <w:rFonts w:hint="eastAsia" w:ascii="黑体" w:hAnsi="黑体" w:eastAsia="黑体"/>
          <w:sz w:val="32"/>
          <w:szCs w:val="32"/>
        </w:rPr>
      </w:pPr>
      <w:r>
        <w:rPr>
          <w:rFonts w:hint="eastAsia" w:ascii="仿宋" w:hAnsi="仿宋" w:eastAsia="仿宋"/>
          <w:sz w:val="32"/>
          <w:szCs w:val="32"/>
        </w:rPr>
        <w:t>按照盘龙区委、区政府的202</w:t>
      </w:r>
      <w:r>
        <w:rPr>
          <w:rFonts w:hint="eastAsia" w:ascii="仿宋" w:hAnsi="仿宋" w:eastAsia="仿宋"/>
          <w:sz w:val="32"/>
          <w:szCs w:val="32"/>
          <w:lang w:val="en-US" w:eastAsia="zh-CN"/>
        </w:rPr>
        <w:t>2</w:t>
      </w:r>
      <w:r>
        <w:rPr>
          <w:rFonts w:hint="eastAsia" w:ascii="仿宋" w:hAnsi="仿宋" w:eastAsia="仿宋"/>
          <w:sz w:val="32"/>
          <w:szCs w:val="32"/>
        </w:rPr>
        <w:t>年工作任务和昆明市妇女联合会下达的主要工作目标任务，</w:t>
      </w:r>
      <w:r>
        <w:rPr>
          <w:rFonts w:hint="eastAsia" w:ascii="仿宋" w:hAnsi="仿宋" w:eastAsia="仿宋"/>
          <w:color w:val="000000"/>
          <w:sz w:val="32"/>
          <w:szCs w:val="32"/>
        </w:rPr>
        <w:t>以围绕中心、服务大局为工作主线，以联系和服务妇女为根本任务，</w:t>
      </w:r>
      <w:r>
        <w:rPr>
          <w:rFonts w:hint="eastAsia" w:ascii="仿宋" w:hAnsi="仿宋" w:eastAsia="仿宋"/>
          <w:sz w:val="32"/>
          <w:szCs w:val="32"/>
        </w:rPr>
        <w:t>团结动员全区妇女投身中国特色社会主义现代化建设；维护妇女儿童合法权益，宣传马克思主义妇女观，推动落实男女平等基本国策；关心妇女工作生活，拓宽服务渠道，建设服务阵地，加强与女性社会组织和社会各界的联系，推动全社会为妇女儿童和家庭服务，组织全区妇女开展宣传、咨询、培训、讲座及各项宣传活动。</w:t>
      </w:r>
    </w:p>
    <w:p>
      <w:pPr>
        <w:topLinePunct/>
        <w:spacing w:line="560" w:lineRule="exact"/>
        <w:ind w:firstLine="800" w:firstLineChars="250"/>
        <w:rPr>
          <w:rFonts w:ascii="黑体" w:hAnsi="黑体" w:eastAsia="黑体"/>
          <w:sz w:val="32"/>
          <w:szCs w:val="32"/>
        </w:rPr>
      </w:pPr>
      <w:r>
        <w:rPr>
          <w:rFonts w:hint="eastAsia" w:ascii="黑体" w:hAnsi="黑体" w:eastAsia="黑体"/>
          <w:sz w:val="32"/>
          <w:szCs w:val="32"/>
        </w:rPr>
        <w:t>二、绩效评价工作情况</w:t>
      </w:r>
    </w:p>
    <w:p>
      <w:pPr>
        <w:topLinePunct/>
        <w:spacing w:line="560" w:lineRule="exact"/>
        <w:ind w:firstLine="803" w:firstLineChars="250"/>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rPr>
        <w:t>（一）绩效评价目的</w:t>
      </w:r>
      <w:r>
        <w:rPr>
          <w:rFonts w:hint="eastAsia" w:ascii="仿宋_GB2312" w:hAnsi="仿宋_GB2312" w:eastAsia="仿宋_GB2312" w:cs="仿宋_GB2312"/>
          <w:b/>
          <w:bCs/>
          <w:sz w:val="32"/>
          <w:szCs w:val="32"/>
          <w:lang w:eastAsia="zh-CN"/>
        </w:rPr>
        <w:t>和依据</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通过项目资金收支情况、绩效目标设置情况、资金使用情况、资金管理情况、取得成效情况进行自评，了解资金使用是否达到了预期目标、资金管理是否规范、资金使用是否有效，检验资金支出效率和效果，分析存在问题及原因，及时总结经验，改进管理措施，不断增强和落实管理责任，完善工作机制，有效提高资金管理水平和使用效益。</w:t>
      </w:r>
    </w:p>
    <w:p>
      <w:pPr>
        <w:topLinePunct/>
        <w:spacing w:line="560" w:lineRule="exact"/>
        <w:ind w:firstLine="803" w:firstLineChars="25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（二）绩效评价工作方案制定过程</w:t>
      </w:r>
    </w:p>
    <w:p>
      <w:pPr>
        <w:topLinePunct/>
        <w:spacing w:line="560" w:lineRule="exact"/>
        <w:ind w:firstLine="803" w:firstLineChars="250"/>
        <w:rPr>
          <w:rFonts w:ascii="仿宋" w:hAnsi="仿宋" w:eastAsia="仿宋"/>
          <w:b/>
          <w:bCs/>
          <w:sz w:val="32"/>
          <w:szCs w:val="32"/>
        </w:rPr>
      </w:pPr>
      <w:r>
        <w:rPr>
          <w:rFonts w:hint="eastAsia" w:ascii="仿宋_GB2312" w:hAnsi="仿宋_GB2312" w:eastAsia="仿宋_GB2312" w:cs="仿宋_GB2312"/>
          <w:b/>
          <w:bCs/>
          <w:sz w:val="32"/>
          <w:szCs w:val="32"/>
        </w:rPr>
        <w:t>1.前期调研</w:t>
      </w:r>
    </w:p>
    <w:p>
      <w:pPr>
        <w:topLinePunct/>
        <w:spacing w:line="560" w:lineRule="exact"/>
        <w:ind w:firstLine="790" w:firstLineChars="250"/>
        <w:rPr>
          <w:rFonts w:ascii="仿宋" w:hAnsi="仿宋" w:eastAsia="仿宋"/>
          <w:caps/>
          <w:color w:val="000000"/>
          <w:w w:val="99"/>
          <w:sz w:val="32"/>
          <w:szCs w:val="32"/>
        </w:rPr>
      </w:pPr>
      <w:r>
        <w:rPr>
          <w:rFonts w:hint="eastAsia" w:ascii="仿宋" w:hAnsi="仿宋" w:eastAsia="仿宋"/>
          <w:caps/>
          <w:color w:val="000000"/>
          <w:w w:val="99"/>
          <w:sz w:val="32"/>
          <w:szCs w:val="32"/>
          <w:lang w:eastAsia="zh-CN"/>
        </w:rPr>
        <w:t>盘龙</w:t>
      </w:r>
      <w:r>
        <w:rPr>
          <w:rFonts w:hint="eastAsia" w:ascii="仿宋" w:hAnsi="仿宋" w:eastAsia="仿宋"/>
          <w:caps/>
          <w:color w:val="000000"/>
          <w:w w:val="99"/>
          <w:sz w:val="32"/>
          <w:szCs w:val="32"/>
        </w:rPr>
        <w:t>区妇联对绩效评价工作高度重视，根据</w:t>
      </w:r>
      <w:r>
        <w:rPr>
          <w:rFonts w:hint="eastAsia" w:ascii="仿宋" w:hAnsi="仿宋" w:eastAsia="仿宋"/>
          <w:caps/>
          <w:color w:val="000000"/>
          <w:w w:val="99"/>
          <w:sz w:val="32"/>
          <w:szCs w:val="32"/>
          <w:lang w:eastAsia="zh-CN"/>
        </w:rPr>
        <w:t>《</w:t>
      </w:r>
      <w:r>
        <w:rPr>
          <w:rFonts w:hint="eastAsia" w:ascii="仿宋" w:hAnsi="仿宋" w:eastAsia="仿宋"/>
          <w:caps/>
          <w:color w:val="000000"/>
          <w:w w:val="99"/>
          <w:kern w:val="0"/>
          <w:sz w:val="32"/>
          <w:szCs w:val="32"/>
        </w:rPr>
        <w:t>昆明市盘龙区财政局关于开展2022年1-12月区级预算支出绩效跟踪工作的通知</w:t>
      </w:r>
      <w:r>
        <w:rPr>
          <w:rFonts w:hint="eastAsia" w:ascii="仿宋" w:hAnsi="仿宋" w:eastAsia="仿宋"/>
          <w:color w:val="000000" w:themeColor="text1"/>
          <w:kern w:val="0"/>
          <w:sz w:val="32"/>
          <w:szCs w:val="32"/>
          <w:lang w:eastAsia="zh-CN"/>
        </w:rPr>
        <w:t>》</w:t>
      </w:r>
      <w:r>
        <w:rPr>
          <w:rFonts w:hint="eastAsia" w:ascii="仿宋" w:hAnsi="仿宋" w:eastAsia="仿宋"/>
          <w:kern w:val="0"/>
          <w:sz w:val="32"/>
          <w:szCs w:val="32"/>
        </w:rPr>
        <w:t>的要求</w:t>
      </w:r>
      <w:r>
        <w:rPr>
          <w:rFonts w:hint="eastAsia" w:ascii="仿宋" w:hAnsi="仿宋" w:eastAsia="仿宋"/>
          <w:caps/>
          <w:color w:val="000000"/>
          <w:w w:val="99"/>
          <w:sz w:val="32"/>
          <w:szCs w:val="32"/>
        </w:rPr>
        <w:t>，召开专题会议对做好部门支出绩效自评工作进行了研究和部署，并成立了分管副主席为组长的绩效管理工作领导小组，明确由区妇联办公室牵头，各业务部门配合，按照通知要求认真做好绩效评价各项工作，在规定时限内完成绩效评价工作任务。</w:t>
      </w:r>
    </w:p>
    <w:p>
      <w:pPr>
        <w:topLinePunct/>
        <w:spacing w:line="560" w:lineRule="exact"/>
        <w:ind w:firstLine="803" w:firstLineChars="25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2.研究文件</w:t>
      </w:r>
    </w:p>
    <w:p>
      <w:pPr>
        <w:spacing w:line="580" w:lineRule="exact"/>
        <w:jc w:val="left"/>
        <w:rPr>
          <w:rFonts w:ascii="仿宋" w:hAnsi="仿宋" w:eastAsia="仿宋"/>
          <w:caps/>
          <w:color w:val="000000"/>
          <w:w w:val="99"/>
          <w:sz w:val="32"/>
          <w:szCs w:val="32"/>
        </w:rPr>
      </w:pPr>
      <w:r>
        <w:rPr>
          <w:rFonts w:hint="eastAsia" w:ascii="仿宋" w:hAnsi="仿宋" w:eastAsia="仿宋"/>
          <w:caps/>
          <w:color w:val="000000"/>
          <w:w w:val="99"/>
          <w:sz w:val="32"/>
          <w:szCs w:val="32"/>
        </w:rPr>
        <w:t>《中</w:t>
      </w:r>
      <w:r>
        <w:rPr>
          <w:rFonts w:ascii="仿宋" w:hAnsi="仿宋" w:eastAsia="仿宋"/>
          <w:caps/>
          <w:color w:val="000000"/>
          <w:w w:val="99"/>
          <w:sz w:val="32"/>
          <w:szCs w:val="32"/>
        </w:rPr>
        <w:t>共昆明市委关于加强和改进党的群团工作的</w:t>
      </w:r>
      <w:r>
        <w:rPr>
          <w:rFonts w:hint="eastAsia" w:ascii="仿宋" w:hAnsi="仿宋" w:eastAsia="仿宋"/>
          <w:caps/>
          <w:color w:val="000000"/>
          <w:w w:val="99"/>
          <w:sz w:val="32"/>
          <w:szCs w:val="32"/>
        </w:rPr>
        <w:t>实</w:t>
      </w:r>
      <w:r>
        <w:rPr>
          <w:rFonts w:ascii="仿宋" w:hAnsi="仿宋" w:eastAsia="仿宋"/>
          <w:caps/>
          <w:color w:val="000000"/>
          <w:w w:val="99"/>
          <w:sz w:val="32"/>
          <w:szCs w:val="32"/>
        </w:rPr>
        <w:t>施意见</w:t>
      </w:r>
      <w:r>
        <w:rPr>
          <w:rFonts w:hint="eastAsia" w:ascii="仿宋" w:hAnsi="仿宋" w:eastAsia="仿宋"/>
          <w:caps/>
          <w:color w:val="000000"/>
          <w:w w:val="99"/>
          <w:sz w:val="32"/>
          <w:szCs w:val="32"/>
        </w:rPr>
        <w:t>》</w:t>
      </w:r>
      <w:r>
        <w:rPr>
          <w:rFonts w:ascii="仿宋" w:hAnsi="仿宋" w:eastAsia="仿宋"/>
          <w:caps/>
          <w:color w:val="000000"/>
          <w:w w:val="99"/>
          <w:sz w:val="32"/>
          <w:szCs w:val="32"/>
        </w:rPr>
        <w:t>（昆发〔201</w:t>
      </w:r>
      <w:r>
        <w:rPr>
          <w:rFonts w:hint="eastAsia" w:ascii="仿宋" w:hAnsi="仿宋" w:eastAsia="仿宋"/>
          <w:caps/>
          <w:color w:val="000000"/>
          <w:w w:val="99"/>
          <w:sz w:val="32"/>
          <w:szCs w:val="32"/>
        </w:rPr>
        <w:t>5</w:t>
      </w:r>
      <w:r>
        <w:rPr>
          <w:rFonts w:ascii="仿宋" w:hAnsi="仿宋" w:eastAsia="仿宋"/>
          <w:caps/>
          <w:color w:val="000000"/>
          <w:w w:val="99"/>
          <w:sz w:val="32"/>
          <w:szCs w:val="32"/>
        </w:rPr>
        <w:t>〕</w:t>
      </w:r>
      <w:r>
        <w:rPr>
          <w:rFonts w:hint="eastAsia" w:ascii="仿宋" w:hAnsi="仿宋" w:eastAsia="仿宋"/>
          <w:caps/>
          <w:color w:val="000000"/>
          <w:w w:val="99"/>
          <w:sz w:val="32"/>
          <w:szCs w:val="32"/>
        </w:rPr>
        <w:t>21</w:t>
      </w:r>
      <w:r>
        <w:rPr>
          <w:rFonts w:ascii="仿宋" w:hAnsi="仿宋" w:eastAsia="仿宋"/>
          <w:caps/>
          <w:color w:val="000000"/>
          <w:w w:val="99"/>
          <w:sz w:val="32"/>
          <w:szCs w:val="32"/>
        </w:rPr>
        <w:t xml:space="preserve"> 号）</w:t>
      </w:r>
      <w:r>
        <w:rPr>
          <w:rFonts w:hint="eastAsia" w:ascii="仿宋" w:hAnsi="仿宋" w:eastAsia="仿宋"/>
          <w:caps/>
          <w:color w:val="000000"/>
          <w:w w:val="99"/>
          <w:sz w:val="32"/>
          <w:szCs w:val="32"/>
        </w:rPr>
        <w:t>文件精神；</w:t>
      </w:r>
      <w:r>
        <w:rPr>
          <w:rFonts w:ascii="仿宋" w:hAnsi="仿宋" w:eastAsia="仿宋"/>
          <w:caps/>
          <w:color w:val="000000"/>
          <w:w w:val="99"/>
          <w:sz w:val="32"/>
          <w:szCs w:val="32"/>
        </w:rPr>
        <w:t>《中共昆明市委办公厅关于印发&lt;昆明市妇联改革实施方案&gt;的通知》（昆办发〔2017〕</w:t>
      </w:r>
      <w:r>
        <w:rPr>
          <w:rFonts w:hint="eastAsia" w:ascii="仿宋" w:hAnsi="仿宋" w:eastAsia="仿宋"/>
          <w:caps/>
          <w:color w:val="000000"/>
          <w:w w:val="99"/>
          <w:sz w:val="32"/>
          <w:szCs w:val="32"/>
        </w:rPr>
        <w:t>80</w:t>
      </w:r>
      <w:r>
        <w:rPr>
          <w:rFonts w:ascii="仿宋" w:hAnsi="仿宋" w:eastAsia="仿宋"/>
          <w:caps/>
          <w:color w:val="000000"/>
          <w:w w:val="99"/>
          <w:sz w:val="32"/>
          <w:szCs w:val="32"/>
        </w:rPr>
        <w:t xml:space="preserve"> 号）</w:t>
      </w:r>
      <w:r>
        <w:rPr>
          <w:rFonts w:hint="eastAsia" w:ascii="仿宋" w:hAnsi="仿宋" w:eastAsia="仿宋"/>
          <w:caps/>
          <w:color w:val="000000"/>
          <w:w w:val="99"/>
          <w:sz w:val="32"/>
          <w:szCs w:val="32"/>
        </w:rPr>
        <w:t>文件精神；中共昆明市盘龙区委办公室关于印发《盘龙区妇联改革实施方案》的通知（</w:t>
      </w:r>
      <w:r>
        <w:rPr>
          <w:rFonts w:hint="eastAsia" w:ascii="仿宋" w:hAnsi="仿宋" w:eastAsia="仿宋"/>
          <w:sz w:val="32"/>
          <w:szCs w:val="32"/>
        </w:rPr>
        <w:t>盘办通</w:t>
      </w:r>
      <w:r>
        <w:rPr>
          <w:rFonts w:ascii="仿宋" w:hAnsi="仿宋" w:eastAsia="仿宋"/>
          <w:caps/>
          <w:color w:val="000000"/>
          <w:w w:val="99"/>
          <w:sz w:val="32"/>
          <w:szCs w:val="32"/>
        </w:rPr>
        <w:t>〔2017〕</w:t>
      </w:r>
      <w:r>
        <w:rPr>
          <w:rFonts w:hint="eastAsia" w:ascii="仿宋" w:hAnsi="仿宋" w:eastAsia="仿宋"/>
          <w:sz w:val="32"/>
          <w:szCs w:val="32"/>
        </w:rPr>
        <w:t>31号）。</w:t>
      </w:r>
    </w:p>
    <w:p>
      <w:pPr>
        <w:spacing w:line="560" w:lineRule="exact"/>
        <w:ind w:firstLine="643" w:firstLineChars="200"/>
        <w:rPr>
          <w:rFonts w:ascii="仿宋" w:hAnsi="仿宋" w:eastAsia="仿宋"/>
          <w:sz w:val="32"/>
          <w:szCs w:val="32"/>
        </w:rPr>
      </w:pPr>
      <w:r>
        <w:rPr>
          <w:rFonts w:hint="eastAsia" w:ascii="仿宋" w:hAnsi="仿宋" w:eastAsia="仿宋"/>
          <w:b/>
          <w:bCs/>
          <w:sz w:val="32"/>
          <w:szCs w:val="32"/>
        </w:rPr>
        <w:t>3.绩效评价指标体系及工作方案的设计</w:t>
      </w:r>
    </w:p>
    <w:p>
      <w:pPr>
        <w:topLinePunct/>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盘龙</w:t>
      </w:r>
      <w:r>
        <w:rPr>
          <w:rFonts w:hint="eastAsia" w:ascii="仿宋" w:hAnsi="仿宋" w:eastAsia="仿宋"/>
          <w:sz w:val="32"/>
          <w:szCs w:val="32"/>
        </w:rPr>
        <w:t>区妇联严格按照要求积极开展部门支出绩效自评工作，成立绩效管理领导小组，组织各业务科室及业务人员学习相关文件精神。立足工作实际和特点，根据工作任务、职能职责、预算管理相关制度、部门预（决）算情况、年度履职绩效目标，制定了《盘龙区妇联整体支出绩效自评指标体系评分表》，结合区委区政府和市妇联的年度工作考核情况，对绩效目标设置是否科学、预算执行是否有效、预算目标是否完成、支出效益是否明显进行了认真分析评价，形成了绩效自评报告</w:t>
      </w:r>
    </w:p>
    <w:p>
      <w:pPr>
        <w:topLinePunct/>
        <w:spacing w:line="560" w:lineRule="exact"/>
        <w:ind w:firstLine="643" w:firstLineChars="200"/>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（三）绩效评价原则、评价方法</w:t>
      </w:r>
    </w:p>
    <w:p>
      <w:pPr>
        <w:topLinePunct/>
        <w:spacing w:line="560" w:lineRule="exact"/>
        <w:ind w:firstLine="640" w:firstLineChars="200"/>
        <w:rPr>
          <w:rFonts w:ascii="仿宋" w:hAnsi="仿宋" w:eastAsia="仿宋"/>
          <w:sz w:val="32"/>
          <w:szCs w:val="32"/>
        </w:rPr>
      </w:pPr>
      <w:r>
        <w:rPr>
          <w:rFonts w:hint="eastAsia" w:ascii="仿宋" w:hAnsi="仿宋" w:eastAsia="仿宋"/>
          <w:sz w:val="32"/>
          <w:szCs w:val="32"/>
        </w:rPr>
        <w:t>1.绩效评价原则</w:t>
      </w:r>
    </w:p>
    <w:p>
      <w:pPr>
        <w:topLinePunct/>
        <w:spacing w:line="560" w:lineRule="exact"/>
        <w:ind w:firstLine="640" w:firstLineChars="200"/>
        <w:rPr>
          <w:rFonts w:ascii="仿宋" w:hAnsi="仿宋" w:eastAsia="仿宋"/>
          <w:sz w:val="32"/>
          <w:szCs w:val="32"/>
        </w:rPr>
      </w:pPr>
      <w:r>
        <w:rPr>
          <w:rFonts w:hint="eastAsia" w:ascii="仿宋" w:hAnsi="仿宋" w:eastAsia="仿宋"/>
          <w:sz w:val="32"/>
          <w:szCs w:val="32"/>
        </w:rPr>
        <w:t>按照科学规范、公开公正、绩效相结合原则。</w:t>
      </w:r>
    </w:p>
    <w:p>
      <w:pPr>
        <w:topLinePunct/>
        <w:spacing w:line="560" w:lineRule="exact"/>
        <w:ind w:firstLine="640" w:firstLineChars="200"/>
        <w:rPr>
          <w:rFonts w:ascii="仿宋" w:hAnsi="仿宋" w:eastAsia="仿宋"/>
          <w:sz w:val="32"/>
          <w:szCs w:val="32"/>
        </w:rPr>
      </w:pPr>
      <w:r>
        <w:rPr>
          <w:rFonts w:hint="eastAsia" w:ascii="仿宋" w:hAnsi="仿宋" w:eastAsia="仿宋"/>
          <w:sz w:val="32"/>
          <w:szCs w:val="32"/>
        </w:rPr>
        <w:t>2.绩效评价方法</w:t>
      </w:r>
    </w:p>
    <w:p>
      <w:pPr>
        <w:topLinePunct/>
        <w:spacing w:line="560" w:lineRule="exact"/>
        <w:ind w:firstLine="640" w:firstLineChars="200"/>
        <w:rPr>
          <w:rFonts w:ascii="仿宋" w:hAnsi="仿宋" w:eastAsia="仿宋"/>
          <w:sz w:val="32"/>
          <w:szCs w:val="32"/>
        </w:rPr>
      </w:pPr>
      <w:r>
        <w:rPr>
          <w:rFonts w:hint="eastAsia" w:ascii="仿宋" w:hAnsi="仿宋" w:eastAsia="仿宋"/>
          <w:sz w:val="32"/>
          <w:szCs w:val="32"/>
        </w:rPr>
        <w:t>平时考核和年终考核相结合。</w:t>
      </w:r>
    </w:p>
    <w:p>
      <w:pPr>
        <w:topLinePunct/>
        <w:spacing w:line="560" w:lineRule="exact"/>
        <w:ind w:firstLine="482" w:firstLineChars="150"/>
        <w:rPr>
          <w:rFonts w:ascii="仿宋" w:hAnsi="仿宋" w:eastAsia="仿宋"/>
          <w:b/>
          <w:sz w:val="32"/>
          <w:szCs w:val="32"/>
        </w:rPr>
      </w:pPr>
      <w:r>
        <w:rPr>
          <w:rFonts w:hint="eastAsia" w:ascii="仿宋" w:hAnsi="仿宋" w:eastAsia="仿宋"/>
          <w:b/>
          <w:sz w:val="32"/>
          <w:szCs w:val="32"/>
        </w:rPr>
        <w:t>（四）绩效评价实施过程</w:t>
      </w:r>
    </w:p>
    <w:p>
      <w:pPr>
        <w:spacing w:line="560" w:lineRule="exact"/>
        <w:ind w:left="1" w:firstLine="640" w:firstLineChars="200"/>
        <w:jc w:val="left"/>
        <w:rPr>
          <w:rFonts w:ascii="仿宋" w:hAnsi="仿宋" w:eastAsia="仿宋"/>
          <w:color w:val="000000"/>
          <w:sz w:val="32"/>
          <w:szCs w:val="32"/>
        </w:rPr>
      </w:pPr>
      <w:r>
        <w:rPr>
          <w:rFonts w:hint="eastAsia" w:ascii="仿宋" w:hAnsi="仿宋" w:eastAsia="仿宋"/>
          <w:color w:val="000000"/>
          <w:sz w:val="32"/>
          <w:szCs w:val="32"/>
        </w:rPr>
        <w:t>1、前期准备：</w:t>
      </w:r>
      <w:r>
        <w:rPr>
          <w:rFonts w:hint="eastAsia" w:ascii="仿宋" w:hAnsi="仿宋" w:eastAsia="仿宋"/>
          <w:sz w:val="32"/>
          <w:szCs w:val="32"/>
        </w:rPr>
        <w:t>区妇联</w:t>
      </w:r>
      <w:r>
        <w:rPr>
          <w:rFonts w:hint="eastAsia" w:ascii="仿宋" w:hAnsi="仿宋" w:eastAsia="仿宋"/>
          <w:color w:val="000000"/>
          <w:sz w:val="32"/>
          <w:szCs w:val="32"/>
        </w:rPr>
        <w:t>将项目绩效评价工作作为一项重要工作组织落实，认真学习省、市、区绩效评价相关文件精神，积极参加区财政局举办的绩效评价培训，为扎实抓好绩效评价工作夯实理论基础。</w:t>
      </w:r>
    </w:p>
    <w:p>
      <w:pPr>
        <w:spacing w:line="560" w:lineRule="exact"/>
        <w:ind w:left="1" w:firstLine="640" w:firstLineChars="200"/>
        <w:jc w:val="left"/>
        <w:rPr>
          <w:rFonts w:ascii="仿宋" w:hAnsi="仿宋" w:eastAsia="仿宋"/>
          <w:color w:val="000000"/>
          <w:szCs w:val="21"/>
        </w:rPr>
      </w:pPr>
      <w:r>
        <w:rPr>
          <w:rFonts w:hint="eastAsia" w:ascii="仿宋" w:hAnsi="仿宋" w:eastAsia="仿宋"/>
          <w:color w:val="000000"/>
          <w:sz w:val="32"/>
          <w:szCs w:val="32"/>
        </w:rPr>
        <w:t>2、组织实施：一是结合工作职责提出年度主要工作内容和总体目标；二是将年度项目目标任务进行分解和细化，提出预期实现的效益；三是加强绩效督查和跟踪管理，半年和年底按照财政部门的安排和部署对</w:t>
      </w:r>
      <w:r>
        <w:rPr>
          <w:rFonts w:hint="eastAsia" w:ascii="仿宋" w:hAnsi="仿宋" w:eastAsia="仿宋"/>
          <w:sz w:val="32"/>
          <w:szCs w:val="32"/>
        </w:rPr>
        <w:t>妇联</w:t>
      </w:r>
      <w:r>
        <w:rPr>
          <w:rFonts w:hint="eastAsia" w:ascii="仿宋" w:hAnsi="仿宋" w:eastAsia="仿宋"/>
          <w:color w:val="000000"/>
          <w:sz w:val="32"/>
          <w:szCs w:val="32"/>
        </w:rPr>
        <w:t>项目支出绩效自评指标主项进行自评，按要求写出绩效评价报告。</w:t>
      </w:r>
    </w:p>
    <w:p>
      <w:pPr>
        <w:topLinePunct/>
        <w:spacing w:line="560" w:lineRule="exact"/>
        <w:ind w:firstLine="803" w:firstLineChars="250"/>
        <w:rPr>
          <w:rFonts w:ascii="仿宋" w:hAnsi="仿宋" w:eastAsia="仿宋"/>
          <w:b/>
          <w:sz w:val="32"/>
          <w:szCs w:val="32"/>
        </w:rPr>
      </w:pPr>
      <w:r>
        <w:rPr>
          <w:rFonts w:hint="eastAsia" w:ascii="仿宋" w:hAnsi="仿宋" w:eastAsia="仿宋"/>
          <w:b/>
          <w:sz w:val="32"/>
          <w:szCs w:val="32"/>
        </w:rPr>
        <w:t>（五）本次绩效评价的局限性</w:t>
      </w:r>
    </w:p>
    <w:p>
      <w:pPr>
        <w:topLinePunct/>
        <w:spacing w:line="560" w:lineRule="exact"/>
        <w:ind w:firstLine="800" w:firstLineChars="250"/>
        <w:rPr>
          <w:rFonts w:ascii="仿宋" w:hAnsi="仿宋" w:eastAsia="仿宋"/>
          <w:color w:val="000000" w:themeColor="text1"/>
          <w:sz w:val="32"/>
          <w:szCs w:val="32"/>
        </w:rPr>
      </w:pPr>
      <w:r>
        <w:rPr>
          <w:rFonts w:hint="eastAsia" w:ascii="仿宋" w:hAnsi="仿宋" w:eastAsia="仿宋"/>
          <w:sz w:val="32"/>
          <w:szCs w:val="32"/>
        </w:rPr>
        <w:t>1.</w:t>
      </w:r>
      <w:r>
        <w:rPr>
          <w:rFonts w:hint="eastAsia" w:ascii="仿宋" w:hAnsi="仿宋" w:eastAsia="仿宋"/>
          <w:color w:val="000000" w:themeColor="text1"/>
          <w:sz w:val="32"/>
          <w:szCs w:val="32"/>
        </w:rPr>
        <w:t>实施的效果丰富性上有差异，经费使用上还存在不科学的情况。</w:t>
      </w:r>
    </w:p>
    <w:p>
      <w:pPr>
        <w:topLinePunct/>
        <w:spacing w:line="560" w:lineRule="exact"/>
        <w:ind w:firstLine="800" w:firstLineChars="250"/>
        <w:rPr>
          <w:rFonts w:ascii="仿宋" w:hAnsi="仿宋" w:eastAsia="仿宋"/>
          <w:sz w:val="32"/>
          <w:szCs w:val="32"/>
        </w:rPr>
      </w:pPr>
      <w:r>
        <w:rPr>
          <w:rFonts w:hint="eastAsia" w:ascii="仿宋" w:hAnsi="仿宋" w:eastAsia="仿宋"/>
          <w:sz w:val="32"/>
          <w:szCs w:val="32"/>
        </w:rPr>
        <w:t>2.受实际工作安排影响，项目实际支出进度与年初预算中项目支出进度要求存在一定差距。</w:t>
      </w:r>
    </w:p>
    <w:p>
      <w:pPr>
        <w:topLinePunct/>
        <w:spacing w:line="560" w:lineRule="exact"/>
        <w:ind w:firstLine="800" w:firstLineChars="250"/>
        <w:rPr>
          <w:rFonts w:ascii="黑体" w:hAnsi="黑体" w:eastAsia="黑体"/>
          <w:sz w:val="32"/>
          <w:szCs w:val="32"/>
        </w:rPr>
      </w:pPr>
      <w:r>
        <w:rPr>
          <w:rFonts w:hint="eastAsia" w:ascii="黑体" w:hAnsi="黑体" w:eastAsia="黑体"/>
          <w:sz w:val="32"/>
          <w:szCs w:val="32"/>
        </w:rPr>
        <w:t>三、评价结论和绩效分析</w:t>
      </w:r>
    </w:p>
    <w:p>
      <w:pPr>
        <w:topLinePunct/>
        <w:spacing w:line="560" w:lineRule="exact"/>
        <w:ind w:firstLine="803" w:firstLineChars="250"/>
        <w:rPr>
          <w:rFonts w:ascii="仿宋" w:hAnsi="仿宋" w:eastAsia="仿宋"/>
          <w:b/>
          <w:color w:val="000000" w:themeColor="text1"/>
          <w:sz w:val="32"/>
          <w:szCs w:val="32"/>
        </w:rPr>
      </w:pPr>
      <w:r>
        <w:rPr>
          <w:rFonts w:hint="eastAsia" w:ascii="仿宋" w:hAnsi="仿宋" w:eastAsia="仿宋"/>
          <w:b/>
          <w:color w:val="000000" w:themeColor="text1"/>
          <w:sz w:val="32"/>
          <w:szCs w:val="32"/>
        </w:rPr>
        <w:t>（一）评价结论</w:t>
      </w:r>
    </w:p>
    <w:p>
      <w:pPr>
        <w:topLinePunct/>
        <w:spacing w:line="560" w:lineRule="exact"/>
        <w:ind w:firstLine="960" w:firstLineChars="300"/>
        <w:rPr>
          <w:rFonts w:ascii="仿宋" w:hAnsi="仿宋" w:eastAsia="仿宋"/>
          <w:color w:val="000000" w:themeColor="text1"/>
          <w:sz w:val="32"/>
          <w:szCs w:val="32"/>
        </w:rPr>
      </w:pPr>
      <w:r>
        <w:rPr>
          <w:rFonts w:hint="eastAsia" w:ascii="仿宋" w:hAnsi="仿宋" w:eastAsia="仿宋"/>
          <w:color w:val="000000" w:themeColor="text1"/>
          <w:sz w:val="32"/>
          <w:szCs w:val="32"/>
        </w:rPr>
        <w:t>评价结果</w:t>
      </w:r>
    </w:p>
    <w:p>
      <w:pPr>
        <w:widowControl/>
        <w:spacing w:line="560" w:lineRule="exact"/>
        <w:ind w:firstLine="960" w:firstLineChars="300"/>
        <w:jc w:val="left"/>
        <w:rPr>
          <w:rFonts w:ascii="仿宋" w:hAnsi="仿宋" w:eastAsia="仿宋" w:cs="仿宋_GB2312"/>
          <w:color w:val="000000" w:themeColor="text1"/>
          <w:sz w:val="32"/>
          <w:szCs w:val="32"/>
          <w:lang w:val="zh-CN" w:bidi="th-TH"/>
        </w:rPr>
      </w:pPr>
      <w:r>
        <w:rPr>
          <w:rFonts w:hint="eastAsia" w:ascii="仿宋" w:hAnsi="仿宋" w:eastAsia="仿宋" w:cs="仿宋_GB2312"/>
          <w:color w:val="000000" w:themeColor="text1"/>
          <w:sz w:val="32"/>
          <w:szCs w:val="32"/>
          <w:lang w:val="zh-CN" w:bidi="th-TH"/>
        </w:rPr>
        <w:t>盘龙区妇联妇联工作专项经费绩效目标完成情况良好。</w:t>
      </w:r>
    </w:p>
    <w:p>
      <w:pPr>
        <w:widowControl/>
        <w:spacing w:line="560" w:lineRule="exact"/>
        <w:ind w:firstLine="643" w:firstLineChars="200"/>
        <w:jc w:val="left"/>
        <w:rPr>
          <w:rFonts w:ascii="仿宋" w:hAnsi="仿宋" w:eastAsia="仿宋"/>
          <w:b/>
          <w:color w:val="000000" w:themeColor="text1"/>
          <w:sz w:val="32"/>
          <w:szCs w:val="32"/>
        </w:rPr>
      </w:pPr>
      <w:r>
        <w:rPr>
          <w:rFonts w:hint="eastAsia" w:ascii="仿宋" w:hAnsi="仿宋" w:eastAsia="仿宋"/>
          <w:b/>
          <w:color w:val="000000" w:themeColor="text1"/>
          <w:sz w:val="32"/>
          <w:szCs w:val="32"/>
        </w:rPr>
        <w:t>（二）具体绩效分析</w:t>
      </w:r>
    </w:p>
    <w:p>
      <w:pPr>
        <w:widowControl/>
        <w:spacing w:line="560" w:lineRule="exact"/>
        <w:ind w:firstLine="960" w:firstLineChars="300"/>
        <w:jc w:val="left"/>
        <w:rPr>
          <w:rFonts w:ascii="仿宋" w:hAnsi="仿宋" w:eastAsia="仿宋"/>
          <w:color w:val="000000" w:themeColor="text1"/>
          <w:sz w:val="32"/>
          <w:szCs w:val="32"/>
        </w:rPr>
      </w:pPr>
      <w:r>
        <w:rPr>
          <w:rFonts w:hint="eastAsia" w:ascii="仿宋" w:hAnsi="仿宋" w:eastAsia="仿宋"/>
          <w:color w:val="000000" w:themeColor="text1"/>
          <w:kern w:val="0"/>
          <w:sz w:val="32"/>
          <w:szCs w:val="32"/>
          <w:lang w:val="en-US" w:eastAsia="zh-CN"/>
        </w:rPr>
        <w:t>1.</w:t>
      </w:r>
      <w:r>
        <w:rPr>
          <w:rFonts w:hint="eastAsia" w:ascii="仿宋" w:hAnsi="仿宋" w:eastAsia="仿宋"/>
          <w:color w:val="000000" w:themeColor="text1"/>
          <w:kern w:val="0"/>
          <w:sz w:val="32"/>
          <w:szCs w:val="32"/>
          <w:lang w:eastAsia="zh-CN"/>
        </w:rPr>
        <w:t>盘龙</w:t>
      </w:r>
      <w:r>
        <w:rPr>
          <w:rFonts w:hint="eastAsia" w:ascii="仿宋" w:hAnsi="仿宋" w:eastAsia="仿宋"/>
          <w:color w:val="000000" w:themeColor="text1"/>
          <w:kern w:val="0"/>
          <w:sz w:val="32"/>
          <w:szCs w:val="32"/>
        </w:rPr>
        <w:t>区妇联组织工作对照区委区政府确定的工作任务, 省、市妇联下达的工作任务和202</w:t>
      </w:r>
      <w:r>
        <w:rPr>
          <w:rFonts w:hint="eastAsia" w:ascii="仿宋" w:hAnsi="仿宋" w:eastAsia="仿宋"/>
          <w:color w:val="000000" w:themeColor="text1"/>
          <w:kern w:val="0"/>
          <w:sz w:val="32"/>
          <w:szCs w:val="32"/>
          <w:lang w:val="en-US" w:eastAsia="zh-CN"/>
        </w:rPr>
        <w:t>2</w:t>
      </w:r>
      <w:r>
        <w:rPr>
          <w:rFonts w:hint="eastAsia" w:ascii="仿宋" w:hAnsi="仿宋" w:eastAsia="仿宋"/>
          <w:color w:val="000000" w:themeColor="text1"/>
          <w:kern w:val="0"/>
          <w:sz w:val="32"/>
          <w:szCs w:val="32"/>
        </w:rPr>
        <w:t>年度区目标责任单位主</w:t>
      </w:r>
      <w:r>
        <w:rPr>
          <w:rFonts w:hint="eastAsia" w:ascii="仿宋" w:hAnsi="仿宋" w:eastAsia="仿宋"/>
          <w:color w:val="000000" w:themeColor="text1"/>
          <w:sz w:val="32"/>
          <w:szCs w:val="32"/>
        </w:rPr>
        <w:t>要工作目标，细化分解任务，落实到分管领导和责任人，全面推进妇联改革创新，优化了妇联基层组织建设，加强了社区妇联干部队伍建设。</w:t>
      </w:r>
    </w:p>
    <w:p>
      <w:pPr>
        <w:topLinePunct/>
        <w:spacing w:line="560" w:lineRule="exact"/>
        <w:ind w:firstLine="800" w:firstLineChars="250"/>
        <w:rPr>
          <w:rFonts w:ascii="仿宋" w:hAnsi="仿宋" w:eastAsia="仿宋"/>
          <w:color w:val="000000" w:themeColor="text1"/>
          <w:sz w:val="32"/>
          <w:szCs w:val="32"/>
        </w:rPr>
      </w:pPr>
      <w:r>
        <w:rPr>
          <w:rFonts w:hint="eastAsia" w:ascii="仿宋_GB2312" w:hAnsi="仿宋_GB2312" w:eastAsia="仿宋_GB2312" w:cs="仿宋_GB2312"/>
          <w:color w:val="000000" w:themeColor="text1"/>
          <w:sz w:val="32"/>
          <w:szCs w:val="32"/>
          <w:lang w:val="en-US" w:eastAsia="zh-CN"/>
        </w:rPr>
        <w:t>2.</w:t>
      </w:r>
      <w:r>
        <w:rPr>
          <w:rFonts w:hint="eastAsia" w:ascii="仿宋_GB2312" w:hAnsi="仿宋_GB2312" w:eastAsia="仿宋_GB2312" w:cs="仿宋_GB2312"/>
          <w:color w:val="000000" w:themeColor="text1"/>
          <w:sz w:val="32"/>
          <w:szCs w:val="32"/>
        </w:rPr>
        <w:t>成本效益分析</w:t>
      </w:r>
      <w:r>
        <w:rPr>
          <w:rFonts w:hint="eastAsia" w:ascii="仿宋_GB2312" w:hAnsi="仿宋_GB2312" w:eastAsia="仿宋_GB2312" w:cs="仿宋_GB2312"/>
          <w:color w:val="000000" w:themeColor="text1"/>
          <w:sz w:val="32"/>
          <w:szCs w:val="32"/>
          <w:lang w:eastAsia="zh-CN"/>
        </w:rPr>
        <w:t>，</w:t>
      </w:r>
      <w:r>
        <w:rPr>
          <w:rFonts w:hint="eastAsia" w:ascii="仿宋_GB2312" w:hAnsi="仿宋_GB2312" w:eastAsia="仿宋_GB2312" w:cs="仿宋_GB2312"/>
          <w:color w:val="000000" w:themeColor="text1"/>
          <w:sz w:val="32"/>
          <w:szCs w:val="32"/>
        </w:rPr>
        <w:t>项</w:t>
      </w:r>
      <w:r>
        <w:rPr>
          <w:rFonts w:hint="eastAsia" w:ascii="仿宋" w:hAnsi="仿宋" w:eastAsia="仿宋"/>
          <w:color w:val="000000" w:themeColor="text1"/>
          <w:sz w:val="32"/>
          <w:szCs w:val="32"/>
        </w:rPr>
        <w:t>目有节支增效的改进措施。严格按照《昆明市妇联财务管理办法》执行，建立项目资金管理制度、工作项目执行情况通报制度、信息报送、加强研究与探索，使项目资金运行更为节约和有效，加强项目管理,安排使用和专项经费,严格执行目管理制度。</w:t>
      </w:r>
    </w:p>
    <w:p>
      <w:pPr>
        <w:topLinePunct/>
        <w:spacing w:line="560" w:lineRule="exact"/>
        <w:rPr>
          <w:rFonts w:ascii="仿宋" w:hAnsi="仿宋" w:eastAsia="仿宋"/>
          <w:color w:val="000000" w:themeColor="text1"/>
          <w:sz w:val="32"/>
          <w:szCs w:val="32"/>
        </w:rPr>
      </w:pPr>
      <w:r>
        <w:rPr>
          <w:rFonts w:hint="eastAsia" w:ascii="仿宋" w:hAnsi="仿宋" w:eastAsia="仿宋"/>
          <w:color w:val="000000" w:themeColor="text1"/>
          <w:sz w:val="32"/>
          <w:szCs w:val="32"/>
          <w:lang w:eastAsia="zh-CN"/>
        </w:rPr>
        <w:t>一是</w:t>
      </w:r>
      <w:r>
        <w:rPr>
          <w:rFonts w:hint="eastAsia" w:ascii="仿宋" w:hAnsi="仿宋" w:eastAsia="仿宋"/>
          <w:color w:val="000000" w:themeColor="text1"/>
          <w:sz w:val="32"/>
          <w:szCs w:val="32"/>
        </w:rPr>
        <w:t>项目有规范的内控机制。年初有计划，年中有检查，年底有考核，通过严格的考核机制推动项目规范化 。加强项目管理,安排使用专项经费,严格执行项目管理制度.加强经费使用管理，专款专用，高效合理的安排资金使用好专项资金，严格执行项目管理制度和财务管理制度。</w:t>
      </w:r>
      <w:r>
        <w:rPr>
          <w:rFonts w:hint="eastAsia" w:ascii="仿宋" w:hAnsi="仿宋" w:eastAsia="仿宋"/>
          <w:color w:val="000000" w:themeColor="text1"/>
          <w:sz w:val="32"/>
          <w:szCs w:val="32"/>
          <w:lang w:eastAsia="zh-CN"/>
        </w:rPr>
        <w:t>二是</w:t>
      </w:r>
      <w:r>
        <w:rPr>
          <w:rFonts w:hint="eastAsia" w:ascii="仿宋" w:hAnsi="仿宋" w:eastAsia="仿宋"/>
          <w:color w:val="000000" w:themeColor="text1"/>
          <w:sz w:val="32"/>
          <w:szCs w:val="32"/>
        </w:rPr>
        <w:t>项目有达到标准的质量管理水平。制定项目后续管理办法，严格执行财经纪律和财务制度，专款专用，加强经费使用管理，确保项目充分发挥效效做好对账、报账工作，接受财政局相关科室审核，同时由部门负责人做好监督，探索建立“建、管、用”长效机制。</w:t>
      </w:r>
    </w:p>
    <w:p>
      <w:pPr>
        <w:topLinePunct/>
        <w:spacing w:line="560" w:lineRule="exact"/>
        <w:ind w:firstLine="800" w:firstLineChars="250"/>
        <w:rPr>
          <w:rFonts w:ascii="黑体" w:hAnsi="黑体" w:eastAsia="黑体"/>
          <w:color w:val="000000" w:themeColor="text1"/>
          <w:sz w:val="32"/>
          <w:szCs w:val="32"/>
        </w:rPr>
      </w:pPr>
      <w:r>
        <w:rPr>
          <w:rFonts w:hint="eastAsia" w:ascii="黑体" w:hAnsi="黑体" w:eastAsia="黑体"/>
          <w:color w:val="000000" w:themeColor="text1"/>
          <w:sz w:val="32"/>
          <w:szCs w:val="32"/>
          <w:lang w:eastAsia="zh-CN"/>
        </w:rPr>
        <w:t>四</w:t>
      </w:r>
      <w:r>
        <w:rPr>
          <w:rFonts w:hint="eastAsia" w:ascii="黑体" w:hAnsi="黑体" w:eastAsia="黑体"/>
          <w:color w:val="000000" w:themeColor="text1"/>
          <w:sz w:val="32"/>
          <w:szCs w:val="32"/>
        </w:rPr>
        <w:t>、主要经验及做法、存在的问题和建议</w:t>
      </w:r>
    </w:p>
    <w:p>
      <w:pPr>
        <w:topLinePunct/>
        <w:spacing w:line="560" w:lineRule="exact"/>
        <w:ind w:firstLine="803" w:firstLineChars="250"/>
        <w:rPr>
          <w:rFonts w:ascii="仿宋" w:hAnsi="仿宋" w:eastAsia="仿宋"/>
          <w:b/>
          <w:color w:val="000000" w:themeColor="text1"/>
          <w:sz w:val="32"/>
          <w:szCs w:val="32"/>
        </w:rPr>
      </w:pPr>
      <w:r>
        <w:rPr>
          <w:rFonts w:hint="eastAsia" w:ascii="仿宋" w:hAnsi="仿宋" w:eastAsia="仿宋"/>
          <w:b/>
          <w:color w:val="000000" w:themeColor="text1"/>
          <w:sz w:val="32"/>
          <w:szCs w:val="32"/>
        </w:rPr>
        <w:t>（一）主要经验及做法</w:t>
      </w:r>
    </w:p>
    <w:p>
      <w:pPr>
        <w:topLinePunct/>
        <w:spacing w:line="560" w:lineRule="exact"/>
        <w:ind w:firstLine="800" w:firstLineChars="250"/>
        <w:jc w:val="left"/>
        <w:rPr>
          <w:rFonts w:ascii="仿宋" w:hAnsi="仿宋" w:eastAsia="仿宋"/>
          <w:color w:val="000000" w:themeColor="text1"/>
          <w:sz w:val="32"/>
          <w:szCs w:val="32"/>
        </w:rPr>
      </w:pPr>
      <w:r>
        <w:rPr>
          <w:rFonts w:hint="eastAsia" w:ascii="仿宋" w:hAnsi="仿宋" w:eastAsia="仿宋"/>
          <w:color w:val="000000" w:themeColor="text1"/>
          <w:sz w:val="32"/>
          <w:szCs w:val="32"/>
        </w:rPr>
        <w:t>根据年度内可预见的组织工作任务，确定单位年度预算目标，细化预算指标,科学合理编制预算，推进预算编制科学化、准确化。年度预算编制后，加强预算执行管理，根据实际情况，定期做好预算执行分析，掌握预算执行进度，及时找出预算实际执行情况与预算目标之间存在的差异，采取有效措施纠正偏差，提高预算执行时效性和均衡性，提高预算支出执行效率，同时为下次科学、准确编制组织工作预算提供经验。</w:t>
      </w:r>
    </w:p>
    <w:p>
      <w:pPr>
        <w:topLinePunct/>
        <w:spacing w:line="560" w:lineRule="exact"/>
        <w:ind w:firstLine="803" w:firstLineChars="250"/>
        <w:rPr>
          <w:rFonts w:ascii="仿宋" w:hAnsi="仿宋" w:eastAsia="仿宋"/>
          <w:color w:val="000000" w:themeColor="text1"/>
          <w:sz w:val="32"/>
          <w:szCs w:val="32"/>
        </w:rPr>
      </w:pPr>
      <w:r>
        <w:rPr>
          <w:rFonts w:hint="eastAsia" w:ascii="仿宋" w:hAnsi="仿宋" w:eastAsia="仿宋"/>
          <w:b/>
          <w:color w:val="000000" w:themeColor="text1"/>
          <w:sz w:val="32"/>
          <w:szCs w:val="32"/>
        </w:rPr>
        <w:t>（二）存在的问题</w:t>
      </w:r>
    </w:p>
    <w:p>
      <w:pPr>
        <w:topLinePunct/>
        <w:spacing w:line="560" w:lineRule="exact"/>
        <w:ind w:firstLine="800" w:firstLineChars="250"/>
        <w:rPr>
          <w:rFonts w:ascii="仿宋" w:hAnsi="仿宋" w:eastAsia="仿宋"/>
          <w:color w:val="000000" w:themeColor="text1"/>
          <w:sz w:val="32"/>
          <w:szCs w:val="32"/>
        </w:rPr>
      </w:pPr>
      <w:r>
        <w:rPr>
          <w:rFonts w:hint="eastAsia" w:ascii="仿宋" w:hAnsi="仿宋" w:eastAsia="仿宋"/>
          <w:sz w:val="32"/>
          <w:szCs w:val="32"/>
        </w:rPr>
        <w:t>绩效指标不够清晰、明确、完整，部分绩效指标与支出绩效目标有差距。</w:t>
      </w:r>
    </w:p>
    <w:p>
      <w:pPr>
        <w:topLinePunct/>
        <w:spacing w:line="560" w:lineRule="exact"/>
        <w:ind w:firstLine="803" w:firstLineChars="250"/>
        <w:rPr>
          <w:rFonts w:ascii="仿宋" w:hAnsi="仿宋" w:eastAsia="仿宋"/>
          <w:b/>
          <w:color w:val="000000" w:themeColor="text1"/>
          <w:sz w:val="32"/>
          <w:szCs w:val="32"/>
        </w:rPr>
      </w:pPr>
      <w:r>
        <w:rPr>
          <w:rFonts w:hint="eastAsia" w:ascii="仿宋" w:hAnsi="仿宋" w:eastAsia="仿宋"/>
          <w:b/>
          <w:color w:val="000000" w:themeColor="text1"/>
          <w:sz w:val="32"/>
          <w:szCs w:val="32"/>
        </w:rPr>
        <w:t>（三）建议和改进措施</w:t>
      </w:r>
    </w:p>
    <w:p>
      <w:pPr>
        <w:spacing w:line="560" w:lineRule="exact"/>
        <w:ind w:firstLine="640" w:firstLineChars="200"/>
        <w:jc w:val="left"/>
        <w:rPr>
          <w:rFonts w:ascii="仿宋" w:hAnsi="仿宋" w:eastAsia="仿宋"/>
          <w:color w:val="000000" w:themeColor="text1"/>
          <w:sz w:val="32"/>
          <w:szCs w:val="32"/>
        </w:rPr>
      </w:pPr>
      <w:r>
        <w:rPr>
          <w:rFonts w:hint="eastAsia" w:ascii="仿宋" w:hAnsi="仿宋" w:eastAsia="仿宋"/>
          <w:bCs/>
          <w:color w:val="000000" w:themeColor="text1"/>
          <w:sz w:val="32"/>
          <w:szCs w:val="32"/>
        </w:rPr>
        <w:t>认真做好项目需求分析，有效制定项目绩效目标；全方位制定项目绩效目标，以便对项目的实施效果全面的评估。</w:t>
      </w:r>
    </w:p>
    <w:p>
      <w:pPr>
        <w:widowControl/>
        <w:jc w:val="both"/>
        <w:rPr>
          <w:rFonts w:hint="eastAsia" w:ascii="方正小标宋_GBK" w:eastAsia="方正小标宋_GBK"/>
          <w:sz w:val="28"/>
          <w:szCs w:val="28"/>
        </w:rPr>
      </w:pPr>
    </w:p>
    <w:p>
      <w:pPr>
        <w:widowControl/>
        <w:jc w:val="center"/>
        <w:rPr>
          <w:rFonts w:hint="eastAsia" w:ascii="方正小标宋_GBK" w:eastAsia="方正小标宋_GBK"/>
          <w:sz w:val="28"/>
          <w:szCs w:val="28"/>
        </w:rPr>
      </w:pPr>
    </w:p>
    <w:p>
      <w:pPr>
        <w:widowControl/>
        <w:jc w:val="center"/>
        <w:rPr>
          <w:rFonts w:hint="eastAsia" w:ascii="方正小标宋_GBK" w:eastAsia="方正小标宋_GBK"/>
          <w:sz w:val="28"/>
          <w:szCs w:val="28"/>
        </w:rPr>
      </w:pPr>
    </w:p>
    <w:p>
      <w:pPr>
        <w:widowControl/>
        <w:jc w:val="center"/>
        <w:rPr>
          <w:rFonts w:hint="eastAsia" w:ascii="方正小标宋_GBK" w:eastAsia="方正小标宋_GBK"/>
          <w:sz w:val="28"/>
          <w:szCs w:val="28"/>
        </w:rPr>
      </w:pPr>
    </w:p>
    <w:p>
      <w:pPr>
        <w:widowControl/>
        <w:jc w:val="center"/>
        <w:rPr>
          <w:rFonts w:hint="eastAsia" w:ascii="仿宋" w:hAnsi="仿宋" w:eastAsia="仿宋" w:cs="仿宋"/>
          <w:sz w:val="28"/>
          <w:szCs w:val="28"/>
        </w:rPr>
      </w:pPr>
      <w:r>
        <w:rPr>
          <w:rFonts w:hint="eastAsia" w:ascii="仿宋" w:hAnsi="仿宋" w:eastAsia="仿宋" w:cs="仿宋"/>
          <w:sz w:val="28"/>
          <w:szCs w:val="28"/>
        </w:rPr>
        <w:t>附件2：项目支出绩效评价共性指标体系</w:t>
      </w:r>
    </w:p>
    <w:tbl>
      <w:tblPr>
        <w:tblStyle w:val="10"/>
        <w:tblpPr w:leftFromText="180" w:rightFromText="180" w:vertAnchor="text" w:horzAnchor="page" w:tblpX="1201" w:tblpY="383"/>
        <w:tblW w:w="10412" w:type="dxa"/>
        <w:tblInd w:w="0" w:type="dxa"/>
        <w:tblLayout w:type="fixed"/>
        <w:tblCellMar>
          <w:top w:w="0" w:type="dxa"/>
          <w:left w:w="108" w:type="dxa"/>
          <w:bottom w:w="0" w:type="dxa"/>
          <w:right w:w="108" w:type="dxa"/>
        </w:tblCellMar>
      </w:tblPr>
      <w:tblGrid>
        <w:gridCol w:w="846"/>
        <w:gridCol w:w="971"/>
        <w:gridCol w:w="1012"/>
        <w:gridCol w:w="1222"/>
        <w:gridCol w:w="499"/>
        <w:gridCol w:w="568"/>
        <w:gridCol w:w="2101"/>
        <w:gridCol w:w="1975"/>
        <w:gridCol w:w="1218"/>
      </w:tblGrid>
      <w:tr>
        <w:tblPrEx>
          <w:tblCellMar>
            <w:top w:w="0" w:type="dxa"/>
            <w:left w:w="108" w:type="dxa"/>
            <w:bottom w:w="0" w:type="dxa"/>
            <w:right w:w="108" w:type="dxa"/>
          </w:tblCellMar>
        </w:tblPrEx>
        <w:trPr>
          <w:trHeight w:val="540" w:hRule="atLeast"/>
        </w:trPr>
        <w:tc>
          <w:tcPr>
            <w:tcW w:w="846" w:type="dxa"/>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一级</w:t>
            </w:r>
          </w:p>
          <w:p>
            <w:pPr>
              <w:widowControl/>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指标</w:t>
            </w:r>
          </w:p>
        </w:tc>
        <w:tc>
          <w:tcPr>
            <w:tcW w:w="971"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二级指标</w:t>
            </w:r>
          </w:p>
        </w:tc>
        <w:tc>
          <w:tcPr>
            <w:tcW w:w="1012"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三级指标</w:t>
            </w:r>
          </w:p>
        </w:tc>
        <w:tc>
          <w:tcPr>
            <w:tcW w:w="1222"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四级指标</w:t>
            </w:r>
          </w:p>
        </w:tc>
        <w:tc>
          <w:tcPr>
            <w:tcW w:w="499"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分值</w:t>
            </w:r>
          </w:p>
        </w:tc>
        <w:tc>
          <w:tcPr>
            <w:tcW w:w="568"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得分</w:t>
            </w:r>
          </w:p>
        </w:tc>
        <w:tc>
          <w:tcPr>
            <w:tcW w:w="2101"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指标解释</w:t>
            </w:r>
          </w:p>
        </w:tc>
        <w:tc>
          <w:tcPr>
            <w:tcW w:w="1975"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评分标准</w:t>
            </w:r>
          </w:p>
        </w:tc>
        <w:tc>
          <w:tcPr>
            <w:tcW w:w="1218" w:type="dxa"/>
            <w:tcBorders>
              <w:top w:val="single" w:color="auto" w:sz="4" w:space="0"/>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数据来源</w:t>
            </w:r>
          </w:p>
        </w:tc>
      </w:tr>
      <w:tr>
        <w:tblPrEx>
          <w:tblCellMar>
            <w:top w:w="0" w:type="dxa"/>
            <w:left w:w="108" w:type="dxa"/>
            <w:bottom w:w="0" w:type="dxa"/>
            <w:right w:w="108" w:type="dxa"/>
          </w:tblCellMar>
        </w:tblPrEx>
        <w:trPr>
          <w:trHeight w:val="900" w:hRule="atLeast"/>
        </w:trPr>
        <w:tc>
          <w:tcPr>
            <w:tcW w:w="846"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A.项目决策（20%）</w:t>
            </w: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A1.项目立项（8%）</w:t>
            </w:r>
          </w:p>
        </w:tc>
        <w:tc>
          <w:tcPr>
            <w:tcW w:w="101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A11.与部门中长期规划目标适应性</w:t>
            </w: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A111.与部门中长期规划目标匹配性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考察项目与部门中长期目标是否匹配</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匹配，得满分；不匹配，不得分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部门中长期规划目标</w:t>
            </w:r>
          </w:p>
        </w:tc>
      </w:tr>
      <w:tr>
        <w:tblPrEx>
          <w:tblCellMar>
            <w:top w:w="0" w:type="dxa"/>
            <w:left w:w="108" w:type="dxa"/>
            <w:bottom w:w="0" w:type="dxa"/>
            <w:right w:w="108" w:type="dxa"/>
          </w:tblCellMar>
        </w:tblPrEx>
        <w:trPr>
          <w:trHeight w:val="105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012"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A12.立项依据充分性</w:t>
            </w: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A121.与市政府相关规划、决策匹配性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考察项目是否符合区政府相关发展规划和政府决策</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符合，得满分；不符合，不得分。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区政府相关规划、决策、批复</w:t>
            </w:r>
          </w:p>
        </w:tc>
      </w:tr>
      <w:tr>
        <w:tblPrEx>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012"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A122.与部门职责适应性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1</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考察项目是否与部门职责密切相关。</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部门职责文件</w:t>
            </w:r>
          </w:p>
        </w:tc>
      </w:tr>
      <w:tr>
        <w:tblPrEx>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012"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A13.项目立项规范性</w:t>
            </w: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A131.前期调研情况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考察项目立项是否经过前期调研。</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调研报告</w:t>
            </w:r>
          </w:p>
        </w:tc>
      </w:tr>
      <w:tr>
        <w:tblPrEx>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012"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A132.立项程序规范性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考察项目的申请、设立过程是否符合相关要求。</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立项申请、批复文件</w:t>
            </w:r>
          </w:p>
        </w:tc>
      </w:tr>
      <w:tr>
        <w:tblPrEx>
          <w:tblCellMar>
            <w:top w:w="0" w:type="dxa"/>
            <w:left w:w="108" w:type="dxa"/>
            <w:bottom w:w="0" w:type="dxa"/>
            <w:right w:w="108" w:type="dxa"/>
          </w:tblCellMar>
        </w:tblPrEx>
        <w:trPr>
          <w:trHeight w:val="91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A2.项目目标（12%）</w:t>
            </w:r>
          </w:p>
        </w:tc>
        <w:tc>
          <w:tcPr>
            <w:tcW w:w="1012"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A21.绩效目标设定的合理性</w:t>
            </w: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A211.绩效目标相关性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2</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考察设定的绩效目标是否与事业发展规划相关。</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绩效目标申报表、部门规划、年度工作目标</w:t>
            </w:r>
          </w:p>
        </w:tc>
      </w:tr>
      <w:tr>
        <w:tblPrEx>
          <w:tblCellMar>
            <w:top w:w="0" w:type="dxa"/>
            <w:left w:w="108" w:type="dxa"/>
            <w:bottom w:w="0" w:type="dxa"/>
            <w:right w:w="108" w:type="dxa"/>
          </w:tblCellMar>
        </w:tblPrEx>
        <w:trPr>
          <w:trHeight w:val="108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012"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A212.绩效目标完整性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2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考察设定的绩效目标是否完整地反应预期产出和效果</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绩效目标申报表、年度工作目标、立项申请、批复文件</w:t>
            </w:r>
          </w:p>
        </w:tc>
      </w:tr>
      <w:tr>
        <w:tblPrEx>
          <w:tblCellMar>
            <w:top w:w="0" w:type="dxa"/>
            <w:left w:w="108" w:type="dxa"/>
            <w:bottom w:w="0" w:type="dxa"/>
            <w:right w:w="108" w:type="dxa"/>
          </w:tblCellMar>
        </w:tblPrEx>
        <w:trPr>
          <w:trHeight w:val="82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012"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A213.目标与预算的匹配性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2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考察设定的绩效目标是否与年度预算相匹配。</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绩效目标申报表、立项申请、批复文件</w:t>
            </w:r>
          </w:p>
        </w:tc>
      </w:tr>
      <w:tr>
        <w:tblPrEx>
          <w:tblCellMar>
            <w:top w:w="0" w:type="dxa"/>
            <w:left w:w="108" w:type="dxa"/>
            <w:bottom w:w="0" w:type="dxa"/>
            <w:right w:w="108" w:type="dxa"/>
          </w:tblCellMar>
        </w:tblPrEx>
        <w:trPr>
          <w:trHeight w:val="79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012"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A22.绩效指标设定的明确性</w:t>
            </w: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A221.指标细化分解情况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3</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3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考察是否将绩效目标细化分解为清晰、可衡量的绩效指标。</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绩效目标申报表、立项申请、批复文件</w:t>
            </w:r>
          </w:p>
        </w:tc>
      </w:tr>
      <w:tr>
        <w:tblPrEx>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012"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A222.指标与目标的匹配性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3</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3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考察设定的绩效指标是否与年度工作任务相对应。</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绩效目标申报表、年度工作任务</w:t>
            </w:r>
          </w:p>
        </w:tc>
      </w:tr>
      <w:tr>
        <w:tblPrEx>
          <w:tblCellMar>
            <w:top w:w="0" w:type="dxa"/>
            <w:left w:w="108" w:type="dxa"/>
            <w:bottom w:w="0" w:type="dxa"/>
            <w:right w:w="108" w:type="dxa"/>
          </w:tblCellMar>
        </w:tblPrEx>
        <w:trPr>
          <w:trHeight w:val="720" w:hRule="atLeast"/>
        </w:trPr>
        <w:tc>
          <w:tcPr>
            <w:tcW w:w="846"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B.项目管理（20%）</w:t>
            </w: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B1.投入管理（4%）</w:t>
            </w:r>
          </w:p>
        </w:tc>
        <w:tc>
          <w:tcPr>
            <w:tcW w:w="101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B11.预算编制合理性</w:t>
            </w: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考察预算编制是否充分、合理的预计项目支出并完整反应</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合理得满分；存在一项不合理，扣0.5分，扣完为止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预算分析、预算批复</w:t>
            </w:r>
          </w:p>
        </w:tc>
      </w:tr>
      <w:tr>
        <w:tblPrEx>
          <w:tblCellMar>
            <w:top w:w="0" w:type="dxa"/>
            <w:left w:w="108" w:type="dxa"/>
            <w:bottom w:w="0" w:type="dxa"/>
            <w:right w:w="108" w:type="dxa"/>
          </w:tblCellMar>
        </w:tblPrEx>
        <w:trPr>
          <w:trHeight w:val="81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01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B12.预算调整规范性</w:t>
            </w: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考察存在预算调整时是否按照相关规定执行调整程序。</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规范，得满分；部分规范，扣0.5分；不规范，不得分。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预算调整文件</w:t>
            </w:r>
          </w:p>
        </w:tc>
      </w:tr>
      <w:tr>
        <w:tblPrEx>
          <w:tblCellMar>
            <w:top w:w="0" w:type="dxa"/>
            <w:left w:w="108" w:type="dxa"/>
            <w:bottom w:w="0" w:type="dxa"/>
            <w:right w:w="108" w:type="dxa"/>
          </w:tblCellMar>
        </w:tblPrEx>
        <w:trPr>
          <w:trHeight w:val="123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01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B13.预算执行率</w:t>
            </w: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2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考察项目预算执行的进度。预算执行率=实际支出金额/项目预算金额×100%</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预算执行率95%以上，得满分；低于95%，每下降1%扣权重的1%；预算执行率60%以下，不计分。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绩效目标申报表、支付指令、合同、财务凭证</w:t>
            </w:r>
          </w:p>
        </w:tc>
      </w:tr>
      <w:tr>
        <w:tblPrEx>
          <w:tblCellMar>
            <w:top w:w="0" w:type="dxa"/>
            <w:left w:w="108" w:type="dxa"/>
            <w:bottom w:w="0" w:type="dxa"/>
            <w:right w:w="108" w:type="dxa"/>
          </w:tblCellMar>
        </w:tblPrEx>
        <w:trPr>
          <w:trHeight w:val="97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B2.财务管理（6%）</w:t>
            </w:r>
          </w:p>
        </w:tc>
        <w:tc>
          <w:tcPr>
            <w:tcW w:w="101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B21.资金使用情况</w:t>
            </w: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2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考察项目资金使用是否符合预算批复的用途，是否存在截留、挤占、挪用、虚列支出等情况。</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合规，得满分；存在一项不合规，扣1分，扣完为止。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绩效目标申报表、支付指令，合同、财务凭证</w:t>
            </w:r>
          </w:p>
        </w:tc>
      </w:tr>
      <w:tr>
        <w:tblPrEx>
          <w:tblCellMar>
            <w:top w:w="0" w:type="dxa"/>
            <w:left w:w="108" w:type="dxa"/>
            <w:bottom w:w="0" w:type="dxa"/>
            <w:right w:w="108" w:type="dxa"/>
          </w:tblCellMar>
        </w:tblPrEx>
        <w:trPr>
          <w:trHeight w:val="228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01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B22.财务管理制度健全性</w:t>
            </w: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考察项目的财务制度是否健全、完善、有效。</w:t>
            </w:r>
          </w:p>
        </w:tc>
        <w:tc>
          <w:tcPr>
            <w:tcW w:w="1975" w:type="dxa"/>
            <w:tcBorders>
              <w:top w:val="nil"/>
              <w:left w:val="nil"/>
              <w:bottom w:val="single" w:color="auto" w:sz="4" w:space="0"/>
              <w:right w:val="single" w:color="auto" w:sz="4" w:space="0"/>
            </w:tcBorders>
            <w:shd w:val="clear" w:color="auto" w:fill="auto"/>
            <w:noWrap w:val="0"/>
            <w:vAlign w:val="top"/>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a.是否已制定或具有相应的财务管理办法；                         b.项目财务管理办法是否符合相关财务会计制度的规定；                                              c.是否存在需要完善的风险控制环节。                            符合所有条件，得满分； 一项不符合，扣0.5分，扣完为止。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财务管理制度</w:t>
            </w:r>
          </w:p>
        </w:tc>
      </w:tr>
      <w:tr>
        <w:tblPrEx>
          <w:tblCellMar>
            <w:top w:w="0" w:type="dxa"/>
            <w:left w:w="108" w:type="dxa"/>
            <w:bottom w:w="0" w:type="dxa"/>
            <w:right w:w="108" w:type="dxa"/>
          </w:tblCellMar>
        </w:tblPrEx>
        <w:trPr>
          <w:trHeight w:val="75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012"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B23.财务监控有效性</w:t>
            </w: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B231.资金拨付程序完整性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考察资金拨付是否具有完整的审批程序和手续，是否符合相关制度规定。</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资金拨付申请、审批手续完整，得满分；存在一例手续不完整，不得分。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支付申请单、支付指令</w:t>
            </w:r>
          </w:p>
        </w:tc>
      </w:tr>
      <w:tr>
        <w:tblPrEx>
          <w:tblCellMar>
            <w:top w:w="0" w:type="dxa"/>
            <w:left w:w="108" w:type="dxa"/>
            <w:bottom w:w="0" w:type="dxa"/>
            <w:right w:w="108" w:type="dxa"/>
          </w:tblCellMar>
        </w:tblPrEx>
        <w:trPr>
          <w:trHeight w:val="75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012"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B232财务制度执行有效性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2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考察是否存在违反相关财务管理制度的情况。</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不存在，得满分；存在1例，不得分。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财务管理制度、访谈、会计凭证</w:t>
            </w:r>
          </w:p>
        </w:tc>
      </w:tr>
      <w:tr>
        <w:tblPrEx>
          <w:tblCellMar>
            <w:top w:w="0" w:type="dxa"/>
            <w:left w:w="108" w:type="dxa"/>
            <w:bottom w:w="0" w:type="dxa"/>
            <w:right w:w="108" w:type="dxa"/>
          </w:tblCellMar>
        </w:tblPrEx>
        <w:trPr>
          <w:trHeight w:val="120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B3.项目实施（10%）</w:t>
            </w:r>
          </w:p>
        </w:tc>
        <w:tc>
          <w:tcPr>
            <w:tcW w:w="1012"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B31.项目管理制度健全性</w:t>
            </w: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B311.项目实施单位管理制度健全性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项目实施单位为保障项目顺利实施制订的与项目直接相关的业务管理制度是否健全、完善和有效。</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制订相关制度或采取措施，得满分；制度不完善或者措施不明确，得权重的60%；没有相关制度或措施，不得分。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项目实施单位管理制度、访谈、现场调查</w:t>
            </w:r>
          </w:p>
        </w:tc>
      </w:tr>
      <w:tr>
        <w:tblPrEx>
          <w:tblCellMar>
            <w:top w:w="0" w:type="dxa"/>
            <w:left w:w="108" w:type="dxa"/>
            <w:bottom w:w="0" w:type="dxa"/>
            <w:right w:w="108" w:type="dxa"/>
          </w:tblCellMar>
        </w:tblPrEx>
        <w:trPr>
          <w:trHeight w:val="97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012"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B312.管理方监管措施健全性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考察项目主管部门为保障项目顺利实施采取的监管措施是否明确，是否存在需要完善的风险控制环节。</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监管措施明确、完善，得满分；每存在一项需要完善的风险控制点，扣权重的30%，扣完为止。</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管理制度、访谈、现场调查</w:t>
            </w:r>
          </w:p>
        </w:tc>
      </w:tr>
      <w:tr>
        <w:tblPrEx>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012"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B32.项目管理制度执行有效性</w:t>
            </w: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B321.项目实施单位管理制度执行情况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考察项目实施单位制订的管理制度是否有效执行。</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有效执行，得满分；部分执行，得权重的60%；未执行，不得分。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项目实施单位管理制度、现场调查</w:t>
            </w:r>
          </w:p>
        </w:tc>
      </w:tr>
      <w:tr>
        <w:tblPrEx>
          <w:tblCellMar>
            <w:top w:w="0" w:type="dxa"/>
            <w:left w:w="108" w:type="dxa"/>
            <w:bottom w:w="0" w:type="dxa"/>
            <w:right w:w="108" w:type="dxa"/>
          </w:tblCellMar>
        </w:tblPrEx>
        <w:trPr>
          <w:trHeight w:val="94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012"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B322.监管措施执行情况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项目主管部门所制订的监管措施是否有效执行。</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有效执行，得满分；部分执行，得权重的60%；未执行，不得分。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管理制度、现场调查</w:t>
            </w:r>
          </w:p>
        </w:tc>
      </w:tr>
      <w:tr>
        <w:tblPrEx>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012"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B323.合同执行情况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2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考察与项目相关的合同是否有效执行。</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有效执行，得满分；部分执行，得权重的60%；未执行，不得分。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合同、现场调查</w:t>
            </w:r>
          </w:p>
        </w:tc>
      </w:tr>
      <w:tr>
        <w:tblPrEx>
          <w:tblCellMar>
            <w:top w:w="0" w:type="dxa"/>
            <w:left w:w="108" w:type="dxa"/>
            <w:bottom w:w="0" w:type="dxa"/>
            <w:right w:w="108" w:type="dxa"/>
          </w:tblCellMar>
        </w:tblPrEx>
        <w:trPr>
          <w:trHeight w:val="78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012"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B324.台账记录规范性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2</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2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考察项目实施过程中的相关台账记录是否完整，并符合要求。</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规范，得满分；部分规范，得权重的60%；不规范，不得分。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台账记录</w:t>
            </w:r>
          </w:p>
        </w:tc>
      </w:tr>
      <w:tr>
        <w:tblPrEx>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012"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B33.政府采购规范性</w:t>
            </w: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B331.采购方式合规性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考察采购方式是否符合中央、省、市、区的相关要求。</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符合相关要求，得满分；一项不符合，不得分。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政府采购相关材料</w:t>
            </w:r>
          </w:p>
        </w:tc>
      </w:tr>
      <w:tr>
        <w:tblPrEx>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012"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B332.采购流程规范性</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考察采购流程是否符合相关规定。</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符合相关要求，得满分；一项不符合，不得分。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政府采购相关材料</w:t>
            </w:r>
          </w:p>
        </w:tc>
      </w:tr>
      <w:tr>
        <w:tblPrEx>
          <w:tblCellMar>
            <w:top w:w="0" w:type="dxa"/>
            <w:left w:w="108" w:type="dxa"/>
            <w:bottom w:w="0" w:type="dxa"/>
            <w:right w:w="108" w:type="dxa"/>
          </w:tblCellMar>
        </w:tblPrEx>
        <w:trPr>
          <w:trHeight w:val="1200" w:hRule="atLeast"/>
        </w:trPr>
        <w:tc>
          <w:tcPr>
            <w:tcW w:w="846"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C.项目绩效（60%）</w:t>
            </w:r>
          </w:p>
        </w:tc>
        <w:tc>
          <w:tcPr>
            <w:tcW w:w="971"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C1.项目产出（30%）（说明：该指标主要反映部门（单位）项目工作任务的完成情况。指标。）</w:t>
            </w:r>
          </w:p>
        </w:tc>
        <w:tc>
          <w:tcPr>
            <w:tcW w:w="1012"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C11.妇联工作专项经费使用情况</w:t>
            </w: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C111.妇联工作专项经费完成率</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10</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lang w:val="en-US" w:eastAsia="zh-CN"/>
              </w:rPr>
            </w:pPr>
            <w:r>
              <w:rPr>
                <w:rFonts w:hint="eastAsia" w:ascii="仿宋" w:hAnsi="仿宋" w:eastAsia="仿宋" w:cs="仿宋"/>
                <w:color w:val="000000"/>
                <w:kern w:val="0"/>
                <w:sz w:val="18"/>
                <w:szCs w:val="18"/>
              </w:rPr>
              <w:t>　</w:t>
            </w:r>
            <w:r>
              <w:rPr>
                <w:rFonts w:hint="eastAsia" w:ascii="仿宋" w:hAnsi="仿宋" w:eastAsia="仿宋" w:cs="仿宋"/>
                <w:color w:val="000000"/>
                <w:kern w:val="0"/>
                <w:sz w:val="18"/>
                <w:szCs w:val="18"/>
                <w:lang w:val="en-US" w:eastAsia="zh-CN"/>
              </w:rPr>
              <w:t>9</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考察妇联工作专项经费完成率=实际经费使用数/经费到位数×100%</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全部完成，得满分；未全部完成酌情扣分。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台账记录</w:t>
            </w:r>
          </w:p>
        </w:tc>
      </w:tr>
      <w:tr>
        <w:tblPrEx>
          <w:tblCellMar>
            <w:top w:w="0" w:type="dxa"/>
            <w:left w:w="108" w:type="dxa"/>
            <w:bottom w:w="0" w:type="dxa"/>
            <w:right w:w="108" w:type="dxa"/>
          </w:tblCellMar>
        </w:tblPrEx>
        <w:trPr>
          <w:trHeight w:val="82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012"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C112.妇联工作专项经费使用情况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10</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10</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考察.妇联工作专项经费是否按照年度目标任务开展工作情况合理安排使用若制定了具体的工作计划和工作目标，工作目标与部门职能职责是否相符。</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按照工作开展情况合理、有效安排使用，得满分；未按工作进度开展或未开展酌情扣分。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工作台账</w:t>
            </w:r>
          </w:p>
        </w:tc>
      </w:tr>
      <w:tr>
        <w:tblPrEx>
          <w:tblCellMar>
            <w:top w:w="0" w:type="dxa"/>
            <w:left w:w="108" w:type="dxa"/>
            <w:bottom w:w="0" w:type="dxa"/>
            <w:right w:w="108" w:type="dxa"/>
          </w:tblCellMar>
        </w:tblPrEx>
        <w:trPr>
          <w:trHeight w:val="123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012" w:type="dxa"/>
            <w:vMerge w:val="restart"/>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C12.妇联工作专项经费项目工作情况</w:t>
            </w: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C121妇联工作专项经费完成情况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10</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lang w:eastAsia="zh-CN"/>
              </w:rPr>
            </w:pPr>
            <w:r>
              <w:rPr>
                <w:rFonts w:hint="eastAsia" w:ascii="仿宋" w:hAnsi="仿宋" w:eastAsia="仿宋" w:cs="仿宋"/>
                <w:color w:val="000000"/>
                <w:kern w:val="0"/>
                <w:sz w:val="18"/>
                <w:szCs w:val="18"/>
              </w:rPr>
              <w:t>　</w:t>
            </w:r>
            <w:r>
              <w:rPr>
                <w:rFonts w:hint="eastAsia" w:ascii="仿宋" w:hAnsi="仿宋" w:eastAsia="仿宋" w:cs="仿宋"/>
                <w:color w:val="000000"/>
                <w:kern w:val="0"/>
                <w:sz w:val="18"/>
                <w:szCs w:val="18"/>
                <w:lang w:val="en-US" w:eastAsia="zh-CN"/>
              </w:rPr>
              <w:t>9</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考察.妇联工作专项经费是否按照年度具体的工作计划和工作目标开展，工作目标与部门职能职责是否相符。</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全部完成，得满分；未全部完成酌情扣分。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台账记录</w:t>
            </w:r>
          </w:p>
        </w:tc>
      </w:tr>
      <w:tr>
        <w:tblPrEx>
          <w:tblCellMar>
            <w:top w:w="0" w:type="dxa"/>
            <w:left w:w="108" w:type="dxa"/>
            <w:bottom w:w="0" w:type="dxa"/>
            <w:right w:w="108" w:type="dxa"/>
          </w:tblCellMar>
        </w:tblPrEx>
        <w:trPr>
          <w:trHeight w:val="780"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012"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C122.妇联工作专项工作完成情况</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15</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15　</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考察.妇联工作专项工作完成情况</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按照工作开展情况合理、有效安排使用，得满分；未按工作进度开展或未开展酌情扣分。</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工作台账</w:t>
            </w:r>
          </w:p>
        </w:tc>
      </w:tr>
      <w:tr>
        <w:tblPrEx>
          <w:tblCellMar>
            <w:top w:w="0" w:type="dxa"/>
            <w:left w:w="108" w:type="dxa"/>
            <w:bottom w:w="0" w:type="dxa"/>
            <w:right w:w="108" w:type="dxa"/>
          </w:tblCellMar>
        </w:tblPrEx>
        <w:trPr>
          <w:trHeight w:val="2715" w:hRule="atLeast"/>
        </w:trPr>
        <w:tc>
          <w:tcPr>
            <w:tcW w:w="846" w:type="dxa"/>
            <w:vMerge w:val="continue"/>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p>
        </w:tc>
        <w:tc>
          <w:tcPr>
            <w:tcW w:w="971" w:type="dxa"/>
            <w:tcBorders>
              <w:top w:val="nil"/>
              <w:left w:val="single" w:color="auto" w:sz="4" w:space="0"/>
              <w:bottom w:val="single" w:color="000000"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C2.项目效益（30%）（说明：该指标主要反映部门（单位）项目的实施效果。</w:t>
            </w:r>
          </w:p>
        </w:tc>
        <w:tc>
          <w:tcPr>
            <w:tcW w:w="101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C21.社会效益</w:t>
            </w:r>
          </w:p>
        </w:tc>
        <w:tc>
          <w:tcPr>
            <w:tcW w:w="1222"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C211.通过组织全区妇女开展宣传、咨询、培训、讲座及各项宣传活动，全面提升妇联工作发展水平，全面提升服务妇女儿童水平做好联系群众的纽带桥梁作用。使服务对象众满意度达100%满意率。</w:t>
            </w: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15</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　15</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考察是否通过以通过有计划的实施妇联工作，维护妇女儿童合法权益，倾听妇女意见，反映妇女诉求；推动落实男女平等基本国策；关心妇女工作生活，拓宽服务渠道，建设服务阵地，加强与女性社会组织和社会各界的联系，推动全社会为妇女儿童和家庭服务,推动贯彻实施盘龙区妇女儿童发展规划（2011—2020年）提供了有利保障。</w:t>
            </w:r>
          </w:p>
        </w:tc>
        <w:tc>
          <w:tcPr>
            <w:tcW w:w="1975"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根据满意度线性统计加减平均分值，满意度达到95%，得满分；满意度低于95%，每降低1%，扣减分5%。</w:t>
            </w:r>
          </w:p>
        </w:tc>
        <w:tc>
          <w:tcPr>
            <w:tcW w:w="1218" w:type="dxa"/>
            <w:tcBorders>
              <w:top w:val="nil"/>
              <w:left w:val="nil"/>
              <w:bottom w:val="single" w:color="auto" w:sz="4" w:space="0"/>
              <w:right w:val="single" w:color="auto" w:sz="4" w:space="0"/>
            </w:tcBorders>
            <w:shd w:val="clear" w:color="auto" w:fill="auto"/>
            <w:noWrap w:val="0"/>
            <w:vAlign w:val="center"/>
          </w:tcPr>
          <w:p>
            <w:pPr>
              <w:widowControl/>
              <w:jc w:val="left"/>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工作台账、访谈</w:t>
            </w:r>
          </w:p>
        </w:tc>
      </w:tr>
      <w:tr>
        <w:tblPrEx>
          <w:tblCellMar>
            <w:top w:w="0" w:type="dxa"/>
            <w:left w:w="108" w:type="dxa"/>
            <w:bottom w:w="0" w:type="dxa"/>
            <w:right w:w="108" w:type="dxa"/>
          </w:tblCellMar>
        </w:tblPrEx>
        <w:trPr>
          <w:trHeight w:val="540" w:hRule="atLeast"/>
        </w:trPr>
        <w:tc>
          <w:tcPr>
            <w:tcW w:w="846" w:type="dxa"/>
            <w:tcBorders>
              <w:top w:val="nil"/>
              <w:left w:val="single" w:color="auto" w:sz="4" w:space="0"/>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合计</w:t>
            </w:r>
          </w:p>
        </w:tc>
        <w:tc>
          <w:tcPr>
            <w:tcW w:w="971"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100%</w:t>
            </w:r>
          </w:p>
        </w:tc>
        <w:tc>
          <w:tcPr>
            <w:tcW w:w="1012"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b/>
                <w:bCs/>
                <w:color w:val="000000"/>
                <w:kern w:val="0"/>
                <w:sz w:val="18"/>
                <w:szCs w:val="18"/>
              </w:rPr>
            </w:pPr>
          </w:p>
        </w:tc>
        <w:tc>
          <w:tcPr>
            <w:tcW w:w="1222"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b/>
                <w:bCs/>
                <w:color w:val="000000"/>
                <w:kern w:val="0"/>
                <w:sz w:val="18"/>
                <w:szCs w:val="18"/>
              </w:rPr>
            </w:pPr>
          </w:p>
        </w:tc>
        <w:tc>
          <w:tcPr>
            <w:tcW w:w="499"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b/>
                <w:bCs/>
                <w:color w:val="000000"/>
                <w:kern w:val="0"/>
                <w:sz w:val="18"/>
                <w:szCs w:val="18"/>
              </w:rPr>
            </w:pPr>
            <w:r>
              <w:rPr>
                <w:rFonts w:hint="eastAsia" w:ascii="仿宋" w:hAnsi="仿宋" w:eastAsia="仿宋" w:cs="仿宋"/>
                <w:b/>
                <w:bCs/>
                <w:color w:val="000000"/>
                <w:kern w:val="0"/>
                <w:sz w:val="18"/>
                <w:szCs w:val="18"/>
              </w:rPr>
              <w:t>100分</w:t>
            </w:r>
          </w:p>
        </w:tc>
        <w:tc>
          <w:tcPr>
            <w:tcW w:w="56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b/>
                <w:bCs/>
                <w:color w:val="000000"/>
                <w:kern w:val="0"/>
                <w:sz w:val="18"/>
                <w:szCs w:val="18"/>
                <w:lang w:val="en-US" w:eastAsia="zh-CN"/>
              </w:rPr>
            </w:pPr>
            <w:r>
              <w:rPr>
                <w:rFonts w:hint="eastAsia" w:ascii="仿宋" w:hAnsi="仿宋" w:eastAsia="仿宋" w:cs="仿宋"/>
                <w:b/>
                <w:bCs/>
                <w:color w:val="000000"/>
                <w:kern w:val="0"/>
                <w:sz w:val="18"/>
                <w:szCs w:val="18"/>
                <w:lang w:val="en-US" w:eastAsia="zh-CN"/>
              </w:rPr>
              <w:t>98</w:t>
            </w:r>
          </w:p>
        </w:tc>
        <w:tc>
          <w:tcPr>
            <w:tcW w:w="2101"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b/>
                <w:bCs/>
                <w:color w:val="000000"/>
                <w:kern w:val="0"/>
                <w:sz w:val="18"/>
                <w:szCs w:val="18"/>
              </w:rPr>
            </w:pPr>
          </w:p>
        </w:tc>
        <w:tc>
          <w:tcPr>
            <w:tcW w:w="1975"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b/>
                <w:bCs/>
                <w:color w:val="000000"/>
                <w:kern w:val="0"/>
                <w:sz w:val="18"/>
                <w:szCs w:val="18"/>
              </w:rPr>
            </w:pPr>
          </w:p>
        </w:tc>
        <w:tc>
          <w:tcPr>
            <w:tcW w:w="1218" w:type="dxa"/>
            <w:tcBorders>
              <w:top w:val="nil"/>
              <w:left w:val="nil"/>
              <w:bottom w:val="single" w:color="auto" w:sz="4" w:space="0"/>
              <w:right w:val="single" w:color="auto" w:sz="4" w:space="0"/>
            </w:tcBorders>
            <w:shd w:val="clear" w:color="auto" w:fill="auto"/>
            <w:noWrap w:val="0"/>
            <w:vAlign w:val="center"/>
          </w:tcPr>
          <w:p>
            <w:pPr>
              <w:widowControl/>
              <w:jc w:val="center"/>
              <w:rPr>
                <w:rFonts w:hint="eastAsia" w:ascii="仿宋" w:hAnsi="仿宋" w:eastAsia="仿宋" w:cs="仿宋"/>
                <w:b/>
                <w:bCs/>
                <w:color w:val="000000"/>
                <w:kern w:val="0"/>
                <w:sz w:val="18"/>
                <w:szCs w:val="18"/>
              </w:rPr>
            </w:pPr>
          </w:p>
        </w:tc>
      </w:tr>
    </w:tbl>
    <w:p>
      <w:pPr>
        <w:jc w:val="center"/>
        <w:rPr>
          <w:rFonts w:hint="eastAsia" w:ascii="仿宋" w:hAnsi="仿宋" w:eastAsia="仿宋" w:cs="仿宋"/>
          <w:sz w:val="30"/>
          <w:szCs w:val="30"/>
        </w:rPr>
      </w:pPr>
    </w:p>
    <w:p>
      <w:pPr>
        <w:widowControl/>
        <w:jc w:val="left"/>
        <w:rPr>
          <w:rFonts w:hint="eastAsia" w:ascii="仿宋" w:hAnsi="仿宋" w:eastAsia="仿宋" w:cs="仿宋"/>
          <w:sz w:val="32"/>
          <w:szCs w:val="32"/>
        </w:rPr>
      </w:pPr>
      <w:r>
        <w:rPr>
          <w:rFonts w:hint="eastAsia" w:ascii="仿宋" w:hAnsi="仿宋" w:eastAsia="仿宋" w:cs="仿宋"/>
          <w:sz w:val="32"/>
          <w:szCs w:val="32"/>
        </w:rPr>
        <w:t xml:space="preserve"> </w:t>
      </w:r>
    </w:p>
    <w:p>
      <w:pPr>
        <w:spacing w:line="560" w:lineRule="exact"/>
        <w:rPr>
          <w:rFonts w:hint="eastAsia" w:ascii="仿宋" w:hAnsi="仿宋" w:eastAsia="仿宋" w:cs="仿宋"/>
          <w:color w:val="000000" w:themeColor="text1"/>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仿宋_GBK">
    <w:altName w:val="微软雅黑"/>
    <w:panose1 w:val="03000509000000000000"/>
    <w:charset w:val="86"/>
    <w:family w:val="script"/>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495635"/>
      <w:docPartObj>
        <w:docPartGallery w:val="autotext"/>
      </w:docPartObj>
    </w:sdtPr>
    <w:sdtContent>
      <w:p>
        <w:pPr>
          <w:pStyle w:val="6"/>
          <w:jc w:val="center"/>
        </w:pPr>
        <w:r>
          <w:fldChar w:fldCharType="begin"/>
        </w:r>
        <w:r>
          <w:instrText xml:space="preserve"> PAGE   \* MERGEFORMAT </w:instrText>
        </w:r>
        <w:r>
          <w:fldChar w:fldCharType="separate"/>
        </w:r>
        <w:r>
          <w:rPr>
            <w:lang w:val="zh-CN"/>
          </w:rPr>
          <w:t>7</w:t>
        </w:r>
        <w:r>
          <w:rPr>
            <w:lang w:val="zh-CN"/>
          </w:rPr>
          <w:fldChar w:fldCharType="end"/>
        </w:r>
      </w:p>
    </w:sdtContent>
  </w:sdt>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4B4983"/>
    <w:multiLevelType w:val="singleLevel"/>
    <w:tmpl w:val="5D4B4983"/>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U3YWRkZmU5OTJhNGQyMDFmYzgxYmU0MjIxODYxNTUifQ=="/>
  </w:docVars>
  <w:rsids>
    <w:rsidRoot w:val="00792F8B"/>
    <w:rsid w:val="00004E3B"/>
    <w:rsid w:val="000264CC"/>
    <w:rsid w:val="00032ABD"/>
    <w:rsid w:val="000473EB"/>
    <w:rsid w:val="00051646"/>
    <w:rsid w:val="00053BE2"/>
    <w:rsid w:val="000863EF"/>
    <w:rsid w:val="00087AA1"/>
    <w:rsid w:val="000A4FB2"/>
    <w:rsid w:val="000B2C9C"/>
    <w:rsid w:val="000E1C68"/>
    <w:rsid w:val="00105E74"/>
    <w:rsid w:val="00130381"/>
    <w:rsid w:val="00161872"/>
    <w:rsid w:val="0017191B"/>
    <w:rsid w:val="00190CFD"/>
    <w:rsid w:val="001A5410"/>
    <w:rsid w:val="001B5FB9"/>
    <w:rsid w:val="00214181"/>
    <w:rsid w:val="00217F71"/>
    <w:rsid w:val="00225991"/>
    <w:rsid w:val="00281ED2"/>
    <w:rsid w:val="002B434E"/>
    <w:rsid w:val="002B57ED"/>
    <w:rsid w:val="002D42AF"/>
    <w:rsid w:val="002E5562"/>
    <w:rsid w:val="003245A3"/>
    <w:rsid w:val="00327CCE"/>
    <w:rsid w:val="003644D4"/>
    <w:rsid w:val="0036485E"/>
    <w:rsid w:val="00370EEE"/>
    <w:rsid w:val="0037661A"/>
    <w:rsid w:val="003B2DEB"/>
    <w:rsid w:val="003B3D2A"/>
    <w:rsid w:val="003E021A"/>
    <w:rsid w:val="003E3D74"/>
    <w:rsid w:val="00422A3E"/>
    <w:rsid w:val="004810E9"/>
    <w:rsid w:val="0049606F"/>
    <w:rsid w:val="004B6808"/>
    <w:rsid w:val="004C15FD"/>
    <w:rsid w:val="00507D76"/>
    <w:rsid w:val="00512ADB"/>
    <w:rsid w:val="005220A7"/>
    <w:rsid w:val="00535310"/>
    <w:rsid w:val="00584F1F"/>
    <w:rsid w:val="00597368"/>
    <w:rsid w:val="005C121C"/>
    <w:rsid w:val="005C5FE7"/>
    <w:rsid w:val="00657B47"/>
    <w:rsid w:val="006608A7"/>
    <w:rsid w:val="00682BED"/>
    <w:rsid w:val="006902DE"/>
    <w:rsid w:val="00690D44"/>
    <w:rsid w:val="006A7362"/>
    <w:rsid w:val="006C178D"/>
    <w:rsid w:val="006E1DF0"/>
    <w:rsid w:val="006E47CD"/>
    <w:rsid w:val="00705B71"/>
    <w:rsid w:val="00723620"/>
    <w:rsid w:val="0073063E"/>
    <w:rsid w:val="00734218"/>
    <w:rsid w:val="0073570C"/>
    <w:rsid w:val="0079249C"/>
    <w:rsid w:val="00792F8B"/>
    <w:rsid w:val="00794005"/>
    <w:rsid w:val="007A40E4"/>
    <w:rsid w:val="007B3224"/>
    <w:rsid w:val="007B3FEB"/>
    <w:rsid w:val="008032C3"/>
    <w:rsid w:val="008D481D"/>
    <w:rsid w:val="008E0798"/>
    <w:rsid w:val="0090143B"/>
    <w:rsid w:val="009302FC"/>
    <w:rsid w:val="0094022F"/>
    <w:rsid w:val="00950065"/>
    <w:rsid w:val="00953942"/>
    <w:rsid w:val="00956EAA"/>
    <w:rsid w:val="00990997"/>
    <w:rsid w:val="009B429D"/>
    <w:rsid w:val="009D3B1F"/>
    <w:rsid w:val="00A0668C"/>
    <w:rsid w:val="00A407AA"/>
    <w:rsid w:val="00A45705"/>
    <w:rsid w:val="00A77BFC"/>
    <w:rsid w:val="00A870E9"/>
    <w:rsid w:val="00AC097C"/>
    <w:rsid w:val="00AE5C93"/>
    <w:rsid w:val="00AF0340"/>
    <w:rsid w:val="00AF2B73"/>
    <w:rsid w:val="00B21234"/>
    <w:rsid w:val="00BE1DD7"/>
    <w:rsid w:val="00C16614"/>
    <w:rsid w:val="00C71406"/>
    <w:rsid w:val="00CA16B4"/>
    <w:rsid w:val="00CA4233"/>
    <w:rsid w:val="00CD79C4"/>
    <w:rsid w:val="00CE4F43"/>
    <w:rsid w:val="00CE724F"/>
    <w:rsid w:val="00CF122C"/>
    <w:rsid w:val="00D03EE9"/>
    <w:rsid w:val="00D50EA4"/>
    <w:rsid w:val="00DA56EC"/>
    <w:rsid w:val="00DC22E9"/>
    <w:rsid w:val="00E36F7C"/>
    <w:rsid w:val="00EB3694"/>
    <w:rsid w:val="00EB66A1"/>
    <w:rsid w:val="00EC5577"/>
    <w:rsid w:val="00EF609C"/>
    <w:rsid w:val="00F06EF9"/>
    <w:rsid w:val="00F41479"/>
    <w:rsid w:val="00F51433"/>
    <w:rsid w:val="00F728B6"/>
    <w:rsid w:val="00FC0B28"/>
    <w:rsid w:val="00FC45E7"/>
    <w:rsid w:val="00FC5F89"/>
    <w:rsid w:val="00FF0187"/>
    <w:rsid w:val="00FF37F8"/>
    <w:rsid w:val="00FF39D4"/>
    <w:rsid w:val="022C41DC"/>
    <w:rsid w:val="037C259D"/>
    <w:rsid w:val="0396044B"/>
    <w:rsid w:val="050205DF"/>
    <w:rsid w:val="0B704981"/>
    <w:rsid w:val="10550872"/>
    <w:rsid w:val="1287267E"/>
    <w:rsid w:val="13DD7BFE"/>
    <w:rsid w:val="14897DD1"/>
    <w:rsid w:val="18381ACD"/>
    <w:rsid w:val="19C50FA0"/>
    <w:rsid w:val="1AA27D63"/>
    <w:rsid w:val="1E8238C6"/>
    <w:rsid w:val="22066073"/>
    <w:rsid w:val="23C765AD"/>
    <w:rsid w:val="333B53E1"/>
    <w:rsid w:val="34C62C04"/>
    <w:rsid w:val="38CC2D2A"/>
    <w:rsid w:val="39627444"/>
    <w:rsid w:val="39EB259D"/>
    <w:rsid w:val="3A0D1DA3"/>
    <w:rsid w:val="431330EA"/>
    <w:rsid w:val="45F955DE"/>
    <w:rsid w:val="480D446A"/>
    <w:rsid w:val="4A6B7DEA"/>
    <w:rsid w:val="4C944AFA"/>
    <w:rsid w:val="4F3F5A9A"/>
    <w:rsid w:val="5537597B"/>
    <w:rsid w:val="55396DD3"/>
    <w:rsid w:val="55D50C54"/>
    <w:rsid w:val="589A540F"/>
    <w:rsid w:val="5D8C2FF2"/>
    <w:rsid w:val="5F2D667E"/>
    <w:rsid w:val="60324FEA"/>
    <w:rsid w:val="61CD4095"/>
    <w:rsid w:val="62F236AE"/>
    <w:rsid w:val="631E7304"/>
    <w:rsid w:val="643F356E"/>
    <w:rsid w:val="64C37644"/>
    <w:rsid w:val="6B4A1FC8"/>
    <w:rsid w:val="6D9E7467"/>
    <w:rsid w:val="70B6186B"/>
    <w:rsid w:val="70C0044A"/>
    <w:rsid w:val="70C3376D"/>
    <w:rsid w:val="72D64556"/>
    <w:rsid w:val="779B2509"/>
    <w:rsid w:val="7932354E"/>
    <w:rsid w:val="7D287C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link w:val="18"/>
    <w:qFormat/>
    <w:uiPriority w:val="9"/>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实施方案正文"/>
    <w:basedOn w:val="3"/>
    <w:next w:val="1"/>
    <w:qFormat/>
    <w:uiPriority w:val="99"/>
    <w:pPr>
      <w:ind w:firstLine="566" w:firstLineChars="202"/>
    </w:pPr>
    <w:rPr>
      <w:rFonts w:ascii="仿宋_GB2312" w:hAnsi="Times New Roman"/>
      <w:szCs w:val="28"/>
    </w:rPr>
  </w:style>
  <w:style w:type="paragraph" w:customStyle="1" w:styleId="3">
    <w:name w:val="正文 New"/>
    <w:next w:val="2"/>
    <w:qFormat/>
    <w:uiPriority w:val="0"/>
    <w:pPr>
      <w:widowControl w:val="0"/>
      <w:jc w:val="both"/>
    </w:pPr>
    <w:rPr>
      <w:rFonts w:ascii="Times New Roman" w:hAnsi="Times New Roman" w:eastAsia="宋体" w:cs="Times New Roman"/>
      <w:sz w:val="21"/>
      <w:szCs w:val="24"/>
      <w:lang w:val="en-US" w:eastAsia="zh-CN" w:bidi="ar-SA"/>
    </w:rPr>
  </w:style>
  <w:style w:type="paragraph" w:styleId="5">
    <w:name w:val="Normal Indent"/>
    <w:basedOn w:val="1"/>
    <w:unhideWhenUsed/>
    <w:qFormat/>
    <w:uiPriority w:val="0"/>
    <w:pPr>
      <w:ind w:firstLine="420" w:firstLineChars="200"/>
    </w:p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customStyle="1" w:styleId="12">
    <w:name w:val="无间隔1"/>
    <w:basedOn w:val="1"/>
    <w:qFormat/>
    <w:uiPriority w:val="0"/>
  </w:style>
  <w:style w:type="character" w:customStyle="1" w:styleId="13">
    <w:name w:val="edui-faked-checkword"/>
    <w:basedOn w:val="11"/>
    <w:qFormat/>
    <w:uiPriority w:val="0"/>
  </w:style>
  <w:style w:type="character" w:customStyle="1" w:styleId="14">
    <w:name w:val="页眉 Char"/>
    <w:basedOn w:val="11"/>
    <w:link w:val="7"/>
    <w:semiHidden/>
    <w:qFormat/>
    <w:uiPriority w:val="99"/>
    <w:rPr>
      <w:rFonts w:ascii="Calibri" w:hAnsi="Calibri" w:eastAsia="宋体" w:cs="Times New Roman"/>
      <w:sz w:val="18"/>
      <w:szCs w:val="18"/>
    </w:rPr>
  </w:style>
  <w:style w:type="character" w:customStyle="1" w:styleId="15">
    <w:name w:val="页脚 Char"/>
    <w:basedOn w:val="11"/>
    <w:link w:val="6"/>
    <w:qFormat/>
    <w:uiPriority w:val="99"/>
    <w:rPr>
      <w:rFonts w:ascii="Calibri" w:hAnsi="Calibri" w:eastAsia="宋体" w:cs="Times New Roman"/>
      <w:sz w:val="18"/>
      <w:szCs w:val="18"/>
    </w:rPr>
  </w:style>
  <w:style w:type="paragraph" w:customStyle="1" w:styleId="16">
    <w:name w:val="TOC 标题1"/>
    <w:basedOn w:val="4"/>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7">
    <w:name w:val="正文 A"/>
    <w:qFormat/>
    <w:uiPriority w:val="99"/>
    <w:pPr>
      <w:spacing w:after="200" w:line="276" w:lineRule="auto"/>
    </w:pPr>
    <w:rPr>
      <w:rFonts w:ascii="Calibri" w:hAnsi="Calibri" w:eastAsia="宋体" w:cs="Calibri"/>
      <w:color w:val="000000"/>
      <w:kern w:val="0"/>
      <w:sz w:val="22"/>
      <w:szCs w:val="22"/>
      <w:u w:color="000000"/>
      <w:lang w:val="en-US" w:eastAsia="zh-CN" w:bidi="ar-SA"/>
    </w:rPr>
  </w:style>
  <w:style w:type="character" w:customStyle="1" w:styleId="18">
    <w:name w:val="标题 1 Char"/>
    <w:basedOn w:val="11"/>
    <w:link w:val="4"/>
    <w:qFormat/>
    <w:uiPriority w:val="9"/>
    <w:rPr>
      <w:rFonts w:ascii="Calibri" w:hAnsi="Calibri" w:eastAsia="宋体" w:cs="Times New Roman"/>
      <w:b/>
      <w:bCs/>
      <w:kern w:val="44"/>
      <w:sz w:val="44"/>
      <w:szCs w:val="44"/>
    </w:rPr>
  </w:style>
  <w:style w:type="character" w:customStyle="1" w:styleId="19">
    <w:name w:val="内容"/>
    <w:qFormat/>
    <w:uiPriority w:val="99"/>
    <w:rPr>
      <w:rFonts w:ascii="方正仿宋_GBK" w:eastAsia="方正仿宋_GBK"/>
      <w:spacing w:val="0"/>
      <w:sz w:val="27"/>
    </w:rPr>
  </w:style>
  <w:style w:type="character" w:customStyle="1" w:styleId="20">
    <w:name w:val="hei41"/>
    <w:qFormat/>
    <w:uiPriority w:val="0"/>
    <w:rPr>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842</Words>
  <Characters>4804</Characters>
  <Lines>40</Lines>
  <Paragraphs>11</Paragraphs>
  <TotalTime>2</TotalTime>
  <ScaleCrop>false</ScaleCrop>
  <LinksUpToDate>false</LinksUpToDate>
  <CharactersWithSpaces>5635</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2020-03-02T02:50:00Z</dcterms:created>
  <dc:creator>Administrator</dc:creator>
  <cp:lastModifiedBy>岂曰无衣</cp:lastModifiedBy>
  <cp:lastPrinted>2023-02-13T02:19:00Z</cp:lastPrinted>
  <dcterms:modified xsi:type="dcterms:W3CDTF">2024-01-04T10:01:31Z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13486996C44F4477A4B043898F87FF8D_12</vt:lpwstr>
  </property>
</Properties>
</file>