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Times New Roman" w:hAnsi="Times New Roman" w:eastAsia="黑体"/>
          <w:bCs/>
          <w:sz w:val="52"/>
          <w:szCs w:val="52"/>
        </w:rPr>
      </w:pPr>
      <w:r>
        <w:rPr>
          <w:rFonts w:hint="eastAsia" w:ascii="Times New Roman" w:hAnsi="黑体" w:eastAsia="黑体"/>
          <w:bCs/>
          <w:sz w:val="52"/>
          <w:szCs w:val="52"/>
        </w:rPr>
        <w:t>劳动人事争议仲裁院办案补助经费</w:t>
      </w:r>
      <w:r>
        <w:rPr>
          <w:rFonts w:ascii="Times New Roman" w:hAnsi="黑体" w:eastAsia="黑体"/>
          <w:bCs/>
          <w:sz w:val="52"/>
          <w:szCs w:val="52"/>
        </w:rPr>
        <w:t>项目支出绩效自评报告</w:t>
      </w:r>
    </w:p>
    <w:p>
      <w:pPr>
        <w:jc w:val="center"/>
        <w:rPr>
          <w:rFonts w:ascii="Times New Roman" w:hAnsi="Times New Roman" w:eastAsia="黑体"/>
          <w:bCs/>
          <w:sz w:val="52"/>
          <w:szCs w:val="52"/>
        </w:rPr>
      </w:pPr>
      <w:r>
        <w:rPr>
          <w:rFonts w:ascii="Times New Roman" w:hAnsi="黑体" w:eastAsia="黑体"/>
          <w:bCs/>
          <w:sz w:val="52"/>
          <w:szCs w:val="52"/>
        </w:rPr>
        <w:t>（</w:t>
      </w:r>
      <w:r>
        <w:rPr>
          <w:rFonts w:ascii="Times New Roman" w:hAnsi="Times New Roman" w:eastAsia="黑体"/>
          <w:bCs/>
          <w:sz w:val="52"/>
          <w:szCs w:val="52"/>
        </w:rPr>
        <w:t>20</w:t>
      </w:r>
      <w:r>
        <w:rPr>
          <w:rFonts w:hint="eastAsia" w:ascii="Times New Roman" w:hAnsi="Times New Roman" w:eastAsia="黑体"/>
          <w:bCs/>
          <w:sz w:val="52"/>
          <w:szCs w:val="52"/>
        </w:rPr>
        <w:t>2</w:t>
      </w:r>
      <w:r>
        <w:rPr>
          <w:rFonts w:hint="eastAsia" w:ascii="Times New Roman" w:hAnsi="Times New Roman" w:eastAsia="黑体"/>
          <w:bCs/>
          <w:sz w:val="52"/>
          <w:szCs w:val="52"/>
          <w:lang w:val="en-US" w:eastAsia="zh-CN"/>
        </w:rPr>
        <w:t>2</w:t>
      </w:r>
      <w:r>
        <w:rPr>
          <w:rFonts w:ascii="Times New Roman" w:hAnsi="黑体" w:eastAsia="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_x0000_s1026" o:spid="_x0000_s1026" o:spt="32" type="#_x0000_t32" style="position:absolute;left:0pt;margin-left:186.75pt;margin-top:15.45pt;height:0pt;width:207.1pt;z-index:251659264;mso-width-relative:page;mso-height-relative:page;" filled="f" coordsize="21600,21600" o:gfxdata="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BNExD1wAAAAkBAAAPAAAAAAAAAAEAIAAAACIAAABkcnMvZG93bnJldi54bWxQ&#10;SwECFAAUAAAACACHTuJAp7duifgBAADxAwAADgAAAAAAAAABACAAAAAmAQAAZHJzL2Uyb0RvYy54&#10;bWxQSwUGAAAAAAYABgBZAQAAkAUAAAAA&#10;">
            <v:path arrowok="t"/>
            <v:fill on="f" focussize="0,0"/>
            <v:stroke/>
            <v:imagedata o:title=""/>
            <o:lock v:ext="edit"/>
          </v:shape>
        </w:pict>
      </w:r>
      <w:r>
        <w:rPr>
          <w:rFonts w:ascii="Times New Roman" w:hAnsi="Times New Roman" w:eastAsia="黑体"/>
          <w:b/>
          <w:bCs/>
          <w:sz w:val="28"/>
          <w:szCs w:val="28"/>
        </w:rPr>
        <w:t>部门名称（公章）：</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8"/>
          <w:szCs w:val="28"/>
          <w:highlight w:val="none"/>
        </w:rPr>
      </w:pPr>
      <w:r>
        <w:rPr>
          <w:rFonts w:ascii="Times New Roman" w:hAnsi="Times New Roman" w:eastAsia="黑体"/>
          <w:b/>
          <w:bCs/>
          <w:sz w:val="28"/>
          <w:szCs w:val="28"/>
        </w:rPr>
        <w:pict>
          <v:shape id="自选图形 3" o:spid="_x0000_s1030" o:spt="32" type="#_x0000_t32" style="position:absolute;left:0pt;margin-left:135pt;margin-top:17.45pt;height:0pt;width:258.85pt;z-index:251660288;mso-width-relative:page;mso-height-relative:page;" filled="f" coordsize="21600,21600" o:gfxdata="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D9Jci32AAAAAkBAAAPAAAAAAAAAAEAIAAAACIAAABkcnMvZG93bnJldi54&#10;bWxQSwECFAAUAAAACACHTuJAlLSi1/oBAADxAwAADgAAAAAAAAABACAAAAAnAQAAZHJzL2Uyb0Rv&#10;Yy54bWxQSwUGAAAAAAYABgBZAQAAkwUAAAAA&#10;">
            <v:path arrowok="t"/>
            <v:fill on="f" focussize="0,0"/>
            <v:stroke/>
            <v:imagedata o:title=""/>
            <o:lock v:ext="edit"/>
          </v:shape>
        </w:pict>
      </w:r>
      <w:r>
        <w:rPr>
          <w:rFonts w:ascii="Times New Roman" w:hAnsi="Times New Roman" w:eastAsia="黑体"/>
          <w:b/>
          <w:bCs/>
          <w:sz w:val="28"/>
          <w:szCs w:val="28"/>
        </w:rPr>
        <w:t>项目单位</w:t>
      </w:r>
      <w:r>
        <w:rPr>
          <w:rFonts w:ascii="Times New Roman" w:hAnsi="Times New Roman" w:eastAsia="黑体"/>
          <w:b/>
          <w:bCs/>
          <w:sz w:val="28"/>
          <w:szCs w:val="28"/>
          <w:highlight w:val="none"/>
        </w:rPr>
        <w:t>：</w:t>
      </w:r>
      <w:r>
        <w:rPr>
          <w:rFonts w:hint="eastAsia" w:ascii="Times New Roman" w:hAnsi="Times New Roman" w:eastAsia="黑体"/>
          <w:b/>
          <w:bCs/>
          <w:sz w:val="24"/>
          <w:szCs w:val="24"/>
          <w:highlight w:val="none"/>
        </w:rPr>
        <w:t>昆明市盘龙区劳动人事争议仲裁院</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自选图形 4" o:spid="_x0000_s1029" o:spt="32" type="#_x0000_t32" style="position:absolute;left:0pt;margin-left:135pt;margin-top:14.25pt;height:0pt;width:258.85pt;z-index:251661312;mso-width-relative:page;mso-height-relative:page;" filled="f" coordsize="21600,21600" o:gfxdata="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HVkYGzXAAAACQEAAA8AAAAAAAAAAQAgAAAAIgAAAGRycy9kb3ducmV2Lnht&#10;bFBLAQIUABQAAAAIAIdO4kDZUtv1+gEAAPEDAAAOAAAAAAAAAAEAIAAAACYBAABkcnMvZTJvRG9j&#10;LnhtbFBLBQYAAAAABgAGAFkBAACSBQAAAAA=&#10;">
            <v:path arrowok="t"/>
            <v:fill on="f" focussize="0,0"/>
            <v:stroke/>
            <v:imagedata o:title=""/>
            <o:lock v:ext="edit"/>
          </v:shape>
        </w:pict>
      </w:r>
      <w:r>
        <w:rPr>
          <w:rFonts w:ascii="Times New Roman" w:hAnsi="Times New Roman" w:eastAsia="黑体"/>
          <w:b/>
          <w:bCs/>
          <w:sz w:val="28"/>
          <w:szCs w:val="28"/>
        </w:rPr>
        <w:t>主管部门：</w:t>
      </w:r>
      <w:r>
        <w:rPr>
          <w:rFonts w:ascii="Times New Roman" w:hAnsi="Times New Roman" w:eastAsia="黑体"/>
          <w:b/>
          <w:bCs/>
          <w:sz w:val="24"/>
          <w:szCs w:val="24"/>
        </w:rPr>
        <w:t>昆明市盘龙区人力资源和社会保障局</w:t>
      </w:r>
    </w:p>
    <w:p>
      <w:pPr>
        <w:adjustRightInd w:val="0"/>
        <w:snapToGrid w:val="0"/>
        <w:spacing w:line="360" w:lineRule="auto"/>
        <w:ind w:left="1260" w:leftChars="600"/>
        <w:rPr>
          <w:rFonts w:ascii="Times New Roman" w:hAnsi="Times New Roman" w:eastAsia="黑体"/>
          <w:b/>
          <w:bCs/>
          <w:sz w:val="24"/>
          <w:szCs w:val="24"/>
        </w:rPr>
      </w:pPr>
      <w:r>
        <w:rPr>
          <w:rFonts w:ascii="Times New Roman" w:hAnsi="Times New Roman" w:eastAsia="黑体"/>
          <w:b/>
          <w:bCs/>
          <w:sz w:val="28"/>
          <w:szCs w:val="28"/>
        </w:rPr>
        <w:pict>
          <v:shape id="自选图形 5" o:spid="_x0000_s1028" o:spt="32" type="#_x0000_t32" style="position:absolute;left:0pt;margin-left:135pt;margin-top:16.75pt;height:0pt;width:261.25pt;z-index:251662336;mso-width-relative:page;mso-height-relative:page;" filled="f" coordsize="21600,21600" o:gfxdata="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oPX6c9gAAAAJAQAADwAAAAAAAAABACAAAAAiAAAAZHJzL2Rvd25yZXYu&#10;eG1sUEsBAhQAFAAAAAgAh07iQD+eP3r7AQAA8QMAAA4AAAAAAAAAAQAgAAAAJwEAAGRycy9lMm9E&#10;b2MueG1sUEsFBgAAAAAGAAYAWQEAAJQFAAAAAA==&#10;">
            <v:path arrowok="t"/>
            <v:fill on="f" focussize="0,0"/>
            <v:stroke/>
            <v:imagedata o:title=""/>
            <o:lock v:ext="edit"/>
          </v:shape>
        </w:pict>
      </w:r>
      <w:r>
        <w:rPr>
          <w:rFonts w:ascii="Times New Roman" w:hAnsi="Times New Roman" w:eastAsia="黑体"/>
          <w:b/>
          <w:bCs/>
          <w:sz w:val="28"/>
          <w:szCs w:val="28"/>
        </w:rPr>
        <w:t>项目名称：</w:t>
      </w:r>
      <w:r>
        <w:rPr>
          <w:rFonts w:hint="eastAsia" w:ascii="Times New Roman" w:hAnsi="Times New Roman" w:eastAsia="黑体"/>
          <w:b/>
          <w:bCs/>
          <w:sz w:val="24"/>
          <w:szCs w:val="24"/>
        </w:rPr>
        <w:t>劳动人事争议仲裁院办案补助经费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b/>
          <w:bCs/>
          <w:sz w:val="28"/>
          <w:szCs w:val="28"/>
        </w:rPr>
        <w:pict>
          <v:shape id="自选图形 6" o:spid="_x0000_s1027" o:spt="32" type="#_x0000_t32" style="position:absolute;left:0pt;margin-left:158.5pt;margin-top:16.75pt;height:0pt;width:237.75pt;z-index:251663360;mso-width-relative:page;mso-height-relative:page;" filled="f" coordsize="21600,21600" o:gfxdata="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IdEcd1wAAAAkBAAAPAAAAAAAAAAEAIAAAACIAAABkcnMvZG93bnJldi54bWxQ&#10;SwECFAAUAAAACACHTuJAoxeoMfgBAADxAwAADgAAAAAAAAABACAAAAAmAQAAZHJzL2Uyb0RvYy54&#10;bWxQSwUGAAAAAAYABgBZAQAAkAUAAAAA&#10;">
            <v:path arrowok="t"/>
            <v:fill on="f" focussize="0,0"/>
            <v:stroke/>
            <v:imagedata o:title=""/>
            <o:lock v:ext="edit"/>
          </v:shape>
        </w:pict>
      </w:r>
      <w:r>
        <w:rPr>
          <w:rFonts w:ascii="Times New Roman" w:hAnsi="Times New Roman" w:eastAsia="黑体"/>
          <w:b/>
          <w:bCs/>
          <w:sz w:val="28"/>
          <w:szCs w:val="28"/>
        </w:rPr>
        <w:t>绩效自评日期：</w:t>
      </w:r>
      <w:r>
        <w:rPr>
          <w:rFonts w:hint="eastAsia" w:ascii="Times New Roman" w:hAnsi="Times New Roman" w:eastAsia="黑体"/>
          <w:b/>
          <w:bCs/>
          <w:sz w:val="24"/>
          <w:szCs w:val="24"/>
        </w:rPr>
        <w:t>202</w:t>
      </w:r>
      <w:r>
        <w:rPr>
          <w:rFonts w:hint="eastAsia" w:ascii="Times New Roman" w:hAnsi="Times New Roman" w:eastAsia="黑体"/>
          <w:b/>
          <w:bCs/>
          <w:sz w:val="24"/>
          <w:szCs w:val="24"/>
          <w:lang w:val="en-US" w:eastAsia="zh-CN"/>
        </w:rPr>
        <w:t>3</w:t>
      </w:r>
      <w:r>
        <w:rPr>
          <w:rFonts w:hint="eastAsia" w:ascii="Times New Roman" w:hAnsi="Times New Roman" w:eastAsia="黑体"/>
          <w:b/>
          <w:bCs/>
          <w:sz w:val="24"/>
          <w:szCs w:val="24"/>
        </w:rPr>
        <w:t>年</w:t>
      </w:r>
      <w:r>
        <w:rPr>
          <w:rFonts w:hint="eastAsia" w:ascii="Times New Roman" w:hAnsi="Times New Roman" w:eastAsia="黑体"/>
          <w:b/>
          <w:bCs/>
          <w:sz w:val="24"/>
          <w:szCs w:val="24"/>
          <w:lang w:val="en-US" w:eastAsia="zh-CN"/>
        </w:rPr>
        <w:t>4</w:t>
      </w:r>
      <w:r>
        <w:rPr>
          <w:rFonts w:hint="eastAsia" w:ascii="Times New Roman" w:hAnsi="Times New Roman" w:eastAsia="黑体"/>
          <w:b/>
          <w:bCs/>
          <w:sz w:val="24"/>
          <w:szCs w:val="24"/>
        </w:rPr>
        <w:t>月</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w:t>
      </w:r>
      <w:r>
        <w:rPr>
          <w:rFonts w:hint="eastAsia" w:ascii="Times New Roman" w:hAnsi="Times New Roman" w:eastAsia="黑体"/>
          <w:b/>
          <w:bCs/>
          <w:sz w:val="28"/>
          <w:szCs w:val="28"/>
          <w:lang w:val="en-US" w:eastAsia="zh-CN"/>
        </w:rPr>
        <w:t>3</w:t>
      </w:r>
      <w:r>
        <w:rPr>
          <w:rFonts w:ascii="Times New Roman" w:hAnsi="Times New Roman" w:eastAsia="黑体"/>
          <w:b/>
          <w:bCs/>
          <w:sz w:val="28"/>
          <w:szCs w:val="28"/>
        </w:rPr>
        <w:t>年</w:t>
      </w:r>
      <w:r>
        <w:rPr>
          <w:rFonts w:hint="eastAsia" w:ascii="Times New Roman" w:hAnsi="Times New Roman" w:eastAsia="黑体"/>
          <w:b/>
          <w:bCs/>
          <w:sz w:val="28"/>
          <w:szCs w:val="28"/>
          <w:lang w:val="en-US" w:eastAsia="zh-CN"/>
        </w:rPr>
        <w:t>4</w:t>
      </w:r>
      <w:r>
        <w:rPr>
          <w:rFonts w:ascii="Times New Roman" w:hAnsi="Times New Roman" w:eastAsia="黑体"/>
          <w:b/>
          <w:bCs/>
          <w:sz w:val="28"/>
          <w:szCs w:val="28"/>
        </w:rPr>
        <w:t>月</w:t>
      </w: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jc w:val="center"/>
        <w:rPr>
          <w:rFonts w:ascii="Times New Roman" w:hAnsi="Times New Roman" w:eastAsia="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pStyle w:val="12"/>
        <w:widowControl w:val="0"/>
        <w:spacing w:after="0" w:line="360" w:lineRule="auto"/>
        <w:ind w:left="420" w:leftChars="200"/>
        <w:jc w:val="both"/>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eastAsia="zh-TW"/>
        </w:rPr>
        <w:t>评价小组成员：</w:t>
      </w:r>
    </w:p>
    <w:tbl>
      <w:tblPr>
        <w:tblStyle w:val="8"/>
        <w:tblpPr w:leftFromText="180" w:rightFromText="180" w:vertAnchor="text" w:horzAnchor="page" w:tblpX="1765" w:tblpY="153"/>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830"/>
        <w:gridCol w:w="141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评价小组</w:t>
            </w:r>
          </w:p>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机构职位</w:t>
            </w:r>
          </w:p>
        </w:tc>
        <w:tc>
          <w:tcPr>
            <w:tcW w:w="1620"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姓名</w:t>
            </w:r>
          </w:p>
        </w:tc>
        <w:tc>
          <w:tcPr>
            <w:tcW w:w="1830"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职务/职称</w:t>
            </w:r>
          </w:p>
        </w:tc>
        <w:tc>
          <w:tcPr>
            <w:tcW w:w="1411"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所属</w:t>
            </w:r>
          </w:p>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单位/处室</w:t>
            </w:r>
          </w:p>
        </w:tc>
        <w:tc>
          <w:tcPr>
            <w:tcW w:w="1621"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12"/>
              <w:widowControl w:val="0"/>
              <w:spacing w:after="0" w:line="24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组长</w:t>
            </w:r>
          </w:p>
        </w:tc>
        <w:tc>
          <w:tcPr>
            <w:tcW w:w="1620" w:type="dxa"/>
            <w:vAlign w:val="center"/>
          </w:tcPr>
          <w:p>
            <w:pPr>
              <w:pStyle w:val="12"/>
              <w:widowControl w:val="0"/>
              <w:spacing w:after="0" w:line="360" w:lineRule="auto"/>
              <w:jc w:val="center"/>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val="zh-TW" w:eastAsia="zh-CN"/>
              </w:rPr>
              <w:t>李平原</w:t>
            </w:r>
          </w:p>
        </w:tc>
        <w:tc>
          <w:tcPr>
            <w:tcW w:w="183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局长</w:t>
            </w:r>
          </w:p>
        </w:tc>
        <w:tc>
          <w:tcPr>
            <w:tcW w:w="1411" w:type="dxa"/>
          </w:tcPr>
          <w:p>
            <w:pPr>
              <w:pStyle w:val="12"/>
              <w:widowControl w:val="0"/>
              <w:spacing w:after="0" w:line="240" w:lineRule="auto"/>
              <w:jc w:val="both"/>
              <w:rPr>
                <w:rFonts w:ascii="Times New Roman" w:hAnsi="Times New Roman" w:eastAsia="黑体" w:cs="Times New Roman"/>
                <w:kern w:val="2"/>
                <w:sz w:val="24"/>
                <w:szCs w:val="24"/>
                <w:lang w:val="zh-TW" w:eastAsia="zh-TW"/>
              </w:rPr>
            </w:pPr>
          </w:p>
        </w:tc>
        <w:tc>
          <w:tcPr>
            <w:tcW w:w="1621" w:type="dxa"/>
          </w:tcPr>
          <w:p>
            <w:pPr>
              <w:pStyle w:val="12"/>
              <w:widowControl w:val="0"/>
              <w:spacing w:after="0" w:line="24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12"/>
              <w:widowControl w:val="0"/>
              <w:spacing w:after="0" w:line="360" w:lineRule="auto"/>
              <w:ind w:firstLine="360" w:firstLineChars="150"/>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副组长</w:t>
            </w:r>
          </w:p>
        </w:tc>
        <w:tc>
          <w:tcPr>
            <w:tcW w:w="162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rPr>
              <w:t>唐祺</w:t>
            </w:r>
          </w:p>
        </w:tc>
        <w:tc>
          <w:tcPr>
            <w:tcW w:w="183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副局长</w:t>
            </w:r>
          </w:p>
        </w:tc>
        <w:tc>
          <w:tcPr>
            <w:tcW w:w="1411" w:type="dxa"/>
          </w:tcPr>
          <w:p>
            <w:pPr>
              <w:pStyle w:val="12"/>
              <w:widowControl w:val="0"/>
              <w:spacing w:after="0" w:line="360" w:lineRule="auto"/>
              <w:jc w:val="both"/>
              <w:rPr>
                <w:rFonts w:ascii="Times New Roman" w:hAnsi="Times New Roman" w:eastAsia="黑体" w:cs="Times New Roman"/>
                <w:kern w:val="2"/>
                <w:sz w:val="24"/>
                <w:szCs w:val="24"/>
                <w:lang w:val="zh-TW" w:eastAsia="zh-TW"/>
              </w:rPr>
            </w:pPr>
          </w:p>
        </w:tc>
        <w:tc>
          <w:tcPr>
            <w:tcW w:w="1621" w:type="dxa"/>
          </w:tcPr>
          <w:p>
            <w:pPr>
              <w:pStyle w:val="12"/>
              <w:widowControl w:val="0"/>
              <w:spacing w:after="0" w:line="360" w:lineRule="auto"/>
              <w:jc w:val="both"/>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12"/>
              <w:widowControl w:val="0"/>
              <w:spacing w:after="0" w:line="360" w:lineRule="auto"/>
              <w:jc w:val="center"/>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成员</w:t>
            </w:r>
          </w:p>
        </w:tc>
        <w:tc>
          <w:tcPr>
            <w:tcW w:w="1620" w:type="dxa"/>
            <w:vAlign w:val="center"/>
          </w:tcPr>
          <w:p>
            <w:pPr>
              <w:pStyle w:val="12"/>
              <w:widowControl w:val="0"/>
              <w:spacing w:after="0" w:line="360" w:lineRule="auto"/>
              <w:jc w:val="center"/>
              <w:rPr>
                <w:rFonts w:hint="eastAsia" w:ascii="Times New Roman" w:hAnsi="Times New Roman" w:eastAsia="黑体" w:cs="Times New Roman"/>
                <w:kern w:val="2"/>
                <w:sz w:val="24"/>
                <w:szCs w:val="24"/>
                <w:highlight w:val="none"/>
                <w:lang w:val="zh-TW" w:eastAsia="zh-CN"/>
              </w:rPr>
            </w:pPr>
            <w:r>
              <w:rPr>
                <w:rFonts w:hint="eastAsia" w:ascii="Times New Roman" w:hAnsi="Times New Roman" w:eastAsia="黑体" w:cs="Times New Roman"/>
                <w:kern w:val="2"/>
                <w:sz w:val="24"/>
                <w:szCs w:val="24"/>
                <w:highlight w:val="none"/>
                <w:lang w:eastAsia="zh-CN"/>
              </w:rPr>
              <w:t>李元磊</w:t>
            </w:r>
          </w:p>
        </w:tc>
        <w:tc>
          <w:tcPr>
            <w:tcW w:w="183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rPr>
            </w:pPr>
            <w:r>
              <w:rPr>
                <w:rFonts w:hint="eastAsia" w:ascii="Times New Roman" w:hAnsi="Times New Roman" w:eastAsia="黑体" w:cs="Times New Roman"/>
                <w:kern w:val="2"/>
                <w:sz w:val="24"/>
                <w:szCs w:val="24"/>
                <w:highlight w:val="none"/>
              </w:rPr>
              <w:t>区仲裁院院长</w:t>
            </w:r>
          </w:p>
        </w:tc>
        <w:tc>
          <w:tcPr>
            <w:tcW w:w="1411" w:type="dxa"/>
            <w:vAlign w:val="center"/>
          </w:tcPr>
          <w:p>
            <w:pPr>
              <w:pStyle w:val="12"/>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12"/>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620" w:type="dxa"/>
            <w:vAlign w:val="center"/>
          </w:tcPr>
          <w:p>
            <w:pPr>
              <w:pStyle w:val="12"/>
              <w:widowControl w:val="0"/>
              <w:spacing w:after="0" w:line="360" w:lineRule="auto"/>
              <w:jc w:val="center"/>
              <w:rPr>
                <w:rFonts w:ascii="Times New Roman" w:hAnsi="Times New Roman" w:eastAsia="黑体" w:cs="Times New Roman"/>
                <w:kern w:val="2"/>
                <w:sz w:val="24"/>
                <w:szCs w:val="24"/>
                <w:lang w:val="zh-TW"/>
              </w:rPr>
            </w:pPr>
          </w:p>
        </w:tc>
        <w:tc>
          <w:tcPr>
            <w:tcW w:w="162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rPr>
            </w:pPr>
            <w:r>
              <w:rPr>
                <w:rFonts w:hint="eastAsia" w:ascii="Times New Roman" w:hAnsi="Times New Roman" w:eastAsia="黑体" w:cs="Times New Roman"/>
                <w:kern w:val="2"/>
                <w:sz w:val="24"/>
                <w:szCs w:val="24"/>
                <w:highlight w:val="none"/>
              </w:rPr>
              <w:t>杨涵</w:t>
            </w:r>
          </w:p>
        </w:tc>
        <w:tc>
          <w:tcPr>
            <w:tcW w:w="1830" w:type="dxa"/>
            <w:vAlign w:val="center"/>
          </w:tcPr>
          <w:p>
            <w:pPr>
              <w:pStyle w:val="12"/>
              <w:widowControl w:val="0"/>
              <w:spacing w:after="0" w:line="360" w:lineRule="auto"/>
              <w:jc w:val="center"/>
              <w:rPr>
                <w:rFonts w:ascii="Times New Roman" w:hAnsi="Times New Roman" w:eastAsia="黑体" w:cs="Times New Roman"/>
                <w:kern w:val="2"/>
                <w:sz w:val="24"/>
                <w:szCs w:val="24"/>
                <w:highlight w:val="none"/>
                <w:lang w:val="zh-TW"/>
              </w:rPr>
            </w:pPr>
            <w:r>
              <w:rPr>
                <w:rFonts w:hint="eastAsia" w:ascii="Times New Roman" w:hAnsi="Times New Roman" w:eastAsia="黑体" w:cs="Times New Roman"/>
                <w:kern w:val="2"/>
                <w:sz w:val="24"/>
                <w:szCs w:val="24"/>
                <w:highlight w:val="none"/>
                <w:lang w:val="zh-TW"/>
              </w:rPr>
              <w:t>局行办财务</w:t>
            </w:r>
          </w:p>
        </w:tc>
        <w:tc>
          <w:tcPr>
            <w:tcW w:w="1411" w:type="dxa"/>
            <w:vAlign w:val="center"/>
          </w:tcPr>
          <w:p>
            <w:pPr>
              <w:pStyle w:val="12"/>
              <w:widowControl w:val="0"/>
              <w:spacing w:after="0" w:line="360" w:lineRule="auto"/>
              <w:jc w:val="center"/>
              <w:rPr>
                <w:rFonts w:ascii="Times New Roman" w:hAnsi="Times New Roman" w:eastAsia="黑体" w:cs="Times New Roman"/>
                <w:kern w:val="2"/>
                <w:sz w:val="24"/>
                <w:szCs w:val="24"/>
                <w:lang w:val="zh-TW" w:eastAsia="zh-TW"/>
              </w:rPr>
            </w:pPr>
          </w:p>
        </w:tc>
        <w:tc>
          <w:tcPr>
            <w:tcW w:w="1621" w:type="dxa"/>
            <w:vAlign w:val="center"/>
          </w:tcPr>
          <w:p>
            <w:pPr>
              <w:pStyle w:val="12"/>
              <w:widowControl w:val="0"/>
              <w:spacing w:after="0" w:line="360" w:lineRule="auto"/>
              <w:jc w:val="center"/>
              <w:rPr>
                <w:rFonts w:ascii="Times New Roman" w:hAnsi="Times New Roman" w:eastAsia="黑体" w:cs="Times New Roman"/>
                <w:kern w:val="2"/>
                <w:sz w:val="24"/>
                <w:szCs w:val="24"/>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12"/>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报告撰写人（签字）：</w:t>
            </w:r>
          </w:p>
          <w:p>
            <w:pPr>
              <w:pStyle w:val="12"/>
              <w:widowControl w:val="0"/>
              <w:spacing w:after="0" w:line="360" w:lineRule="auto"/>
              <w:jc w:val="both"/>
              <w:rPr>
                <w:rFonts w:ascii="Times New Roman" w:hAnsi="Times New Roman" w:eastAsia="黑体" w:cs="Times New Roman"/>
                <w:kern w:val="2"/>
                <w:sz w:val="24"/>
                <w:szCs w:val="24"/>
                <w:lang w:val="zh-TW"/>
              </w:rPr>
            </w:pPr>
          </w:p>
          <w:p>
            <w:pPr>
              <w:pStyle w:val="12"/>
              <w:widowControl w:val="0"/>
              <w:wordWrap w:val="0"/>
              <w:spacing w:after="0" w:line="360" w:lineRule="auto"/>
              <w:ind w:right="480" w:firstLine="4920" w:firstLineChars="2050"/>
              <w:jc w:val="right"/>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8102" w:type="dxa"/>
            <w:gridSpan w:val="5"/>
          </w:tcPr>
          <w:p>
            <w:pPr>
              <w:pStyle w:val="12"/>
              <w:widowControl w:val="0"/>
              <w:spacing w:after="0" w:line="360" w:lineRule="auto"/>
              <w:jc w:val="both"/>
              <w:rPr>
                <w:rFonts w:ascii="Times New Roman" w:hAnsi="Times New Roman" w:eastAsia="黑体" w:cs="Times New Roman"/>
                <w:kern w:val="2"/>
                <w:sz w:val="24"/>
                <w:szCs w:val="24"/>
                <w:lang w:val="zh-TW"/>
              </w:rPr>
            </w:pPr>
            <w:r>
              <w:rPr>
                <w:rFonts w:ascii="Times New Roman" w:hAnsi="Times New Roman" w:eastAsia="黑体" w:cs="Times New Roman"/>
                <w:kern w:val="2"/>
                <w:sz w:val="24"/>
                <w:szCs w:val="24"/>
                <w:lang w:val="zh-TW"/>
              </w:rPr>
              <w:t>评价工作负责人（签字）：</w:t>
            </w:r>
          </w:p>
          <w:p>
            <w:pPr>
              <w:pStyle w:val="12"/>
              <w:widowControl w:val="0"/>
              <w:spacing w:after="0" w:line="360" w:lineRule="auto"/>
              <w:jc w:val="both"/>
              <w:rPr>
                <w:rFonts w:ascii="Times New Roman" w:hAnsi="Times New Roman" w:eastAsia="黑体" w:cs="Times New Roman"/>
                <w:kern w:val="2"/>
                <w:sz w:val="24"/>
                <w:szCs w:val="24"/>
                <w:lang w:val="zh-TW"/>
              </w:rPr>
            </w:pPr>
          </w:p>
          <w:p>
            <w:pPr>
              <w:pStyle w:val="12"/>
              <w:widowControl w:val="0"/>
              <w:spacing w:after="0" w:line="360" w:lineRule="auto"/>
              <w:jc w:val="both"/>
              <w:rPr>
                <w:rFonts w:ascii="Times New Roman" w:hAnsi="Times New Roman" w:eastAsia="黑体" w:cs="Times New Roman"/>
                <w:kern w:val="2"/>
                <w:sz w:val="24"/>
                <w:szCs w:val="24"/>
                <w:lang w:val="zh-TW"/>
              </w:rPr>
            </w:pPr>
          </w:p>
          <w:p>
            <w:pPr>
              <w:pStyle w:val="12"/>
              <w:widowControl w:val="0"/>
              <w:wordWrap w:val="0"/>
              <w:spacing w:after="0" w:line="360" w:lineRule="auto"/>
              <w:ind w:right="480" w:firstLine="4800" w:firstLineChars="2000"/>
              <w:jc w:val="right"/>
              <w:rPr>
                <w:rFonts w:ascii="Times New Roman" w:hAnsi="Times New Roman" w:eastAsia="黑体" w:cs="Times New Roman"/>
                <w:kern w:val="2"/>
                <w:sz w:val="24"/>
                <w:szCs w:val="24"/>
                <w:lang w:val="zh-TW" w:eastAsia="zh-TW"/>
              </w:rPr>
            </w:pPr>
            <w:r>
              <w:rPr>
                <w:rFonts w:ascii="Times New Roman" w:hAnsi="Times New Roman" w:eastAsia="黑体" w:cs="Times New Roman"/>
                <w:kern w:val="2"/>
                <w:sz w:val="24"/>
                <w:szCs w:val="24"/>
                <w:lang w:val="zh-TW"/>
              </w:rPr>
              <w:t>年</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月</w:t>
            </w:r>
            <w:r>
              <w:rPr>
                <w:rFonts w:hint="eastAsia" w:ascii="Times New Roman" w:hAnsi="Times New Roman" w:eastAsia="黑体" w:cs="Times New Roman"/>
                <w:kern w:val="2"/>
                <w:sz w:val="24"/>
                <w:szCs w:val="24"/>
                <w:lang w:val="zh-TW"/>
              </w:rPr>
              <w:t xml:space="preserve">  </w:t>
            </w:r>
            <w:r>
              <w:rPr>
                <w:rFonts w:ascii="Times New Roman" w:hAnsi="Times New Roman" w:eastAsia="黑体" w:cs="Times New Roman"/>
                <w:kern w:val="2"/>
                <w:sz w:val="24"/>
                <w:szCs w:val="24"/>
                <w:lang w:val="zh-TW"/>
              </w:rPr>
              <w:t>日</w:t>
            </w:r>
          </w:p>
        </w:tc>
      </w:tr>
    </w:tbl>
    <w:p>
      <w:pPr>
        <w:pStyle w:val="12"/>
        <w:widowControl w:val="0"/>
        <w:spacing w:after="0" w:line="360" w:lineRule="auto"/>
        <w:jc w:val="both"/>
        <w:rPr>
          <w:rFonts w:ascii="Times New Roman" w:hAnsi="Times New Roman" w:cs="Times New Roman"/>
          <w:kern w:val="2"/>
          <w:sz w:val="24"/>
          <w:szCs w:val="24"/>
          <w:lang w:val="zh-TW"/>
        </w:rPr>
      </w:pPr>
    </w:p>
    <w:p>
      <w:pPr>
        <w:pStyle w:val="12"/>
        <w:widowControl w:val="0"/>
        <w:spacing w:after="0" w:line="360" w:lineRule="auto"/>
        <w:jc w:val="both"/>
        <w:rPr>
          <w:rFonts w:ascii="Times New Roman" w:hAnsi="Times New Roman" w:cs="Times New Roman"/>
          <w:kern w:val="2"/>
          <w:sz w:val="24"/>
          <w:szCs w:val="24"/>
          <w:lang w:val="zh-TW"/>
        </w:rPr>
      </w:pPr>
    </w:p>
    <w:p>
      <w:pPr>
        <w:pStyle w:val="12"/>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ind w:firstLine="640" w:firstLineChars="200"/>
        <w:jc w:val="center"/>
        <w:rPr>
          <w:rFonts w:ascii="黑体" w:hAnsi="黑体" w:eastAsia="黑体"/>
          <w:sz w:val="32"/>
          <w:szCs w:val="32"/>
        </w:rPr>
      </w:pPr>
      <w:r>
        <w:rPr>
          <w:rFonts w:hint="eastAsia" w:ascii="黑体" w:hAnsi="黑体" w:eastAsia="黑体"/>
          <w:sz w:val="32"/>
          <w:szCs w:val="32"/>
        </w:rPr>
        <w:t>目录</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摘要</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一、项目基本情况</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（一）项目立项背景</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（二）项目实施情况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（三）资金来源及使用情况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Times New Roman" w:hAnsi="黑体" w:eastAsia="黑体"/>
          <w:szCs w:val="32"/>
        </w:rPr>
      </w:pPr>
      <w:r>
        <w:rPr>
          <w:rFonts w:hint="eastAsia" w:ascii="Times New Roman" w:hAnsi="黑体" w:eastAsia="黑体"/>
          <w:szCs w:val="32"/>
        </w:rPr>
        <w:t>（四）组织及管理情况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rPr>
        <w:t>（五）预算收支情况</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二、绩效评价工作情况</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一</w:t>
      </w:r>
      <w:r>
        <w:rPr>
          <w:rFonts w:hint="eastAsia" w:ascii="Times New Roman" w:hAnsi="黑体" w:eastAsia="黑体"/>
          <w:szCs w:val="32"/>
          <w:lang w:eastAsia="zh-CN"/>
        </w:rPr>
        <w:t>）</w:t>
      </w:r>
      <w:r>
        <w:rPr>
          <w:rFonts w:ascii="Times New Roman" w:hAnsi="黑体" w:eastAsia="黑体"/>
          <w:szCs w:val="32"/>
        </w:rPr>
        <w:t>评价的目的</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二</w:t>
      </w:r>
      <w:r>
        <w:rPr>
          <w:rFonts w:hint="eastAsia" w:ascii="Times New Roman" w:hAnsi="黑体" w:eastAsia="黑体"/>
          <w:szCs w:val="32"/>
          <w:lang w:eastAsia="zh-CN"/>
        </w:rPr>
        <w:t>）</w:t>
      </w:r>
      <w:r>
        <w:rPr>
          <w:rFonts w:ascii="Times New Roman" w:hAnsi="黑体" w:eastAsia="黑体"/>
          <w:szCs w:val="32"/>
        </w:rPr>
        <w:t>绩效评价原则</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ascii="Times New Roman" w:hAnsi="黑体" w:eastAsia="黑体"/>
          <w:szCs w:val="32"/>
        </w:rPr>
        <w:t>三、评价结论及绩效分析</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一</w:t>
      </w:r>
      <w:r>
        <w:rPr>
          <w:rFonts w:hint="eastAsia" w:ascii="Times New Roman" w:hAnsi="黑体" w:eastAsia="黑体"/>
          <w:szCs w:val="32"/>
          <w:lang w:eastAsia="zh-CN"/>
        </w:rPr>
        <w:t>）</w:t>
      </w:r>
      <w:r>
        <w:rPr>
          <w:rFonts w:ascii="Times New Roman" w:hAnsi="黑体" w:eastAsia="黑体"/>
          <w:szCs w:val="32"/>
        </w:rPr>
        <w:t>评价结论</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二</w:t>
      </w:r>
      <w:r>
        <w:rPr>
          <w:rFonts w:hint="eastAsia" w:ascii="Times New Roman" w:hAnsi="黑体" w:eastAsia="黑体"/>
          <w:szCs w:val="32"/>
          <w:lang w:eastAsia="zh-CN"/>
        </w:rPr>
        <w:t>）</w:t>
      </w:r>
      <w:r>
        <w:rPr>
          <w:rFonts w:ascii="Times New Roman" w:hAnsi="黑体" w:eastAsia="黑体"/>
          <w:szCs w:val="32"/>
        </w:rPr>
        <w:t>绩效分析</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default" w:ascii="Times New Roman" w:hAnsi="黑体" w:eastAsia="黑体"/>
          <w:szCs w:val="32"/>
          <w:lang w:val="en-US" w:eastAsia="zh-CN"/>
        </w:rPr>
      </w:pPr>
      <w:r>
        <w:rPr>
          <w:rFonts w:ascii="Times New Roman" w:hAnsi="黑体" w:eastAsia="黑体"/>
          <w:szCs w:val="32"/>
        </w:rPr>
        <w:t>四、</w:t>
      </w:r>
      <w:r>
        <w:rPr>
          <w:rFonts w:hint="eastAsia" w:ascii="Times New Roman" w:hAnsi="黑体" w:eastAsia="黑体"/>
          <w:szCs w:val="32"/>
          <w:lang w:val="en-US" w:eastAsia="zh-CN"/>
        </w:rPr>
        <w:t>成本效益分析</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val="en-US" w:eastAsia="zh-CN"/>
        </w:rPr>
        <w:t>五、</w:t>
      </w:r>
      <w:r>
        <w:rPr>
          <w:rFonts w:ascii="Times New Roman" w:hAnsi="黑体" w:eastAsia="黑体"/>
          <w:szCs w:val="32"/>
        </w:rPr>
        <w:t>项目主要经验及做法、存在的问题和建议</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一</w:t>
      </w:r>
      <w:r>
        <w:rPr>
          <w:rFonts w:hint="eastAsia" w:ascii="Times New Roman" w:hAnsi="黑体" w:eastAsia="黑体"/>
          <w:szCs w:val="32"/>
          <w:lang w:eastAsia="zh-CN"/>
        </w:rPr>
        <w:t>）</w:t>
      </w:r>
      <w:r>
        <w:rPr>
          <w:rFonts w:ascii="Times New Roman" w:hAnsi="黑体" w:eastAsia="黑体"/>
          <w:szCs w:val="32"/>
        </w:rPr>
        <w:t>主要经验及做法</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二</w:t>
      </w:r>
      <w:r>
        <w:rPr>
          <w:rFonts w:hint="eastAsia" w:ascii="Times New Roman" w:hAnsi="黑体" w:eastAsia="黑体"/>
          <w:szCs w:val="32"/>
          <w:lang w:eastAsia="zh-CN"/>
        </w:rPr>
        <w:t>）</w:t>
      </w:r>
      <w:r>
        <w:rPr>
          <w:rFonts w:ascii="Times New Roman" w:hAnsi="黑体" w:eastAsia="黑体"/>
          <w:szCs w:val="32"/>
        </w:rPr>
        <w:t>存在的问题</w:t>
      </w:r>
      <w:r>
        <w:rPr>
          <w:rFonts w:ascii="Times New Roman" w:hAnsi="Times New Roman" w:eastAsia="黑体"/>
          <w:szCs w:val="32"/>
        </w:rPr>
        <w:tab/>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eastAsia="zh-CN"/>
        </w:rPr>
        <w:t>（</w:t>
      </w:r>
      <w:r>
        <w:rPr>
          <w:rFonts w:hint="eastAsia" w:ascii="Times New Roman" w:hAnsi="黑体" w:eastAsia="黑体"/>
          <w:szCs w:val="32"/>
          <w:lang w:val="en-US" w:eastAsia="zh-CN"/>
        </w:rPr>
        <w:t>三</w:t>
      </w:r>
      <w:r>
        <w:rPr>
          <w:rFonts w:hint="eastAsia" w:ascii="Times New Roman" w:hAnsi="黑体" w:eastAsia="黑体"/>
          <w:szCs w:val="32"/>
          <w:lang w:eastAsia="zh-CN"/>
        </w:rPr>
        <w:t>）</w:t>
      </w:r>
      <w:r>
        <w:rPr>
          <w:rFonts w:ascii="Times New Roman" w:hAnsi="黑体" w:eastAsia="黑体"/>
          <w:szCs w:val="32"/>
        </w:rPr>
        <w:t>建议和改进措施</w:t>
      </w:r>
    </w:p>
    <w:p>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ascii="Times New Roman" w:hAnsi="Times New Roman" w:eastAsia="黑体"/>
          <w:szCs w:val="32"/>
        </w:rPr>
      </w:pPr>
      <w:r>
        <w:rPr>
          <w:rFonts w:hint="eastAsia" w:ascii="Times New Roman" w:hAnsi="黑体" w:eastAsia="黑体"/>
          <w:szCs w:val="32"/>
          <w:lang w:val="en-US" w:eastAsia="zh-CN"/>
        </w:rPr>
        <w:t>六</w:t>
      </w:r>
      <w:r>
        <w:rPr>
          <w:rFonts w:ascii="Times New Roman" w:hAnsi="黑体" w:eastAsia="黑体"/>
          <w:szCs w:val="32"/>
        </w:rPr>
        <w:t>、附件</w:t>
      </w:r>
      <w:r>
        <w:rPr>
          <w:rFonts w:ascii="Times New Roman" w:hAnsi="Times New Roman" w:eastAsia="黑体"/>
          <w:szCs w:val="32"/>
        </w:rPr>
        <w:tab/>
      </w:r>
    </w:p>
    <w:p>
      <w:pPr>
        <w:spacing w:line="440" w:lineRule="exact"/>
        <w:ind w:firstLine="420" w:firstLineChars="200"/>
        <w:jc w:val="left"/>
        <w:rPr>
          <w:rFonts w:ascii="Times New Roman" w:hAnsi="Times New Roman" w:eastAsia="黑体"/>
          <w:szCs w:val="32"/>
        </w:rPr>
        <w:sectPr>
          <w:pgSz w:w="11906" w:h="16838"/>
          <w:pgMar w:top="1440" w:right="1800" w:bottom="1440" w:left="1800" w:header="851" w:footer="992" w:gutter="0"/>
          <w:cols w:space="425" w:num="1"/>
          <w:docGrid w:type="lines" w:linePitch="312" w:charSpace="0"/>
        </w:sectPr>
      </w:pPr>
      <w:r>
        <w:rPr>
          <w:rFonts w:ascii="Times New Roman" w:hAnsi="Times New Roman" w:eastAsia="黑体"/>
          <w:szCs w:val="32"/>
        </w:rPr>
        <w:tab/>
      </w:r>
    </w:p>
    <w:p>
      <w:pPr>
        <w:jc w:val="center"/>
        <w:rPr>
          <w:rFonts w:ascii="Times New Roman" w:hAnsi="黑体" w:eastAsia="黑体"/>
          <w:bCs/>
          <w:sz w:val="36"/>
          <w:szCs w:val="36"/>
        </w:rPr>
      </w:pPr>
      <w:r>
        <w:rPr>
          <w:rFonts w:hint="eastAsia" w:ascii="Times New Roman" w:hAnsi="黑体" w:eastAsia="黑体"/>
          <w:bCs/>
          <w:sz w:val="36"/>
          <w:szCs w:val="36"/>
        </w:rPr>
        <w:t>劳动人事争议仲裁院办案补助经费</w:t>
      </w:r>
      <w:r>
        <w:rPr>
          <w:rFonts w:ascii="Times New Roman" w:hAnsi="黑体" w:eastAsia="黑体"/>
          <w:bCs/>
          <w:sz w:val="36"/>
          <w:szCs w:val="36"/>
        </w:rPr>
        <w:t>项目支出</w:t>
      </w:r>
    </w:p>
    <w:p>
      <w:pPr>
        <w:jc w:val="center"/>
        <w:rPr>
          <w:rFonts w:ascii="Times New Roman" w:hAnsi="Times New Roman" w:eastAsia="方正小标宋_GBK"/>
          <w:sz w:val="32"/>
          <w:szCs w:val="32"/>
        </w:rPr>
      </w:pPr>
      <w:r>
        <w:rPr>
          <w:rFonts w:ascii="Times New Roman" w:hAnsi="黑体" w:eastAsia="黑体"/>
          <w:bCs/>
          <w:sz w:val="36"/>
          <w:szCs w:val="36"/>
        </w:rPr>
        <w:t>绩效自评报告</w:t>
      </w:r>
    </w:p>
    <w:p>
      <w:pPr>
        <w:keepNext w:val="0"/>
        <w:keepLines w:val="0"/>
        <w:pageBreakBefore w:val="0"/>
        <w:widowControl w:val="0"/>
        <w:kinsoku/>
        <w:wordWrap/>
        <w:overflowPunct/>
        <w:autoSpaceDE/>
        <w:autoSpaceDN/>
        <w:bidi w:val="0"/>
        <w:adjustRightInd/>
        <w:snapToGrid/>
        <w:spacing w:line="440" w:lineRule="exact"/>
        <w:ind w:firstLine="420" w:firstLineChars="200"/>
        <w:jc w:val="left"/>
        <w:textAlignment w:val="auto"/>
        <w:rPr>
          <w:rFonts w:ascii="Times New Roman" w:hAnsi="Times New Roman" w:eastAsia="黑体"/>
          <w:szCs w:val="32"/>
        </w:rPr>
      </w:pP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r>
        <w:rPr>
          <w:rFonts w:ascii="Times New Roman" w:hAnsi="Times New Roman" w:eastAsia="方正小标宋_GBK"/>
          <w:sz w:val="28"/>
          <w:szCs w:val="28"/>
        </w:rPr>
        <w:t>摘要</w:t>
      </w:r>
    </w:p>
    <w:p>
      <w:pPr>
        <w:pStyle w:val="14"/>
        <w:keepNext w:val="0"/>
        <w:keepLines w:val="0"/>
        <w:pageBreakBefore w:val="0"/>
        <w:widowControl w:val="0"/>
        <w:kinsoku/>
        <w:wordWrap/>
        <w:overflowPunct/>
        <w:autoSpaceDE/>
        <w:autoSpaceDN/>
        <w:bidi w:val="0"/>
        <w:adjustRightInd/>
        <w:snapToGrid/>
        <w:spacing w:line="440" w:lineRule="exact"/>
        <w:jc w:val="left"/>
        <w:textAlignment w:val="auto"/>
        <w:rPr>
          <w:rFonts w:ascii="黑体" w:hAnsi="黑体" w:eastAsia="黑体" w:cs="黑体"/>
          <w:sz w:val="28"/>
          <w:szCs w:val="28"/>
        </w:rPr>
      </w:pPr>
      <w:r>
        <w:rPr>
          <w:rFonts w:hint="eastAsia" w:ascii="黑体" w:hAnsi="黑体" w:eastAsia="黑体" w:cs="黑体"/>
          <w:sz w:val="28"/>
          <w:szCs w:val="28"/>
        </w:rPr>
        <w:t>一、项目概况</w:t>
      </w:r>
    </w:p>
    <w:p>
      <w:pPr>
        <w:pStyle w:val="14"/>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劳动人事争议仲裁院办案补助经费项目根据《云南省人力资源和社会保障厅中共云南省委机构编制办公室云南省财政厅关于转发加强劳动人事争议处理效能建设意见的通知》（云人社发〔2013〕66号）、《人力资源社会保障部财政部关于进一步加强人力资源社会保障窗口单位经办队伍建设的意见》（人社部发〔2019〕13号）确定项目工作范围如下：</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1.依照法律规定制作的具有法律效力的文书资料；</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2.通过培训提升专兼职仲裁员的办案水平，不断提高案件处理质量；</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3.为进一步树立我区仲裁院良好的社会形象，让仲裁司法程序更加规范，增强仲裁活动的严肃性和公信力，拟为仲裁院人员统一制作工作服装。</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 w:val="28"/>
          <w:szCs w:val="28"/>
        </w:rPr>
      </w:pPr>
      <w:r>
        <w:rPr>
          <w:rFonts w:ascii="Times New Roman" w:hAnsi="Times New Roman" w:eastAsia="仿宋_GB2312"/>
          <w:sz w:val="28"/>
          <w:szCs w:val="28"/>
        </w:rPr>
        <w:t>4.为使进入仲裁程序案件送达具有法律效力，根据实际情况要进行案件相关法律文书通过邮寄、实地、登报公告进行送达。</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lang w:eastAsia="zh-CN"/>
        </w:rPr>
      </w:pPr>
      <w:bookmarkStart w:id="0" w:name="_Hlk100828862"/>
      <w:r>
        <w:rPr>
          <w:rFonts w:hint="eastAsia" w:ascii="Times New Roman" w:hAnsi="Times New Roman" w:eastAsia="仿宋_GB2312"/>
          <w:sz w:val="28"/>
          <w:szCs w:val="28"/>
        </w:rPr>
        <w:t>劳动人事争议仲裁院办案补助经费</w:t>
      </w:r>
      <w:r>
        <w:rPr>
          <w:rFonts w:hint="eastAsia" w:ascii="Times New Roman" w:hAnsi="Times New Roman" w:eastAsia="仿宋_GB2312"/>
          <w:sz w:val="28"/>
          <w:szCs w:val="28"/>
          <w:lang w:val="en-US" w:eastAsia="zh-CN"/>
        </w:rPr>
        <w:t>项目</w:t>
      </w:r>
      <w:r>
        <w:rPr>
          <w:rFonts w:hint="eastAsia" w:ascii="Times New Roman" w:hAnsi="Times New Roman" w:eastAsia="仿宋_GB2312"/>
          <w:sz w:val="28"/>
          <w:szCs w:val="28"/>
        </w:rPr>
        <w:t>预算金额75,000.00元，实际支出75,000.00元，预算完成率</w:t>
      </w:r>
      <w:r>
        <w:rPr>
          <w:rFonts w:hint="eastAsia" w:ascii="Times New Roman" w:hAnsi="Times New Roman" w:eastAsia="仿宋_GB2312"/>
          <w:sz w:val="28"/>
          <w:szCs w:val="28"/>
          <w:lang w:val="en-US" w:eastAsia="zh-CN"/>
        </w:rPr>
        <w:t>100.00</w:t>
      </w:r>
      <w:r>
        <w:rPr>
          <w:rFonts w:ascii="Times New Roman" w:hAnsi="Times New Roman" w:eastAsia="仿宋_GB2312"/>
          <w:sz w:val="28"/>
          <w:szCs w:val="28"/>
        </w:rPr>
        <w:t>%</w:t>
      </w:r>
      <w:r>
        <w:rPr>
          <w:rFonts w:hint="eastAsia" w:ascii="Times New Roman" w:hAnsi="Times New Roman" w:eastAsia="仿宋_GB2312"/>
          <w:sz w:val="28"/>
          <w:szCs w:val="28"/>
          <w:lang w:eastAsia="zh-CN"/>
        </w:rPr>
        <w:t>。</w:t>
      </w:r>
    </w:p>
    <w:bookmarkEnd w:id="0"/>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黑体" w:hAnsi="黑体" w:eastAsia="黑体" w:cs="黑体"/>
          <w:sz w:val="28"/>
          <w:szCs w:val="28"/>
        </w:rPr>
      </w:pPr>
      <w:r>
        <w:rPr>
          <w:rFonts w:hint="eastAsia" w:ascii="黑体" w:hAnsi="黑体" w:eastAsia="黑体" w:cs="黑体"/>
          <w:sz w:val="28"/>
          <w:szCs w:val="28"/>
        </w:rPr>
        <w:t>二、评价结论</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坚持以习近平新时代中国特色社会主义思想为指导，全面贯彻十九届四中、五中全会精神，坚持底线思维，坚守厉行法治，推进严格执法、公正司法，依法化解劳资纠纷，努力让劳动者和企业在仲裁案件中感受到公平正义，切实维护和谐的劳动关系。深入贯彻执行《中华人民共和国劳动法》《中华人民共和国劳动合同法》《中华人民共和国劳动争议调解仲裁法》《劳动人事争议仲裁办案规则》《劳动人事争议仲裁组织规则》等相关法律法规及行政法规，以完善组织建设为保障，以健全制度为基础，以争议调解为重点，进一步规范争议案件处理，为构建盘龙区和谐劳动人事关系做出了积极贡献。</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highlight w:val="none"/>
        </w:rPr>
      </w:pPr>
      <w:r>
        <w:rPr>
          <w:rFonts w:hint="eastAsia" w:ascii="Times New Roman" w:hAnsi="Times New Roman" w:eastAsia="仿宋_GB2312"/>
          <w:sz w:val="28"/>
          <w:szCs w:val="28"/>
          <w:highlight w:val="none"/>
        </w:rPr>
        <w:t>劳动人事争议仲裁院办案补助经费项目绩效评价得分为9</w:t>
      </w:r>
      <w:r>
        <w:rPr>
          <w:rFonts w:hint="eastAsia" w:ascii="Times New Roman" w:hAnsi="Times New Roman" w:eastAsia="仿宋_GB2312"/>
          <w:sz w:val="28"/>
          <w:szCs w:val="28"/>
          <w:highlight w:val="none"/>
          <w:lang w:val="en-US" w:eastAsia="zh-CN"/>
        </w:rPr>
        <w:t>7</w:t>
      </w:r>
      <w:r>
        <w:rPr>
          <w:rFonts w:hint="eastAsia" w:ascii="Times New Roman" w:hAnsi="Times New Roman" w:eastAsia="仿宋_GB2312"/>
          <w:sz w:val="28"/>
          <w:szCs w:val="28"/>
          <w:highlight w:val="none"/>
        </w:rPr>
        <w:t>分，评价等级为“优”。</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ascii="黑体" w:hAnsi="黑体" w:eastAsia="黑体" w:cs="黑体"/>
          <w:sz w:val="28"/>
          <w:szCs w:val="28"/>
        </w:rPr>
      </w:pPr>
      <w:r>
        <w:rPr>
          <w:rFonts w:hint="eastAsia" w:ascii="黑体" w:hAnsi="黑体" w:eastAsia="黑体" w:cs="黑体"/>
          <w:sz w:val="28"/>
          <w:szCs w:val="28"/>
        </w:rPr>
        <w:t>三、经验、问题和建议</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（一）主要经验及做法</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一是</w:t>
      </w:r>
      <w:r>
        <w:rPr>
          <w:rFonts w:hint="eastAsia" w:ascii="Times New Roman" w:hAnsi="Times New Roman" w:eastAsia="仿宋_GB2312"/>
          <w:sz w:val="28"/>
          <w:szCs w:val="28"/>
        </w:rPr>
        <w:t>强化软硬件建设</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按照法定程序开展劳动仲裁工作</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完善仲裁院的办公职能，细化分工、明确责任，做到各尽其责，有效提升了仲裁工作的效率</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是提升仲裁员业务水平。</w:t>
      </w:r>
      <w:r>
        <w:rPr>
          <w:rFonts w:hint="eastAsia" w:ascii="Times New Roman" w:hAnsi="Times New Roman" w:eastAsia="仿宋_GB2312"/>
          <w:sz w:val="28"/>
          <w:szCs w:val="28"/>
          <w:lang w:val="en-US" w:eastAsia="zh-CN"/>
        </w:rPr>
        <w:t>二是</w:t>
      </w:r>
      <w:r>
        <w:rPr>
          <w:rFonts w:hint="eastAsia" w:ascii="Times New Roman" w:hAnsi="Times New Roman" w:eastAsia="仿宋_GB2312"/>
          <w:sz w:val="28"/>
          <w:szCs w:val="28"/>
        </w:rPr>
        <w:t>开设“一堂劳动仲裁实案宣法课”。</w:t>
      </w:r>
      <w:r>
        <w:rPr>
          <w:rFonts w:hint="eastAsia" w:ascii="Times New Roman" w:hAnsi="Times New Roman" w:eastAsia="仿宋_GB2312"/>
          <w:sz w:val="28"/>
          <w:szCs w:val="28"/>
          <w:lang w:val="en-US" w:eastAsia="zh-CN"/>
        </w:rPr>
        <w:t>三是</w:t>
      </w:r>
      <w:r>
        <w:rPr>
          <w:rFonts w:hint="eastAsia" w:ascii="Times New Roman" w:hAnsi="Times New Roman" w:eastAsia="仿宋_GB2312"/>
          <w:sz w:val="28"/>
          <w:szCs w:val="28"/>
        </w:rPr>
        <w:t>打造“一个劳动争议流动仲裁庭”。充分考虑企业需求，线下主动送服务，在楼宇企业设置流动仲裁庭，定期开展劳动争议仲裁案件现场集中受理和调解。</w:t>
      </w:r>
      <w:r>
        <w:rPr>
          <w:rFonts w:hint="eastAsia" w:ascii="Times New Roman" w:hAnsi="Times New Roman" w:eastAsia="仿宋_GB2312"/>
          <w:sz w:val="28"/>
          <w:szCs w:val="28"/>
          <w:lang w:val="en-US" w:eastAsia="zh-CN"/>
        </w:rPr>
        <w:t>四是</w:t>
      </w:r>
      <w:r>
        <w:rPr>
          <w:rFonts w:hint="eastAsia" w:ascii="Times New Roman" w:hAnsi="Times New Roman" w:eastAsia="仿宋_GB2312"/>
          <w:sz w:val="28"/>
          <w:szCs w:val="28"/>
        </w:rPr>
        <w:t>工会＋仲裁双向联动，促进劳动关系和谐稳定。盘龙区仲裁院，在率先成立全省首家县（区）工会劳动人事争议仲裁庭的基础上，邀请区总工会干部担任兼职仲裁员，将劳动争议调解端口前移，从源头上化解劳动争议。</w:t>
      </w:r>
      <w:r>
        <w:rPr>
          <w:rFonts w:hint="eastAsia" w:ascii="Times New Roman" w:hAnsi="Times New Roman" w:eastAsia="仿宋_GB2312"/>
          <w:sz w:val="28"/>
          <w:szCs w:val="28"/>
          <w:lang w:val="en-US" w:eastAsia="zh-CN"/>
        </w:rPr>
        <w:t>五是</w:t>
      </w:r>
      <w:r>
        <w:rPr>
          <w:rFonts w:hint="eastAsia" w:ascii="Times New Roman" w:hAnsi="Times New Roman" w:eastAsia="仿宋_GB2312"/>
          <w:sz w:val="28"/>
          <w:szCs w:val="28"/>
        </w:rPr>
        <w:t>为提升劳动争议案件处理质效，与区人民法院联合制定《关于加强劳动人事争议仲裁与诉讼衔接机制建设的实施方案》，加强裁审衔接机制建设，已实现劳动争议案件受案范围、证据规则、法律适用的统一。</w:t>
      </w:r>
      <w:r>
        <w:rPr>
          <w:rFonts w:hint="eastAsia" w:ascii="Times New Roman" w:hAnsi="Times New Roman" w:eastAsia="仿宋_GB2312"/>
          <w:sz w:val="28"/>
          <w:szCs w:val="28"/>
          <w:lang w:val="en-US" w:eastAsia="zh-CN"/>
        </w:rPr>
        <w:t>六是</w:t>
      </w:r>
      <w:r>
        <w:rPr>
          <w:rFonts w:hint="eastAsia" w:ascii="Times New Roman" w:hAnsi="Times New Roman" w:eastAsia="仿宋_GB2312"/>
          <w:sz w:val="28"/>
          <w:szCs w:val="28"/>
        </w:rPr>
        <w:t>开辟“绿色通道”。区仲裁院紧扣依法维护劳动者合法权益，努力构建和谐劳动关系的思想。针对工伤伤情级别、女职工、伤残病弱等弱势群体的劳动争议案件，坚持“快立、快审、快结”原则，开辟绿色通道，用最短时间有效维护弱势群体的合法权益。</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（二）存在的问题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一是劳动人事争议调解仲裁员队伍力量仍呈现严重不足的情况。目前，每天平均案件量是5.8件，工作人员的严重不足，与日益繁重的工作任务极不匹配。二是劳动人事争议仲裁案件办理还不够规范，质量还可以进一步提高。由于仲裁院人员严重不足，加之仲裁工作不是朝夕就可以熟练处理，且仲裁员从事仲裁工作时间短，专业知识的培训机会也较少，对于案件的历练还不够，种种原因也使得一些劳动争议仲裁案件办理程序不规范，质量不高。</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（三）建议和改进措施</w:t>
      </w:r>
    </w:p>
    <w:p>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ascii="Times New Roman" w:hAnsi="Times New Roman" w:eastAsia="仿宋_GB2312"/>
          <w:szCs w:val="21"/>
        </w:rPr>
      </w:pPr>
      <w:r>
        <w:rPr>
          <w:rFonts w:hint="eastAsia" w:ascii="Times New Roman" w:hAnsi="Times New Roman" w:eastAsia="仿宋_GB2312"/>
          <w:sz w:val="28"/>
          <w:szCs w:val="28"/>
        </w:rPr>
        <w:t>加强仲裁机构能力建设</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加强劳动人事争议仲裁队伍建设</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加强劳动争议调解、仲裁与诉讼的相互衔接</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加强办案效率的提升。坚持依法处理、维护公平、完善劳动人事争议调解制度和仲裁准司法制度，发挥司法引领，推动和保障作用，运用法治思维和法治方式处理劳动人事争议，切实维护好用人单位和劳动者的合法权益。</w:t>
      </w:r>
    </w:p>
    <w:p>
      <w:pPr>
        <w:spacing w:line="440" w:lineRule="exact"/>
        <w:jc w:val="left"/>
        <w:rPr>
          <w:rFonts w:ascii="Times New Roman" w:hAnsi="Times New Roman" w:eastAsia="仿宋_GB2312"/>
          <w:szCs w:val="21"/>
        </w:rPr>
        <w:sectPr>
          <w:pgSz w:w="11906" w:h="16838"/>
          <w:pgMar w:top="1440" w:right="1800" w:bottom="1440" w:left="1800" w:header="851" w:footer="992" w:gutter="0"/>
          <w:cols w:space="425" w:num="1"/>
          <w:docGrid w:type="lines" w:linePitch="312" w:charSpace="0"/>
        </w:sectPr>
      </w:pPr>
    </w:p>
    <w:p>
      <w:pPr>
        <w:jc w:val="center"/>
        <w:rPr>
          <w:rFonts w:ascii="Times New Roman" w:hAnsi="黑体" w:eastAsia="黑体"/>
          <w:bCs/>
          <w:sz w:val="36"/>
          <w:szCs w:val="36"/>
        </w:rPr>
      </w:pPr>
      <w:r>
        <w:rPr>
          <w:rFonts w:hint="eastAsia" w:ascii="Times New Roman" w:hAnsi="黑体" w:eastAsia="黑体"/>
          <w:bCs/>
          <w:sz w:val="36"/>
          <w:szCs w:val="36"/>
        </w:rPr>
        <w:t>劳动人事争议仲裁院办案补助经费</w:t>
      </w:r>
    </w:p>
    <w:p>
      <w:pPr>
        <w:jc w:val="center"/>
        <w:rPr>
          <w:rFonts w:ascii="Times New Roman" w:hAnsi="Times New Roman" w:eastAsia="方正小标宋_GBK"/>
          <w:sz w:val="32"/>
          <w:szCs w:val="32"/>
        </w:rPr>
      </w:pPr>
      <w:r>
        <w:rPr>
          <w:rFonts w:ascii="Times New Roman" w:hAnsi="黑体" w:eastAsia="黑体"/>
          <w:bCs/>
          <w:sz w:val="36"/>
          <w:szCs w:val="36"/>
        </w:rPr>
        <w:t>项目支出绩效自评报告</w:t>
      </w:r>
    </w:p>
    <w:p>
      <w:pPr>
        <w:topLinePunct/>
        <w:spacing w:line="440" w:lineRule="exact"/>
        <w:ind w:firstLine="525" w:firstLineChars="250"/>
        <w:rPr>
          <w:rFonts w:ascii="Times New Roman" w:hAnsi="Times New Roman" w:eastAsia="仿宋_GB2312"/>
          <w:szCs w:val="21"/>
        </w:rPr>
      </w:pP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 w:hAnsi="楷体" w:eastAsia="楷体" w:cs="楷体"/>
          <w:sz w:val="28"/>
          <w:szCs w:val="28"/>
        </w:rPr>
      </w:pPr>
      <w:r>
        <w:rPr>
          <w:rFonts w:hint="eastAsia" w:ascii="黑体" w:hAnsi="黑体" w:eastAsia="黑体" w:cs="黑体"/>
          <w:sz w:val="28"/>
          <w:szCs w:val="28"/>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一</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项目</w:t>
      </w:r>
      <w:r>
        <w:rPr>
          <w:rFonts w:hint="eastAsia" w:ascii="楷体_GB2312" w:hAnsi="楷体_GB2312" w:eastAsia="楷体_GB2312" w:cs="楷体_GB2312"/>
          <w:sz w:val="28"/>
          <w:szCs w:val="28"/>
        </w:rPr>
        <w:t>立项背景</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仿宋_GB2312" w:eastAsia="仿宋_GB2312" w:cs="仿宋_GB2312"/>
          <w:sz w:val="28"/>
          <w:szCs w:val="28"/>
        </w:rPr>
      </w:pPr>
      <w:r>
        <w:rPr>
          <w:rFonts w:hint="eastAsia" w:ascii="仿宋_GB2312" w:hAnsi="仿宋_GB2312" w:eastAsia="仿宋_GB2312" w:cs="仿宋_GB2312"/>
          <w:sz w:val="28"/>
          <w:szCs w:val="28"/>
        </w:rPr>
        <w:t>随着盘龙区经济发展进入新常态，大力发展消费性服务业和生产性服务业，全面推进中央商务区、北部山水新区、恒隆广场、同德广场、871文化创意工场等重点片区开发，经济下行面临压力，供给侧结构性改革</w:t>
      </w:r>
      <w:bookmarkStart w:id="2" w:name="_GoBack"/>
      <w:bookmarkEnd w:id="2"/>
      <w:r>
        <w:rPr>
          <w:rFonts w:hint="eastAsia" w:ascii="仿宋_GB2312" w:hAnsi="仿宋_GB2312" w:eastAsia="仿宋_GB2312" w:cs="仿宋_GB2312"/>
          <w:sz w:val="28"/>
          <w:szCs w:val="28"/>
        </w:rPr>
        <w:t>力度不断加大，经济建设的飞速发展和依法治国进程的推进，劳动者的维权意识空前高涨，劳动人事争议案件进入了多发期，争议案件逐年大幅上升，争议数量增多与处理难度加大并存的态势将持续存在，对传统的用工理念和调解仲裁模式产生了巨大的冲击，预防化解矛盾纠纷的任务艰巨繁重。2021年，面对疫情冲击下维护和谐劳动关系带来的巨大压力，盘龙区人力资源和社会保障局以“预防为主、基层为主、调解为主”的理念，围绕调裁审机制进行探索和尝试，建立部门横向联动劳动争议闭环处理，形成工会协同、司法助推、仲裁调解、司法调解、劳动监察联动的多元化解机制，有效提高了劳动人事争议案件处理质效，切实保障企业和职工的合法权益，全力维护劳动人事关系和谐与社会稳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根据《中华人民共和国劳动争议调解仲裁法》《劳动人事争议仲裁办案规则》《劳动人事争议仲裁组织规则》《云南省人力资源和社会保障厅中共云南省委机构编制办公室云南省财政厅关于转发加强劳动人事争议处理效能建设意见的通知》云人社发〔2013〕66号等相关规定，劳动人事争议仲裁院严格按照以上规定进行案件受理、应诉、组织双方当事人举证，开庭审理、调解等相关准司法行为，而产生的法律文书制作、送达、登报公告，及仲裁员业务培训及人员形象提升。</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二</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rPr>
        <w:t>项目实施情况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2022年，盘龙区劳动人事争议仲裁院共收到仲裁案件2111件，其中受理案件数量为1975件，不予受理案件数量为136件，结案率为93.11%，调解率为63.84%。仲裁院以劳动仲裁调处力量为核心，通过联合区司法局、区总工会、区法院、区各街道、律师事务所等部门劳动人事纠纷调处力量，已形成“1+X”多元联动机制，形成劳动争议处理闭环。依法保护当事人的合法权益，公正及时处理辖区内的劳动人事争议，多举措推动盘龙区和谐稳定劳动关系构建，促进营商环境优化。</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val="en-US" w:eastAsia="zh-CN"/>
        </w:rPr>
        <w:t>（三）</w:t>
      </w:r>
      <w:r>
        <w:rPr>
          <w:rFonts w:hint="eastAsia" w:ascii="楷体_GB2312" w:hAnsi="楷体_GB2312" w:eastAsia="楷体_GB2312" w:cs="楷体_GB2312"/>
          <w:sz w:val="28"/>
          <w:szCs w:val="28"/>
        </w:rPr>
        <w:t>资金来源及使用情况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rPr>
        <w:t>该项目资金为财政拨款，劳动人事争议仲裁院办案补助经费项目预算金额75,000.00元</w:t>
      </w:r>
      <w:r>
        <w:rPr>
          <w:rFonts w:hint="eastAsia" w:ascii="Times New Roman" w:hAnsi="Times New Roman" w:eastAsia="仿宋_GB2312"/>
          <w:sz w:val="28"/>
          <w:szCs w:val="28"/>
          <w:lang w:eastAsia="zh-CN"/>
        </w:rPr>
        <w:t>。</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四</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rPr>
        <w:t>组织及管理情况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hint="eastAsia" w:ascii="Times New Roman" w:hAnsi="Times New Roman" w:eastAsia="仿宋_GB2312"/>
          <w:sz w:val="28"/>
          <w:szCs w:val="28"/>
        </w:rPr>
        <w:t>仲裁院设有综合庭、立案室、调解室、仲裁庭等职能科室，并按科室职能配备了电脑、打印机、监控、音响、电话等办公设备。在仲裁办公醒目区域，悬挂有仲裁风险告知、仲裁申请流程、农民工绿色通道告知等，并摆放了休息桌椅，为办事群众提供最全面最便利的条件。各科室职责分明，配合有力，切实提高了仲裁办案效率。为增强仲裁活动的严肃性和公信力，全体仲裁员办理了工作证，配有仲裁审判袍及工作服，在执行公务时做到了佩戴仲裁徽章，统一着装。一是树立正确的仲裁观，增强仲裁员的政治意识。以习近平新时代中国特色社会主义思想为指导，坚持改革有新举措，工作有新突破，思想有新观念，增强执行力和操作力，</w:t>
      </w:r>
      <w:bookmarkStart w:id="1" w:name="gkstk2"/>
      <w:bookmarkEnd w:id="1"/>
      <w:r>
        <w:rPr>
          <w:rFonts w:hint="eastAsia" w:ascii="Times New Roman" w:hAnsi="Times New Roman" w:eastAsia="仿宋_GB2312"/>
          <w:sz w:val="28"/>
          <w:szCs w:val="28"/>
        </w:rPr>
        <w:t>坚定仲裁员的政治方向和政治立场，明确仲裁工作的指导思想，使劳动仲裁工作在维护当事人合法权益的同时，为盘龙区经济建设服务，为维护社会和谐稳定服务。二是强化理论学习，夯实法律基础。区仲裁院坚持业务讨论周例会、案前疑难分析会及庭审模拟等学习方式，有力提升了全体仲裁员的办案水平。在此基础上，仲裁院严格按照《劳动人事争议仲裁办案规则》，依法依规办理案件，在法定时限内行使权力。</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围绕构建和谐劳动关系，通过建立“1+X”多元化处理机制，积极开展部门横向联动，已形成多元联动的劳动争议处理闭环。其中“1”是以人社局劳动仲裁、劳动监察调处力量为核心，“X”是联合区司法局、区总工会、区法院、区各街道、律师事务所等部门劳动争议调处力量，并积极借助网络平台、直播平台等新媒体。以“理顺关系、化解矛盾、维护稳定”作为工作目标，在预防和处理群体性、突发性事件中，积极参与开展劳动纠纷的排查，坚持“预防为主，基层为主，调解为主”的工作原则，加强劳动关系的预测预警，做到超前防范，并引导劳动者采取正确手段、合法途径维护自己的权益，始终把清理拖欠、克扣劳动者工资作为维护劳动者合法权益，促进社会和谐稳定的重点工作来抓，始终秉承“刚性执法促维权，柔情服务促和谐”的执法理念，不断加大执法力度，做劳动者维权的坚强后盾，从而有效维护了劳动者的合法权益，促进了企业的发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五</w:t>
      </w: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rPr>
        <w:t>预算收支情况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rPr>
        <w:t>劳动人事争议仲裁院办案补助经费项目预算金额75,000.00元，实际支出75,000.00元。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黑体" w:hAnsi="黑体" w:eastAsia="黑体" w:cs="黑体"/>
          <w:sz w:val="28"/>
          <w:szCs w:val="28"/>
        </w:rPr>
      </w:pPr>
      <w:r>
        <w:rPr>
          <w:rFonts w:hint="eastAsia" w:ascii="黑体" w:hAnsi="黑体" w:eastAsia="黑体" w:cs="黑体"/>
          <w:sz w:val="28"/>
          <w:szCs w:val="28"/>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楷体_GB2312" w:hAnsi="楷体_GB2312" w:eastAsia="楷体_GB2312" w:cs="楷体_GB2312"/>
          <w:sz w:val="28"/>
          <w:szCs w:val="28"/>
        </w:rPr>
        <w:t>（一）绩效评价目的</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 w:hAnsi="楷体" w:eastAsia="楷体"/>
          <w:sz w:val="28"/>
          <w:szCs w:val="28"/>
        </w:rPr>
      </w:pPr>
      <w:r>
        <w:rPr>
          <w:rFonts w:hint="eastAsia" w:ascii="楷体" w:hAnsi="楷体" w:eastAsia="楷体"/>
          <w:sz w:val="28"/>
          <w:szCs w:val="28"/>
        </w:rPr>
        <w:t>（二）绩效评价工作方案制定过程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从贯彻文件、摸清概况、制定流程等三个方面做好前期准备工作，厘清绩效自评工作总体思路，扎实打好自评基础工作。一是研学文件，组织自评组人员认真学习相关政策文件，包括绩效自评工作通知、相关资金管理办法等，吃透文件精神，做到心中有数，手中有尺。二是理清项目情况，与相关业务部门沟通联系，确定部门职责及目标完成情况。三是制定流程，明确具体评价内容、评价方法、工作步骤、人员分工等，提前准备资料清单和问卷调查访谈记录，科学安排，确保高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确保评价结果真实、准确、客观。除细致深入的对各类数据资料进行比对核实、将取得的测算依据与指标值逐项核对外，还对发现的问题进行分析研判，剖析问题原因及财政支出可能存在的风险点，提出进一步完善政策建议，更好地发挥政策效用。</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 w:hAnsi="楷体" w:eastAsia="楷体"/>
          <w:sz w:val="28"/>
          <w:szCs w:val="28"/>
        </w:rPr>
      </w:pPr>
      <w:r>
        <w:rPr>
          <w:rFonts w:hint="eastAsia" w:ascii="楷体" w:hAnsi="楷体" w:eastAsia="楷体"/>
          <w:sz w:val="28"/>
          <w:szCs w:val="28"/>
        </w:rPr>
        <w:t>（三）绩效评价原则、评价方法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项目支出绩效评价管理办法》（财预〔2020〕10号）、《云南省省级财政支出预算绩效评价操作规程（试行）》（云财评审〔2016〕39号）、《昆明市盘龙区财政局关于开展2022年度区级预算支出绩效自评工作的通知》（盘财绩〔2023〕14号），本次评价指标体系参照“项目支出绩效评价共性指标体系框架”制定，遵循相关性原则、重要性原则、可比性原则、经济性原则和系统性原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本次绩效评价采用定量与定性相结合的评价方法，对收集的相关基础资料、各种技术系统取得的经济数据，在归集、整理、分析的基础上，运用资料审阅、分析比较法</w:t>
      </w:r>
      <w:r>
        <w:rPr>
          <w:rFonts w:hint="eastAsia" w:ascii="仿宋_GB2312" w:hAnsi="楷体" w:eastAsia="仿宋_GB2312"/>
          <w:sz w:val="28"/>
          <w:szCs w:val="28"/>
          <w:highlight w:val="none"/>
        </w:rPr>
        <w:t>、公众问卷调查法等，系</w:t>
      </w:r>
      <w:r>
        <w:rPr>
          <w:rFonts w:hint="eastAsia" w:ascii="仿宋_GB2312" w:hAnsi="楷体" w:eastAsia="仿宋_GB2312"/>
          <w:sz w:val="28"/>
          <w:szCs w:val="28"/>
        </w:rPr>
        <w:t>统、科学地反映项目综合绩效情况。具体评价方式如下：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（1）审阅资料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对制度、操作规程等资料进行认真审阅，核实相关工作是否按要求完成，评价完成的质量和效果，为评价提供依据；查阅部门整体及项目预算和决算、财务和统计报表、预算执行情况和分析报告等相关文件，分析研究资金管理、资金下达等文件，必要时，请相关人员做出说明，并对需要进一步调查的问题做好记录；检查资金拨付、兑付情况，查看资金收支凭证，关注项目资金是否专款专用、是否存在违规现象等。</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（2）分析比较法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依据资金拨付文件和凭证等，评价资金下拨及兑付情况；依据统计报表、决算报表等资料，对照资金实际完成内容，评价是否严格按照计划进行；依据相关政策文件，评价部门整体绩效管理是否按照相关管理办法执行；通过详细列举分析影响绩效目标实现的内外因素，将绩效目标与实施结果对比分析，评价绩效目标实现程度；将预期效益与实施效果对比分析，结合开展问卷调查和实地访谈，评价项目预期效益实现程度。</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 w:hAnsi="楷体" w:eastAsia="楷体"/>
          <w:sz w:val="28"/>
          <w:szCs w:val="28"/>
        </w:rPr>
      </w:pPr>
      <w:r>
        <w:rPr>
          <w:rFonts w:hint="eastAsia" w:ascii="楷体" w:hAnsi="楷体" w:eastAsia="楷体"/>
          <w:sz w:val="28"/>
          <w:szCs w:val="28"/>
        </w:rPr>
        <w:t>（四）绩效评价实施过程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根据绩效评价工作方案的要求进行全方位的绩效评价，运用科学、合理的绩效评价指标、评价标准和评价方法，对财政支出进行客观、公正的评价。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（1）前期准备阶段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为进一步提高项目绩效管理质量，根据盘龙区财政局下发的《昆明市盘龙区财政局关于开展2022年度区级预算支出绩效自评工作的通知》（盘财绩〔2023〕14号）明确了本次评价对象就流程。</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（2）组织实施阶段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实施评价：根据项目自评的要求，项目成立了部门预算绩效评价工作小组，由负责人，小组成员配合完成，及时布置绩效评价工作，严密分工，明确要求。根据项目预期绩效目标设定的情况，审查有关对应的业务资料；根据项目预算安排情况，审查有关对应的收支财务资料。</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（3）报告撰写提交阶段</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仿宋_GB2312" w:hAnsi="楷体" w:eastAsia="仿宋_GB2312"/>
          <w:sz w:val="28"/>
          <w:szCs w:val="28"/>
        </w:rPr>
      </w:pPr>
      <w:r>
        <w:rPr>
          <w:rFonts w:hint="eastAsia" w:ascii="仿宋_GB2312" w:hAnsi="楷体" w:eastAsia="仿宋_GB2312"/>
          <w:sz w:val="28"/>
          <w:szCs w:val="28"/>
        </w:rPr>
        <w:t>根据业务资料、财务资料，对履职效益和质量做出评判，最后相关工作成果由项目负责人汇总、形成评价结论并撰写自评报告，审核上报。</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黑体" w:hAnsi="黑体" w:eastAsia="黑体" w:cs="黑体"/>
          <w:sz w:val="28"/>
          <w:szCs w:val="28"/>
        </w:rPr>
      </w:pPr>
      <w:r>
        <w:rPr>
          <w:rFonts w:hint="eastAsia" w:ascii="黑体" w:hAnsi="黑体" w:eastAsia="黑体" w:cs="黑体"/>
          <w:sz w:val="28"/>
          <w:szCs w:val="28"/>
        </w:rPr>
        <w:t>三、评价结论和绩效分析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（一）评价结论</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1.评价结果</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劳动人事争议仲裁院办案工作坚持以习近平新时代中国特色社会主义思想为指导，全面贯彻十九届四中、五中全会精神，坚持底线思维，坚守厉行法治，推进严格执法、公正司法，依法化解劳资纠纷，努力让劳动者和企业在仲裁案件中感受到公平正义，切实维护和谐的劳动关系。深入贯彻执行《中华人民共和国劳动法》《中华人民共和国劳动合同法》《中华人民共和国劳动争议调解仲裁法》《劳动人事争议仲裁办案规则》《劳动人事争议仲裁组织规则》等相关法律法规及行政法规，以完善组织建设为保障，以健全制度为基础，以争议调解为重点，进一步规范争议案件处理，为构建盘龙区和谐劳动人事关系做出了积极贡献。盘龙区劳动人事争议仲裁院办案工作绩效评价得分为</w:t>
      </w:r>
      <w:r>
        <w:rPr>
          <w:rFonts w:hint="eastAsia" w:ascii="Times New Roman" w:hAnsi="Times New Roman" w:eastAsia="仿宋_GB2312"/>
          <w:sz w:val="28"/>
          <w:szCs w:val="28"/>
          <w:highlight w:val="none"/>
        </w:rPr>
        <w:t>9</w:t>
      </w:r>
      <w:r>
        <w:rPr>
          <w:rFonts w:hint="eastAsia" w:ascii="Times New Roman" w:hAnsi="Times New Roman" w:eastAsia="仿宋_GB2312"/>
          <w:sz w:val="28"/>
          <w:szCs w:val="28"/>
          <w:highlight w:val="none"/>
          <w:lang w:val="en-US" w:eastAsia="zh-CN"/>
        </w:rPr>
        <w:t>7</w:t>
      </w:r>
      <w:r>
        <w:rPr>
          <w:rFonts w:hint="eastAsia" w:ascii="Times New Roman" w:hAnsi="Times New Roman" w:eastAsia="仿宋_GB2312"/>
          <w:sz w:val="28"/>
          <w:szCs w:val="28"/>
          <w:highlight w:val="none"/>
        </w:rPr>
        <w:t>分</w:t>
      </w:r>
      <w:r>
        <w:rPr>
          <w:rFonts w:hint="eastAsia" w:ascii="Times New Roman" w:hAnsi="Times New Roman" w:eastAsia="仿宋_GB2312"/>
          <w:sz w:val="28"/>
          <w:szCs w:val="28"/>
        </w:rPr>
        <w:t>，评价等级为“优”。一级指标具体得分情况详见下表：</w:t>
      </w:r>
    </w:p>
    <w:p>
      <w:pPr>
        <w:keepNext w:val="0"/>
        <w:keepLines w:val="0"/>
        <w:pageBreakBefore w:val="0"/>
        <w:widowControl w:val="0"/>
        <w:kinsoku/>
        <w:wordWrap/>
        <w:overflowPunct/>
        <w:autoSpaceDE/>
        <w:autoSpaceDN/>
        <w:bidi w:val="0"/>
        <w:adjustRightInd/>
        <w:snapToGrid/>
        <w:spacing w:line="440" w:lineRule="exact"/>
        <w:ind w:firstLine="560" w:firstLineChars="200"/>
        <w:jc w:val="left"/>
        <w:textAlignment w:val="auto"/>
        <w:rPr>
          <w:rFonts w:hint="eastAsia" w:ascii="Times New Roman" w:hAnsi="Times New Roman" w:eastAsia="仿宋_GB2312"/>
          <w:sz w:val="28"/>
          <w:szCs w:val="28"/>
        </w:rPr>
      </w:pPr>
    </w:p>
    <w:tbl>
      <w:tblPr>
        <w:tblStyle w:val="8"/>
        <w:tblW w:w="8222" w:type="dxa"/>
        <w:tblInd w:w="0" w:type="dxa"/>
        <w:tblLayout w:type="fixed"/>
        <w:tblCellMar>
          <w:top w:w="0" w:type="dxa"/>
          <w:left w:w="108" w:type="dxa"/>
          <w:bottom w:w="0" w:type="dxa"/>
          <w:right w:w="108" w:type="dxa"/>
        </w:tblCellMar>
      </w:tblPr>
      <w:tblGrid>
        <w:gridCol w:w="2127"/>
        <w:gridCol w:w="2126"/>
        <w:gridCol w:w="2126"/>
        <w:gridCol w:w="1843"/>
      </w:tblGrid>
      <w:tr>
        <w:tblPrEx>
          <w:tblCellMar>
            <w:top w:w="0" w:type="dxa"/>
            <w:left w:w="108" w:type="dxa"/>
            <w:bottom w:w="0" w:type="dxa"/>
            <w:right w:w="108" w:type="dxa"/>
          </w:tblCellMar>
        </w:tblPrEx>
        <w:trPr>
          <w:trHeight w:val="640" w:hRule="atLeast"/>
        </w:trPr>
        <w:tc>
          <w:tcPr>
            <w:tcW w:w="8222" w:type="dxa"/>
            <w:gridSpan w:val="4"/>
            <w:tcBorders>
              <w:top w:val="nil"/>
              <w:left w:val="nil"/>
              <w:bottom w:val="nil"/>
              <w:right w:val="nil"/>
            </w:tcBorders>
            <w:shd w:val="clear" w:color="auto" w:fill="auto"/>
            <w:noWrap/>
            <w:vAlign w:val="center"/>
          </w:tcPr>
          <w:p>
            <w:pPr>
              <w:jc w:val="center"/>
              <w:rPr>
                <w:rFonts w:ascii="仿宋" w:hAnsi="仿宋" w:eastAsia="仿宋"/>
                <w:szCs w:val="32"/>
              </w:rPr>
            </w:pPr>
            <w:r>
              <w:rPr>
                <w:rFonts w:hint="eastAsia" w:ascii="仿宋" w:hAnsi="仿宋" w:eastAsia="仿宋"/>
                <w:szCs w:val="32"/>
              </w:rPr>
              <w:t>绩效评价得分情况表</w:t>
            </w:r>
          </w:p>
        </w:tc>
      </w:tr>
      <w:tr>
        <w:tblPrEx>
          <w:tblCellMar>
            <w:top w:w="0" w:type="dxa"/>
            <w:left w:w="108" w:type="dxa"/>
            <w:bottom w:w="0" w:type="dxa"/>
            <w:right w:w="108" w:type="dxa"/>
          </w:tblCellMar>
        </w:tblPrEx>
        <w:trPr>
          <w:trHeight w:val="280" w:hRule="atLeast"/>
        </w:trPr>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一级指标</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指标分值</w:t>
            </w:r>
          </w:p>
        </w:tc>
        <w:tc>
          <w:tcPr>
            <w:tcW w:w="2126"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评价得分</w:t>
            </w:r>
          </w:p>
        </w:tc>
        <w:tc>
          <w:tcPr>
            <w:tcW w:w="1843" w:type="dxa"/>
            <w:tcBorders>
              <w:top w:val="single" w:color="auto" w:sz="4" w:space="0"/>
              <w:left w:val="nil"/>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得分率</w:t>
            </w:r>
          </w:p>
        </w:tc>
      </w:tr>
      <w:tr>
        <w:tblPrEx>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项目决策</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17</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85.00%</w:t>
            </w:r>
          </w:p>
        </w:tc>
      </w:tr>
      <w:tr>
        <w:tblPrEx>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项目管理</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20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hint="eastAsia" w:ascii="仿宋" w:hAnsi="仿宋" w:eastAsia="仿宋"/>
                <w:szCs w:val="32"/>
                <w:lang w:val="en-US" w:eastAsia="zh-CN"/>
              </w:rPr>
              <w:t>10</w:t>
            </w:r>
            <w:r>
              <w:rPr>
                <w:rFonts w:ascii="仿宋" w:hAnsi="仿宋" w:eastAsia="仿宋"/>
                <w:szCs w:val="32"/>
              </w:rPr>
              <w:t>0.00%</w:t>
            </w:r>
          </w:p>
        </w:tc>
      </w:tr>
      <w:tr>
        <w:tblPrEx>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项目绩效</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60</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100.00%</w:t>
            </w:r>
          </w:p>
        </w:tc>
      </w:tr>
      <w:tr>
        <w:tblPrEx>
          <w:tblCellMar>
            <w:top w:w="0" w:type="dxa"/>
            <w:left w:w="108" w:type="dxa"/>
            <w:bottom w:w="0" w:type="dxa"/>
            <w:right w:w="108" w:type="dxa"/>
          </w:tblCellMar>
        </w:tblPrEx>
        <w:trPr>
          <w:trHeight w:val="280" w:hRule="atLeast"/>
        </w:trPr>
        <w:tc>
          <w:tcPr>
            <w:tcW w:w="2127" w:type="dxa"/>
            <w:tcBorders>
              <w:top w:val="nil"/>
              <w:left w:val="single" w:color="auto" w:sz="4" w:space="0"/>
              <w:bottom w:val="single" w:color="auto" w:sz="4" w:space="0"/>
              <w:right w:val="single" w:color="auto" w:sz="4" w:space="0"/>
            </w:tcBorders>
            <w:shd w:val="clear" w:color="auto" w:fill="auto"/>
            <w:vAlign w:val="center"/>
          </w:tcPr>
          <w:p>
            <w:pPr>
              <w:jc w:val="center"/>
              <w:rPr>
                <w:rFonts w:ascii="仿宋" w:hAnsi="仿宋" w:eastAsia="仿宋"/>
                <w:szCs w:val="32"/>
              </w:rPr>
            </w:pPr>
            <w:r>
              <w:rPr>
                <w:rFonts w:hint="eastAsia" w:ascii="仿宋" w:hAnsi="仿宋" w:eastAsia="仿宋"/>
                <w:szCs w:val="32"/>
              </w:rPr>
              <w:t>合 计</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100</w:t>
            </w:r>
          </w:p>
        </w:tc>
        <w:tc>
          <w:tcPr>
            <w:tcW w:w="2126"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97</w:t>
            </w:r>
          </w:p>
        </w:tc>
        <w:tc>
          <w:tcPr>
            <w:tcW w:w="1843" w:type="dxa"/>
            <w:tcBorders>
              <w:top w:val="nil"/>
              <w:left w:val="nil"/>
              <w:bottom w:val="single" w:color="auto" w:sz="4" w:space="0"/>
              <w:right w:val="single" w:color="auto" w:sz="4" w:space="0"/>
            </w:tcBorders>
            <w:shd w:val="clear" w:color="auto" w:fill="auto"/>
          </w:tcPr>
          <w:p>
            <w:pPr>
              <w:jc w:val="center"/>
              <w:rPr>
                <w:rFonts w:ascii="仿宋" w:hAnsi="仿宋" w:eastAsia="仿宋"/>
                <w:szCs w:val="32"/>
              </w:rPr>
            </w:pPr>
            <w:r>
              <w:rPr>
                <w:rFonts w:ascii="仿宋" w:hAnsi="仿宋" w:eastAsia="仿宋"/>
                <w:szCs w:val="32"/>
              </w:rPr>
              <w:t>97.00%</w:t>
            </w:r>
          </w:p>
        </w:tc>
      </w:tr>
    </w:tbl>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2.主要绩效</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仲裁院以劳动仲裁调处力量为核心，通过联合区司法局、区总工会、区法院、区各街道、律师事务所等部门劳动人事纠纷调处力量，已形成“1+X”多元联动机制，形成劳动争议处理闭环。依法保护当事人的合法权益，公正及时处理辖区内的劳动人事争议，多举措推动盘龙区和谐稳定劳动关系构建，促进营商环境优化。</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（二）具体绩效分析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通过开展绩效自评工作，全面了解项目支出预算资金的执行、管理使用情况，以及取得的成绩和综合效果，促使项目组树立责任意识、绩效意识及风险控制意识，进一步加强预算支出及项目管理，保证财政资金管理的规范性、使用的安全性和有效性，提高财政专项资金的使用效益和管理水平。通过开展绩效自评工作，进一步提高预算执行中基础数据的准确性、人员经费的规范性、公用经费的合规性、项目经费的有效性和内控制度的完备性。</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（1）项目决策方面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在项目决策部分分别对项目立项、项目目标指标进行评价。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项目立项方面：与部门中长期规划目标与部门中长期目标适应，立项依据充分，立项程序规范。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项目目标方面：绩效目标设定合理、明确，指标细化量化，与项目目标匹配。</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（2）项目管理方面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在项目管理部分分别对投入管理、财务管理</w:t>
      </w:r>
      <w:r>
        <w:rPr>
          <w:rFonts w:hint="eastAsia" w:ascii="Times New Roman" w:hAnsi="仿宋_GB2312" w:eastAsia="仿宋_GB2312"/>
          <w:sz w:val="28"/>
          <w:szCs w:val="28"/>
          <w:lang w:eastAsia="zh-CN"/>
        </w:rPr>
        <w:t>、</w:t>
      </w:r>
      <w:r>
        <w:rPr>
          <w:rFonts w:hint="eastAsia" w:ascii="Times New Roman" w:hAnsi="仿宋_GB2312" w:eastAsia="仿宋_GB2312"/>
          <w:sz w:val="28"/>
          <w:szCs w:val="28"/>
        </w:rPr>
        <w:t>项目实施指标进行评价。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投入管理方面：预算编制合理，项目支出预算执行率控制较好；预算调整均根据年中预算实际执行情况及时合规进行预算调整。</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财务管理方面：财务管理制度健全，部门使用预算资金均符合相关财务管理制度的规定。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项目实施方面：项目管理制度健全，且按照项目管理制度有效执行，政府采购程序规范。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（3）项目绩效方面</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在项目绩效部分分别对项目产出、项目效益指标进行评价。</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项目产出方面：2022年，盘龙区劳动人事争议仲裁院共收到仲裁案件2111件，其中受理案件数量为1975件，不予受理案件数量为136件，结案率为93.11%，调解率为63.84%。</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仿宋_GB2312" w:eastAsia="仿宋_GB2312"/>
          <w:sz w:val="28"/>
          <w:szCs w:val="28"/>
        </w:rPr>
      </w:pPr>
      <w:r>
        <w:rPr>
          <w:rFonts w:hint="eastAsia" w:ascii="Times New Roman" w:hAnsi="仿宋_GB2312" w:eastAsia="仿宋_GB2312"/>
          <w:sz w:val="28"/>
          <w:szCs w:val="28"/>
        </w:rPr>
        <w:t>项目效益方面：建立相关台账资料，保护当事人双方合法权益的有效途径，确保权益保障到位，不断提升仲裁院工作社会公信度。考察是否不断加大执法力度，做劳动者维权的坚强后盾，从而有效维护了劳动者的合法权益，促进了企业的发展，最终实现优化营商环境，促进社会和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黑体"/>
          <w:sz w:val="28"/>
          <w:szCs w:val="28"/>
        </w:rPr>
      </w:pPr>
      <w:r>
        <w:rPr>
          <w:rFonts w:ascii="Times New Roman" w:hAnsi="黑体" w:eastAsia="黑体"/>
          <w:sz w:val="28"/>
          <w:szCs w:val="28"/>
        </w:rPr>
        <w:t>四、成本效益分析</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ascii="Times New Roman" w:hAnsi="Times New Roman" w:eastAsia="仿宋_GB2312"/>
          <w:sz w:val="28"/>
          <w:szCs w:val="28"/>
        </w:rPr>
        <w:t>20</w:t>
      </w:r>
      <w:r>
        <w:rPr>
          <w:rFonts w:hint="eastAsia" w:ascii="Times New Roman" w:hAnsi="Times New Roman" w:eastAsia="仿宋_GB2312"/>
          <w:sz w:val="28"/>
          <w:szCs w:val="28"/>
        </w:rPr>
        <w:t>2</w:t>
      </w:r>
      <w:r>
        <w:rPr>
          <w:rFonts w:hint="eastAsia" w:ascii="Times New Roman" w:hAnsi="Times New Roman" w:eastAsia="仿宋_GB2312"/>
          <w:sz w:val="28"/>
          <w:szCs w:val="28"/>
          <w:lang w:val="en-US" w:eastAsia="zh-CN"/>
        </w:rPr>
        <w:t>2</w:t>
      </w:r>
      <w:r>
        <w:rPr>
          <w:rFonts w:ascii="Times New Roman" w:hAnsi="Times New Roman" w:eastAsia="仿宋_GB2312"/>
          <w:sz w:val="28"/>
          <w:szCs w:val="28"/>
        </w:rPr>
        <w:t>年该项所有资金实行专款专用</w:t>
      </w:r>
      <w:r>
        <w:rPr>
          <w:rFonts w:hint="eastAsia" w:ascii="Times New Roman" w:hAnsi="Times New Roman" w:eastAsia="仿宋_GB2312"/>
          <w:sz w:val="28"/>
          <w:szCs w:val="28"/>
          <w:lang w:eastAsia="zh-CN"/>
        </w:rPr>
        <w:t>，</w:t>
      </w:r>
      <w:r>
        <w:rPr>
          <w:rFonts w:ascii="Times New Roman" w:hAnsi="Times New Roman" w:eastAsia="仿宋_GB2312"/>
          <w:sz w:val="28"/>
          <w:szCs w:val="28"/>
        </w:rPr>
        <w:t>项目支出均有相关的授权审批，资金拨付严格审批程序，使用规范，会计核算结果真实、准确。此次绩效评价过程中未发现有截留、挤占或挪用项目资金的情况。</w:t>
      </w:r>
      <w:r>
        <w:rPr>
          <w:rFonts w:hint="eastAsia" w:ascii="Times New Roman" w:hAnsi="Times New Roman" w:eastAsia="仿宋_GB2312"/>
          <w:sz w:val="28"/>
          <w:szCs w:val="28"/>
        </w:rPr>
        <w:t>该项目支出</w:t>
      </w:r>
      <w:r>
        <w:rPr>
          <w:rFonts w:hint="eastAsia" w:ascii="Times New Roman" w:hAnsi="Times New Roman" w:eastAsia="仿宋_GB2312"/>
          <w:sz w:val="28"/>
          <w:szCs w:val="28"/>
          <w:lang w:val="en-US" w:eastAsia="zh-CN"/>
        </w:rPr>
        <w:t>75,000.00</w:t>
      </w:r>
      <w:r>
        <w:rPr>
          <w:rFonts w:hint="eastAsia" w:ascii="Times New Roman" w:hAnsi="Times New Roman" w:eastAsia="仿宋_GB2312"/>
          <w:sz w:val="28"/>
          <w:szCs w:val="28"/>
        </w:rPr>
        <w:t>元，其中</w:t>
      </w:r>
      <w:r>
        <w:rPr>
          <w:rFonts w:hint="eastAsia" w:ascii="Times New Roman" w:hAnsi="Times New Roman" w:eastAsia="仿宋_GB2312"/>
          <w:sz w:val="28"/>
          <w:szCs w:val="28"/>
          <w:lang w:val="en-US" w:eastAsia="zh-CN"/>
        </w:rPr>
        <w:t>,</w:t>
      </w:r>
      <w:r>
        <w:rPr>
          <w:rFonts w:hint="eastAsia" w:ascii="Times New Roman" w:hAnsi="Times New Roman" w:eastAsia="仿宋_GB2312"/>
          <w:sz w:val="28"/>
          <w:szCs w:val="28"/>
        </w:rPr>
        <w:t>委托业务费</w:t>
      </w:r>
      <w:r>
        <w:rPr>
          <w:rFonts w:hint="eastAsia" w:ascii="Times New Roman" w:hAnsi="Times New Roman" w:eastAsia="仿宋_GB2312"/>
          <w:sz w:val="28"/>
          <w:szCs w:val="28"/>
          <w:lang w:val="en-US" w:eastAsia="zh-CN"/>
        </w:rPr>
        <w:t>75,000.00</w:t>
      </w:r>
      <w:r>
        <w:rPr>
          <w:rFonts w:hint="eastAsia" w:ascii="Times New Roman" w:hAnsi="Times New Roman" w:eastAsia="仿宋_GB2312"/>
          <w:sz w:val="28"/>
          <w:szCs w:val="28"/>
        </w:rPr>
        <w:t>元。</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黑体" w:hAnsi="黑体" w:eastAsia="黑体" w:cs="黑体"/>
          <w:sz w:val="28"/>
          <w:szCs w:val="28"/>
          <w:highlight w:val="none"/>
        </w:rPr>
      </w:pPr>
      <w:r>
        <w:rPr>
          <w:rFonts w:hint="eastAsia" w:ascii="黑体" w:hAnsi="黑体" w:eastAsia="黑体" w:cs="黑体"/>
          <w:sz w:val="28"/>
          <w:szCs w:val="28"/>
          <w:highlight w:val="none"/>
        </w:rPr>
        <w:t>五、主要经验及做法、存在的问题和建议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（一）主要经验及做法</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1.</w:t>
      </w:r>
      <w:r>
        <w:rPr>
          <w:rFonts w:hint="eastAsia" w:ascii="Times New Roman" w:hAnsi="Times New Roman" w:eastAsia="仿宋_GB2312"/>
          <w:sz w:val="28"/>
          <w:szCs w:val="28"/>
        </w:rPr>
        <w:t>强化软硬件建设。一是按照法定程序开展劳动仲裁工作。对劳动争议仲裁立案范围、立案审批、结案审批等程序予以严格界定，明确仲裁工作职责，制度上墙。同时，进一步规范仲裁文书，完善庭审程序。二是完善仲裁院的办公职能，细化分工、明确责任，做到各尽其责，有效提升了仲裁工作的效率。三是提升仲裁员业务水平。积极参加省、市举办的劳动人事争议仲裁培训，提升专业知识水平，同时，我院定期组织案件讨论会，加强业务知识学习，并改变传统的讲学培训模式，创新开展“模拟庭审”培训，让新进人员不断从事业务知识和办案经验。四是采取有效措施切实加强档案管理，由专人管理档案，按照上级要求，规范对案件的归档整理。</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2.</w:t>
      </w:r>
      <w:r>
        <w:rPr>
          <w:rFonts w:hint="eastAsia" w:ascii="Times New Roman" w:hAnsi="Times New Roman" w:eastAsia="仿宋_GB2312"/>
          <w:sz w:val="28"/>
          <w:szCs w:val="28"/>
        </w:rPr>
        <w:t>开设“一堂劳动仲裁实案宣法课”。加强资源统筹、协调各方、多元参与，采取模拟劳动争议仲裁庭（劳动仲裁进企业实案宣法）、案例分析会等法治实践形式，组织企业工作人员或调解员开展现场教学，对楼宇用人单位进行劳动管理业务指导及完善用工管理的建议，加深用人单位对法律法规的理解和适用，以案释法进一步提升用人单位劳动用工水平和解决矛盾纠纷的能力，就地、就近为企业和职工提供劳动保障服务，为更好地推进化解基层矛盾、促进劳动关系和谐稳定、服务保障民生打下坚实基础。通过“B站”直播，采用“线上+线下”相结合的互动方式，对劳动者、用人单位关心的问题进行答疑解惑，并积极主动听取各方对劳动仲裁的相关建议，不断提升劳动仲裁效能。截至2022年10月20日已在抖音、B站、快手、微信短视频平台各发布35期、合计140个普法宣传视频，并及时回复观众留言。</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3.</w:t>
      </w:r>
      <w:r>
        <w:rPr>
          <w:rFonts w:hint="eastAsia" w:ascii="Times New Roman" w:hAnsi="Times New Roman" w:eastAsia="仿宋_GB2312"/>
          <w:sz w:val="28"/>
          <w:szCs w:val="28"/>
        </w:rPr>
        <w:t>打造“一个劳动争议流动仲裁庭”。充分考虑企业需求，线下主动送服务，在楼宇企业设置流动仲裁庭，定期开展劳动争议仲裁案件现场集中受理和调解。</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4..</w:t>
      </w:r>
      <w:r>
        <w:rPr>
          <w:rFonts w:hint="eastAsia" w:ascii="Times New Roman" w:hAnsi="Times New Roman" w:eastAsia="仿宋_GB2312"/>
          <w:sz w:val="28"/>
          <w:szCs w:val="28"/>
        </w:rPr>
        <w:t>工会＋仲裁双向联动，促进劳动关系和谐稳定。</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盘龙区仲裁院，在率先成立全省首家县（区）工会劳动人事争议仲裁庭的基础上，邀请区总工会干部担任兼职仲裁员，将劳动争议调解端口前移，从源头上化解劳动争议。</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5.</w:t>
      </w:r>
      <w:r>
        <w:rPr>
          <w:rFonts w:hint="eastAsia" w:ascii="Times New Roman" w:hAnsi="Times New Roman" w:eastAsia="仿宋_GB2312"/>
          <w:sz w:val="28"/>
          <w:szCs w:val="28"/>
        </w:rPr>
        <w:t>为提升劳动争议案件处理质效，与区人民法院联合制定《关于加强劳动人事争议仲裁与诉讼衔接机制建设的实施方案》，加强裁审衔接机制建设，已实现劳动争议案件受案范围、证据规则、法律适用的统一。同时，在定期联合开展业务培训、庭审互听，疑难案件会商等线下裁审衔接方式的基础上，通过微信群、腾讯视频会议等平台建立了“线上”裁审衔接通道，疫情期间通过“线上”方式对多件劳动争议案件进行会商研讨。其次，已与盘龙区人民法院建立起“仲裁法律文书信息直传联动机制”。对于有执行申请需求或已起诉的仲裁案件当事人，无需再往返仲裁院复印送达回证、庭审笔录、证据等案件材料，只需通过联动机制，由盘龙区人民法院、盘龙区仲裁院专人对接，直接将案件相关材料进行线上传递。</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lang w:val="en-US" w:eastAsia="zh-CN"/>
        </w:rPr>
        <w:t>6.</w:t>
      </w:r>
      <w:r>
        <w:rPr>
          <w:rFonts w:hint="eastAsia" w:ascii="Times New Roman" w:hAnsi="Times New Roman" w:eastAsia="仿宋_GB2312"/>
          <w:sz w:val="28"/>
          <w:szCs w:val="28"/>
        </w:rPr>
        <w:t>开辟“绿色通道”。区仲裁院紧扣依法维护劳动者合法权益，努力构建和谐劳动关系的思想。针对工伤伤情级别、女职工、伤残病弱等弱势群体的劳动争议案件，坚持“快立、快审、快结”原则，开辟绿色通道，用最短时间有效维护弱势群体的合法权益。</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（二）存在的问题</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rPr>
      </w:pPr>
      <w:r>
        <w:rPr>
          <w:rFonts w:hint="eastAsia" w:ascii="Times New Roman" w:hAnsi="Times New Roman" w:eastAsia="仿宋_GB2312"/>
          <w:sz w:val="28"/>
          <w:szCs w:val="28"/>
        </w:rPr>
        <w:t>一是劳动人事争议调解仲裁员队伍力量仍呈现严重不足的情况。目前，每天平均案件量是5.8件，工作人员的严重不足，与日益繁重的工作任务极不匹配。二是劳动人事争议仲裁案件办理还不够规范，质量还可以进一步提高。由于仲裁院人员严重不足，加之仲裁工作不是朝夕就可以熟练处理，且仲裁员从事仲裁工作时间短，专业知识的培训机会也较少，对于案件的历练还不够，种种原因也使得一些劳动争议仲裁案件办理程序不规范，质量不高。</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楷体_GB2312" w:hAnsi="楷体_GB2312" w:eastAsia="楷体_GB2312" w:cs="楷体_GB2312"/>
          <w:sz w:val="28"/>
          <w:szCs w:val="28"/>
        </w:rPr>
      </w:pPr>
      <w:r>
        <w:rPr>
          <w:rFonts w:hint="eastAsia" w:ascii="楷体_GB2312" w:hAnsi="楷体_GB2312" w:eastAsia="楷体_GB2312" w:cs="楷体_GB2312"/>
          <w:sz w:val="28"/>
          <w:szCs w:val="28"/>
        </w:rPr>
        <w:t>（三）建议和改进措施</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1.加强仲裁机构能力建设。认真落实《中华人民共和国劳动争议调解仲裁法》、《劳动人事争议仲裁办案规则》和《劳动人事争议仲裁组织规则》。并根据《人力资源和社会保障部、中共机构编制委员会办公室、财政部关于加强劳动人事争议处理效能建设的意见》（人社部发〔2012〕13号）和《云南省人力资源和社会保障厅中共云南省委机构编制办公室云南省财政厅关于转发加强劳动人事争议处理效能建设意见的通知》（云人社发〔2013〕66号）要求，着力提高劳动仲裁效能，争取上级支持实现劳动争议仲裁机构工作人员参照公务员管理和增加仲裁办案经费。</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2.加强劳动人事争议仲裁队伍建设。为加强仲裁员和调解员队伍建设，提高劳动争议处理水平，积极参加省厅、市局开展的各项业务培训活动。按照作风过硬、行为规范、业务精通、运作高效的要求，全面提升劳动争议仲裁员的办案水平和综合素质，为仲裁员专业化、职业化打下坚实基础。</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hint="eastAsia" w:ascii="Times New Roman" w:hAnsi="Times New Roman" w:eastAsia="仿宋_GB2312"/>
          <w:sz w:val="28"/>
          <w:szCs w:val="28"/>
          <w:lang w:val="en-US" w:eastAsia="zh-CN"/>
        </w:rPr>
      </w:pPr>
      <w:r>
        <w:rPr>
          <w:rFonts w:hint="eastAsia" w:ascii="Times New Roman" w:hAnsi="Times New Roman" w:eastAsia="仿宋_GB2312"/>
          <w:sz w:val="28"/>
          <w:szCs w:val="28"/>
          <w:lang w:val="en-US" w:eastAsia="zh-CN"/>
        </w:rPr>
        <w:t>3.加强劳动争议调解、仲裁与诉讼的相互衔接。规范案件处理工作，将调解和仲裁程序充分结合。加强劳动争议调解体系建设，构建立案前调解、开庭前调解、开庭调解、开庭后调解“四位一体”的调解体系，实现仲裁法律效果和社会效果的有效统一。密切与法院的沟通，进一步完善相关机制的有机衔接，实现本地区劳动争议调解、仲裁与诉讼的相互衔接。</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r>
        <w:rPr>
          <w:rFonts w:hint="eastAsia" w:ascii="Times New Roman" w:hAnsi="Times New Roman" w:eastAsia="仿宋_GB2312"/>
          <w:sz w:val="28"/>
          <w:szCs w:val="28"/>
          <w:lang w:val="en-US" w:eastAsia="zh-CN"/>
        </w:rPr>
        <w:t>4.加强办案效率的提升。按照省厅及区级目标的要求，进一步加强办案效率的提升。要依法处理劳动争议案件，做到有案必受，在规定的时间内立案，在法定时效内结案。开辟劳动争议案件的“快立、快调、快审、快结”绿色通道，不断提高办案效率，圆满完成相关目标任务。</w:t>
      </w:r>
    </w:p>
    <w:p>
      <w:pPr>
        <w:keepNext w:val="0"/>
        <w:keepLines w:val="0"/>
        <w:pageBreakBefore w:val="0"/>
        <w:widowControl w:val="0"/>
        <w:kinsoku/>
        <w:wordWrap/>
        <w:overflowPunct/>
        <w:topLinePunct/>
        <w:autoSpaceDE/>
        <w:autoSpaceDN/>
        <w:bidi w:val="0"/>
        <w:adjustRightInd/>
        <w:snapToGrid/>
        <w:spacing w:line="440" w:lineRule="exact"/>
        <w:ind w:firstLine="560" w:firstLineChars="200"/>
        <w:textAlignment w:val="auto"/>
        <w:rPr>
          <w:rFonts w:ascii="Times New Roman" w:hAnsi="Times New Roman" w:eastAsia="仿宋_GB2312"/>
          <w:sz w:val="28"/>
          <w:szCs w:val="28"/>
        </w:rPr>
      </w:pP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r>
        <w:rPr>
          <w:rFonts w:ascii="Times New Roman" w:hAnsi="Times New Roman" w:eastAsia="方正小标宋_GBK"/>
          <w:sz w:val="28"/>
          <w:szCs w:val="28"/>
        </w:rPr>
        <w:t>绩效评价报告正文后附以下佐证材料</w:t>
      </w:r>
    </w:p>
    <w:p>
      <w:pPr>
        <w:keepNext w:val="0"/>
        <w:keepLines w:val="0"/>
        <w:pageBreakBefore w:val="0"/>
        <w:widowControl w:val="0"/>
        <w:kinsoku/>
        <w:wordWrap/>
        <w:overflowPunct/>
        <w:autoSpaceDE/>
        <w:autoSpaceDN/>
        <w:bidi w:val="0"/>
        <w:adjustRightInd/>
        <w:snapToGrid/>
        <w:spacing w:line="440" w:lineRule="exact"/>
        <w:ind w:firstLine="560" w:firstLineChars="200"/>
        <w:jc w:val="center"/>
        <w:textAlignment w:val="auto"/>
        <w:rPr>
          <w:rFonts w:ascii="Times New Roman" w:hAnsi="Times New Roman" w:eastAsia="方正小标宋_GBK"/>
          <w:sz w:val="28"/>
          <w:szCs w:val="28"/>
        </w:rPr>
      </w:pP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1.项目支出绩效评价共性指标体系</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2.关于加强劳动人事争议处理效能建设的意见</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3.加强劳动人事争议处理效能建设意见的通知--昆人社通（2013）84号加强劳动争议处理</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4.昆人社通（2011）123号--关于转发上级部门人民法院办案人员岗位津贴标准文件的通知</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5.昆人社通（2011）124号--关于转发上级部门调整人民检察院办案人员岗位津贴标准文件的通知</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6.《中华人民共和国劳动争议调解仲裁法》</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7.《劳动人事争议争议办案规则》</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8.云南省法律援助专项经费管理暂行办法</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9.昆人社通〔2019〕80号关于转发以仲裁专递邮寄送达劳动人事争议仲裁有关文书的通知</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10.人力资源社会保障部财政部关于进一步加强人力资源社会保障窗口单位经办队伍建设的意见人社部发〔2019〕13号</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1</w:t>
      </w:r>
      <w:r>
        <w:rPr>
          <w:rFonts w:ascii="Times New Roman" w:hAnsi="Times New Roman" w:eastAsia="仿宋_GB2312"/>
          <w:sz w:val="28"/>
          <w:szCs w:val="28"/>
        </w:rPr>
        <w:t>1.</w:t>
      </w:r>
      <w:r>
        <w:rPr>
          <w:rFonts w:hint="eastAsia" w:ascii="Times New Roman" w:hAnsi="Times New Roman" w:eastAsia="仿宋_GB2312"/>
          <w:sz w:val="28"/>
          <w:szCs w:val="28"/>
        </w:rPr>
        <w:t>盘龙区人力资源和社会保障局关于征求《盘龙区劳动人事争议仲裁院仲裁员办案补助专款暂行办法（修改意见稿）》意见的函</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1</w:t>
      </w:r>
      <w:r>
        <w:rPr>
          <w:rFonts w:ascii="Times New Roman" w:hAnsi="Times New Roman" w:eastAsia="仿宋_GB2312"/>
          <w:sz w:val="28"/>
          <w:szCs w:val="28"/>
        </w:rPr>
        <w:t>2.</w:t>
      </w:r>
      <w:r>
        <w:rPr>
          <w:rFonts w:hint="eastAsia" w:ascii="Times New Roman" w:hAnsi="Times New Roman" w:eastAsia="仿宋_GB2312"/>
          <w:sz w:val="28"/>
          <w:szCs w:val="28"/>
        </w:rPr>
        <w:t>劳动人事争议仲裁组织规则</w:t>
      </w:r>
      <w:r>
        <w:rPr>
          <w:rFonts w:hint="eastAsia" w:ascii="Times New Roman" w:hAnsi="Times New Roman" w:eastAsia="仿宋_GB2312"/>
          <w:sz w:val="28"/>
          <w:szCs w:val="28"/>
          <w:lang w:eastAsia="zh-CN"/>
        </w:rPr>
        <w:t>（</w:t>
      </w:r>
      <w:r>
        <w:rPr>
          <w:rFonts w:hint="eastAsia" w:ascii="Times New Roman" w:hAnsi="Times New Roman" w:eastAsia="仿宋_GB2312"/>
          <w:sz w:val="28"/>
          <w:szCs w:val="28"/>
        </w:rPr>
        <w:t>新修订</w:t>
      </w:r>
      <w:r>
        <w:rPr>
          <w:rFonts w:hint="eastAsia" w:ascii="Times New Roman" w:hAnsi="Times New Roman" w:eastAsia="仿宋_GB2312"/>
          <w:sz w:val="28"/>
          <w:szCs w:val="28"/>
          <w:lang w:eastAsia="zh-CN"/>
        </w:rPr>
        <w:t>）</w:t>
      </w:r>
    </w:p>
    <w:p>
      <w:pPr>
        <w:keepNext w:val="0"/>
        <w:keepLines w:val="0"/>
        <w:pageBreakBefore w:val="0"/>
        <w:widowControl w:val="0"/>
        <w:kinsoku/>
        <w:wordWrap/>
        <w:overflowPunct/>
        <w:autoSpaceDE/>
        <w:autoSpaceDN/>
        <w:bidi w:val="0"/>
        <w:adjustRightInd/>
        <w:snapToGrid/>
        <w:spacing w:line="440" w:lineRule="exact"/>
        <w:ind w:left="-29" w:leftChars="-14" w:firstLine="560" w:firstLineChars="200"/>
        <w:jc w:val="left"/>
        <w:textAlignment w:val="auto"/>
        <w:rPr>
          <w:rFonts w:ascii="Times New Roman" w:hAnsi="Times New Roman" w:eastAsia="仿宋_GB2312"/>
          <w:sz w:val="28"/>
          <w:szCs w:val="28"/>
        </w:rPr>
      </w:pPr>
      <w:r>
        <w:rPr>
          <w:rFonts w:hint="eastAsia" w:ascii="Times New Roman" w:hAnsi="Times New Roman" w:eastAsia="仿宋_GB2312"/>
          <w:sz w:val="28"/>
          <w:szCs w:val="28"/>
        </w:rPr>
        <w:t>1</w:t>
      </w:r>
      <w:r>
        <w:rPr>
          <w:rFonts w:ascii="Times New Roman" w:hAnsi="Times New Roman" w:eastAsia="仿宋_GB2312"/>
          <w:sz w:val="28"/>
          <w:szCs w:val="28"/>
        </w:rPr>
        <w:t>3.</w:t>
      </w:r>
      <w:r>
        <w:rPr>
          <w:rFonts w:hint="eastAsia" w:ascii="Times New Roman" w:hAnsi="Times New Roman" w:eastAsia="仿宋_GB2312"/>
          <w:sz w:val="28"/>
          <w:szCs w:val="28"/>
        </w:rPr>
        <w:t>劳动人事争议仲裁院办案补助经费</w:t>
      </w:r>
      <w:r>
        <w:rPr>
          <w:rFonts w:hint="eastAsia" w:ascii="Times New Roman" w:hAnsi="Times New Roman" w:eastAsia="仿宋_GB2312"/>
          <w:sz w:val="28"/>
          <w:szCs w:val="28"/>
          <w:lang w:val="en-US" w:eastAsia="zh-CN"/>
        </w:rPr>
        <w:t>-项目</w:t>
      </w:r>
      <w:r>
        <w:rPr>
          <w:rFonts w:hint="eastAsia" w:ascii="Times New Roman" w:hAnsi="Times New Roman" w:eastAsia="仿宋_GB2312"/>
          <w:sz w:val="28"/>
          <w:szCs w:val="28"/>
        </w:rPr>
        <w:t>申报书</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47"/>
    </w:sdtPr>
    <w:sdtContent>
      <w:p>
        <w:pPr>
          <w:pStyle w:val="5"/>
          <w:jc w:val="right"/>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3</w:t>
        </w:r>
        <w:r>
          <w:rPr>
            <w:rFonts w:ascii="Times New Roman" w:hAnsi="Times New Roman"/>
            <w:sz w:val="28"/>
            <w:szCs w:val="28"/>
          </w:rPr>
          <w:fldChar w:fldCharType="end"/>
        </w:r>
        <w:r>
          <w:rPr>
            <w:rFonts w:hint="eastAsia" w:ascii="Times New Roman" w:hAnsi="Times New Roman"/>
            <w:sz w:val="28"/>
            <w:szCs w:val="28"/>
          </w:rPr>
          <w:t>—</w:t>
        </w:r>
      </w:p>
    </w:sdtContent>
  </w:sdt>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92953"/>
    </w:sdtPr>
    <w:sdtContent>
      <w:p>
        <w:pPr>
          <w:pStyle w:val="5"/>
        </w:pPr>
        <w:r>
          <w:rPr>
            <w:rFonts w:hint="eastAsia" w:ascii="Times New Roman" w:hAnsi="Times New Roman"/>
            <w:sz w:val="28"/>
            <w:szCs w:val="28"/>
          </w:rPr>
          <w:t>—</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lang w:val="zh-CN"/>
          </w:rPr>
          <w:t>4</w:t>
        </w:r>
        <w:r>
          <w:rPr>
            <w:rFonts w:ascii="Times New Roman" w:hAnsi="Times New Roman"/>
            <w:sz w:val="28"/>
            <w:szCs w:val="28"/>
          </w:rPr>
          <w:fldChar w:fldCharType="end"/>
        </w:r>
        <w:r>
          <w:rPr>
            <w:rFonts w:hint="eastAsia" w:ascii="Times New Roman" w:hAnsi="Times New Roman"/>
            <w:sz w:val="28"/>
            <w:szCs w:val="28"/>
          </w:rPr>
          <w:t>—</w:t>
        </w:r>
      </w:p>
    </w:sdtContent>
  </w:sdt>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U3YWRkZmU5OTJhNGQyMDFmYzgxYmU0MjIxODYxNTUifQ=="/>
  </w:docVars>
  <w:rsids>
    <w:rsidRoot w:val="0050687F"/>
    <w:rsid w:val="00027477"/>
    <w:rsid w:val="000344E1"/>
    <w:rsid w:val="00095BD0"/>
    <w:rsid w:val="000C3D9E"/>
    <w:rsid w:val="000D3C74"/>
    <w:rsid w:val="00102788"/>
    <w:rsid w:val="00112075"/>
    <w:rsid w:val="00180386"/>
    <w:rsid w:val="002179F6"/>
    <w:rsid w:val="00293D6C"/>
    <w:rsid w:val="002C4D37"/>
    <w:rsid w:val="002C5CDB"/>
    <w:rsid w:val="002C6A91"/>
    <w:rsid w:val="002F05AD"/>
    <w:rsid w:val="00331D6E"/>
    <w:rsid w:val="00340B96"/>
    <w:rsid w:val="00352D9F"/>
    <w:rsid w:val="00362280"/>
    <w:rsid w:val="00395684"/>
    <w:rsid w:val="003B39ED"/>
    <w:rsid w:val="003D764F"/>
    <w:rsid w:val="003F0ACE"/>
    <w:rsid w:val="003F47A9"/>
    <w:rsid w:val="003F5F89"/>
    <w:rsid w:val="00434E7E"/>
    <w:rsid w:val="00476C39"/>
    <w:rsid w:val="00490F39"/>
    <w:rsid w:val="004947B3"/>
    <w:rsid w:val="004E7551"/>
    <w:rsid w:val="0050687F"/>
    <w:rsid w:val="0052333D"/>
    <w:rsid w:val="00525490"/>
    <w:rsid w:val="00543F5A"/>
    <w:rsid w:val="005630ED"/>
    <w:rsid w:val="005A6251"/>
    <w:rsid w:val="005E00F7"/>
    <w:rsid w:val="006032DF"/>
    <w:rsid w:val="00610545"/>
    <w:rsid w:val="00663829"/>
    <w:rsid w:val="0067483F"/>
    <w:rsid w:val="006A31C0"/>
    <w:rsid w:val="006E5CF7"/>
    <w:rsid w:val="00702588"/>
    <w:rsid w:val="00757117"/>
    <w:rsid w:val="007774EF"/>
    <w:rsid w:val="007803B9"/>
    <w:rsid w:val="007C264B"/>
    <w:rsid w:val="007D404C"/>
    <w:rsid w:val="007E237B"/>
    <w:rsid w:val="00852174"/>
    <w:rsid w:val="008673AC"/>
    <w:rsid w:val="008933E7"/>
    <w:rsid w:val="008A7736"/>
    <w:rsid w:val="009D60EC"/>
    <w:rsid w:val="00A41EBC"/>
    <w:rsid w:val="00A7219A"/>
    <w:rsid w:val="00A849D7"/>
    <w:rsid w:val="00AA78D8"/>
    <w:rsid w:val="00B11A50"/>
    <w:rsid w:val="00B142C7"/>
    <w:rsid w:val="00B25E52"/>
    <w:rsid w:val="00B33E49"/>
    <w:rsid w:val="00B85C80"/>
    <w:rsid w:val="00B96C4B"/>
    <w:rsid w:val="00BB10C9"/>
    <w:rsid w:val="00BE27CE"/>
    <w:rsid w:val="00BE4EEB"/>
    <w:rsid w:val="00C07DC8"/>
    <w:rsid w:val="00C218AF"/>
    <w:rsid w:val="00C76662"/>
    <w:rsid w:val="00CB1351"/>
    <w:rsid w:val="00CD2A65"/>
    <w:rsid w:val="00CF101C"/>
    <w:rsid w:val="00D47201"/>
    <w:rsid w:val="00D91BC2"/>
    <w:rsid w:val="00DA4217"/>
    <w:rsid w:val="00DF57B1"/>
    <w:rsid w:val="00E42325"/>
    <w:rsid w:val="00E47A09"/>
    <w:rsid w:val="00E53A12"/>
    <w:rsid w:val="00E725B2"/>
    <w:rsid w:val="00E86D9E"/>
    <w:rsid w:val="00EB4217"/>
    <w:rsid w:val="00F40CB4"/>
    <w:rsid w:val="00F54FDB"/>
    <w:rsid w:val="00F55270"/>
    <w:rsid w:val="00FA4937"/>
    <w:rsid w:val="00FA6443"/>
    <w:rsid w:val="01564860"/>
    <w:rsid w:val="02BD2C26"/>
    <w:rsid w:val="038F0F77"/>
    <w:rsid w:val="05F94DCD"/>
    <w:rsid w:val="06FC43AD"/>
    <w:rsid w:val="07F615C4"/>
    <w:rsid w:val="0B163D2C"/>
    <w:rsid w:val="0B1A1A6E"/>
    <w:rsid w:val="0B5B675B"/>
    <w:rsid w:val="0C3647BB"/>
    <w:rsid w:val="0C837673"/>
    <w:rsid w:val="0DAB25C7"/>
    <w:rsid w:val="0DC7119F"/>
    <w:rsid w:val="0E200321"/>
    <w:rsid w:val="0E4A5FF2"/>
    <w:rsid w:val="0E8813E4"/>
    <w:rsid w:val="0E963B01"/>
    <w:rsid w:val="12C10A21"/>
    <w:rsid w:val="140E371F"/>
    <w:rsid w:val="146A5814"/>
    <w:rsid w:val="16BE59A3"/>
    <w:rsid w:val="17BD5C5B"/>
    <w:rsid w:val="1804388A"/>
    <w:rsid w:val="19251064"/>
    <w:rsid w:val="19EC6CCB"/>
    <w:rsid w:val="1D293D92"/>
    <w:rsid w:val="1E9E0462"/>
    <w:rsid w:val="204D1B46"/>
    <w:rsid w:val="211663DC"/>
    <w:rsid w:val="21DD28BB"/>
    <w:rsid w:val="22140B6D"/>
    <w:rsid w:val="226546C9"/>
    <w:rsid w:val="22A5210D"/>
    <w:rsid w:val="2389679B"/>
    <w:rsid w:val="23B40C3B"/>
    <w:rsid w:val="2500187D"/>
    <w:rsid w:val="251E2A44"/>
    <w:rsid w:val="2556149D"/>
    <w:rsid w:val="25876147"/>
    <w:rsid w:val="263F7902"/>
    <w:rsid w:val="2674607E"/>
    <w:rsid w:val="27FC3861"/>
    <w:rsid w:val="289B3D96"/>
    <w:rsid w:val="28A32457"/>
    <w:rsid w:val="291476A5"/>
    <w:rsid w:val="29332221"/>
    <w:rsid w:val="2990258A"/>
    <w:rsid w:val="29CC7F7F"/>
    <w:rsid w:val="29F02AF8"/>
    <w:rsid w:val="2BA2368E"/>
    <w:rsid w:val="2BE614BF"/>
    <w:rsid w:val="2C3D3125"/>
    <w:rsid w:val="2C64742D"/>
    <w:rsid w:val="2CB001B6"/>
    <w:rsid w:val="2D8C03E7"/>
    <w:rsid w:val="2F0E3796"/>
    <w:rsid w:val="30060B97"/>
    <w:rsid w:val="30281C88"/>
    <w:rsid w:val="3043014F"/>
    <w:rsid w:val="317433D6"/>
    <w:rsid w:val="318A49A8"/>
    <w:rsid w:val="32AB107A"/>
    <w:rsid w:val="33C341A1"/>
    <w:rsid w:val="352A76F1"/>
    <w:rsid w:val="35D41FC3"/>
    <w:rsid w:val="368B6E39"/>
    <w:rsid w:val="36F20474"/>
    <w:rsid w:val="3718301A"/>
    <w:rsid w:val="37205599"/>
    <w:rsid w:val="37495DEC"/>
    <w:rsid w:val="3756532C"/>
    <w:rsid w:val="37FA31A6"/>
    <w:rsid w:val="388365F5"/>
    <w:rsid w:val="38E17CD9"/>
    <w:rsid w:val="3D45031D"/>
    <w:rsid w:val="3D88314A"/>
    <w:rsid w:val="3DE03BA2"/>
    <w:rsid w:val="3EE14A8D"/>
    <w:rsid w:val="404775DA"/>
    <w:rsid w:val="40697E7E"/>
    <w:rsid w:val="40DE086C"/>
    <w:rsid w:val="411E6EBB"/>
    <w:rsid w:val="41626605"/>
    <w:rsid w:val="42380450"/>
    <w:rsid w:val="426D795B"/>
    <w:rsid w:val="436C03B1"/>
    <w:rsid w:val="45817037"/>
    <w:rsid w:val="460C5E7C"/>
    <w:rsid w:val="46164604"/>
    <w:rsid w:val="46963997"/>
    <w:rsid w:val="47C15863"/>
    <w:rsid w:val="48C464DC"/>
    <w:rsid w:val="498F4A6C"/>
    <w:rsid w:val="4B4C5754"/>
    <w:rsid w:val="4BCF3BD3"/>
    <w:rsid w:val="4C3F74A8"/>
    <w:rsid w:val="4D6530BF"/>
    <w:rsid w:val="4DB0533F"/>
    <w:rsid w:val="4DD13144"/>
    <w:rsid w:val="4E2236B2"/>
    <w:rsid w:val="4E5C54C6"/>
    <w:rsid w:val="4E7F10BF"/>
    <w:rsid w:val="4EF23735"/>
    <w:rsid w:val="503C55AF"/>
    <w:rsid w:val="50E2102C"/>
    <w:rsid w:val="516E3547"/>
    <w:rsid w:val="51C64D97"/>
    <w:rsid w:val="51DC7E4C"/>
    <w:rsid w:val="520619D1"/>
    <w:rsid w:val="527E1EAF"/>
    <w:rsid w:val="52E57838"/>
    <w:rsid w:val="52F21E12"/>
    <w:rsid w:val="538E6122"/>
    <w:rsid w:val="56186177"/>
    <w:rsid w:val="56555155"/>
    <w:rsid w:val="57BE0ACE"/>
    <w:rsid w:val="57C518FE"/>
    <w:rsid w:val="587D1F7A"/>
    <w:rsid w:val="59634335"/>
    <w:rsid w:val="5ABF3065"/>
    <w:rsid w:val="5D8365CC"/>
    <w:rsid w:val="5DE05293"/>
    <w:rsid w:val="5FB34209"/>
    <w:rsid w:val="5FFE1F39"/>
    <w:rsid w:val="61D01368"/>
    <w:rsid w:val="620D6DAC"/>
    <w:rsid w:val="62DD35F0"/>
    <w:rsid w:val="62ED128B"/>
    <w:rsid w:val="62EE79D5"/>
    <w:rsid w:val="63C96D02"/>
    <w:rsid w:val="63E853DA"/>
    <w:rsid w:val="648E281E"/>
    <w:rsid w:val="64C617FD"/>
    <w:rsid w:val="650049A6"/>
    <w:rsid w:val="660F3410"/>
    <w:rsid w:val="670818F0"/>
    <w:rsid w:val="679338AF"/>
    <w:rsid w:val="68B24209"/>
    <w:rsid w:val="68C528DC"/>
    <w:rsid w:val="68E42FA2"/>
    <w:rsid w:val="69594684"/>
    <w:rsid w:val="6AA162E3"/>
    <w:rsid w:val="6B19231D"/>
    <w:rsid w:val="6C871509"/>
    <w:rsid w:val="6D417909"/>
    <w:rsid w:val="6D744145"/>
    <w:rsid w:val="6D8643D5"/>
    <w:rsid w:val="6DC773AF"/>
    <w:rsid w:val="6DE210EC"/>
    <w:rsid w:val="6E2C2368"/>
    <w:rsid w:val="6E2D223C"/>
    <w:rsid w:val="6EE97127"/>
    <w:rsid w:val="6F0230C8"/>
    <w:rsid w:val="6F1654F2"/>
    <w:rsid w:val="709661BE"/>
    <w:rsid w:val="72452668"/>
    <w:rsid w:val="73125FD0"/>
    <w:rsid w:val="7375655F"/>
    <w:rsid w:val="76CD137E"/>
    <w:rsid w:val="773A5AF5"/>
    <w:rsid w:val="77685B26"/>
    <w:rsid w:val="77FF0721"/>
    <w:rsid w:val="786A41B8"/>
    <w:rsid w:val="7BE95D3C"/>
    <w:rsid w:val="7C7037E4"/>
    <w:rsid w:val="7C776CC4"/>
    <w:rsid w:val="7C9212DF"/>
    <w:rsid w:val="7E130E4E"/>
    <w:rsid w:val="7F9F508F"/>
    <w:rsid w:val="7FD56E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rules v:ext="edit">
        <o:r id="V:Rule1" type="connector" idref="#_x0000_s1026"/>
        <o:r id="V:Rule2" type="connector" idref="#自选图形 6"/>
        <o:r id="V:Rule3" type="connector" idref="#自选图形 5"/>
        <o:r id="V:Rule4" type="connector" idref="#自选图形 4"/>
        <o:r id="V:Rule5" type="connector" idref="#自选图形 3"/>
      </o:rules>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semiHidden/>
    <w:unhideWhenUsed/>
    <w:qFormat/>
    <w:uiPriority w:val="99"/>
    <w:pPr>
      <w:jc w:val="left"/>
    </w:pPr>
  </w:style>
  <w:style w:type="paragraph" w:styleId="4">
    <w:name w:val="Balloon Text"/>
    <w:basedOn w:val="1"/>
    <w:link w:val="17"/>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qFormat/>
    <w:uiPriority w:val="99"/>
    <w:rPr>
      <w:b/>
      <w:bCs/>
    </w:rPr>
  </w:style>
  <w:style w:type="character" w:styleId="10">
    <w:name w:val="annotation reference"/>
    <w:basedOn w:val="9"/>
    <w:semiHidden/>
    <w:unhideWhenUsed/>
    <w:qFormat/>
    <w:uiPriority w:val="99"/>
    <w:rPr>
      <w:sz w:val="21"/>
      <w:szCs w:val="21"/>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2">
    <w:name w:val="正文 A"/>
    <w:qFormat/>
    <w:uiPriority w:val="99"/>
    <w:pPr>
      <w:spacing w:after="200" w:line="276" w:lineRule="auto"/>
    </w:pPr>
    <w:rPr>
      <w:rFonts w:ascii="Calibri" w:hAnsi="Calibri" w:eastAsia="宋体" w:cs="Calibri"/>
      <w:color w:val="000000"/>
      <w:sz w:val="22"/>
      <w:szCs w:val="22"/>
      <w:u w:color="000000"/>
      <w:lang w:val="en-US" w:eastAsia="zh-CN" w:bidi="ar-SA"/>
    </w:rPr>
  </w:style>
  <w:style w:type="character" w:customStyle="1" w:styleId="13">
    <w:name w:val="标题 1 字符"/>
    <w:basedOn w:val="9"/>
    <w:link w:val="2"/>
    <w:qFormat/>
    <w:uiPriority w:val="9"/>
    <w:rPr>
      <w:rFonts w:ascii="Calibri" w:hAnsi="Calibri" w:eastAsia="宋体" w:cs="Times New Roman"/>
      <w:b/>
      <w:bCs/>
      <w:kern w:val="44"/>
      <w:sz w:val="44"/>
      <w:szCs w:val="44"/>
    </w:rPr>
  </w:style>
  <w:style w:type="paragraph" w:styleId="14">
    <w:name w:val="List Paragraph"/>
    <w:basedOn w:val="1"/>
    <w:qFormat/>
    <w:uiPriority w:val="34"/>
    <w:pPr>
      <w:ind w:firstLine="420" w:firstLineChars="200"/>
    </w:pPr>
  </w:style>
  <w:style w:type="character" w:customStyle="1" w:styleId="15">
    <w:name w:val="页眉 字符"/>
    <w:basedOn w:val="9"/>
    <w:link w:val="6"/>
    <w:semiHidden/>
    <w:qFormat/>
    <w:uiPriority w:val="99"/>
    <w:rPr>
      <w:rFonts w:ascii="Calibri" w:hAnsi="Calibri" w:eastAsia="宋体" w:cs="Times New Roman"/>
      <w:sz w:val="18"/>
      <w:szCs w:val="18"/>
    </w:rPr>
  </w:style>
  <w:style w:type="character" w:customStyle="1" w:styleId="16">
    <w:name w:val="页脚 字符"/>
    <w:basedOn w:val="9"/>
    <w:link w:val="5"/>
    <w:qFormat/>
    <w:uiPriority w:val="99"/>
    <w:rPr>
      <w:rFonts w:ascii="Calibri" w:hAnsi="Calibri" w:eastAsia="宋体" w:cs="Times New Roman"/>
      <w:sz w:val="18"/>
      <w:szCs w:val="18"/>
    </w:rPr>
  </w:style>
  <w:style w:type="character" w:customStyle="1" w:styleId="17">
    <w:name w:val="批注框文本 字符"/>
    <w:basedOn w:val="9"/>
    <w:link w:val="4"/>
    <w:semiHidden/>
    <w:qFormat/>
    <w:uiPriority w:val="99"/>
    <w:rPr>
      <w:rFonts w:ascii="Calibri" w:hAnsi="Calibri"/>
      <w:kern w:val="2"/>
      <w:sz w:val="18"/>
      <w:szCs w:val="18"/>
    </w:rPr>
  </w:style>
  <w:style w:type="character" w:customStyle="1" w:styleId="18">
    <w:name w:val="批注文字 字符"/>
    <w:basedOn w:val="9"/>
    <w:link w:val="3"/>
    <w:semiHidden/>
    <w:qFormat/>
    <w:uiPriority w:val="99"/>
    <w:rPr>
      <w:rFonts w:ascii="Calibri" w:hAnsi="Calibri"/>
      <w:kern w:val="2"/>
      <w:sz w:val="21"/>
      <w:szCs w:val="22"/>
    </w:rPr>
  </w:style>
  <w:style w:type="character" w:customStyle="1" w:styleId="19">
    <w:name w:val="批注主题 字符"/>
    <w:basedOn w:val="18"/>
    <w:link w:val="7"/>
    <w:semiHidden/>
    <w:qFormat/>
    <w:uiPriority w:val="99"/>
    <w:rPr>
      <w:rFonts w:ascii="Calibri" w:hAnsi="Calibri"/>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1030"/>
    <customShpInfo spid="_x0000_s1029"/>
    <customShpInfo spid="_x0000_s1028"/>
    <customShpInfo spid="_x0000_s1027"/>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97220CD-7B4A-4788-AFE3-78CD182F61E1}">
  <ds:schemaRefs/>
</ds:datastoreItem>
</file>

<file path=docProps/app.xml><?xml version="1.0" encoding="utf-8"?>
<Properties xmlns="http://schemas.openxmlformats.org/officeDocument/2006/extended-properties" xmlns:vt="http://schemas.openxmlformats.org/officeDocument/2006/docPropsVTypes">
  <Template>Normal</Template>
  <Pages>14</Pages>
  <Words>1560</Words>
  <Characters>8895</Characters>
  <Lines>74</Lines>
  <Paragraphs>20</Paragraphs>
  <TotalTime>3</TotalTime>
  <ScaleCrop>false</ScaleCrop>
  <LinksUpToDate>false</LinksUpToDate>
  <CharactersWithSpaces>10435</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2022-03-29T06:55:00Z</dcterms:created>
  <dc:creator>Administrator</dc:creator>
  <cp:lastModifiedBy>岂曰无衣</cp:lastModifiedBy>
  <cp:lastPrinted>2019-04-17T01:39:00Z</cp:lastPrinted>
  <dcterms:modified xsi:type="dcterms:W3CDTF">2024-01-04T10:09:11Z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F6927F00DC7043879492F1106E96ADC1</vt:lpwstr>
  </property>
</Properties>
</file>