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414" w:lineRule="atLeast"/>
        <w:ind w:left="0" w:right="0" w:firstLine="0"/>
        <w:jc w:val="both"/>
        <w:rPr>
          <w:rFonts w:ascii="Arial" w:hAnsi="Arial" w:eastAsia="微软雅黑" w:cs="Arial"/>
          <w:b/>
          <w:i w:val="0"/>
          <w:caps w:val="0"/>
          <w:color w:val="000000"/>
          <w:spacing w:val="0"/>
          <w:sz w:val="18"/>
          <w:szCs w:val="18"/>
          <w:highlight w:val="none"/>
        </w:rPr>
      </w:pPr>
      <w:r>
        <w:rPr>
          <w:rFonts w:ascii="Arial" w:hAnsi="Arial" w:eastAsia="微软雅黑" w:cs="Arial"/>
          <w:b/>
          <w:i w:val="0"/>
          <w:caps w:val="0"/>
          <w:color w:val="000000"/>
          <w:spacing w:val="0"/>
          <w:sz w:val="18"/>
          <w:szCs w:val="18"/>
          <w:highlight w:val="none"/>
        </w:rPr>
        <w:t>监督索引号53010303200401000</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414" w:lineRule="atLeast"/>
        <w:ind w:left="0" w:right="0" w:firstLine="0"/>
        <w:jc w:val="both"/>
        <w:rPr>
          <w:rFonts w:ascii="Arial" w:hAnsi="Arial" w:eastAsia="微软雅黑" w:cs="Arial"/>
          <w:b/>
          <w:i w:val="0"/>
          <w:caps w:val="0"/>
          <w:color w:val="000000"/>
          <w:spacing w:val="0"/>
          <w:sz w:val="18"/>
          <w:szCs w:val="18"/>
          <w:highlight w:val="none"/>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414" w:lineRule="atLeast"/>
        <w:ind w:left="0" w:right="0" w:firstLine="0"/>
        <w:jc w:val="both"/>
        <w:rPr>
          <w:rFonts w:hint="eastAsia" w:ascii="Arial" w:hAnsi="Arial" w:eastAsia="微软雅黑" w:cs="Arial"/>
          <w:b/>
          <w:i w:val="0"/>
          <w:caps w:val="0"/>
          <w:color w:val="000000"/>
          <w:spacing w:val="0"/>
          <w:sz w:val="18"/>
          <w:szCs w:val="18"/>
          <w:highlight w:val="none"/>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414" w:lineRule="atLeast"/>
        <w:ind w:left="0" w:right="0" w:firstLine="0"/>
        <w:jc w:val="center"/>
        <w:rPr>
          <w:rFonts w:hint="eastAsia" w:ascii="微软雅黑" w:hAnsi="微软雅黑" w:eastAsia="微软雅黑" w:cs="微软雅黑"/>
          <w:i w:val="0"/>
          <w:caps w:val="0"/>
          <w:color w:val="000000"/>
          <w:spacing w:val="0"/>
          <w:sz w:val="36"/>
          <w:szCs w:val="36"/>
          <w:highlight w:val="none"/>
        </w:rPr>
      </w:pPr>
      <w:r>
        <w:rPr>
          <w:rFonts w:ascii="方正小标宋简体" w:hAnsi="方正小标宋简体" w:eastAsia="方正小标宋简体" w:cs="方正小标宋简体"/>
          <w:i w:val="0"/>
          <w:caps w:val="0"/>
          <w:color w:val="000000"/>
          <w:spacing w:val="0"/>
          <w:sz w:val="36"/>
          <w:szCs w:val="36"/>
          <w:highlight w:val="none"/>
        </w:rPr>
        <w:t>昆明市盘龙区住房和城乡建设局（本级）2022</w:t>
      </w:r>
      <w:r>
        <w:rPr>
          <w:rFonts w:hint="eastAsia" w:ascii="方正小标宋简体" w:hAnsi="方正小标宋简体" w:eastAsia="方正小标宋简体" w:cs="方正小标宋简体"/>
          <w:i w:val="0"/>
          <w:caps w:val="0"/>
          <w:color w:val="000000"/>
          <w:spacing w:val="0"/>
          <w:sz w:val="36"/>
          <w:szCs w:val="36"/>
          <w:highlight w:val="none"/>
        </w:rPr>
        <w:t>年度决算</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414" w:lineRule="atLeast"/>
        <w:ind w:left="0" w:right="0" w:firstLine="0"/>
        <w:jc w:val="center"/>
        <w:rPr>
          <w:rFonts w:hint="eastAsia" w:ascii="微软雅黑" w:hAnsi="微软雅黑" w:eastAsia="微软雅黑" w:cs="微软雅黑"/>
          <w:i w:val="0"/>
          <w:caps w:val="0"/>
          <w:color w:val="000000"/>
          <w:spacing w:val="0"/>
          <w:sz w:val="36"/>
          <w:szCs w:val="36"/>
          <w:highlight w:val="none"/>
        </w:rPr>
      </w:pPr>
      <w:r>
        <w:rPr>
          <w:rFonts w:hint="eastAsia" w:ascii="方正小标宋简体" w:hAnsi="方正小标宋简体" w:eastAsia="方正小标宋简体" w:cs="方正小标宋简体"/>
          <w:i w:val="0"/>
          <w:caps w:val="0"/>
          <w:color w:val="000000"/>
          <w:spacing w:val="0"/>
          <w:sz w:val="18"/>
          <w:szCs w:val="18"/>
          <w:highlight w:val="none"/>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414" w:lineRule="atLeast"/>
        <w:ind w:left="0" w:right="0" w:firstLine="0"/>
        <w:jc w:val="center"/>
        <w:rPr>
          <w:rFonts w:hint="eastAsia" w:ascii="微软雅黑" w:hAnsi="微软雅黑" w:eastAsia="微软雅黑" w:cs="微软雅黑"/>
          <w:i w:val="0"/>
          <w:caps w:val="0"/>
          <w:color w:val="000000"/>
          <w:spacing w:val="0"/>
          <w:sz w:val="36"/>
          <w:szCs w:val="36"/>
          <w:highlight w:val="none"/>
        </w:rPr>
      </w:pPr>
      <w:r>
        <w:rPr>
          <w:rFonts w:hint="eastAsia" w:ascii="方正小标宋简体" w:hAnsi="方正小标宋简体" w:eastAsia="方正小标宋简体" w:cs="方正小标宋简体"/>
          <w:i w:val="0"/>
          <w:caps w:val="0"/>
          <w:color w:val="000000"/>
          <w:spacing w:val="0"/>
          <w:sz w:val="36"/>
          <w:szCs w:val="36"/>
          <w:highlight w:val="none"/>
        </w:rPr>
        <w:t>目录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45" w:lineRule="atLeast"/>
        <w:ind w:left="0" w:right="0" w:firstLine="0"/>
        <w:rPr>
          <w:rFonts w:hint="eastAsia" w:ascii="微软雅黑" w:hAnsi="微软雅黑" w:eastAsia="微软雅黑" w:cs="微软雅黑"/>
          <w:i w:val="0"/>
          <w:caps w:val="0"/>
          <w:color w:val="000000"/>
          <w:spacing w:val="0"/>
          <w:sz w:val="30"/>
          <w:szCs w:val="30"/>
          <w:highlight w:val="none"/>
        </w:rPr>
      </w:pPr>
      <w:r>
        <w:rPr>
          <w:rFonts w:ascii="黑体" w:hAnsi="宋体" w:eastAsia="黑体" w:cs="黑体"/>
          <w:i w:val="0"/>
          <w:caps w:val="0"/>
          <w:color w:val="000000"/>
          <w:spacing w:val="0"/>
          <w:sz w:val="18"/>
          <w:szCs w:val="18"/>
          <w:highlight w:val="none"/>
        </w:rPr>
        <w:t> </w:t>
      </w:r>
    </w:p>
    <w:p>
      <w:pPr>
        <w:jc w:val="left"/>
        <w:rPr>
          <w:rFonts w:hint="eastAsia" w:ascii="黑体" w:hAnsi="黑体" w:eastAsia="黑体"/>
          <w:sz w:val="30"/>
          <w:szCs w:val="30"/>
          <w:highlight w:val="none"/>
        </w:rPr>
      </w:pPr>
      <w:r>
        <w:rPr>
          <w:rFonts w:hint="eastAsia" w:ascii="黑体" w:hAnsi="黑体" w:eastAsia="黑体"/>
          <w:sz w:val="30"/>
          <w:szCs w:val="30"/>
          <w:highlight w:val="none"/>
        </w:rPr>
        <w:t>第一部分</w:t>
      </w:r>
      <w:r>
        <w:rPr>
          <w:rFonts w:hint="eastAsia" w:ascii="黑体" w:hAnsi="黑体" w:eastAsia="黑体"/>
          <w:sz w:val="30"/>
          <w:szCs w:val="30"/>
          <w:highlight w:val="none"/>
          <w:lang w:eastAsia="zh-CN"/>
        </w:rPr>
        <w:t>昆明市盘龙区住房和城乡建设局（本级）</w:t>
      </w:r>
      <w:r>
        <w:rPr>
          <w:rFonts w:hint="eastAsia" w:ascii="黑体" w:hAnsi="黑体" w:eastAsia="黑体"/>
          <w:sz w:val="30"/>
          <w:szCs w:val="30"/>
          <w:highlight w:val="none"/>
        </w:rPr>
        <w:t>概况</w:t>
      </w:r>
    </w:p>
    <w:p>
      <w:pPr>
        <w:spacing w:line="240" w:lineRule="atLeast"/>
        <w:jc w:val="left"/>
        <w:rPr>
          <w:rFonts w:hint="eastAsia" w:ascii="楷体" w:hAnsi="楷体" w:eastAsia="楷体"/>
          <w:sz w:val="30"/>
          <w:szCs w:val="30"/>
          <w:highlight w:val="none"/>
        </w:rPr>
      </w:pPr>
      <w:r>
        <w:rPr>
          <w:rFonts w:hint="eastAsia" w:ascii="楷体" w:hAnsi="楷体" w:eastAsia="楷体"/>
          <w:sz w:val="30"/>
          <w:szCs w:val="30"/>
          <w:highlight w:val="none"/>
        </w:rPr>
        <w:t>一、主要职能</w:t>
      </w:r>
    </w:p>
    <w:p>
      <w:pPr>
        <w:spacing w:line="240" w:lineRule="atLeast"/>
        <w:jc w:val="left"/>
        <w:rPr>
          <w:rFonts w:hint="eastAsia" w:ascii="楷体" w:hAnsi="楷体" w:eastAsia="楷体"/>
          <w:sz w:val="30"/>
          <w:szCs w:val="30"/>
          <w:highlight w:val="none"/>
        </w:rPr>
      </w:pPr>
      <w:r>
        <w:rPr>
          <w:rFonts w:hint="eastAsia" w:ascii="楷体" w:hAnsi="楷体" w:eastAsia="楷体"/>
          <w:sz w:val="30"/>
          <w:szCs w:val="30"/>
          <w:highlight w:val="none"/>
        </w:rPr>
        <w:t>二、部门基本情况</w:t>
      </w:r>
    </w:p>
    <w:p>
      <w:pPr>
        <w:jc w:val="left"/>
        <w:rPr>
          <w:rFonts w:hint="eastAsia" w:ascii="黑体" w:hAnsi="黑体" w:eastAsia="黑体"/>
          <w:sz w:val="30"/>
          <w:szCs w:val="30"/>
          <w:highlight w:val="none"/>
        </w:rPr>
      </w:pPr>
      <w:r>
        <w:rPr>
          <w:rFonts w:hint="eastAsia" w:ascii="黑体" w:hAnsi="黑体" w:eastAsia="黑体"/>
          <w:sz w:val="30"/>
          <w:szCs w:val="30"/>
          <w:highlight w:val="none"/>
        </w:rPr>
        <w:t>第二部分2022年度决算表</w:t>
      </w:r>
    </w:p>
    <w:p>
      <w:pPr>
        <w:spacing w:line="240" w:lineRule="atLeast"/>
        <w:jc w:val="left"/>
        <w:rPr>
          <w:rFonts w:hint="eastAsia" w:ascii="楷体" w:hAnsi="楷体" w:eastAsia="楷体"/>
          <w:sz w:val="30"/>
          <w:szCs w:val="30"/>
          <w:highlight w:val="none"/>
        </w:rPr>
      </w:pPr>
      <w:r>
        <w:rPr>
          <w:rFonts w:hint="eastAsia" w:ascii="楷体" w:hAnsi="楷体" w:eastAsia="楷体"/>
          <w:sz w:val="30"/>
          <w:szCs w:val="30"/>
          <w:highlight w:val="none"/>
        </w:rPr>
        <w:t>一、收入支出决算总表</w:t>
      </w:r>
    </w:p>
    <w:p>
      <w:pPr>
        <w:spacing w:line="240" w:lineRule="atLeast"/>
        <w:jc w:val="left"/>
        <w:rPr>
          <w:rFonts w:hint="eastAsia" w:ascii="楷体" w:hAnsi="楷体" w:eastAsia="楷体"/>
          <w:sz w:val="30"/>
          <w:szCs w:val="30"/>
          <w:highlight w:val="none"/>
        </w:rPr>
      </w:pPr>
      <w:r>
        <w:rPr>
          <w:rFonts w:hint="eastAsia" w:ascii="楷体" w:hAnsi="楷体" w:eastAsia="楷体"/>
          <w:sz w:val="30"/>
          <w:szCs w:val="30"/>
          <w:highlight w:val="none"/>
        </w:rPr>
        <w:t>二、收入决算表</w:t>
      </w:r>
    </w:p>
    <w:p>
      <w:pPr>
        <w:spacing w:line="240" w:lineRule="atLeast"/>
        <w:jc w:val="left"/>
        <w:rPr>
          <w:rFonts w:hint="eastAsia" w:ascii="楷体" w:hAnsi="楷体" w:eastAsia="楷体"/>
          <w:sz w:val="30"/>
          <w:szCs w:val="30"/>
          <w:highlight w:val="none"/>
        </w:rPr>
      </w:pPr>
      <w:r>
        <w:rPr>
          <w:rFonts w:hint="eastAsia" w:ascii="楷体" w:hAnsi="楷体" w:eastAsia="楷体"/>
          <w:sz w:val="30"/>
          <w:szCs w:val="30"/>
          <w:highlight w:val="none"/>
        </w:rPr>
        <w:t>三、支出决算表</w:t>
      </w:r>
    </w:p>
    <w:p>
      <w:pPr>
        <w:spacing w:line="240" w:lineRule="atLeast"/>
        <w:jc w:val="left"/>
        <w:rPr>
          <w:rFonts w:hint="eastAsia" w:ascii="楷体" w:hAnsi="楷体" w:eastAsia="楷体"/>
          <w:sz w:val="30"/>
          <w:szCs w:val="30"/>
          <w:highlight w:val="none"/>
        </w:rPr>
      </w:pPr>
      <w:r>
        <w:rPr>
          <w:rFonts w:hint="eastAsia" w:ascii="楷体" w:hAnsi="楷体" w:eastAsia="楷体"/>
          <w:sz w:val="30"/>
          <w:szCs w:val="30"/>
          <w:highlight w:val="none"/>
        </w:rPr>
        <w:t>四、财政拨款收入支出决算总表</w:t>
      </w:r>
    </w:p>
    <w:p>
      <w:pPr>
        <w:spacing w:line="240" w:lineRule="atLeast"/>
        <w:jc w:val="left"/>
        <w:rPr>
          <w:rFonts w:hint="eastAsia" w:ascii="楷体" w:hAnsi="楷体" w:eastAsia="楷体"/>
          <w:sz w:val="30"/>
          <w:szCs w:val="30"/>
          <w:highlight w:val="none"/>
        </w:rPr>
      </w:pPr>
      <w:r>
        <w:rPr>
          <w:rFonts w:hint="eastAsia" w:ascii="楷体" w:hAnsi="楷体" w:eastAsia="楷体"/>
          <w:sz w:val="30"/>
          <w:szCs w:val="30"/>
          <w:highlight w:val="none"/>
        </w:rPr>
        <w:t>五、一般公共预算财政拨款收入支出决算表</w:t>
      </w:r>
    </w:p>
    <w:p>
      <w:pPr>
        <w:spacing w:line="240" w:lineRule="atLeast"/>
        <w:jc w:val="left"/>
        <w:rPr>
          <w:rFonts w:hint="eastAsia" w:ascii="楷体" w:hAnsi="楷体" w:eastAsia="楷体"/>
          <w:sz w:val="30"/>
          <w:szCs w:val="30"/>
          <w:highlight w:val="none"/>
        </w:rPr>
      </w:pPr>
      <w:r>
        <w:rPr>
          <w:rFonts w:hint="eastAsia" w:ascii="楷体" w:hAnsi="楷体" w:eastAsia="楷体"/>
          <w:sz w:val="30"/>
          <w:szCs w:val="30"/>
          <w:highlight w:val="none"/>
        </w:rPr>
        <w:t>六、一般公共预算财政拨款基本支出决算表</w:t>
      </w:r>
    </w:p>
    <w:p>
      <w:pPr>
        <w:spacing w:line="240" w:lineRule="atLeast"/>
        <w:jc w:val="left"/>
        <w:rPr>
          <w:rFonts w:hint="eastAsia" w:ascii="楷体" w:hAnsi="楷体" w:eastAsia="楷体"/>
          <w:sz w:val="30"/>
          <w:szCs w:val="30"/>
          <w:highlight w:val="none"/>
        </w:rPr>
      </w:pPr>
      <w:r>
        <w:rPr>
          <w:rFonts w:hint="eastAsia" w:ascii="楷体" w:hAnsi="楷体" w:eastAsia="楷体"/>
          <w:sz w:val="30"/>
          <w:szCs w:val="30"/>
          <w:highlight w:val="none"/>
        </w:rPr>
        <w:t>七、一般公共预算财政拨款项目支出决算表</w:t>
      </w:r>
    </w:p>
    <w:p>
      <w:pPr>
        <w:spacing w:line="240" w:lineRule="atLeast"/>
        <w:jc w:val="left"/>
        <w:rPr>
          <w:rFonts w:hint="eastAsia" w:ascii="楷体" w:hAnsi="楷体" w:eastAsia="楷体"/>
          <w:sz w:val="30"/>
          <w:szCs w:val="30"/>
          <w:highlight w:val="none"/>
        </w:rPr>
      </w:pPr>
      <w:r>
        <w:rPr>
          <w:rFonts w:hint="eastAsia" w:ascii="楷体" w:hAnsi="楷体" w:eastAsia="楷体"/>
          <w:sz w:val="30"/>
          <w:szCs w:val="30"/>
          <w:highlight w:val="none"/>
        </w:rPr>
        <w:t>八、政府性基金预算财政拨款收入支出决算表</w:t>
      </w:r>
    </w:p>
    <w:p>
      <w:pPr>
        <w:spacing w:line="240" w:lineRule="atLeast"/>
        <w:jc w:val="left"/>
        <w:rPr>
          <w:rFonts w:hint="eastAsia" w:ascii="楷体" w:hAnsi="楷体" w:eastAsia="楷体"/>
          <w:sz w:val="30"/>
          <w:szCs w:val="30"/>
          <w:highlight w:val="none"/>
        </w:rPr>
      </w:pPr>
      <w:r>
        <w:rPr>
          <w:rFonts w:hint="eastAsia" w:ascii="楷体" w:hAnsi="楷体" w:eastAsia="楷体"/>
          <w:sz w:val="30"/>
          <w:szCs w:val="30"/>
          <w:highlight w:val="none"/>
        </w:rPr>
        <w:t>九、国有资本经营预算财政拨款收入支出决算表</w:t>
      </w:r>
    </w:p>
    <w:p>
      <w:pPr>
        <w:spacing w:line="240" w:lineRule="atLeast"/>
        <w:jc w:val="left"/>
        <w:rPr>
          <w:rFonts w:hint="eastAsia" w:ascii="楷体" w:hAnsi="楷体" w:eastAsia="楷体"/>
          <w:sz w:val="30"/>
          <w:szCs w:val="30"/>
          <w:highlight w:val="none"/>
        </w:rPr>
      </w:pPr>
      <w:r>
        <w:rPr>
          <w:rFonts w:hint="eastAsia" w:ascii="楷体" w:hAnsi="楷体" w:eastAsia="楷体"/>
          <w:sz w:val="30"/>
          <w:szCs w:val="30"/>
          <w:highlight w:val="none"/>
        </w:rPr>
        <w:t>十、“三公”经费、行政参公单位机关运行经费情况表</w:t>
      </w:r>
    </w:p>
    <w:p>
      <w:pPr>
        <w:jc w:val="left"/>
        <w:rPr>
          <w:rFonts w:hint="eastAsia" w:ascii="黑体" w:hAnsi="黑体" w:eastAsia="黑体"/>
          <w:sz w:val="30"/>
          <w:szCs w:val="30"/>
          <w:highlight w:val="none"/>
        </w:rPr>
      </w:pPr>
      <w:r>
        <w:rPr>
          <w:rFonts w:hint="eastAsia" w:ascii="黑体" w:hAnsi="黑体" w:eastAsia="黑体"/>
          <w:sz w:val="30"/>
          <w:szCs w:val="30"/>
          <w:highlight w:val="none"/>
        </w:rPr>
        <w:t>第三部分2022年度决算情况说明</w:t>
      </w:r>
    </w:p>
    <w:p>
      <w:pPr>
        <w:spacing w:line="240" w:lineRule="atLeast"/>
        <w:jc w:val="left"/>
        <w:rPr>
          <w:rFonts w:hint="eastAsia" w:ascii="楷体" w:hAnsi="楷体" w:eastAsia="楷体"/>
          <w:sz w:val="30"/>
          <w:szCs w:val="30"/>
          <w:highlight w:val="none"/>
        </w:rPr>
      </w:pPr>
      <w:r>
        <w:rPr>
          <w:rFonts w:hint="eastAsia" w:ascii="楷体" w:hAnsi="楷体" w:eastAsia="楷体"/>
          <w:sz w:val="30"/>
          <w:szCs w:val="30"/>
          <w:highlight w:val="none"/>
        </w:rPr>
        <w:t>一、收入决算情况说明</w:t>
      </w:r>
    </w:p>
    <w:p>
      <w:pPr>
        <w:spacing w:line="240" w:lineRule="atLeast"/>
        <w:jc w:val="left"/>
        <w:rPr>
          <w:rFonts w:hint="eastAsia" w:ascii="楷体" w:hAnsi="楷体" w:eastAsia="楷体"/>
          <w:sz w:val="30"/>
          <w:szCs w:val="30"/>
          <w:highlight w:val="none"/>
        </w:rPr>
      </w:pPr>
      <w:r>
        <w:rPr>
          <w:rFonts w:hint="eastAsia" w:ascii="楷体" w:hAnsi="楷体" w:eastAsia="楷体"/>
          <w:sz w:val="30"/>
          <w:szCs w:val="30"/>
          <w:highlight w:val="none"/>
        </w:rPr>
        <w:t>二、支出决算情况说明</w:t>
      </w:r>
    </w:p>
    <w:p>
      <w:pPr>
        <w:spacing w:line="240" w:lineRule="atLeast"/>
        <w:jc w:val="left"/>
        <w:rPr>
          <w:rFonts w:hint="eastAsia" w:ascii="楷体" w:hAnsi="楷体" w:eastAsia="楷体"/>
          <w:sz w:val="30"/>
          <w:szCs w:val="30"/>
          <w:highlight w:val="none"/>
        </w:rPr>
      </w:pPr>
      <w:r>
        <w:rPr>
          <w:rFonts w:hint="eastAsia" w:ascii="楷体" w:hAnsi="楷体" w:eastAsia="楷体"/>
          <w:sz w:val="30"/>
          <w:szCs w:val="30"/>
          <w:highlight w:val="none"/>
        </w:rPr>
        <w:t>三、一般公共预算财政拨款支出决算情况说明</w:t>
      </w:r>
    </w:p>
    <w:p>
      <w:pPr>
        <w:spacing w:line="240" w:lineRule="atLeast"/>
        <w:jc w:val="left"/>
        <w:rPr>
          <w:rFonts w:hint="eastAsia" w:ascii="楷体" w:hAnsi="楷体" w:eastAsia="楷体"/>
          <w:sz w:val="30"/>
          <w:szCs w:val="30"/>
          <w:highlight w:val="none"/>
        </w:rPr>
      </w:pPr>
      <w:r>
        <w:rPr>
          <w:rFonts w:hint="eastAsia" w:ascii="楷体" w:hAnsi="楷体" w:eastAsia="楷体"/>
          <w:sz w:val="30"/>
          <w:szCs w:val="30"/>
          <w:highlight w:val="none"/>
        </w:rPr>
        <w:t>四、财政拨款“三公”经费支出决算情况说明</w:t>
      </w:r>
    </w:p>
    <w:p>
      <w:pPr>
        <w:jc w:val="left"/>
        <w:rPr>
          <w:rFonts w:hint="eastAsia" w:ascii="黑体" w:hAnsi="黑体" w:eastAsia="黑体"/>
          <w:sz w:val="30"/>
          <w:szCs w:val="30"/>
          <w:highlight w:val="none"/>
        </w:rPr>
      </w:pPr>
      <w:r>
        <w:rPr>
          <w:rFonts w:hint="eastAsia" w:ascii="黑体" w:hAnsi="黑体" w:eastAsia="黑体"/>
          <w:sz w:val="30"/>
          <w:szCs w:val="30"/>
          <w:highlight w:val="none"/>
        </w:rPr>
        <w:t>第四部分其他重要事项及相关口径情况说明</w:t>
      </w:r>
    </w:p>
    <w:p>
      <w:pPr>
        <w:spacing w:line="240" w:lineRule="atLeast"/>
        <w:jc w:val="left"/>
        <w:rPr>
          <w:rFonts w:hint="eastAsia" w:ascii="楷体" w:hAnsi="楷体" w:eastAsia="楷体"/>
          <w:sz w:val="30"/>
          <w:szCs w:val="30"/>
          <w:highlight w:val="none"/>
        </w:rPr>
      </w:pPr>
      <w:r>
        <w:rPr>
          <w:rFonts w:hint="eastAsia" w:ascii="楷体" w:hAnsi="楷体" w:eastAsia="楷体"/>
          <w:sz w:val="30"/>
          <w:szCs w:val="30"/>
          <w:highlight w:val="none"/>
        </w:rPr>
        <w:t>一、机关运行经费支出情况</w:t>
      </w:r>
    </w:p>
    <w:p>
      <w:pPr>
        <w:spacing w:line="240" w:lineRule="atLeast"/>
        <w:jc w:val="left"/>
        <w:rPr>
          <w:rFonts w:hint="eastAsia" w:ascii="楷体" w:hAnsi="楷体" w:eastAsia="楷体"/>
          <w:sz w:val="30"/>
          <w:szCs w:val="30"/>
          <w:highlight w:val="none"/>
        </w:rPr>
      </w:pPr>
      <w:r>
        <w:rPr>
          <w:rFonts w:hint="eastAsia" w:ascii="楷体" w:hAnsi="楷体" w:eastAsia="楷体"/>
          <w:sz w:val="30"/>
          <w:szCs w:val="30"/>
          <w:highlight w:val="none"/>
        </w:rPr>
        <w:t>二、国有资产占用情况</w:t>
      </w:r>
    </w:p>
    <w:p>
      <w:pPr>
        <w:spacing w:line="240" w:lineRule="atLeast"/>
        <w:jc w:val="left"/>
        <w:rPr>
          <w:rFonts w:hint="eastAsia" w:ascii="楷体" w:hAnsi="楷体" w:eastAsia="楷体"/>
          <w:sz w:val="30"/>
          <w:szCs w:val="30"/>
          <w:highlight w:val="none"/>
        </w:rPr>
      </w:pPr>
      <w:r>
        <w:rPr>
          <w:rFonts w:hint="eastAsia" w:ascii="楷体" w:hAnsi="楷体" w:eastAsia="楷体"/>
          <w:sz w:val="30"/>
          <w:szCs w:val="30"/>
          <w:highlight w:val="none"/>
        </w:rPr>
        <w:t>三、政府采购支出情况</w:t>
      </w:r>
    </w:p>
    <w:p>
      <w:pPr>
        <w:spacing w:line="240" w:lineRule="atLeast"/>
        <w:jc w:val="left"/>
        <w:rPr>
          <w:rFonts w:hint="eastAsia" w:ascii="楷体" w:hAnsi="楷体" w:eastAsia="楷体"/>
          <w:sz w:val="30"/>
          <w:szCs w:val="30"/>
          <w:highlight w:val="none"/>
        </w:rPr>
      </w:pPr>
      <w:r>
        <w:rPr>
          <w:rFonts w:hint="eastAsia" w:ascii="楷体" w:hAnsi="楷体" w:eastAsia="楷体"/>
          <w:sz w:val="30"/>
          <w:szCs w:val="30"/>
          <w:highlight w:val="none"/>
        </w:rPr>
        <w:t>四、绩效自评情况</w:t>
      </w:r>
    </w:p>
    <w:p>
      <w:pPr>
        <w:spacing w:line="240" w:lineRule="atLeast"/>
        <w:jc w:val="left"/>
        <w:rPr>
          <w:rFonts w:hint="eastAsia" w:ascii="楷体" w:hAnsi="楷体" w:eastAsia="楷体"/>
          <w:sz w:val="30"/>
          <w:szCs w:val="30"/>
          <w:highlight w:val="none"/>
        </w:rPr>
      </w:pPr>
      <w:r>
        <w:rPr>
          <w:rFonts w:hint="eastAsia" w:ascii="楷体" w:hAnsi="楷体" w:eastAsia="楷体"/>
          <w:sz w:val="30"/>
          <w:szCs w:val="30"/>
          <w:highlight w:val="none"/>
        </w:rPr>
        <w:t>（一）整体支出绩效自评情况</w:t>
      </w:r>
    </w:p>
    <w:p>
      <w:pPr>
        <w:spacing w:line="240" w:lineRule="atLeast"/>
        <w:jc w:val="left"/>
        <w:rPr>
          <w:rFonts w:hint="eastAsia" w:ascii="楷体" w:hAnsi="楷体" w:eastAsia="楷体"/>
          <w:sz w:val="30"/>
          <w:szCs w:val="30"/>
          <w:highlight w:val="none"/>
        </w:rPr>
      </w:pPr>
      <w:r>
        <w:rPr>
          <w:rFonts w:hint="eastAsia" w:ascii="楷体" w:hAnsi="楷体" w:eastAsia="楷体"/>
          <w:sz w:val="30"/>
          <w:szCs w:val="30"/>
          <w:highlight w:val="none"/>
        </w:rPr>
        <w:t>（二）整体支出绩效自评表</w:t>
      </w:r>
    </w:p>
    <w:p>
      <w:pPr>
        <w:spacing w:line="240" w:lineRule="atLeast"/>
        <w:jc w:val="left"/>
        <w:rPr>
          <w:rFonts w:hint="eastAsia" w:ascii="楷体" w:hAnsi="楷体" w:eastAsia="楷体"/>
          <w:sz w:val="30"/>
          <w:szCs w:val="30"/>
          <w:highlight w:val="none"/>
        </w:rPr>
      </w:pPr>
      <w:r>
        <w:rPr>
          <w:rFonts w:hint="eastAsia" w:ascii="楷体" w:hAnsi="楷体" w:eastAsia="楷体"/>
          <w:sz w:val="30"/>
          <w:szCs w:val="30"/>
          <w:highlight w:val="none"/>
        </w:rPr>
        <w:t>（三）项目支出绩效自评表</w:t>
      </w:r>
    </w:p>
    <w:p>
      <w:pPr>
        <w:spacing w:line="240" w:lineRule="atLeast"/>
        <w:jc w:val="left"/>
        <w:rPr>
          <w:rFonts w:hint="eastAsia" w:ascii="楷体" w:hAnsi="楷体" w:eastAsia="楷体"/>
          <w:sz w:val="30"/>
          <w:szCs w:val="30"/>
          <w:highlight w:val="none"/>
        </w:rPr>
      </w:pPr>
      <w:r>
        <w:rPr>
          <w:rFonts w:hint="eastAsia" w:ascii="楷体" w:hAnsi="楷体" w:eastAsia="楷体"/>
          <w:sz w:val="30"/>
          <w:szCs w:val="30"/>
          <w:highlight w:val="none"/>
        </w:rPr>
        <w:t>五、其他重要事项情况说明</w:t>
      </w:r>
    </w:p>
    <w:p>
      <w:pPr>
        <w:spacing w:line="240" w:lineRule="atLeast"/>
        <w:jc w:val="left"/>
        <w:rPr>
          <w:rFonts w:hint="eastAsia" w:ascii="楷体" w:hAnsi="楷体" w:eastAsia="楷体"/>
          <w:sz w:val="30"/>
          <w:szCs w:val="30"/>
          <w:highlight w:val="none"/>
        </w:rPr>
      </w:pPr>
      <w:r>
        <w:rPr>
          <w:rFonts w:hint="eastAsia" w:ascii="楷体" w:hAnsi="楷体" w:eastAsia="楷体"/>
          <w:sz w:val="30"/>
          <w:szCs w:val="30"/>
          <w:highlight w:val="none"/>
        </w:rPr>
        <w:t>六、相关口径说明</w:t>
      </w:r>
    </w:p>
    <w:p>
      <w:pPr>
        <w:jc w:val="left"/>
        <w:rPr>
          <w:rFonts w:hint="eastAsia" w:ascii="黑体" w:hAnsi="黑体" w:eastAsia="黑体"/>
          <w:sz w:val="30"/>
          <w:szCs w:val="30"/>
          <w:highlight w:val="none"/>
        </w:rPr>
      </w:pPr>
      <w:r>
        <w:rPr>
          <w:rFonts w:hint="eastAsia" w:ascii="黑体" w:hAnsi="黑体" w:eastAsia="黑体"/>
          <w:sz w:val="30"/>
          <w:szCs w:val="30"/>
          <w:highlight w:val="none"/>
        </w:rPr>
        <w:t>第五部分名词解释</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firstLine="0"/>
        <w:jc w:val="center"/>
        <w:rPr>
          <w:rFonts w:hint="eastAsia" w:ascii="微软雅黑" w:hAnsi="微软雅黑" w:eastAsia="微软雅黑" w:cs="微软雅黑"/>
          <w:i w:val="0"/>
          <w:caps w:val="0"/>
          <w:color w:val="000000"/>
          <w:spacing w:val="0"/>
          <w:sz w:val="32"/>
          <w:szCs w:val="32"/>
          <w:highlight w:val="none"/>
        </w:rPr>
      </w:pPr>
      <w:r>
        <w:rPr>
          <w:rFonts w:hint="eastAsia" w:ascii="黑体" w:hAnsi="宋体" w:eastAsia="黑体" w:cs="黑体"/>
          <w:i w:val="0"/>
          <w:caps w:val="0"/>
          <w:color w:val="000000"/>
          <w:spacing w:val="0"/>
          <w:sz w:val="18"/>
          <w:szCs w:val="18"/>
          <w:highlight w:val="none"/>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firstLine="0"/>
        <w:jc w:val="center"/>
        <w:rPr>
          <w:rFonts w:hint="eastAsia" w:ascii="微软雅黑" w:hAnsi="微软雅黑" w:eastAsia="微软雅黑" w:cs="微软雅黑"/>
          <w:i w:val="0"/>
          <w:caps w:val="0"/>
          <w:color w:val="000000"/>
          <w:spacing w:val="0"/>
          <w:sz w:val="32"/>
          <w:szCs w:val="32"/>
          <w:highlight w:val="none"/>
        </w:rPr>
      </w:pPr>
      <w:r>
        <w:rPr>
          <w:rFonts w:hint="eastAsia" w:ascii="黑体" w:hAnsi="宋体" w:eastAsia="黑体" w:cs="黑体"/>
          <w:i w:val="0"/>
          <w:caps w:val="0"/>
          <w:color w:val="000000"/>
          <w:spacing w:val="0"/>
          <w:sz w:val="18"/>
          <w:szCs w:val="18"/>
          <w:highlight w:val="none"/>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firstLine="0"/>
        <w:jc w:val="center"/>
        <w:rPr>
          <w:rFonts w:hint="eastAsia" w:ascii="微软雅黑" w:hAnsi="微软雅黑" w:eastAsia="微软雅黑" w:cs="微软雅黑"/>
          <w:i w:val="0"/>
          <w:caps w:val="0"/>
          <w:color w:val="000000"/>
          <w:spacing w:val="0"/>
          <w:sz w:val="32"/>
          <w:szCs w:val="32"/>
          <w:highlight w:val="none"/>
        </w:rPr>
      </w:pPr>
      <w:r>
        <w:rPr>
          <w:rFonts w:hint="eastAsia" w:ascii="黑体" w:hAnsi="宋体" w:eastAsia="黑体" w:cs="黑体"/>
          <w:i w:val="0"/>
          <w:caps w:val="0"/>
          <w:color w:val="000000"/>
          <w:spacing w:val="0"/>
          <w:sz w:val="18"/>
          <w:szCs w:val="18"/>
          <w:highlight w:val="none"/>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firstLine="0"/>
        <w:jc w:val="center"/>
        <w:rPr>
          <w:rFonts w:hint="eastAsia" w:ascii="微软雅黑" w:hAnsi="微软雅黑" w:eastAsia="微软雅黑" w:cs="微软雅黑"/>
          <w:i w:val="0"/>
          <w:caps w:val="0"/>
          <w:color w:val="000000"/>
          <w:spacing w:val="0"/>
          <w:sz w:val="32"/>
          <w:szCs w:val="32"/>
          <w:highlight w:val="none"/>
        </w:rPr>
      </w:pPr>
      <w:r>
        <w:rPr>
          <w:rFonts w:hint="eastAsia" w:ascii="黑体" w:hAnsi="宋体" w:eastAsia="黑体" w:cs="黑体"/>
          <w:i w:val="0"/>
          <w:caps w:val="0"/>
          <w:color w:val="000000"/>
          <w:spacing w:val="0"/>
          <w:sz w:val="18"/>
          <w:szCs w:val="18"/>
          <w:highlight w:val="none"/>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firstLine="0"/>
        <w:jc w:val="center"/>
        <w:rPr>
          <w:rFonts w:hint="eastAsia" w:ascii="微软雅黑" w:hAnsi="微软雅黑" w:eastAsia="微软雅黑" w:cs="微软雅黑"/>
          <w:i w:val="0"/>
          <w:caps w:val="0"/>
          <w:color w:val="000000"/>
          <w:spacing w:val="0"/>
          <w:sz w:val="32"/>
          <w:szCs w:val="32"/>
          <w:highlight w:val="none"/>
        </w:rPr>
      </w:pPr>
      <w:r>
        <w:rPr>
          <w:rFonts w:hint="eastAsia" w:ascii="黑体" w:hAnsi="宋体" w:eastAsia="黑体" w:cs="黑体"/>
          <w:i w:val="0"/>
          <w:caps w:val="0"/>
          <w:color w:val="000000"/>
          <w:spacing w:val="0"/>
          <w:sz w:val="18"/>
          <w:szCs w:val="18"/>
          <w:highlight w:val="none"/>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firstLine="0"/>
        <w:jc w:val="both"/>
        <w:rPr>
          <w:rFonts w:hint="eastAsia" w:ascii="黑体" w:hAnsi="宋体" w:eastAsia="黑体" w:cs="黑体"/>
          <w:i w:val="0"/>
          <w:caps w:val="0"/>
          <w:color w:val="000000"/>
          <w:spacing w:val="0"/>
          <w:sz w:val="18"/>
          <w:szCs w:val="18"/>
          <w:highlight w:val="none"/>
        </w:rPr>
      </w:pPr>
      <w:r>
        <w:rPr>
          <w:rFonts w:hint="eastAsia" w:ascii="黑体" w:hAnsi="宋体" w:eastAsia="黑体" w:cs="黑体"/>
          <w:i w:val="0"/>
          <w:caps w:val="0"/>
          <w:color w:val="000000"/>
          <w:spacing w:val="0"/>
          <w:sz w:val="18"/>
          <w:szCs w:val="18"/>
          <w:highlight w:val="none"/>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firstLine="0"/>
        <w:jc w:val="both"/>
        <w:rPr>
          <w:rFonts w:hint="eastAsia" w:ascii="黑体" w:hAnsi="宋体" w:eastAsia="黑体" w:cs="黑体"/>
          <w:i w:val="0"/>
          <w:caps w:val="0"/>
          <w:color w:val="000000"/>
          <w:spacing w:val="0"/>
          <w:sz w:val="18"/>
          <w:szCs w:val="18"/>
          <w:highlight w:val="none"/>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firstLine="0"/>
        <w:jc w:val="both"/>
        <w:rPr>
          <w:rFonts w:hint="eastAsia" w:ascii="黑体" w:hAnsi="宋体" w:eastAsia="黑体" w:cs="黑体"/>
          <w:i w:val="0"/>
          <w:caps w:val="0"/>
          <w:color w:val="000000"/>
          <w:spacing w:val="0"/>
          <w:sz w:val="18"/>
          <w:szCs w:val="18"/>
          <w:highlight w:val="none"/>
        </w:rPr>
      </w:pPr>
    </w:p>
    <w:p>
      <w:pPr>
        <w:jc w:val="center"/>
        <w:rPr>
          <w:rFonts w:hint="eastAsia" w:ascii="黑体" w:hAnsi="黑体" w:eastAsia="黑体"/>
          <w:sz w:val="32"/>
          <w:szCs w:val="32"/>
          <w:highlight w:val="none"/>
        </w:rPr>
      </w:pPr>
      <w:r>
        <w:rPr>
          <w:rFonts w:hint="eastAsia" w:ascii="黑体" w:hAnsi="宋体" w:eastAsia="黑体" w:cs="黑体"/>
          <w:i w:val="0"/>
          <w:caps w:val="0"/>
          <w:color w:val="000000"/>
          <w:spacing w:val="0"/>
          <w:sz w:val="18"/>
          <w:szCs w:val="18"/>
          <w:highlight w:val="none"/>
        </w:rPr>
        <w:t> </w:t>
      </w:r>
    </w:p>
    <w:p>
      <w:pPr>
        <w:jc w:val="center"/>
        <w:rPr>
          <w:rFonts w:hint="eastAsia" w:ascii="黑体" w:hAnsi="黑体" w:eastAsia="黑体"/>
          <w:sz w:val="32"/>
          <w:szCs w:val="32"/>
          <w:highlight w:val="none"/>
        </w:rPr>
      </w:pPr>
      <w:r>
        <w:rPr>
          <w:rFonts w:hint="eastAsia" w:ascii="黑体" w:hAnsi="黑体" w:eastAsia="黑体"/>
          <w:sz w:val="32"/>
          <w:szCs w:val="32"/>
          <w:highlight w:val="none"/>
        </w:rPr>
        <w:t>第一部分</w:t>
      </w:r>
      <w:r>
        <w:rPr>
          <w:rFonts w:hint="eastAsia" w:ascii="黑体" w:hAnsi="黑体" w:eastAsia="黑体"/>
          <w:sz w:val="32"/>
          <w:szCs w:val="32"/>
          <w:highlight w:val="none"/>
          <w:lang w:val="en-US" w:eastAsia="zh-CN"/>
        </w:rPr>
        <w:t xml:space="preserve"> </w:t>
      </w:r>
      <w:r>
        <w:rPr>
          <w:rFonts w:hint="eastAsia" w:ascii="黑体" w:hAnsi="黑体" w:eastAsia="黑体"/>
          <w:sz w:val="32"/>
          <w:szCs w:val="32"/>
          <w:highlight w:val="none"/>
          <w:lang w:eastAsia="zh-CN"/>
        </w:rPr>
        <w:t>昆明市盘龙区住房和城乡建设局（本级）</w:t>
      </w:r>
      <w:r>
        <w:rPr>
          <w:rFonts w:hint="eastAsia" w:ascii="黑体" w:hAnsi="黑体" w:eastAsia="黑体"/>
          <w:sz w:val="32"/>
          <w:szCs w:val="32"/>
          <w:highlight w:val="none"/>
        </w:rPr>
        <w:t>概况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600" w:lineRule="atLeast"/>
        <w:ind w:left="0" w:right="0" w:firstLine="600"/>
        <w:jc w:val="both"/>
        <w:rPr>
          <w:rFonts w:hint="eastAsia" w:ascii="微软雅黑" w:hAnsi="微软雅黑" w:eastAsia="微软雅黑" w:cs="微软雅黑"/>
          <w:i w:val="0"/>
          <w:caps w:val="0"/>
          <w:color w:val="000000"/>
          <w:spacing w:val="0"/>
          <w:sz w:val="18"/>
          <w:szCs w:val="18"/>
          <w:highlight w:val="none"/>
        </w:rPr>
      </w:pPr>
      <w:r>
        <w:rPr>
          <w:rFonts w:hint="eastAsia" w:ascii="黑体" w:hAnsi="宋体" w:eastAsia="黑体" w:cs="黑体"/>
          <w:i w:val="0"/>
          <w:caps w:val="0"/>
          <w:color w:val="000000"/>
          <w:spacing w:val="0"/>
          <w:sz w:val="30"/>
          <w:szCs w:val="30"/>
          <w:highlight w:val="none"/>
        </w:rPr>
        <w:t>一、主要职能</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600" w:lineRule="atLeast"/>
        <w:ind w:left="0" w:right="0" w:firstLine="600"/>
        <w:jc w:val="both"/>
        <w:rPr>
          <w:rFonts w:hint="eastAsia" w:ascii="微软雅黑" w:hAnsi="微软雅黑" w:eastAsia="微软雅黑" w:cs="微软雅黑"/>
          <w:i w:val="0"/>
          <w:caps w:val="0"/>
          <w:color w:val="000000"/>
          <w:spacing w:val="0"/>
          <w:sz w:val="18"/>
          <w:szCs w:val="18"/>
          <w:highlight w:val="none"/>
        </w:rPr>
      </w:pPr>
      <w:r>
        <w:rPr>
          <w:rFonts w:hint="eastAsia" w:ascii="楷体" w:hAnsi="楷体" w:eastAsia="楷体" w:cs="楷体"/>
          <w:i w:val="0"/>
          <w:caps w:val="0"/>
          <w:color w:val="000000"/>
          <w:spacing w:val="0"/>
          <w:sz w:val="30"/>
          <w:szCs w:val="30"/>
          <w:highlight w:val="none"/>
        </w:rPr>
        <w:t>（一）主要职能</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93" w:beforeAutospacing="0" w:after="200" w:afterAutospacing="0" w:line="600" w:lineRule="atLeast"/>
        <w:ind w:left="0" w:right="0" w:firstLine="630"/>
        <w:jc w:val="both"/>
        <w:rPr>
          <w:rFonts w:hint="eastAsia" w:ascii="微软雅黑" w:hAnsi="微软雅黑" w:eastAsia="微软雅黑" w:cs="微软雅黑"/>
          <w:i w:val="0"/>
          <w:caps w:val="0"/>
          <w:color w:val="000000"/>
          <w:spacing w:val="0"/>
          <w:sz w:val="18"/>
          <w:szCs w:val="18"/>
          <w:highlight w:val="none"/>
        </w:rPr>
      </w:pPr>
      <w:r>
        <w:rPr>
          <w:rFonts w:ascii="仿宋_GB2312" w:hAnsi="微软雅黑" w:eastAsia="仿宋_GB2312" w:cs="仿宋_GB2312"/>
          <w:i w:val="0"/>
          <w:caps w:val="0"/>
          <w:color w:val="000000"/>
          <w:spacing w:val="0"/>
          <w:sz w:val="30"/>
          <w:szCs w:val="30"/>
          <w:highlight w:val="none"/>
        </w:rPr>
        <w:t>1、负责贯彻执行国家、省、市有关住房和城乡建设、人民防空的法律、法规、规章及方针政策，拟订全区住房和城乡建设中长期发展规划、年度建设计划，并组织实施。</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93" w:beforeAutospacing="0" w:after="200" w:afterAutospacing="0" w:line="600" w:lineRule="atLeast"/>
        <w:ind w:left="0" w:right="0" w:firstLine="630"/>
        <w:jc w:val="both"/>
        <w:rPr>
          <w:rFonts w:hint="eastAsia" w:ascii="微软雅黑" w:hAnsi="微软雅黑" w:eastAsia="微软雅黑" w:cs="微软雅黑"/>
          <w:i w:val="0"/>
          <w:caps w:val="0"/>
          <w:color w:val="000000"/>
          <w:spacing w:val="0"/>
          <w:sz w:val="18"/>
          <w:szCs w:val="18"/>
          <w:highlight w:val="none"/>
        </w:rPr>
      </w:pPr>
      <w:r>
        <w:rPr>
          <w:rFonts w:hint="eastAsia" w:ascii="仿宋_GB2312" w:hAnsi="微软雅黑" w:eastAsia="仿宋_GB2312" w:cs="仿宋_GB2312"/>
          <w:i w:val="0"/>
          <w:caps w:val="0"/>
          <w:color w:val="000000"/>
          <w:spacing w:val="0"/>
          <w:sz w:val="30"/>
          <w:szCs w:val="30"/>
          <w:highlight w:val="none"/>
        </w:rPr>
        <w:t>2、负责审批权限范围内的城市建设计划、初步设计审查、施工许可及工程竣工验收备案。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93" w:beforeAutospacing="0" w:after="200" w:afterAutospacing="0" w:line="600" w:lineRule="atLeast"/>
        <w:ind w:left="0" w:right="0" w:firstLine="630"/>
        <w:jc w:val="both"/>
        <w:rPr>
          <w:rFonts w:hint="eastAsia" w:ascii="微软雅黑" w:hAnsi="微软雅黑" w:eastAsia="微软雅黑" w:cs="微软雅黑"/>
          <w:i w:val="0"/>
          <w:caps w:val="0"/>
          <w:color w:val="000000"/>
          <w:spacing w:val="0"/>
          <w:sz w:val="18"/>
          <w:szCs w:val="18"/>
          <w:highlight w:val="none"/>
        </w:rPr>
      </w:pPr>
      <w:r>
        <w:rPr>
          <w:rFonts w:hint="eastAsia" w:ascii="仿宋_GB2312" w:hAnsi="微软雅黑" w:eastAsia="仿宋_GB2312" w:cs="仿宋_GB2312"/>
          <w:i w:val="0"/>
          <w:caps w:val="0"/>
          <w:color w:val="000000"/>
          <w:spacing w:val="0"/>
          <w:sz w:val="30"/>
          <w:szCs w:val="30"/>
          <w:highlight w:val="none"/>
        </w:rPr>
        <w:t>3、负责审批权限范围内的建设工程消防设计审查、消防验收、备案和抽查。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93" w:beforeAutospacing="0" w:after="200" w:afterAutospacing="0" w:line="600" w:lineRule="atLeast"/>
        <w:ind w:left="0" w:right="0" w:firstLine="630"/>
        <w:jc w:val="both"/>
        <w:rPr>
          <w:rFonts w:hint="eastAsia" w:ascii="微软雅黑" w:hAnsi="微软雅黑" w:eastAsia="微软雅黑" w:cs="微软雅黑"/>
          <w:i w:val="0"/>
          <w:caps w:val="0"/>
          <w:color w:val="000000"/>
          <w:spacing w:val="0"/>
          <w:sz w:val="18"/>
          <w:szCs w:val="18"/>
          <w:highlight w:val="none"/>
        </w:rPr>
      </w:pPr>
      <w:r>
        <w:rPr>
          <w:rFonts w:hint="eastAsia" w:ascii="仿宋_GB2312" w:hAnsi="微软雅黑" w:eastAsia="仿宋_GB2312" w:cs="仿宋_GB2312"/>
          <w:i w:val="0"/>
          <w:caps w:val="0"/>
          <w:color w:val="000000"/>
          <w:spacing w:val="0"/>
          <w:sz w:val="30"/>
          <w:szCs w:val="30"/>
          <w:highlight w:val="none"/>
        </w:rPr>
        <w:t>4、负责工程建设项目的质量监督及本行业领域的安全生产监管；负责建筑施工企业安全生产许可证核发、延期审查和批后管理；负责建设工程标准化和造价管理工作，参与编制建筑经济定额。</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93" w:beforeAutospacing="0" w:after="200" w:afterAutospacing="0" w:line="600" w:lineRule="atLeast"/>
        <w:ind w:left="0" w:right="0" w:firstLine="630"/>
        <w:jc w:val="both"/>
        <w:rPr>
          <w:rFonts w:hint="eastAsia" w:ascii="微软雅黑" w:hAnsi="微软雅黑" w:eastAsia="微软雅黑" w:cs="微软雅黑"/>
          <w:i w:val="0"/>
          <w:caps w:val="0"/>
          <w:color w:val="000000"/>
          <w:spacing w:val="0"/>
          <w:sz w:val="18"/>
          <w:szCs w:val="18"/>
          <w:highlight w:val="none"/>
        </w:rPr>
      </w:pPr>
      <w:r>
        <w:rPr>
          <w:rFonts w:hint="eastAsia" w:ascii="仿宋_GB2312" w:hAnsi="微软雅黑" w:eastAsia="仿宋_GB2312" w:cs="仿宋_GB2312"/>
          <w:i w:val="0"/>
          <w:caps w:val="0"/>
          <w:color w:val="000000"/>
          <w:spacing w:val="0"/>
          <w:sz w:val="30"/>
          <w:szCs w:val="30"/>
          <w:highlight w:val="none"/>
        </w:rPr>
        <w:t>5、负责贯彻执行建筑业的行业管理法律、法规及政策，规范建筑市场，推进建筑业发展；在权限范围内负责建筑业企业的资质审查、报批管理。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93" w:beforeAutospacing="0" w:after="200" w:afterAutospacing="0" w:line="600" w:lineRule="atLeast"/>
        <w:ind w:left="0" w:right="0" w:firstLine="630"/>
        <w:jc w:val="both"/>
        <w:rPr>
          <w:rFonts w:hint="eastAsia" w:ascii="微软雅黑" w:hAnsi="微软雅黑" w:eastAsia="微软雅黑" w:cs="微软雅黑"/>
          <w:i w:val="0"/>
          <w:caps w:val="0"/>
          <w:color w:val="000000"/>
          <w:spacing w:val="0"/>
          <w:sz w:val="18"/>
          <w:szCs w:val="18"/>
          <w:highlight w:val="none"/>
        </w:rPr>
      </w:pPr>
      <w:r>
        <w:rPr>
          <w:rFonts w:hint="eastAsia" w:ascii="仿宋_GB2312" w:hAnsi="微软雅黑" w:eastAsia="仿宋_GB2312" w:cs="仿宋_GB2312"/>
          <w:i w:val="0"/>
          <w:caps w:val="0"/>
          <w:color w:val="000000"/>
          <w:spacing w:val="0"/>
          <w:sz w:val="30"/>
          <w:szCs w:val="30"/>
          <w:highlight w:val="none"/>
        </w:rPr>
        <w:t>6、负责贯彻执行房地产业的行业管理法律、法规及政策，规范房地产市场秩序；负责贯彻执行物业服务行业的法律、法规及政策，指导、监督辖区内各物业服务企业工作；负责贯彻执行房屋租赁行业的地方性法规、规章和规范性文件，指导、监督辖区内各房屋中介机构工作；负责辖区房屋安全管理鉴定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93" w:beforeAutospacing="0" w:after="200" w:afterAutospacing="0" w:line="600" w:lineRule="atLeast"/>
        <w:ind w:left="0" w:right="0" w:firstLine="630"/>
        <w:jc w:val="both"/>
        <w:rPr>
          <w:rFonts w:hint="eastAsia" w:ascii="微软雅黑" w:hAnsi="微软雅黑" w:eastAsia="微软雅黑" w:cs="微软雅黑"/>
          <w:i w:val="0"/>
          <w:caps w:val="0"/>
          <w:color w:val="000000"/>
          <w:spacing w:val="0"/>
          <w:sz w:val="18"/>
          <w:szCs w:val="18"/>
          <w:highlight w:val="none"/>
        </w:rPr>
      </w:pPr>
      <w:r>
        <w:rPr>
          <w:rFonts w:hint="eastAsia" w:ascii="仿宋_GB2312" w:hAnsi="微软雅黑" w:eastAsia="仿宋_GB2312" w:cs="仿宋_GB2312"/>
          <w:i w:val="0"/>
          <w:caps w:val="0"/>
          <w:color w:val="000000"/>
          <w:spacing w:val="0"/>
          <w:sz w:val="30"/>
          <w:szCs w:val="30"/>
          <w:highlight w:val="none"/>
        </w:rPr>
        <w:t>7、负责辖区内瓶装液化燃气供应站（点）、液化燃气用户的行业管理、安全管理工作；负责对辖区内瓶装液化气供应站（点）操作人员持证上岗情况的监督检查工作。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93" w:beforeAutospacing="0" w:after="200" w:afterAutospacing="0" w:line="600" w:lineRule="atLeast"/>
        <w:ind w:left="0" w:right="0" w:firstLine="630"/>
        <w:jc w:val="both"/>
        <w:rPr>
          <w:rFonts w:hint="eastAsia" w:ascii="微软雅黑" w:hAnsi="微软雅黑" w:eastAsia="微软雅黑" w:cs="微软雅黑"/>
          <w:i w:val="0"/>
          <w:caps w:val="0"/>
          <w:color w:val="000000"/>
          <w:spacing w:val="0"/>
          <w:sz w:val="18"/>
          <w:szCs w:val="18"/>
          <w:highlight w:val="none"/>
        </w:rPr>
      </w:pPr>
      <w:r>
        <w:rPr>
          <w:rFonts w:hint="eastAsia" w:ascii="仿宋_GB2312" w:hAnsi="微软雅黑" w:eastAsia="仿宋_GB2312" w:cs="仿宋_GB2312"/>
          <w:i w:val="0"/>
          <w:caps w:val="0"/>
          <w:color w:val="000000"/>
          <w:spacing w:val="0"/>
          <w:sz w:val="30"/>
          <w:szCs w:val="30"/>
          <w:highlight w:val="none"/>
        </w:rPr>
        <w:t>8、按照上级业务主管的要求承担滇池流域外城镇排水与污水处理职责。</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93" w:beforeAutospacing="0" w:after="200" w:afterAutospacing="0" w:line="600" w:lineRule="atLeast"/>
        <w:ind w:left="0" w:right="0" w:firstLine="630"/>
        <w:jc w:val="both"/>
        <w:rPr>
          <w:rFonts w:hint="eastAsia" w:ascii="微软雅黑" w:hAnsi="微软雅黑" w:eastAsia="微软雅黑" w:cs="微软雅黑"/>
          <w:i w:val="0"/>
          <w:caps w:val="0"/>
          <w:color w:val="000000"/>
          <w:spacing w:val="0"/>
          <w:sz w:val="18"/>
          <w:szCs w:val="18"/>
          <w:highlight w:val="none"/>
        </w:rPr>
      </w:pPr>
      <w:r>
        <w:rPr>
          <w:rFonts w:hint="eastAsia" w:ascii="仿宋_GB2312" w:hAnsi="微软雅黑" w:eastAsia="仿宋_GB2312" w:cs="仿宋_GB2312"/>
          <w:i w:val="0"/>
          <w:caps w:val="0"/>
          <w:color w:val="000000"/>
          <w:spacing w:val="0"/>
          <w:sz w:val="30"/>
          <w:szCs w:val="30"/>
          <w:highlight w:val="none"/>
        </w:rPr>
        <w:t>9、负责政府工程项目的代建监督、指导工作；配合做好建筑和市政工程施工图设计文件审查备案工作；负责主城区城市道路、桥梁（隧道）的路面平整及井盖运行管理（不含其他附属设施），指导、监督、检查日常维护管养工作；负责辖区内城市道路、桥梁占用挖掘的监管，指导辖区内城市规划道路、桥梁（隧道）路面及井盖的管养维护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93" w:beforeAutospacing="0" w:after="200" w:afterAutospacing="0" w:line="600" w:lineRule="atLeast"/>
        <w:ind w:left="0" w:right="0" w:firstLine="630"/>
        <w:jc w:val="both"/>
        <w:rPr>
          <w:rFonts w:hint="eastAsia" w:ascii="微软雅黑" w:hAnsi="微软雅黑" w:eastAsia="微软雅黑" w:cs="微软雅黑"/>
          <w:i w:val="0"/>
          <w:caps w:val="0"/>
          <w:color w:val="000000"/>
          <w:spacing w:val="0"/>
          <w:sz w:val="18"/>
          <w:szCs w:val="18"/>
          <w:highlight w:val="none"/>
        </w:rPr>
      </w:pPr>
      <w:r>
        <w:rPr>
          <w:rFonts w:hint="eastAsia" w:ascii="仿宋_GB2312" w:hAnsi="微软雅黑" w:eastAsia="仿宋_GB2312" w:cs="仿宋_GB2312"/>
          <w:i w:val="0"/>
          <w:caps w:val="0"/>
          <w:color w:val="000000"/>
          <w:spacing w:val="0"/>
          <w:sz w:val="30"/>
          <w:szCs w:val="30"/>
          <w:highlight w:val="none"/>
        </w:rPr>
        <w:t>10、负责贯彻有关村镇建设的法律、法规及政策，指导辖区内村镇建设、安全及危房改造，负责农村民居通用图的设计及推广；配合做好特色小（城）镇、美丽乡村等创建工作。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93" w:beforeAutospacing="0" w:after="200" w:afterAutospacing="0" w:line="600" w:lineRule="atLeast"/>
        <w:ind w:left="0" w:right="0" w:firstLine="630"/>
        <w:jc w:val="both"/>
        <w:rPr>
          <w:rFonts w:hint="eastAsia" w:ascii="微软雅黑" w:hAnsi="微软雅黑" w:eastAsia="微软雅黑" w:cs="微软雅黑"/>
          <w:i w:val="0"/>
          <w:caps w:val="0"/>
          <w:color w:val="000000"/>
          <w:spacing w:val="0"/>
          <w:sz w:val="18"/>
          <w:szCs w:val="18"/>
          <w:highlight w:val="none"/>
        </w:rPr>
      </w:pPr>
      <w:r>
        <w:rPr>
          <w:rFonts w:hint="eastAsia" w:ascii="仿宋_GB2312" w:hAnsi="微软雅黑" w:eastAsia="仿宋_GB2312" w:cs="仿宋_GB2312"/>
          <w:i w:val="0"/>
          <w:caps w:val="0"/>
          <w:color w:val="000000"/>
          <w:spacing w:val="0"/>
          <w:sz w:val="30"/>
          <w:szCs w:val="30"/>
          <w:highlight w:val="none"/>
        </w:rPr>
        <w:t>11、负责辖区内建筑工程抗震设防管理及农村民居抗震安全工作；负责建设工程的抗震设防专项审查，协助有关做好震后抢险工作；指导和组织震后恢复重建工作。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93" w:beforeAutospacing="0" w:after="200" w:afterAutospacing="0" w:line="600" w:lineRule="atLeast"/>
        <w:ind w:left="0" w:right="0" w:firstLine="630"/>
        <w:jc w:val="both"/>
        <w:rPr>
          <w:rFonts w:hint="eastAsia" w:ascii="微软雅黑" w:hAnsi="微软雅黑" w:eastAsia="微软雅黑" w:cs="微软雅黑"/>
          <w:i w:val="0"/>
          <w:caps w:val="0"/>
          <w:color w:val="000000"/>
          <w:spacing w:val="0"/>
          <w:sz w:val="18"/>
          <w:szCs w:val="18"/>
          <w:highlight w:val="none"/>
        </w:rPr>
      </w:pPr>
      <w:r>
        <w:rPr>
          <w:rFonts w:hint="eastAsia" w:ascii="仿宋_GB2312" w:hAnsi="微软雅黑" w:eastAsia="仿宋_GB2312" w:cs="仿宋_GB2312"/>
          <w:i w:val="0"/>
          <w:caps w:val="0"/>
          <w:color w:val="000000"/>
          <w:spacing w:val="0"/>
          <w:sz w:val="30"/>
          <w:szCs w:val="30"/>
          <w:highlight w:val="none"/>
        </w:rPr>
        <w:t>12、负责拟订辖区保障性安居工程的发展规划、计划并监督实施；负责指导监督辖区直管公房的维修、抗震加固和改造；承担直管公房房屋租金收取工作；负责直管公房统计年报工作；指导参与辖区住房制度改革工作及住房补贴发放工作；负责私有房产历史遗留问题的核查和政策落实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93" w:beforeAutospacing="0" w:after="200" w:afterAutospacing="0" w:line="600" w:lineRule="atLeast"/>
        <w:ind w:left="0" w:right="0" w:firstLine="630"/>
        <w:jc w:val="both"/>
        <w:rPr>
          <w:rFonts w:hint="eastAsia" w:ascii="微软雅黑" w:hAnsi="微软雅黑" w:eastAsia="微软雅黑" w:cs="微软雅黑"/>
          <w:i w:val="0"/>
          <w:caps w:val="0"/>
          <w:color w:val="000000"/>
          <w:spacing w:val="0"/>
          <w:sz w:val="18"/>
          <w:szCs w:val="18"/>
          <w:highlight w:val="none"/>
        </w:rPr>
      </w:pPr>
      <w:r>
        <w:rPr>
          <w:rFonts w:hint="eastAsia" w:ascii="仿宋_GB2312" w:hAnsi="微软雅黑" w:eastAsia="仿宋_GB2312" w:cs="仿宋_GB2312"/>
          <w:i w:val="0"/>
          <w:caps w:val="0"/>
          <w:color w:val="000000"/>
          <w:spacing w:val="0"/>
          <w:sz w:val="30"/>
          <w:szCs w:val="30"/>
          <w:highlight w:val="none"/>
        </w:rPr>
        <w:t>13、负责依据城市发展总体规划，平时组织开展人民防空建设，战时组织开展城市人民防空袭斗争。负责人防工程维护管理，负责人防设施拆除迁移审批。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93" w:beforeAutospacing="0" w:after="200" w:afterAutospacing="0" w:line="600" w:lineRule="atLeast"/>
        <w:ind w:left="0" w:right="0" w:firstLine="630"/>
        <w:jc w:val="both"/>
        <w:rPr>
          <w:rFonts w:hint="eastAsia" w:ascii="微软雅黑" w:hAnsi="微软雅黑" w:eastAsia="微软雅黑" w:cs="微软雅黑"/>
          <w:i w:val="0"/>
          <w:caps w:val="0"/>
          <w:color w:val="000000"/>
          <w:spacing w:val="0"/>
          <w:sz w:val="18"/>
          <w:szCs w:val="18"/>
          <w:highlight w:val="none"/>
        </w:rPr>
      </w:pPr>
      <w:r>
        <w:rPr>
          <w:rFonts w:hint="eastAsia" w:ascii="仿宋_GB2312" w:hAnsi="微软雅黑" w:eastAsia="仿宋_GB2312" w:cs="仿宋_GB2312"/>
          <w:i w:val="0"/>
          <w:caps w:val="0"/>
          <w:color w:val="000000"/>
          <w:spacing w:val="0"/>
          <w:sz w:val="30"/>
          <w:szCs w:val="30"/>
          <w:highlight w:val="none"/>
        </w:rPr>
        <w:t>14、负责贯彻执行国家和省、市、区颁布的工程建设有关消防工程的政策、法律、法规、规范、标准；负责辖区内新建、扩建、改建工程项目的消防工程设计审查、验收和备案。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93" w:beforeAutospacing="0" w:after="200" w:afterAutospacing="0" w:line="600" w:lineRule="atLeast"/>
        <w:ind w:left="0" w:right="0" w:firstLine="630"/>
        <w:jc w:val="both"/>
        <w:rPr>
          <w:rFonts w:hint="eastAsia" w:ascii="微软雅黑" w:hAnsi="微软雅黑" w:eastAsia="微软雅黑" w:cs="微软雅黑"/>
          <w:i w:val="0"/>
          <w:caps w:val="0"/>
          <w:color w:val="000000"/>
          <w:spacing w:val="0"/>
          <w:sz w:val="18"/>
          <w:szCs w:val="18"/>
          <w:highlight w:val="none"/>
        </w:rPr>
      </w:pPr>
      <w:r>
        <w:rPr>
          <w:rFonts w:hint="eastAsia" w:ascii="仿宋_GB2312" w:hAnsi="微软雅黑" w:eastAsia="仿宋_GB2312" w:cs="仿宋_GB2312"/>
          <w:i w:val="0"/>
          <w:caps w:val="0"/>
          <w:color w:val="000000"/>
          <w:spacing w:val="0"/>
          <w:sz w:val="30"/>
          <w:szCs w:val="30"/>
          <w:highlight w:val="none"/>
        </w:rPr>
        <w:t>15、负责建筑起重机械的安全监督管理。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93" w:beforeAutospacing="0" w:after="200" w:afterAutospacing="0" w:line="600" w:lineRule="atLeast"/>
        <w:ind w:left="0" w:right="0" w:firstLine="630"/>
        <w:jc w:val="both"/>
        <w:rPr>
          <w:rFonts w:hint="eastAsia" w:ascii="微软雅黑" w:hAnsi="微软雅黑" w:eastAsia="微软雅黑" w:cs="微软雅黑"/>
          <w:i w:val="0"/>
          <w:caps w:val="0"/>
          <w:color w:val="000000"/>
          <w:spacing w:val="0"/>
          <w:sz w:val="18"/>
          <w:szCs w:val="18"/>
          <w:highlight w:val="none"/>
        </w:rPr>
      </w:pPr>
      <w:r>
        <w:rPr>
          <w:rFonts w:hint="eastAsia" w:ascii="仿宋_GB2312" w:hAnsi="微软雅黑" w:eastAsia="仿宋_GB2312" w:cs="仿宋_GB2312"/>
          <w:i w:val="0"/>
          <w:caps w:val="0"/>
          <w:color w:val="000000"/>
          <w:spacing w:val="0"/>
          <w:sz w:val="30"/>
          <w:szCs w:val="30"/>
          <w:highlight w:val="none"/>
        </w:rPr>
        <w:t>16、完成区委、区政府和上级机关交办的其他任务。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93" w:beforeAutospacing="0" w:after="200" w:afterAutospacing="0" w:line="600" w:lineRule="atLeast"/>
        <w:ind w:left="0" w:right="0" w:firstLine="630"/>
        <w:jc w:val="both"/>
        <w:rPr>
          <w:rFonts w:hint="eastAsia" w:ascii="微软雅黑" w:hAnsi="微软雅黑" w:eastAsia="微软雅黑" w:cs="微软雅黑"/>
          <w:i w:val="0"/>
          <w:caps w:val="0"/>
          <w:color w:val="000000"/>
          <w:spacing w:val="0"/>
          <w:sz w:val="18"/>
          <w:szCs w:val="18"/>
          <w:highlight w:val="none"/>
        </w:rPr>
      </w:pPr>
      <w:r>
        <w:rPr>
          <w:rFonts w:hint="eastAsia" w:ascii="楷体" w:hAnsi="楷体" w:eastAsia="楷体" w:cs="楷体"/>
          <w:i w:val="0"/>
          <w:caps w:val="0"/>
          <w:color w:val="000000"/>
          <w:spacing w:val="0"/>
          <w:sz w:val="30"/>
          <w:szCs w:val="30"/>
          <w:highlight w:val="none"/>
        </w:rPr>
        <w:t>（二）2022年度重点工作任务概述</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600" w:lineRule="atLeast"/>
        <w:ind w:left="0" w:right="0" w:firstLine="600"/>
        <w:jc w:val="both"/>
        <w:rPr>
          <w:rFonts w:hint="eastAsia" w:ascii="微软雅黑" w:hAnsi="微软雅黑" w:eastAsia="微软雅黑" w:cs="微软雅黑"/>
          <w:i w:val="0"/>
          <w:caps w:val="0"/>
          <w:color w:val="000000"/>
          <w:spacing w:val="0"/>
          <w:sz w:val="18"/>
          <w:szCs w:val="18"/>
          <w:highlight w:val="none"/>
        </w:rPr>
      </w:pPr>
      <w:r>
        <w:rPr>
          <w:rFonts w:hint="eastAsia" w:ascii="仿宋_GB2312" w:hAnsi="微软雅黑" w:eastAsia="仿宋_GB2312" w:cs="仿宋_GB2312"/>
          <w:i w:val="0"/>
          <w:caps w:val="0"/>
          <w:color w:val="000000"/>
          <w:spacing w:val="0"/>
          <w:sz w:val="30"/>
          <w:szCs w:val="30"/>
          <w:highlight w:val="none"/>
        </w:rPr>
        <w:t>1.坚持站高谋远，高品质推进城乡建设管理,以</w:t>
      </w:r>
      <w:r>
        <w:rPr>
          <w:rFonts w:ascii="Calibri" w:hAnsi="Calibri" w:eastAsia="微软雅黑" w:cs="Calibri"/>
          <w:i w:val="0"/>
          <w:caps w:val="0"/>
          <w:color w:val="000000"/>
          <w:spacing w:val="0"/>
          <w:sz w:val="30"/>
          <w:szCs w:val="30"/>
          <w:highlight w:val="none"/>
        </w:rPr>
        <w:t>“</w:t>
      </w:r>
      <w:r>
        <w:rPr>
          <w:rFonts w:hint="eastAsia" w:ascii="仿宋_GB2312" w:hAnsi="微软雅黑" w:eastAsia="仿宋_GB2312" w:cs="仿宋_GB2312"/>
          <w:i w:val="0"/>
          <w:caps w:val="0"/>
          <w:color w:val="000000"/>
          <w:spacing w:val="0"/>
          <w:sz w:val="30"/>
          <w:szCs w:val="30"/>
          <w:highlight w:val="none"/>
        </w:rPr>
        <w:t>完善城市功能，改善人居环境</w:t>
      </w:r>
      <w:r>
        <w:rPr>
          <w:rFonts w:hint="default" w:ascii="Calibri" w:hAnsi="Calibri" w:eastAsia="微软雅黑" w:cs="Calibri"/>
          <w:i w:val="0"/>
          <w:caps w:val="0"/>
          <w:color w:val="000000"/>
          <w:spacing w:val="0"/>
          <w:sz w:val="30"/>
          <w:szCs w:val="30"/>
          <w:highlight w:val="none"/>
        </w:rPr>
        <w:t>”</w:t>
      </w:r>
      <w:r>
        <w:rPr>
          <w:rFonts w:hint="eastAsia" w:ascii="仿宋_GB2312" w:hAnsi="微软雅黑" w:eastAsia="仿宋_GB2312" w:cs="仿宋_GB2312"/>
          <w:i w:val="0"/>
          <w:caps w:val="0"/>
          <w:color w:val="000000"/>
          <w:spacing w:val="0"/>
          <w:sz w:val="30"/>
          <w:szCs w:val="30"/>
          <w:highlight w:val="none"/>
        </w:rPr>
        <w:t>为目标，加大城市基础设施建设维护力度，提升住房保障水平。提升城市形象，完善市政基础设施,一是加强市政项目顶层规划。顺利完成北京路连接西北绕高速立交工程政府与社会资本合作（PPP）项目2022年度绩效考核，政府年度付费4705.41万元；加强生态保护，完善政府投资项目水保环评等手续办理；编制盘龙区道路建设及整治计划。二是夯实市政基础设施建设。全力推进路网建设，投资2653.64万元，持续推进国博大道、国博西路、国博东路以及盘龙区人民东路延安医院过街人行天桥、白龙路石闸立交过街人行天桥建设；打通交通</w:t>
      </w:r>
      <w:r>
        <w:rPr>
          <w:rFonts w:hint="default" w:ascii="Calibri" w:hAnsi="Calibri" w:eastAsia="微软雅黑" w:cs="Calibri"/>
          <w:i w:val="0"/>
          <w:caps w:val="0"/>
          <w:color w:val="000000"/>
          <w:spacing w:val="0"/>
          <w:sz w:val="30"/>
          <w:szCs w:val="30"/>
          <w:highlight w:val="none"/>
        </w:rPr>
        <w:t>“</w:t>
      </w:r>
      <w:r>
        <w:rPr>
          <w:rFonts w:hint="eastAsia" w:ascii="仿宋_GB2312" w:hAnsi="微软雅黑" w:eastAsia="仿宋_GB2312" w:cs="仿宋_GB2312"/>
          <w:i w:val="0"/>
          <w:caps w:val="0"/>
          <w:color w:val="000000"/>
          <w:spacing w:val="0"/>
          <w:sz w:val="30"/>
          <w:szCs w:val="30"/>
          <w:highlight w:val="none"/>
        </w:rPr>
        <w:t>肠梗阻</w:t>
      </w:r>
      <w:r>
        <w:rPr>
          <w:rFonts w:hint="default" w:ascii="Calibri" w:hAnsi="Calibri" w:eastAsia="微软雅黑" w:cs="Calibri"/>
          <w:i w:val="0"/>
          <w:caps w:val="0"/>
          <w:color w:val="000000"/>
          <w:spacing w:val="0"/>
          <w:sz w:val="30"/>
          <w:szCs w:val="30"/>
          <w:highlight w:val="none"/>
        </w:rPr>
        <w:t>”</w:t>
      </w:r>
      <w:r>
        <w:rPr>
          <w:rFonts w:hint="eastAsia" w:ascii="仿宋_GB2312" w:hAnsi="微软雅黑" w:eastAsia="仿宋_GB2312" w:cs="仿宋_GB2312"/>
          <w:i w:val="0"/>
          <w:caps w:val="0"/>
          <w:color w:val="000000"/>
          <w:spacing w:val="0"/>
          <w:sz w:val="30"/>
          <w:szCs w:val="30"/>
          <w:highlight w:val="none"/>
        </w:rPr>
        <w:t>，投资约9200万元，完成农科南路跨江桥建设，打通了104号、169号路、通源路与沣源路断头路，实现任旗营片区、盛唐城片区、誉峰国际小区的互联互通；治理交通堵点，投资约371.58万元，对穿金路</w:t>
      </w:r>
      <w:r>
        <w:rPr>
          <w:rFonts w:hint="default" w:ascii="Calibri" w:hAnsi="Calibri" w:eastAsia="微软雅黑" w:cs="Calibri"/>
          <w:i w:val="0"/>
          <w:caps w:val="0"/>
          <w:color w:val="000000"/>
          <w:spacing w:val="0"/>
          <w:sz w:val="30"/>
          <w:szCs w:val="30"/>
          <w:highlight w:val="none"/>
        </w:rPr>
        <w:t>—</w:t>
      </w:r>
      <w:r>
        <w:rPr>
          <w:rFonts w:hint="eastAsia" w:ascii="仿宋_GB2312" w:hAnsi="微软雅黑" w:eastAsia="仿宋_GB2312" w:cs="仿宋_GB2312"/>
          <w:i w:val="0"/>
          <w:caps w:val="0"/>
          <w:color w:val="000000"/>
          <w:spacing w:val="0"/>
          <w:sz w:val="30"/>
          <w:szCs w:val="30"/>
          <w:highlight w:val="none"/>
        </w:rPr>
        <w:t>北辰大道、白龙路</w:t>
      </w:r>
      <w:r>
        <w:rPr>
          <w:rFonts w:hint="default" w:ascii="Calibri" w:hAnsi="Calibri" w:eastAsia="微软雅黑" w:cs="Calibri"/>
          <w:i w:val="0"/>
          <w:caps w:val="0"/>
          <w:color w:val="000000"/>
          <w:spacing w:val="0"/>
          <w:sz w:val="30"/>
          <w:szCs w:val="30"/>
          <w:highlight w:val="none"/>
        </w:rPr>
        <w:t>—</w:t>
      </w:r>
      <w:r>
        <w:rPr>
          <w:rFonts w:hint="eastAsia" w:ascii="仿宋_GB2312" w:hAnsi="微软雅黑" w:eastAsia="仿宋_GB2312" w:cs="仿宋_GB2312"/>
          <w:i w:val="0"/>
          <w:caps w:val="0"/>
          <w:color w:val="000000"/>
          <w:spacing w:val="0"/>
          <w:sz w:val="30"/>
          <w:szCs w:val="30"/>
          <w:highlight w:val="none"/>
        </w:rPr>
        <w:t>二环东路等5个拥堵节点实施工程性改造；实施道路提升整治工程，投资约5835.99万元，实施了东三环（白龙路</w:t>
      </w:r>
      <w:r>
        <w:rPr>
          <w:rFonts w:hint="default" w:ascii="Calibri" w:hAnsi="Calibri" w:eastAsia="微软雅黑" w:cs="Calibri"/>
          <w:i w:val="0"/>
          <w:caps w:val="0"/>
          <w:color w:val="000000"/>
          <w:spacing w:val="0"/>
          <w:sz w:val="30"/>
          <w:szCs w:val="30"/>
          <w:highlight w:val="none"/>
        </w:rPr>
        <w:t>—</w:t>
      </w:r>
      <w:r>
        <w:rPr>
          <w:rFonts w:hint="eastAsia" w:ascii="仿宋_GB2312" w:hAnsi="微软雅黑" w:eastAsia="仿宋_GB2312" w:cs="仿宋_GB2312"/>
          <w:i w:val="0"/>
          <w:caps w:val="0"/>
          <w:color w:val="000000"/>
          <w:spacing w:val="0"/>
          <w:sz w:val="30"/>
          <w:szCs w:val="30"/>
          <w:highlight w:val="none"/>
        </w:rPr>
        <w:t>白沙街段）病害、隐患综合整治工程，白云路（盘龙江至万华路段）暨北京路道路交叉口提升改造工程以及金星片区道路整治提升工程；规范企业代建道路，完成熹祥苑周边、虹桥村、龙池村片区代建道路建设，督促企业按要求完成龙江片区部分路网建设，中交印象美庐代建道路、景泰街市政管线补建工程、伍家村边坡防护工程、金刀营片区路网工程均按计划开工建设。三是加强市政基础设施管养维护。加大辖区市政道路、桥梁、洗手设施巡查管养力度，对万华路、白龙路、沣源路、机场高速等道路进行整治提升，对辖区56个洗手池进行日常管养维护；加强道路桥梁安全检测，对北京路、东风东路等6条道路以及清水河桥（沣源路）、太乙桥、松华桥等21座桥梁进行安全检测；加大路政巡查力度，共办理围栏占道325起、开挖52起，收取城市道路占道挖掘费17.57万元。完成东三环、园博路、云小路道路塌陷应急抢险工作，出动维护车辆38车次完成对机场高速、东三环等多条道路、人行天桥铲雪除冰任务，确保过往车辆和人民群众通行安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600" w:lineRule="atLeast"/>
        <w:ind w:left="0" w:right="0" w:firstLine="600"/>
        <w:jc w:val="both"/>
        <w:rPr>
          <w:rFonts w:hint="eastAsia" w:ascii="微软雅黑" w:hAnsi="微软雅黑" w:eastAsia="微软雅黑" w:cs="微软雅黑"/>
          <w:i w:val="0"/>
          <w:caps w:val="0"/>
          <w:color w:val="000000"/>
          <w:spacing w:val="0"/>
          <w:sz w:val="18"/>
          <w:szCs w:val="18"/>
          <w:highlight w:val="none"/>
        </w:rPr>
      </w:pPr>
      <w:r>
        <w:rPr>
          <w:rFonts w:hint="eastAsia" w:ascii="仿宋_GB2312" w:hAnsi="微软雅黑" w:eastAsia="仿宋_GB2312" w:cs="仿宋_GB2312"/>
          <w:i w:val="0"/>
          <w:caps w:val="0"/>
          <w:color w:val="000000"/>
          <w:spacing w:val="0"/>
          <w:sz w:val="30"/>
          <w:szCs w:val="30"/>
          <w:highlight w:val="none"/>
        </w:rPr>
        <w:t>2.强化住房保障，改善城乡居住条件。一是持续抓好公租房、廉租房、保障性租赁住房等保障性住房的多渠道供给。一方面抓好公租房、廉租房管理服务，共计办理公租房申请4320余户，审核通过申请人员优抚确认675人；辖区公租房小区天怡峰景、福泽雅苑入住率达95%左右；完成城镇保障性住房租赁补贴资金兑付30.75万元；严格按照收支两条线原则管理公租房、廉租房租金、履约金，公租房租金收缴率在90%以上，廉租房租金收缴率达98.04%；全面开展公共租赁住房分级定租、分级定补工作，住户最大租金减免额度达到95%；制定印发盘龙区公共租赁住房租后管理工作流程；积极组织开展2022年昆明市公租房社区邻里节系列活动。另一方面大力推进保障性租赁住房建设，成立盘龙区保障性安居工程建设领导小组，积极推进相关工作有序开展，2022年盘龙区保障性租赁住房建设任务数为3000套,目前建设工作正有序推进中，将进一步满足盘龙区新市民、青年人等群体的住房需求。二是积极开展房屋安全鉴定及自建房排查整治，切实保障城乡居民住房安全。截止目前，共计完成68幢房屋安全鉴定；辖区9286栋经营性自建房已经全部完成排查，存在安全隐患的43栋已全部采取整治措施；辖区农村存量危房进行</w:t>
      </w:r>
      <w:r>
        <w:rPr>
          <w:rFonts w:hint="default" w:ascii="Calibri" w:hAnsi="Calibri" w:eastAsia="微软雅黑" w:cs="Calibri"/>
          <w:i w:val="0"/>
          <w:caps w:val="0"/>
          <w:color w:val="000000"/>
          <w:spacing w:val="0"/>
          <w:sz w:val="30"/>
          <w:szCs w:val="30"/>
          <w:highlight w:val="none"/>
        </w:rPr>
        <w:t>“</w:t>
      </w:r>
      <w:r>
        <w:rPr>
          <w:rFonts w:hint="eastAsia" w:ascii="仿宋_GB2312" w:hAnsi="微软雅黑" w:eastAsia="仿宋_GB2312" w:cs="仿宋_GB2312"/>
          <w:i w:val="0"/>
          <w:caps w:val="0"/>
          <w:color w:val="000000"/>
          <w:spacing w:val="0"/>
          <w:sz w:val="30"/>
          <w:szCs w:val="30"/>
          <w:highlight w:val="none"/>
        </w:rPr>
        <w:t>回头看</w:t>
      </w:r>
      <w:r>
        <w:rPr>
          <w:rFonts w:hint="default" w:ascii="Calibri" w:hAnsi="Calibri" w:eastAsia="微软雅黑" w:cs="Calibri"/>
          <w:i w:val="0"/>
          <w:caps w:val="0"/>
          <w:color w:val="000000"/>
          <w:spacing w:val="0"/>
          <w:sz w:val="30"/>
          <w:szCs w:val="30"/>
          <w:highlight w:val="none"/>
        </w:rPr>
        <w:t>”</w:t>
      </w:r>
      <w:r>
        <w:rPr>
          <w:rFonts w:hint="eastAsia" w:ascii="仿宋_GB2312" w:hAnsi="微软雅黑" w:eastAsia="仿宋_GB2312" w:cs="仿宋_GB2312"/>
          <w:i w:val="0"/>
          <w:caps w:val="0"/>
          <w:color w:val="000000"/>
          <w:spacing w:val="0"/>
          <w:sz w:val="30"/>
          <w:szCs w:val="30"/>
          <w:highlight w:val="none"/>
        </w:rPr>
        <w:t>排查出的26户存量危房中3户已拆除重建，其余23户正积极推进整治。</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600" w:lineRule="atLeast"/>
        <w:ind w:left="0" w:right="0" w:firstLine="600"/>
        <w:jc w:val="both"/>
        <w:rPr>
          <w:rFonts w:hint="eastAsia" w:ascii="微软雅黑" w:hAnsi="微软雅黑" w:eastAsia="微软雅黑" w:cs="微软雅黑"/>
          <w:i w:val="0"/>
          <w:caps w:val="0"/>
          <w:color w:val="000000"/>
          <w:spacing w:val="0"/>
          <w:sz w:val="18"/>
          <w:szCs w:val="18"/>
          <w:highlight w:val="none"/>
        </w:rPr>
      </w:pPr>
      <w:r>
        <w:rPr>
          <w:rFonts w:hint="eastAsia" w:ascii="仿宋_GB2312" w:hAnsi="微软雅黑" w:eastAsia="仿宋_GB2312" w:cs="仿宋_GB2312"/>
          <w:i w:val="0"/>
          <w:caps w:val="0"/>
          <w:color w:val="000000"/>
          <w:spacing w:val="0"/>
          <w:sz w:val="30"/>
          <w:szCs w:val="30"/>
          <w:highlight w:val="none"/>
        </w:rPr>
        <w:t>3.加强物业管理，提升物业服务水平。高举</w:t>
      </w:r>
      <w:r>
        <w:rPr>
          <w:rFonts w:hint="default" w:ascii="Calibri" w:hAnsi="Calibri" w:eastAsia="微软雅黑" w:cs="Calibri"/>
          <w:i w:val="0"/>
          <w:caps w:val="0"/>
          <w:color w:val="000000"/>
          <w:spacing w:val="0"/>
          <w:sz w:val="30"/>
          <w:szCs w:val="30"/>
          <w:highlight w:val="none"/>
        </w:rPr>
        <w:t>“</w:t>
      </w:r>
      <w:r>
        <w:rPr>
          <w:rFonts w:hint="eastAsia" w:ascii="仿宋_GB2312" w:hAnsi="微软雅黑" w:eastAsia="仿宋_GB2312" w:cs="仿宋_GB2312"/>
          <w:i w:val="0"/>
          <w:caps w:val="0"/>
          <w:color w:val="000000"/>
          <w:spacing w:val="0"/>
          <w:sz w:val="30"/>
          <w:szCs w:val="30"/>
          <w:highlight w:val="none"/>
        </w:rPr>
        <w:t>党建引领</w:t>
      </w:r>
      <w:r>
        <w:rPr>
          <w:rFonts w:hint="default" w:ascii="Calibri" w:hAnsi="Calibri" w:eastAsia="微软雅黑" w:cs="Calibri"/>
          <w:i w:val="0"/>
          <w:caps w:val="0"/>
          <w:color w:val="000000"/>
          <w:spacing w:val="0"/>
          <w:sz w:val="30"/>
          <w:szCs w:val="30"/>
          <w:highlight w:val="none"/>
        </w:rPr>
        <w:t>”</w:t>
      </w:r>
      <w:r>
        <w:rPr>
          <w:rFonts w:hint="eastAsia" w:ascii="仿宋_GB2312" w:hAnsi="微软雅黑" w:eastAsia="仿宋_GB2312" w:cs="仿宋_GB2312"/>
          <w:i w:val="0"/>
          <w:caps w:val="0"/>
          <w:color w:val="000000"/>
          <w:spacing w:val="0"/>
          <w:sz w:val="30"/>
          <w:szCs w:val="30"/>
          <w:highlight w:val="none"/>
        </w:rPr>
        <w:t>、</w:t>
      </w:r>
      <w:r>
        <w:rPr>
          <w:rFonts w:hint="default" w:ascii="Calibri" w:hAnsi="Calibri" w:eastAsia="微软雅黑" w:cs="Calibri"/>
          <w:i w:val="0"/>
          <w:caps w:val="0"/>
          <w:color w:val="000000"/>
          <w:spacing w:val="0"/>
          <w:sz w:val="30"/>
          <w:szCs w:val="30"/>
          <w:highlight w:val="none"/>
        </w:rPr>
        <w:t>“</w:t>
      </w:r>
      <w:r>
        <w:rPr>
          <w:rFonts w:hint="eastAsia" w:ascii="仿宋_GB2312" w:hAnsi="微软雅黑" w:eastAsia="仿宋_GB2312" w:cs="仿宋_GB2312"/>
          <w:i w:val="0"/>
          <w:caps w:val="0"/>
          <w:color w:val="000000"/>
          <w:spacing w:val="0"/>
          <w:sz w:val="30"/>
          <w:szCs w:val="30"/>
          <w:highlight w:val="none"/>
        </w:rPr>
        <w:t>红色物业</w:t>
      </w:r>
      <w:r>
        <w:rPr>
          <w:rFonts w:hint="default" w:ascii="Calibri" w:hAnsi="Calibri" w:eastAsia="微软雅黑" w:cs="Calibri"/>
          <w:i w:val="0"/>
          <w:caps w:val="0"/>
          <w:color w:val="000000"/>
          <w:spacing w:val="0"/>
          <w:sz w:val="30"/>
          <w:szCs w:val="30"/>
          <w:highlight w:val="none"/>
        </w:rPr>
        <w:t>”</w:t>
      </w:r>
      <w:r>
        <w:rPr>
          <w:rFonts w:hint="eastAsia" w:ascii="仿宋_GB2312" w:hAnsi="微软雅黑" w:eastAsia="仿宋_GB2312" w:cs="仿宋_GB2312"/>
          <w:i w:val="0"/>
          <w:caps w:val="0"/>
          <w:color w:val="000000"/>
          <w:spacing w:val="0"/>
          <w:sz w:val="30"/>
          <w:szCs w:val="30"/>
          <w:highlight w:val="none"/>
        </w:rPr>
        <w:t>的新时代旗帜，不断提升物业管理水平，成立昆明市盘龙区物业管理协会，组建物业协会专家组，目前我局正同专家组拟定盘龙区老旧小区物业服务标准，探索老旧小区引入物业管理新模式。目前，辖区748个小区的业委会、物委会覆盖率已达100%；全年共处理物业领域投诉3062件；审计认定需整改的13个住宅维修资金项目已追回5个的部分资金；对23个物业项目进行属地备案，对10个物业项目进行物业服务政府指导价备案；对辖区全部居住小区物业服务企业开展信用等级评价；385个物业服务小区全部完成物业服务及收费信息公示；积极推动垃圾分类，共计向小区发放宣传资料22500余份；开展了</w:t>
      </w:r>
      <w:r>
        <w:rPr>
          <w:rFonts w:hint="default" w:ascii="Calibri" w:hAnsi="Calibri" w:eastAsia="微软雅黑" w:cs="Calibri"/>
          <w:i w:val="0"/>
          <w:caps w:val="0"/>
          <w:color w:val="000000"/>
          <w:spacing w:val="0"/>
          <w:sz w:val="30"/>
          <w:szCs w:val="30"/>
          <w:highlight w:val="none"/>
        </w:rPr>
        <w:t>“</w:t>
      </w:r>
      <w:r>
        <w:rPr>
          <w:rFonts w:hint="eastAsia" w:ascii="仿宋_GB2312" w:hAnsi="微软雅黑" w:eastAsia="仿宋_GB2312" w:cs="仿宋_GB2312"/>
          <w:i w:val="0"/>
          <w:caps w:val="0"/>
          <w:color w:val="000000"/>
          <w:spacing w:val="0"/>
          <w:sz w:val="30"/>
          <w:szCs w:val="30"/>
          <w:highlight w:val="none"/>
        </w:rPr>
        <w:t>春城党建新力量</w:t>
      </w:r>
      <w:r>
        <w:rPr>
          <w:rFonts w:hint="default" w:ascii="Calibri" w:hAnsi="Calibri" w:eastAsia="微软雅黑" w:cs="Calibri"/>
          <w:i w:val="0"/>
          <w:caps w:val="0"/>
          <w:color w:val="000000"/>
          <w:spacing w:val="0"/>
          <w:sz w:val="30"/>
          <w:szCs w:val="30"/>
          <w:highlight w:val="none"/>
        </w:rPr>
        <w:t>”</w:t>
      </w:r>
      <w:r>
        <w:rPr>
          <w:rFonts w:hint="eastAsia" w:ascii="仿宋_GB2312" w:hAnsi="微软雅黑" w:eastAsia="仿宋_GB2312" w:cs="仿宋_GB2312"/>
          <w:i w:val="0"/>
          <w:caps w:val="0"/>
          <w:color w:val="000000"/>
          <w:spacing w:val="0"/>
          <w:sz w:val="30"/>
          <w:szCs w:val="30"/>
          <w:highlight w:val="none"/>
        </w:rPr>
        <w:t>专项服务、</w:t>
      </w:r>
      <w:r>
        <w:rPr>
          <w:rFonts w:hint="default" w:ascii="Calibri" w:hAnsi="Calibri" w:eastAsia="微软雅黑" w:cs="Calibri"/>
          <w:i w:val="0"/>
          <w:caps w:val="0"/>
          <w:color w:val="000000"/>
          <w:spacing w:val="0"/>
          <w:sz w:val="30"/>
          <w:szCs w:val="30"/>
          <w:highlight w:val="none"/>
        </w:rPr>
        <w:t>“</w:t>
      </w:r>
      <w:r>
        <w:rPr>
          <w:rFonts w:hint="eastAsia" w:ascii="仿宋_GB2312" w:hAnsi="微软雅黑" w:eastAsia="仿宋_GB2312" w:cs="仿宋_GB2312"/>
          <w:i w:val="0"/>
          <w:caps w:val="0"/>
          <w:color w:val="000000"/>
          <w:spacing w:val="0"/>
          <w:sz w:val="30"/>
          <w:szCs w:val="30"/>
          <w:highlight w:val="none"/>
        </w:rPr>
        <w:t>双星小区</w:t>
      </w:r>
      <w:r>
        <w:rPr>
          <w:rFonts w:hint="default" w:ascii="Calibri" w:hAnsi="Calibri" w:eastAsia="微软雅黑" w:cs="Calibri"/>
          <w:i w:val="0"/>
          <w:caps w:val="0"/>
          <w:color w:val="000000"/>
          <w:spacing w:val="0"/>
          <w:sz w:val="30"/>
          <w:szCs w:val="30"/>
          <w:highlight w:val="none"/>
        </w:rPr>
        <w:t>”</w:t>
      </w:r>
      <w:r>
        <w:rPr>
          <w:rFonts w:hint="eastAsia" w:ascii="仿宋_GB2312" w:hAnsi="微软雅黑" w:eastAsia="仿宋_GB2312" w:cs="仿宋_GB2312"/>
          <w:i w:val="0"/>
          <w:caps w:val="0"/>
          <w:color w:val="000000"/>
          <w:spacing w:val="0"/>
          <w:sz w:val="30"/>
          <w:szCs w:val="30"/>
          <w:highlight w:val="none"/>
        </w:rPr>
        <w:t>评选等活动。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600" w:lineRule="atLeast"/>
        <w:ind w:left="0" w:right="0" w:firstLine="600"/>
        <w:jc w:val="both"/>
        <w:rPr>
          <w:rFonts w:hint="eastAsia" w:ascii="微软雅黑" w:hAnsi="微软雅黑" w:eastAsia="微软雅黑" w:cs="微软雅黑"/>
          <w:i w:val="0"/>
          <w:caps w:val="0"/>
          <w:color w:val="000000"/>
          <w:spacing w:val="0"/>
          <w:sz w:val="18"/>
          <w:szCs w:val="18"/>
          <w:highlight w:val="none"/>
        </w:rPr>
      </w:pPr>
      <w:r>
        <w:rPr>
          <w:rFonts w:hint="eastAsia" w:ascii="仿宋_GB2312" w:hAnsi="微软雅黑" w:eastAsia="仿宋_GB2312" w:cs="仿宋_GB2312"/>
          <w:i w:val="0"/>
          <w:caps w:val="0"/>
          <w:color w:val="000000"/>
          <w:spacing w:val="0"/>
          <w:sz w:val="30"/>
          <w:szCs w:val="30"/>
          <w:highlight w:val="none"/>
        </w:rPr>
        <w:t>4.抓宣传减灾害，提高抵御灾害风险能力。组织开展盘龙区地震灾害综合风险普查，编写震情跟踪月报10篇、年中震情会商报告1篇、2023年度地震趋势研究报告1篇；办结抗震设防审批件7件；完成地震易发区房屋设施抗震设防信息采集，审核通过房屋设施加固工程信息81条、新建工程信息4条；加强抗震救灾组织体系建设及应急救灾能力，我区现共有地震应急志愿者队伍12支，共计480人；修订完善盘龙区2022年地震应急预案；利用</w:t>
      </w:r>
      <w:r>
        <w:rPr>
          <w:rFonts w:hint="default" w:ascii="Calibri" w:hAnsi="Calibri" w:eastAsia="微软雅黑" w:cs="Calibri"/>
          <w:i w:val="0"/>
          <w:caps w:val="0"/>
          <w:color w:val="000000"/>
          <w:spacing w:val="0"/>
          <w:sz w:val="30"/>
          <w:szCs w:val="30"/>
          <w:highlight w:val="none"/>
        </w:rPr>
        <w:t>“</w:t>
      </w:r>
      <w:r>
        <w:rPr>
          <w:rFonts w:hint="eastAsia" w:ascii="仿宋_GB2312" w:hAnsi="微软雅黑" w:eastAsia="仿宋_GB2312" w:cs="仿宋_GB2312"/>
          <w:i w:val="0"/>
          <w:caps w:val="0"/>
          <w:color w:val="000000"/>
          <w:spacing w:val="0"/>
          <w:sz w:val="30"/>
          <w:szCs w:val="30"/>
          <w:highlight w:val="none"/>
        </w:rPr>
        <w:t>5</w:t>
      </w:r>
      <w:r>
        <w:rPr>
          <w:rFonts w:hint="default" w:ascii="Calibri" w:hAnsi="Calibri" w:eastAsia="微软雅黑" w:cs="Calibri"/>
          <w:i w:val="0"/>
          <w:caps w:val="0"/>
          <w:color w:val="000000"/>
          <w:spacing w:val="0"/>
          <w:sz w:val="30"/>
          <w:szCs w:val="30"/>
          <w:highlight w:val="none"/>
        </w:rPr>
        <w:t>·</w:t>
      </w:r>
      <w:r>
        <w:rPr>
          <w:rFonts w:hint="eastAsia" w:ascii="仿宋_GB2312" w:hAnsi="微软雅黑" w:eastAsia="仿宋_GB2312" w:cs="仿宋_GB2312"/>
          <w:i w:val="0"/>
          <w:caps w:val="0"/>
          <w:color w:val="000000"/>
          <w:spacing w:val="0"/>
          <w:sz w:val="30"/>
          <w:szCs w:val="30"/>
          <w:highlight w:val="none"/>
        </w:rPr>
        <w:t>12</w:t>
      </w:r>
      <w:r>
        <w:rPr>
          <w:rFonts w:hint="default" w:ascii="Calibri" w:hAnsi="Calibri" w:eastAsia="微软雅黑" w:cs="Calibri"/>
          <w:i w:val="0"/>
          <w:caps w:val="0"/>
          <w:color w:val="000000"/>
          <w:spacing w:val="0"/>
          <w:sz w:val="30"/>
          <w:szCs w:val="30"/>
          <w:highlight w:val="none"/>
        </w:rPr>
        <w:t>”</w:t>
      </w:r>
      <w:r>
        <w:rPr>
          <w:rFonts w:hint="eastAsia" w:ascii="仿宋_GB2312" w:hAnsi="微软雅黑" w:eastAsia="仿宋_GB2312" w:cs="仿宋_GB2312"/>
          <w:i w:val="0"/>
          <w:caps w:val="0"/>
          <w:color w:val="000000"/>
          <w:spacing w:val="0"/>
          <w:sz w:val="30"/>
          <w:szCs w:val="30"/>
          <w:highlight w:val="none"/>
        </w:rPr>
        <w:t>防灾减灾日、2022年国际减灾日等开展宣传活动6次。我局始终坚持人民至上、生命至上原则，时刻紧绷安全弦，目前，已建成应急避难场所4个，创建省、市级防震减灾科普示范学校6所，创建国家、省、市级地震安全示范社区4个；组建人防专业合成队伍14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600" w:lineRule="atLeast"/>
        <w:ind w:left="0" w:right="0" w:firstLine="600"/>
        <w:jc w:val="both"/>
        <w:rPr>
          <w:rFonts w:hint="eastAsia" w:ascii="微软雅黑" w:hAnsi="微软雅黑" w:eastAsia="微软雅黑" w:cs="微软雅黑"/>
          <w:i w:val="0"/>
          <w:caps w:val="0"/>
          <w:color w:val="000000"/>
          <w:spacing w:val="0"/>
          <w:sz w:val="18"/>
          <w:szCs w:val="18"/>
          <w:highlight w:val="none"/>
        </w:rPr>
      </w:pPr>
      <w:r>
        <w:rPr>
          <w:rFonts w:hint="eastAsia" w:ascii="仿宋_GB2312" w:hAnsi="微软雅黑" w:eastAsia="仿宋_GB2312" w:cs="仿宋_GB2312"/>
          <w:i w:val="0"/>
          <w:caps w:val="0"/>
          <w:color w:val="000000"/>
          <w:spacing w:val="0"/>
          <w:sz w:val="30"/>
          <w:szCs w:val="30"/>
          <w:highlight w:val="none"/>
        </w:rPr>
        <w:t>5.全力推进建筑业发展。进一步加强建筑企业资质监管，办理建筑业企业资质初审171条、资质变更初审370条、施工劳务接件148条；落实重点建筑企业领导包保责任制，精准指导企业产值统计，加强对建投二公司、中交昆明公司等大型国有企业产值调度；引进大型建筑企业入盘龙，分别引入重庆渝发华南（云南）建设工程有限公司、联投城乡建设（云南）发展有限公司；编制印发《盘龙区优秀建筑企业推荐名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600" w:lineRule="atLeast"/>
        <w:ind w:left="0" w:right="0" w:firstLine="600"/>
        <w:jc w:val="both"/>
        <w:rPr>
          <w:rFonts w:hint="eastAsia" w:ascii="微软雅黑" w:hAnsi="微软雅黑" w:eastAsia="微软雅黑" w:cs="微软雅黑"/>
          <w:i w:val="0"/>
          <w:caps w:val="0"/>
          <w:color w:val="000000"/>
          <w:spacing w:val="0"/>
          <w:sz w:val="18"/>
          <w:szCs w:val="18"/>
          <w:highlight w:val="none"/>
        </w:rPr>
      </w:pPr>
      <w:r>
        <w:rPr>
          <w:rFonts w:hint="eastAsia" w:ascii="仿宋_GB2312" w:hAnsi="微软雅黑" w:eastAsia="仿宋_GB2312" w:cs="仿宋_GB2312"/>
          <w:i w:val="0"/>
          <w:caps w:val="0"/>
          <w:color w:val="000000"/>
          <w:spacing w:val="0"/>
          <w:sz w:val="30"/>
          <w:szCs w:val="30"/>
          <w:highlight w:val="none"/>
        </w:rPr>
        <w:t>6.力促房地产业发展平稳。一是全力做好盘龙区</w:t>
      </w:r>
      <w:r>
        <w:rPr>
          <w:rFonts w:hint="default" w:ascii="Calibri" w:hAnsi="Calibri" w:eastAsia="微软雅黑" w:cs="Calibri"/>
          <w:i w:val="0"/>
          <w:caps w:val="0"/>
          <w:color w:val="000000"/>
          <w:spacing w:val="0"/>
          <w:sz w:val="30"/>
          <w:szCs w:val="30"/>
          <w:highlight w:val="none"/>
        </w:rPr>
        <w:t>“</w:t>
      </w:r>
      <w:r>
        <w:rPr>
          <w:rFonts w:hint="eastAsia" w:ascii="仿宋_GB2312" w:hAnsi="微软雅黑" w:eastAsia="仿宋_GB2312" w:cs="仿宋_GB2312"/>
          <w:i w:val="0"/>
          <w:caps w:val="0"/>
          <w:color w:val="000000"/>
          <w:spacing w:val="0"/>
          <w:sz w:val="30"/>
          <w:szCs w:val="30"/>
          <w:highlight w:val="none"/>
        </w:rPr>
        <w:t>保交楼、保民生、保稳定</w:t>
      </w:r>
      <w:r>
        <w:rPr>
          <w:rFonts w:hint="default" w:ascii="Calibri" w:hAnsi="Calibri" w:eastAsia="微软雅黑" w:cs="Calibri"/>
          <w:i w:val="0"/>
          <w:caps w:val="0"/>
          <w:color w:val="000000"/>
          <w:spacing w:val="0"/>
          <w:sz w:val="30"/>
          <w:szCs w:val="30"/>
          <w:highlight w:val="none"/>
        </w:rPr>
        <w:t>”</w:t>
      </w:r>
      <w:r>
        <w:rPr>
          <w:rFonts w:hint="eastAsia" w:ascii="仿宋_GB2312" w:hAnsi="微软雅黑" w:eastAsia="仿宋_GB2312" w:cs="仿宋_GB2312"/>
          <w:i w:val="0"/>
          <w:caps w:val="0"/>
          <w:color w:val="000000"/>
          <w:spacing w:val="0"/>
          <w:sz w:val="30"/>
          <w:szCs w:val="30"/>
          <w:highlight w:val="none"/>
        </w:rPr>
        <w:t>各项工作，通过成立工作专班、出台企业纾困政策、编制</w:t>
      </w:r>
      <w:r>
        <w:rPr>
          <w:rFonts w:hint="default" w:ascii="Calibri" w:hAnsi="Calibri" w:eastAsia="微软雅黑" w:cs="Calibri"/>
          <w:i w:val="0"/>
          <w:caps w:val="0"/>
          <w:color w:val="000000"/>
          <w:spacing w:val="0"/>
          <w:sz w:val="30"/>
          <w:szCs w:val="30"/>
          <w:highlight w:val="none"/>
        </w:rPr>
        <w:t>“</w:t>
      </w:r>
      <w:r>
        <w:rPr>
          <w:rFonts w:hint="eastAsia" w:ascii="仿宋_GB2312" w:hAnsi="微软雅黑" w:eastAsia="仿宋_GB2312" w:cs="仿宋_GB2312"/>
          <w:i w:val="0"/>
          <w:caps w:val="0"/>
          <w:color w:val="000000"/>
          <w:spacing w:val="0"/>
          <w:sz w:val="30"/>
          <w:szCs w:val="30"/>
          <w:highlight w:val="none"/>
        </w:rPr>
        <w:t>一楼一策</w:t>
      </w:r>
      <w:r>
        <w:rPr>
          <w:rFonts w:hint="default" w:ascii="Calibri" w:hAnsi="Calibri" w:eastAsia="微软雅黑" w:cs="Calibri"/>
          <w:i w:val="0"/>
          <w:caps w:val="0"/>
          <w:color w:val="000000"/>
          <w:spacing w:val="0"/>
          <w:sz w:val="30"/>
          <w:szCs w:val="30"/>
          <w:highlight w:val="none"/>
        </w:rPr>
        <w:t>”</w:t>
      </w:r>
      <w:r>
        <w:rPr>
          <w:rFonts w:hint="eastAsia" w:ascii="仿宋_GB2312" w:hAnsi="微软雅黑" w:eastAsia="仿宋_GB2312" w:cs="仿宋_GB2312"/>
          <w:i w:val="0"/>
          <w:caps w:val="0"/>
          <w:color w:val="000000"/>
          <w:spacing w:val="0"/>
          <w:sz w:val="30"/>
          <w:szCs w:val="30"/>
          <w:highlight w:val="none"/>
        </w:rPr>
        <w:t>化解方案、制定复工复产计划、严格预售资金监管、实际施工中动态监管项目资金使用等措施，推动项目复工续建。截止目前，已完成盛唐城G4地块、俊发城文系列、俊尚峰、逸璟峰、天宇澜山等项目的复工续建。二是加强房地产经纪机构和从业人员管理，截止目前，盘龙区在昆明市房屋租赁管理服务平台共有384家门店经纪机构通过审核，录入房屋租赁备案信息53283条。三是持续开展房地产市场、住房租赁中介机构乱象专项整治，现场检查中介机构4次，处理投诉434件，下达限期整改通知书28份，移交区城管局案件24件。</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600" w:lineRule="atLeast"/>
        <w:ind w:left="0" w:right="0" w:firstLine="600"/>
        <w:jc w:val="both"/>
        <w:rPr>
          <w:rFonts w:hint="eastAsia" w:ascii="微软雅黑" w:hAnsi="微软雅黑" w:eastAsia="微软雅黑" w:cs="微软雅黑"/>
          <w:i w:val="0"/>
          <w:caps w:val="0"/>
          <w:color w:val="000000"/>
          <w:spacing w:val="0"/>
          <w:sz w:val="18"/>
          <w:szCs w:val="18"/>
          <w:highlight w:val="none"/>
        </w:rPr>
      </w:pPr>
      <w:r>
        <w:rPr>
          <w:rFonts w:hint="eastAsia" w:ascii="仿宋_GB2312" w:hAnsi="微软雅黑" w:eastAsia="仿宋_GB2312" w:cs="仿宋_GB2312"/>
          <w:i w:val="0"/>
          <w:caps w:val="0"/>
          <w:color w:val="000000"/>
          <w:spacing w:val="0"/>
          <w:sz w:val="30"/>
          <w:szCs w:val="30"/>
          <w:highlight w:val="none"/>
        </w:rPr>
        <w:t>7.建筑施工安全监管。目前全区共有在建工程项目35个，总建筑面积约935.598万㎡。一是签订2022年质量安全目标责任书和安全生产</w:t>
      </w:r>
      <w:r>
        <w:rPr>
          <w:rFonts w:hint="default" w:ascii="Calibri" w:hAnsi="Calibri" w:eastAsia="微软雅黑" w:cs="Calibri"/>
          <w:i w:val="0"/>
          <w:caps w:val="0"/>
          <w:color w:val="000000"/>
          <w:spacing w:val="0"/>
          <w:sz w:val="30"/>
          <w:szCs w:val="30"/>
          <w:highlight w:val="none"/>
        </w:rPr>
        <w:t>“</w:t>
      </w:r>
      <w:r>
        <w:rPr>
          <w:rFonts w:hint="eastAsia" w:ascii="仿宋_GB2312" w:hAnsi="微软雅黑" w:eastAsia="仿宋_GB2312" w:cs="仿宋_GB2312"/>
          <w:i w:val="0"/>
          <w:caps w:val="0"/>
          <w:color w:val="000000"/>
          <w:spacing w:val="0"/>
          <w:sz w:val="30"/>
          <w:szCs w:val="30"/>
          <w:highlight w:val="none"/>
        </w:rPr>
        <w:t>一岗双责</w:t>
      </w:r>
      <w:r>
        <w:rPr>
          <w:rFonts w:hint="default" w:ascii="Calibri" w:hAnsi="Calibri" w:eastAsia="微软雅黑" w:cs="Calibri"/>
          <w:i w:val="0"/>
          <w:caps w:val="0"/>
          <w:color w:val="000000"/>
          <w:spacing w:val="0"/>
          <w:sz w:val="30"/>
          <w:szCs w:val="30"/>
          <w:highlight w:val="none"/>
        </w:rPr>
        <w:t>”</w:t>
      </w:r>
      <w:r>
        <w:rPr>
          <w:rFonts w:hint="eastAsia" w:ascii="仿宋_GB2312" w:hAnsi="微软雅黑" w:eastAsia="仿宋_GB2312" w:cs="仿宋_GB2312"/>
          <w:i w:val="0"/>
          <w:caps w:val="0"/>
          <w:color w:val="000000"/>
          <w:spacing w:val="0"/>
          <w:sz w:val="30"/>
          <w:szCs w:val="30"/>
          <w:highlight w:val="none"/>
        </w:rPr>
        <w:t>责任书150份。二是参加14次危大工程专家论证，梳理56家建设项目危大工程分项清单，并根据清单进行后续监管。三是依托安全生产三年行动计划、</w:t>
      </w:r>
      <w:r>
        <w:rPr>
          <w:rFonts w:hint="default" w:ascii="Calibri" w:hAnsi="Calibri" w:eastAsia="微软雅黑" w:cs="Calibri"/>
          <w:i w:val="0"/>
          <w:caps w:val="0"/>
          <w:color w:val="000000"/>
          <w:spacing w:val="0"/>
          <w:sz w:val="30"/>
          <w:szCs w:val="30"/>
          <w:highlight w:val="none"/>
        </w:rPr>
        <w:t>“</w:t>
      </w:r>
      <w:r>
        <w:rPr>
          <w:rFonts w:hint="eastAsia" w:ascii="仿宋_GB2312" w:hAnsi="微软雅黑" w:eastAsia="仿宋_GB2312" w:cs="仿宋_GB2312"/>
          <w:i w:val="0"/>
          <w:caps w:val="0"/>
          <w:color w:val="000000"/>
          <w:spacing w:val="0"/>
          <w:sz w:val="30"/>
          <w:szCs w:val="30"/>
          <w:highlight w:val="none"/>
        </w:rPr>
        <w:t>百日攻坚</w:t>
      </w:r>
      <w:r>
        <w:rPr>
          <w:rFonts w:hint="default" w:ascii="Calibri" w:hAnsi="Calibri" w:eastAsia="微软雅黑" w:cs="Calibri"/>
          <w:i w:val="0"/>
          <w:caps w:val="0"/>
          <w:color w:val="000000"/>
          <w:spacing w:val="0"/>
          <w:sz w:val="30"/>
          <w:szCs w:val="30"/>
          <w:highlight w:val="none"/>
        </w:rPr>
        <w:t>”</w:t>
      </w:r>
      <w:r>
        <w:rPr>
          <w:rFonts w:hint="eastAsia" w:ascii="仿宋_GB2312" w:hAnsi="微软雅黑" w:eastAsia="仿宋_GB2312" w:cs="仿宋_GB2312"/>
          <w:i w:val="0"/>
          <w:caps w:val="0"/>
          <w:color w:val="000000"/>
          <w:spacing w:val="0"/>
          <w:sz w:val="30"/>
          <w:szCs w:val="30"/>
          <w:highlight w:val="none"/>
        </w:rPr>
        <w:t>行动等工作，开展建筑施工领域监督检查及安全生产宣传教育，累计监督在建项目85个次，下达隐患整改指令书183份，排查安全隐患1350余条，有效整改率达到96%以上；总结事故教训、完善监管机制，形成盘龙区建筑施工领域安全生产形势分析报告；定期发布辖区建筑工地</w:t>
      </w:r>
      <w:r>
        <w:rPr>
          <w:rFonts w:hint="default" w:ascii="Calibri" w:hAnsi="Calibri" w:eastAsia="微软雅黑" w:cs="Calibri"/>
          <w:i w:val="0"/>
          <w:caps w:val="0"/>
          <w:color w:val="000000"/>
          <w:spacing w:val="0"/>
          <w:sz w:val="30"/>
          <w:szCs w:val="30"/>
          <w:highlight w:val="none"/>
        </w:rPr>
        <w:t>“</w:t>
      </w:r>
      <w:r>
        <w:rPr>
          <w:rFonts w:hint="eastAsia" w:ascii="仿宋_GB2312" w:hAnsi="微软雅黑" w:eastAsia="仿宋_GB2312" w:cs="仿宋_GB2312"/>
          <w:i w:val="0"/>
          <w:caps w:val="0"/>
          <w:color w:val="000000"/>
          <w:spacing w:val="0"/>
          <w:sz w:val="30"/>
          <w:szCs w:val="30"/>
          <w:highlight w:val="none"/>
        </w:rPr>
        <w:t>红黑榜</w:t>
      </w:r>
      <w:r>
        <w:rPr>
          <w:rFonts w:hint="default" w:ascii="Calibri" w:hAnsi="Calibri" w:eastAsia="微软雅黑" w:cs="Calibri"/>
          <w:i w:val="0"/>
          <w:caps w:val="0"/>
          <w:color w:val="000000"/>
          <w:spacing w:val="0"/>
          <w:sz w:val="30"/>
          <w:szCs w:val="30"/>
          <w:highlight w:val="none"/>
        </w:rPr>
        <w:t>”</w:t>
      </w:r>
      <w:r>
        <w:rPr>
          <w:rFonts w:hint="eastAsia" w:ascii="仿宋_GB2312" w:hAnsi="微软雅黑" w:eastAsia="仿宋_GB2312" w:cs="仿宋_GB2312"/>
          <w:i w:val="0"/>
          <w:caps w:val="0"/>
          <w:color w:val="000000"/>
          <w:spacing w:val="0"/>
          <w:sz w:val="30"/>
          <w:szCs w:val="30"/>
          <w:highlight w:val="none"/>
        </w:rPr>
        <w:t>；举办安全生产宣传活动20余次，覆盖在建工地、小区物业、燃气门市等多个领域。2022年我局监管的房屋市政工程项目生产安全事故数下降66.7%。</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600" w:lineRule="atLeast"/>
        <w:ind w:left="0" w:right="0" w:firstLine="600"/>
        <w:jc w:val="both"/>
        <w:rPr>
          <w:rFonts w:hint="eastAsia" w:ascii="微软雅黑" w:hAnsi="微软雅黑" w:eastAsia="微软雅黑" w:cs="微软雅黑"/>
          <w:i w:val="0"/>
          <w:caps w:val="0"/>
          <w:color w:val="000000"/>
          <w:spacing w:val="0"/>
          <w:sz w:val="18"/>
          <w:szCs w:val="18"/>
          <w:highlight w:val="none"/>
        </w:rPr>
      </w:pPr>
      <w:r>
        <w:rPr>
          <w:rFonts w:hint="eastAsia" w:ascii="仿宋_GB2312" w:hAnsi="微软雅黑" w:eastAsia="仿宋_GB2312" w:cs="仿宋_GB2312"/>
          <w:i w:val="0"/>
          <w:caps w:val="0"/>
          <w:color w:val="000000"/>
          <w:spacing w:val="0"/>
          <w:sz w:val="30"/>
          <w:szCs w:val="30"/>
          <w:highlight w:val="none"/>
        </w:rPr>
        <w:t>8.消防设计审查及验收。截止目前，办结特殊建设工程消防设计审查事项26件、办理建设工程消防验收16件、建设工程消防验收备案26件；引进第三方消防技术服务机构，充实我区建设工程消防审验技术力量。</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600" w:lineRule="atLeast"/>
        <w:ind w:left="0" w:right="0" w:firstLine="600"/>
        <w:jc w:val="both"/>
        <w:rPr>
          <w:rFonts w:hint="eastAsia" w:ascii="微软雅黑" w:hAnsi="微软雅黑" w:eastAsia="微软雅黑" w:cs="微软雅黑"/>
          <w:i w:val="0"/>
          <w:caps w:val="0"/>
          <w:color w:val="000000"/>
          <w:spacing w:val="0"/>
          <w:sz w:val="18"/>
          <w:szCs w:val="18"/>
          <w:highlight w:val="none"/>
        </w:rPr>
      </w:pPr>
      <w:r>
        <w:rPr>
          <w:rFonts w:hint="eastAsia" w:ascii="仿宋_GB2312" w:hAnsi="微软雅黑" w:eastAsia="仿宋_GB2312" w:cs="仿宋_GB2312"/>
          <w:i w:val="0"/>
          <w:caps w:val="0"/>
          <w:color w:val="000000"/>
          <w:spacing w:val="0"/>
          <w:sz w:val="30"/>
          <w:szCs w:val="30"/>
          <w:highlight w:val="none"/>
        </w:rPr>
        <w:t>9.一是加大检查力度，组织开展燃气行业安全生产集中排查整治8次，与辖区7家液化气企业签订安全经营服务责任书；常态化对燃气场站开展检查16次、对燃气企业检查12次、对燃气供应站点检查132次；开展无证经营液化气联合执法检查2次；开展燃气安全</w:t>
      </w:r>
      <w:r>
        <w:rPr>
          <w:rFonts w:hint="default" w:ascii="Calibri" w:hAnsi="Calibri" w:eastAsia="微软雅黑" w:cs="Calibri"/>
          <w:i w:val="0"/>
          <w:caps w:val="0"/>
          <w:color w:val="000000"/>
          <w:spacing w:val="0"/>
          <w:sz w:val="30"/>
          <w:szCs w:val="30"/>
          <w:highlight w:val="none"/>
        </w:rPr>
        <w:t>“</w:t>
      </w:r>
      <w:r>
        <w:rPr>
          <w:rFonts w:hint="eastAsia" w:ascii="仿宋_GB2312" w:hAnsi="微软雅黑" w:eastAsia="仿宋_GB2312" w:cs="仿宋_GB2312"/>
          <w:i w:val="0"/>
          <w:caps w:val="0"/>
          <w:color w:val="000000"/>
          <w:spacing w:val="0"/>
          <w:sz w:val="30"/>
          <w:szCs w:val="30"/>
          <w:highlight w:val="none"/>
        </w:rPr>
        <w:t>百日攻坚</w:t>
      </w:r>
      <w:r>
        <w:rPr>
          <w:rFonts w:hint="default" w:ascii="Calibri" w:hAnsi="Calibri" w:eastAsia="微软雅黑" w:cs="Calibri"/>
          <w:i w:val="0"/>
          <w:caps w:val="0"/>
          <w:color w:val="000000"/>
          <w:spacing w:val="0"/>
          <w:sz w:val="30"/>
          <w:szCs w:val="30"/>
          <w:highlight w:val="none"/>
        </w:rPr>
        <w:t>”</w:t>
      </w:r>
      <w:r>
        <w:rPr>
          <w:rFonts w:hint="eastAsia" w:ascii="仿宋_GB2312" w:hAnsi="微软雅黑" w:eastAsia="仿宋_GB2312" w:cs="仿宋_GB2312"/>
          <w:i w:val="0"/>
          <w:caps w:val="0"/>
          <w:color w:val="000000"/>
          <w:spacing w:val="0"/>
          <w:sz w:val="30"/>
          <w:szCs w:val="30"/>
          <w:highlight w:val="none"/>
        </w:rPr>
        <w:t>联合检查15次。二是大力推动非居民用户可燃气体报警装置安装工作，目前盘龙区3347户非居民燃气用户已全部完成安装。三是推动占压燃气管道整治，目前整改率95%。四是开展燃气管道老化更新改造，目前可研报告经区人民政府研究同意，已于2022年9月20日获发改批复，后续工作正有序推进。五是组织应急演练及宣传教育，共计开展燃气安全应急演练及知识宣传3次，发放宣传资料3000余份。</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600" w:lineRule="atLeast"/>
        <w:ind w:left="0" w:right="0" w:firstLine="600"/>
        <w:jc w:val="both"/>
        <w:rPr>
          <w:rFonts w:hint="eastAsia" w:ascii="微软雅黑" w:hAnsi="微软雅黑" w:eastAsia="微软雅黑" w:cs="微软雅黑"/>
          <w:i w:val="0"/>
          <w:caps w:val="0"/>
          <w:color w:val="000000"/>
          <w:spacing w:val="0"/>
          <w:sz w:val="18"/>
          <w:szCs w:val="18"/>
          <w:highlight w:val="none"/>
        </w:rPr>
      </w:pPr>
      <w:r>
        <w:rPr>
          <w:rFonts w:hint="eastAsia" w:ascii="仿宋_GB2312" w:hAnsi="微软雅黑" w:eastAsia="仿宋_GB2312" w:cs="仿宋_GB2312"/>
          <w:i w:val="0"/>
          <w:caps w:val="0"/>
          <w:color w:val="000000"/>
          <w:spacing w:val="0"/>
          <w:sz w:val="30"/>
          <w:szCs w:val="30"/>
          <w:highlight w:val="none"/>
        </w:rPr>
        <w:t>10.工程建设审批制度改革。通过精简办证资料、电子证照等举措，建筑工程施工许可证从受理到办结压缩至3个工作日；探索告知承诺+容缺受理机制，积极推行并联审批。今年以来，完成房屋建筑工程和市政基础设施建设工程初步设计审批5件、施工许可证新证核发18件，建筑工程施工许可证变更9件，商品住宅精装修手续5件，房屋装饰装修工程施工许可意见20件，工程建设抗震设防专项审查6件，城镇污水排入排水管网许可36件，既有住宅加装电梯联审意见7件；办理新申报工程质量监督注册27件、质量监督承诺手续1件、质量监督意见手续25件、建设工程安全报监备案32件、深基坑工程设计方案评审申请手续7件、工程竣工验收备案手续8件、牵头竣工联合验收9件。</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600" w:lineRule="atLeast"/>
        <w:ind w:left="0" w:right="0" w:firstLine="600"/>
        <w:jc w:val="both"/>
        <w:rPr>
          <w:rFonts w:hint="eastAsia" w:ascii="微软雅黑" w:hAnsi="微软雅黑" w:eastAsia="微软雅黑" w:cs="微软雅黑"/>
          <w:i w:val="0"/>
          <w:caps w:val="0"/>
          <w:color w:val="000000"/>
          <w:spacing w:val="0"/>
          <w:sz w:val="18"/>
          <w:szCs w:val="18"/>
          <w:highlight w:val="none"/>
        </w:rPr>
      </w:pPr>
      <w:r>
        <w:rPr>
          <w:rFonts w:hint="eastAsia" w:ascii="黑体" w:hAnsi="宋体" w:eastAsia="黑体" w:cs="黑体"/>
          <w:i w:val="0"/>
          <w:caps w:val="0"/>
          <w:color w:val="000000"/>
          <w:spacing w:val="0"/>
          <w:sz w:val="30"/>
          <w:szCs w:val="30"/>
          <w:highlight w:val="none"/>
        </w:rPr>
        <w:t>二、部门基本情况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600" w:lineRule="atLeast"/>
        <w:ind w:left="0" w:right="0" w:firstLine="600"/>
        <w:jc w:val="both"/>
        <w:rPr>
          <w:rFonts w:hint="eastAsia" w:ascii="微软雅黑" w:hAnsi="微软雅黑" w:eastAsia="微软雅黑" w:cs="微软雅黑"/>
          <w:i w:val="0"/>
          <w:caps w:val="0"/>
          <w:color w:val="000000"/>
          <w:spacing w:val="0"/>
          <w:sz w:val="18"/>
          <w:szCs w:val="18"/>
          <w:highlight w:val="none"/>
        </w:rPr>
      </w:pPr>
      <w:r>
        <w:rPr>
          <w:rFonts w:hint="eastAsia" w:ascii="楷体" w:hAnsi="楷体" w:eastAsia="楷体" w:cs="楷体"/>
          <w:i w:val="0"/>
          <w:caps w:val="0"/>
          <w:color w:val="000000"/>
          <w:spacing w:val="0"/>
          <w:sz w:val="30"/>
          <w:szCs w:val="30"/>
          <w:highlight w:val="none"/>
        </w:rPr>
        <w:t>（一）机构设置情况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600" w:lineRule="atLeast"/>
        <w:ind w:left="0" w:right="0" w:firstLine="600"/>
        <w:jc w:val="both"/>
        <w:rPr>
          <w:rFonts w:hint="eastAsia" w:ascii="微软雅黑" w:hAnsi="微软雅黑" w:eastAsia="微软雅黑" w:cs="微软雅黑"/>
          <w:i w:val="0"/>
          <w:caps w:val="0"/>
          <w:color w:val="000000"/>
          <w:spacing w:val="0"/>
          <w:sz w:val="18"/>
          <w:szCs w:val="18"/>
          <w:highlight w:val="none"/>
        </w:rPr>
      </w:pPr>
      <w:r>
        <w:rPr>
          <w:rFonts w:hint="eastAsia" w:ascii="仿宋_GB2312" w:hAnsi="微软雅黑" w:eastAsia="仿宋_GB2312" w:cs="仿宋_GB2312"/>
          <w:i w:val="0"/>
          <w:caps w:val="0"/>
          <w:color w:val="000000"/>
          <w:spacing w:val="0"/>
          <w:sz w:val="30"/>
          <w:szCs w:val="30"/>
          <w:highlight w:val="none"/>
        </w:rPr>
        <w:t>我部门共设置8个内设机构，包括：综合办公室、财务科、城乡建设科、工程建设审批科、物业服务科、企业服务管理科、政策法规科、人民防空综合科。所属单位6个，分别是：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600" w:lineRule="atLeast"/>
        <w:ind w:left="0" w:right="0" w:firstLine="600"/>
        <w:jc w:val="both"/>
        <w:rPr>
          <w:rFonts w:hint="eastAsia" w:ascii="微软雅黑" w:hAnsi="微软雅黑" w:eastAsia="微软雅黑" w:cs="微软雅黑"/>
          <w:i w:val="0"/>
          <w:caps w:val="0"/>
          <w:color w:val="000000"/>
          <w:spacing w:val="0"/>
          <w:sz w:val="18"/>
          <w:szCs w:val="18"/>
          <w:highlight w:val="none"/>
        </w:rPr>
      </w:pPr>
      <w:r>
        <w:rPr>
          <w:rFonts w:hint="eastAsia" w:ascii="仿宋_GB2312" w:hAnsi="微软雅黑" w:eastAsia="仿宋_GB2312" w:cs="仿宋_GB2312"/>
          <w:i w:val="0"/>
          <w:caps w:val="0"/>
          <w:color w:val="000000"/>
          <w:spacing w:val="0"/>
          <w:sz w:val="30"/>
          <w:szCs w:val="30"/>
          <w:highlight w:val="none"/>
        </w:rPr>
        <w:t>1.昆明市盘龙区市政基础设施建设管理处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600" w:lineRule="atLeast"/>
        <w:ind w:left="0" w:right="0" w:firstLine="600"/>
        <w:jc w:val="both"/>
        <w:rPr>
          <w:rFonts w:hint="eastAsia" w:ascii="微软雅黑" w:hAnsi="微软雅黑" w:eastAsia="微软雅黑" w:cs="微软雅黑"/>
          <w:i w:val="0"/>
          <w:caps w:val="0"/>
          <w:color w:val="000000"/>
          <w:spacing w:val="0"/>
          <w:sz w:val="18"/>
          <w:szCs w:val="18"/>
          <w:highlight w:val="none"/>
        </w:rPr>
      </w:pPr>
      <w:r>
        <w:rPr>
          <w:rFonts w:hint="eastAsia" w:ascii="仿宋_GB2312" w:hAnsi="微软雅黑" w:eastAsia="仿宋_GB2312" w:cs="仿宋_GB2312"/>
          <w:i w:val="0"/>
          <w:caps w:val="0"/>
          <w:color w:val="000000"/>
          <w:spacing w:val="0"/>
          <w:sz w:val="30"/>
          <w:szCs w:val="30"/>
          <w:highlight w:val="none"/>
        </w:rPr>
        <w:t>2.盘龙区房屋安全鉴定和建设工程质量安全监督站</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600" w:lineRule="atLeast"/>
        <w:ind w:left="0" w:right="0" w:firstLine="600"/>
        <w:jc w:val="both"/>
        <w:rPr>
          <w:rFonts w:hint="eastAsia" w:ascii="微软雅黑" w:hAnsi="微软雅黑" w:eastAsia="微软雅黑" w:cs="微软雅黑"/>
          <w:i w:val="0"/>
          <w:caps w:val="0"/>
          <w:color w:val="000000"/>
          <w:spacing w:val="0"/>
          <w:sz w:val="18"/>
          <w:szCs w:val="18"/>
          <w:highlight w:val="none"/>
        </w:rPr>
      </w:pPr>
      <w:r>
        <w:rPr>
          <w:rFonts w:hint="eastAsia" w:ascii="仿宋_GB2312" w:hAnsi="微软雅黑" w:eastAsia="仿宋_GB2312" w:cs="仿宋_GB2312"/>
          <w:i w:val="0"/>
          <w:caps w:val="0"/>
          <w:color w:val="000000"/>
          <w:spacing w:val="0"/>
          <w:sz w:val="30"/>
          <w:szCs w:val="30"/>
          <w:highlight w:val="none"/>
        </w:rPr>
        <w:t>3.昆明市盘龙区廉租住房建设管理处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600" w:lineRule="atLeast"/>
        <w:ind w:left="0" w:right="0" w:firstLine="600"/>
        <w:jc w:val="both"/>
        <w:rPr>
          <w:rFonts w:hint="eastAsia" w:ascii="微软雅黑" w:hAnsi="微软雅黑" w:eastAsia="微软雅黑" w:cs="微软雅黑"/>
          <w:i w:val="0"/>
          <w:caps w:val="0"/>
          <w:color w:val="000000"/>
          <w:spacing w:val="0"/>
          <w:sz w:val="18"/>
          <w:szCs w:val="18"/>
          <w:highlight w:val="none"/>
        </w:rPr>
      </w:pPr>
      <w:r>
        <w:rPr>
          <w:rFonts w:hint="eastAsia" w:ascii="仿宋_GB2312" w:hAnsi="微软雅黑" w:eastAsia="仿宋_GB2312" w:cs="仿宋_GB2312"/>
          <w:i w:val="0"/>
          <w:caps w:val="0"/>
          <w:color w:val="000000"/>
          <w:spacing w:val="0"/>
          <w:sz w:val="30"/>
          <w:szCs w:val="30"/>
          <w:highlight w:val="none"/>
        </w:rPr>
        <w:t>4.昆明市盘龙区防震减灾局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600" w:lineRule="atLeast"/>
        <w:ind w:left="0" w:right="0" w:firstLine="600"/>
        <w:jc w:val="both"/>
        <w:rPr>
          <w:rFonts w:hint="eastAsia" w:ascii="微软雅黑" w:hAnsi="微软雅黑" w:eastAsia="微软雅黑" w:cs="微软雅黑"/>
          <w:i w:val="0"/>
          <w:caps w:val="0"/>
          <w:color w:val="000000"/>
          <w:spacing w:val="0"/>
          <w:sz w:val="18"/>
          <w:szCs w:val="18"/>
          <w:highlight w:val="none"/>
        </w:rPr>
      </w:pPr>
      <w:r>
        <w:rPr>
          <w:rFonts w:hint="eastAsia" w:ascii="仿宋_GB2312" w:hAnsi="微软雅黑" w:eastAsia="仿宋_GB2312" w:cs="仿宋_GB2312"/>
          <w:i w:val="0"/>
          <w:caps w:val="0"/>
          <w:color w:val="000000"/>
          <w:spacing w:val="0"/>
          <w:sz w:val="30"/>
          <w:szCs w:val="30"/>
          <w:highlight w:val="none"/>
        </w:rPr>
        <w:t>5.昆明市盘龙区保障性住房管理服务中心</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600" w:lineRule="atLeast"/>
        <w:ind w:left="0" w:right="0" w:firstLine="600"/>
        <w:jc w:val="both"/>
        <w:rPr>
          <w:rFonts w:hint="eastAsia" w:ascii="微软雅黑" w:hAnsi="微软雅黑" w:eastAsia="微软雅黑" w:cs="微软雅黑"/>
          <w:i w:val="0"/>
          <w:caps w:val="0"/>
          <w:color w:val="000000"/>
          <w:spacing w:val="0"/>
          <w:sz w:val="18"/>
          <w:szCs w:val="18"/>
          <w:highlight w:val="none"/>
        </w:rPr>
      </w:pPr>
      <w:r>
        <w:rPr>
          <w:rFonts w:hint="eastAsia" w:ascii="仿宋_GB2312" w:hAnsi="微软雅黑" w:eastAsia="仿宋_GB2312" w:cs="仿宋_GB2312"/>
          <w:i w:val="0"/>
          <w:caps w:val="0"/>
          <w:color w:val="000000"/>
          <w:spacing w:val="0"/>
          <w:sz w:val="30"/>
          <w:szCs w:val="30"/>
          <w:highlight w:val="none"/>
        </w:rPr>
        <w:t>6.昆明市盘龙区建设工程定额站</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600" w:lineRule="atLeast"/>
        <w:ind w:left="0" w:right="0" w:firstLine="600"/>
        <w:jc w:val="both"/>
        <w:rPr>
          <w:rFonts w:hint="eastAsia" w:ascii="微软雅黑" w:hAnsi="微软雅黑" w:eastAsia="微软雅黑" w:cs="微软雅黑"/>
          <w:i w:val="0"/>
          <w:caps w:val="0"/>
          <w:color w:val="000000"/>
          <w:spacing w:val="0"/>
          <w:sz w:val="18"/>
          <w:szCs w:val="18"/>
          <w:highlight w:val="none"/>
        </w:rPr>
      </w:pPr>
      <w:r>
        <w:rPr>
          <w:rFonts w:hint="eastAsia" w:ascii="楷体" w:hAnsi="楷体" w:eastAsia="楷体" w:cs="楷体"/>
          <w:i w:val="0"/>
          <w:caps w:val="0"/>
          <w:color w:val="000000"/>
          <w:spacing w:val="0"/>
          <w:sz w:val="30"/>
          <w:szCs w:val="30"/>
          <w:highlight w:val="none"/>
        </w:rPr>
        <w:t>（二）决算单位构成</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600" w:lineRule="atLeast"/>
        <w:ind w:left="0" w:right="0" w:firstLine="600"/>
        <w:jc w:val="both"/>
        <w:rPr>
          <w:rFonts w:hint="eastAsia" w:ascii="微软雅黑" w:hAnsi="微软雅黑" w:eastAsia="微软雅黑" w:cs="微软雅黑"/>
          <w:i w:val="0"/>
          <w:caps w:val="0"/>
          <w:color w:val="000000"/>
          <w:spacing w:val="0"/>
          <w:sz w:val="18"/>
          <w:szCs w:val="18"/>
          <w:highlight w:val="none"/>
        </w:rPr>
      </w:pPr>
      <w:r>
        <w:rPr>
          <w:rFonts w:hint="eastAsia" w:ascii="仿宋_GB2312" w:hAnsi="微软雅黑" w:eastAsia="仿宋_GB2312" w:cs="仿宋_GB2312"/>
          <w:i w:val="0"/>
          <w:caps w:val="0"/>
          <w:color w:val="000000"/>
          <w:spacing w:val="0"/>
          <w:sz w:val="30"/>
          <w:szCs w:val="30"/>
          <w:highlight w:val="none"/>
        </w:rPr>
        <w:t>纳入昆明市盘龙区住房和城乡建设局（本级）2022年度决算编报的单位共6个。其中：行政单位1个，参照公务员法管理的事业单位0个，其他事业单位5个。分别是：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600" w:lineRule="atLeast"/>
        <w:ind w:left="0" w:right="0" w:firstLine="600"/>
        <w:jc w:val="both"/>
        <w:rPr>
          <w:rFonts w:hint="eastAsia" w:ascii="微软雅黑" w:hAnsi="微软雅黑" w:eastAsia="微软雅黑" w:cs="微软雅黑"/>
          <w:i w:val="0"/>
          <w:caps w:val="0"/>
          <w:color w:val="000000"/>
          <w:spacing w:val="0"/>
          <w:sz w:val="18"/>
          <w:szCs w:val="18"/>
          <w:highlight w:val="none"/>
        </w:rPr>
      </w:pPr>
      <w:r>
        <w:rPr>
          <w:rFonts w:hint="eastAsia" w:ascii="仿宋_GB2312" w:hAnsi="微软雅黑" w:eastAsia="仿宋_GB2312" w:cs="仿宋_GB2312"/>
          <w:i w:val="0"/>
          <w:caps w:val="0"/>
          <w:color w:val="000000"/>
          <w:spacing w:val="0"/>
          <w:sz w:val="30"/>
          <w:szCs w:val="30"/>
          <w:highlight w:val="none"/>
        </w:rPr>
        <w:t>1.昆明市盘龙区住房和城乡建设局（本级）</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600" w:lineRule="atLeast"/>
        <w:ind w:left="0" w:right="0" w:firstLine="600"/>
        <w:jc w:val="both"/>
        <w:rPr>
          <w:rFonts w:hint="eastAsia" w:ascii="微软雅黑" w:hAnsi="微软雅黑" w:eastAsia="微软雅黑" w:cs="微软雅黑"/>
          <w:i w:val="0"/>
          <w:caps w:val="0"/>
          <w:color w:val="000000"/>
          <w:spacing w:val="0"/>
          <w:sz w:val="18"/>
          <w:szCs w:val="18"/>
          <w:highlight w:val="none"/>
        </w:rPr>
      </w:pPr>
      <w:r>
        <w:rPr>
          <w:rFonts w:hint="eastAsia" w:ascii="仿宋_GB2312" w:hAnsi="微软雅黑" w:eastAsia="仿宋_GB2312" w:cs="仿宋_GB2312"/>
          <w:i w:val="0"/>
          <w:caps w:val="0"/>
          <w:color w:val="000000"/>
          <w:spacing w:val="0"/>
          <w:sz w:val="30"/>
          <w:szCs w:val="30"/>
          <w:highlight w:val="none"/>
        </w:rPr>
        <w:t>2.盘龙区房屋安全鉴定和建设工程质量安全监督站</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600" w:lineRule="atLeast"/>
        <w:ind w:left="0" w:right="0" w:firstLine="600"/>
        <w:jc w:val="both"/>
        <w:rPr>
          <w:rFonts w:hint="eastAsia" w:ascii="微软雅黑" w:hAnsi="微软雅黑" w:eastAsia="微软雅黑" w:cs="微软雅黑"/>
          <w:i w:val="0"/>
          <w:caps w:val="0"/>
          <w:color w:val="000000"/>
          <w:spacing w:val="0"/>
          <w:sz w:val="18"/>
          <w:szCs w:val="18"/>
          <w:highlight w:val="none"/>
        </w:rPr>
      </w:pPr>
      <w:r>
        <w:rPr>
          <w:rFonts w:hint="eastAsia" w:ascii="仿宋_GB2312" w:hAnsi="微软雅黑" w:eastAsia="仿宋_GB2312" w:cs="仿宋_GB2312"/>
          <w:i w:val="0"/>
          <w:caps w:val="0"/>
          <w:color w:val="000000"/>
          <w:spacing w:val="0"/>
          <w:sz w:val="30"/>
          <w:szCs w:val="30"/>
          <w:highlight w:val="none"/>
        </w:rPr>
        <w:t>3.昆明市盘龙区廉租住房建设管理处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600" w:lineRule="atLeast"/>
        <w:ind w:left="0" w:right="0" w:firstLine="600"/>
        <w:jc w:val="both"/>
        <w:rPr>
          <w:rFonts w:hint="eastAsia" w:ascii="微软雅黑" w:hAnsi="微软雅黑" w:eastAsia="微软雅黑" w:cs="微软雅黑"/>
          <w:i w:val="0"/>
          <w:caps w:val="0"/>
          <w:color w:val="000000"/>
          <w:spacing w:val="0"/>
          <w:sz w:val="18"/>
          <w:szCs w:val="18"/>
          <w:highlight w:val="none"/>
        </w:rPr>
      </w:pPr>
      <w:r>
        <w:rPr>
          <w:rFonts w:hint="eastAsia" w:ascii="仿宋_GB2312" w:hAnsi="微软雅黑" w:eastAsia="仿宋_GB2312" w:cs="仿宋_GB2312"/>
          <w:i w:val="0"/>
          <w:caps w:val="0"/>
          <w:color w:val="000000"/>
          <w:spacing w:val="0"/>
          <w:sz w:val="30"/>
          <w:szCs w:val="30"/>
          <w:highlight w:val="none"/>
        </w:rPr>
        <w:t>4.昆明市盘龙区防震减灾局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600" w:lineRule="atLeast"/>
        <w:ind w:left="0" w:right="0" w:firstLine="600"/>
        <w:jc w:val="both"/>
        <w:rPr>
          <w:rFonts w:hint="eastAsia" w:ascii="微软雅黑" w:hAnsi="微软雅黑" w:eastAsia="微软雅黑" w:cs="微软雅黑"/>
          <w:i w:val="0"/>
          <w:caps w:val="0"/>
          <w:color w:val="000000"/>
          <w:spacing w:val="0"/>
          <w:sz w:val="18"/>
          <w:szCs w:val="18"/>
          <w:highlight w:val="none"/>
        </w:rPr>
      </w:pPr>
      <w:r>
        <w:rPr>
          <w:rFonts w:hint="eastAsia" w:ascii="仿宋_GB2312" w:hAnsi="微软雅黑" w:eastAsia="仿宋_GB2312" w:cs="仿宋_GB2312"/>
          <w:i w:val="0"/>
          <w:caps w:val="0"/>
          <w:color w:val="000000"/>
          <w:spacing w:val="0"/>
          <w:sz w:val="30"/>
          <w:szCs w:val="30"/>
          <w:highlight w:val="none"/>
        </w:rPr>
        <w:t>5.昆明市盘龙区保障性住房管理服务中心</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600" w:lineRule="atLeast"/>
        <w:ind w:left="0" w:right="0" w:firstLine="600"/>
        <w:jc w:val="both"/>
        <w:rPr>
          <w:rFonts w:hint="eastAsia" w:ascii="微软雅黑" w:hAnsi="微软雅黑" w:eastAsia="微软雅黑" w:cs="微软雅黑"/>
          <w:i w:val="0"/>
          <w:caps w:val="0"/>
          <w:color w:val="000000"/>
          <w:spacing w:val="0"/>
          <w:sz w:val="18"/>
          <w:szCs w:val="18"/>
          <w:highlight w:val="none"/>
        </w:rPr>
      </w:pPr>
      <w:r>
        <w:rPr>
          <w:rFonts w:hint="eastAsia" w:ascii="仿宋_GB2312" w:hAnsi="微软雅黑" w:eastAsia="仿宋_GB2312" w:cs="仿宋_GB2312"/>
          <w:i w:val="0"/>
          <w:caps w:val="0"/>
          <w:color w:val="000000"/>
          <w:spacing w:val="0"/>
          <w:sz w:val="30"/>
          <w:szCs w:val="30"/>
          <w:highlight w:val="none"/>
        </w:rPr>
        <w:t>6.昆明市盘龙区建设工程定额站</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600" w:lineRule="atLeast"/>
        <w:ind w:left="0" w:right="0" w:firstLine="600"/>
        <w:jc w:val="both"/>
        <w:rPr>
          <w:rFonts w:hint="eastAsia" w:ascii="微软雅黑" w:hAnsi="微软雅黑" w:eastAsia="微软雅黑" w:cs="微软雅黑"/>
          <w:i w:val="0"/>
          <w:caps w:val="0"/>
          <w:color w:val="000000"/>
          <w:spacing w:val="0"/>
          <w:sz w:val="18"/>
          <w:szCs w:val="18"/>
          <w:highlight w:val="none"/>
        </w:rPr>
      </w:pPr>
      <w:r>
        <w:rPr>
          <w:rFonts w:hint="eastAsia" w:ascii="楷体" w:hAnsi="楷体" w:eastAsia="楷体" w:cs="楷体"/>
          <w:i w:val="0"/>
          <w:caps w:val="0"/>
          <w:color w:val="000000"/>
          <w:spacing w:val="0"/>
          <w:sz w:val="30"/>
          <w:szCs w:val="30"/>
          <w:highlight w:val="none"/>
        </w:rPr>
        <w:t>（三）部门人员和车辆的编制及实有情况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600" w:lineRule="atLeast"/>
        <w:ind w:left="0" w:right="0" w:firstLine="600"/>
        <w:jc w:val="both"/>
        <w:rPr>
          <w:rFonts w:hint="eastAsia" w:ascii="微软雅黑" w:hAnsi="微软雅黑" w:eastAsia="微软雅黑" w:cs="微软雅黑"/>
          <w:i w:val="0"/>
          <w:caps w:val="0"/>
          <w:color w:val="000000"/>
          <w:spacing w:val="0"/>
          <w:sz w:val="18"/>
          <w:szCs w:val="18"/>
          <w:highlight w:val="none"/>
        </w:rPr>
      </w:pPr>
      <w:r>
        <w:rPr>
          <w:rFonts w:hint="eastAsia" w:ascii="仿宋_GB2312" w:hAnsi="微软雅黑" w:eastAsia="仿宋_GB2312" w:cs="仿宋_GB2312"/>
          <w:i w:val="0"/>
          <w:caps w:val="0"/>
          <w:color w:val="000000"/>
          <w:spacing w:val="0"/>
          <w:sz w:val="30"/>
          <w:szCs w:val="30"/>
          <w:highlight w:val="none"/>
        </w:rPr>
        <w:t>昆明市盘龙区住房和城乡建设局（本级）2022年末实有人员编制94人。其中：行政编制14人（含行政工勤编制2人），事业编制80人（含参公管理事业编制0人）；在职在编实有行政人员17人（含行政工勤人员2人），事业人员64人（含参公管理事业人员0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600" w:lineRule="atLeast"/>
        <w:ind w:left="0" w:right="0" w:firstLine="600"/>
        <w:jc w:val="both"/>
        <w:rPr>
          <w:rFonts w:hint="eastAsia" w:ascii="微软雅黑" w:hAnsi="微软雅黑" w:eastAsia="微软雅黑" w:cs="微软雅黑"/>
          <w:i w:val="0"/>
          <w:caps w:val="0"/>
          <w:color w:val="000000"/>
          <w:spacing w:val="0"/>
          <w:sz w:val="18"/>
          <w:szCs w:val="18"/>
          <w:highlight w:val="none"/>
        </w:rPr>
      </w:pPr>
      <w:r>
        <w:rPr>
          <w:rFonts w:hint="eastAsia" w:ascii="仿宋_GB2312" w:hAnsi="微软雅黑" w:eastAsia="仿宋_GB2312" w:cs="仿宋_GB2312"/>
          <w:i w:val="0"/>
          <w:caps w:val="0"/>
          <w:color w:val="000000"/>
          <w:spacing w:val="0"/>
          <w:sz w:val="30"/>
          <w:szCs w:val="30"/>
          <w:highlight w:val="none"/>
        </w:rPr>
        <w:t>尚未移交养老保险基金发放养老金的离退休人员共计0人（离休0人，退休0人）；由养老保险基金发放养老金的离退休人员</w:t>
      </w:r>
      <w:r>
        <w:rPr>
          <w:rFonts w:hint="eastAsia" w:ascii="仿宋_GB2312" w:hAnsi="微软雅黑" w:eastAsia="仿宋_GB2312" w:cs="仿宋_GB2312"/>
          <w:i w:val="0"/>
          <w:caps w:val="0"/>
          <w:color w:val="000000"/>
          <w:spacing w:val="0"/>
          <w:sz w:val="30"/>
          <w:szCs w:val="30"/>
          <w:highlight w:val="none"/>
          <w:lang w:val="en-US" w:eastAsia="zh-CN"/>
        </w:rPr>
        <w:t>50</w:t>
      </w:r>
      <w:r>
        <w:rPr>
          <w:rFonts w:hint="eastAsia" w:ascii="仿宋_GB2312" w:hAnsi="微软雅黑" w:eastAsia="仿宋_GB2312" w:cs="仿宋_GB2312"/>
          <w:i w:val="0"/>
          <w:caps w:val="0"/>
          <w:color w:val="000000"/>
          <w:spacing w:val="0"/>
          <w:sz w:val="30"/>
          <w:szCs w:val="30"/>
          <w:highlight w:val="none"/>
        </w:rPr>
        <w:t>人（离休0人，退休50人）。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600" w:lineRule="atLeast"/>
        <w:ind w:left="0" w:right="0" w:firstLine="600"/>
        <w:jc w:val="both"/>
        <w:rPr>
          <w:rFonts w:hint="eastAsia" w:ascii="微软雅黑" w:hAnsi="微软雅黑" w:eastAsia="微软雅黑" w:cs="微软雅黑"/>
          <w:i w:val="0"/>
          <w:caps w:val="0"/>
          <w:color w:val="000000"/>
          <w:spacing w:val="0"/>
          <w:sz w:val="18"/>
          <w:szCs w:val="18"/>
          <w:highlight w:val="none"/>
        </w:rPr>
      </w:pPr>
      <w:r>
        <w:rPr>
          <w:rFonts w:hint="eastAsia" w:ascii="仿宋_GB2312" w:hAnsi="微软雅黑" w:eastAsia="仿宋_GB2312" w:cs="仿宋_GB2312"/>
          <w:i w:val="0"/>
          <w:caps w:val="0"/>
          <w:color w:val="000000"/>
          <w:spacing w:val="0"/>
          <w:sz w:val="30"/>
          <w:szCs w:val="30"/>
          <w:highlight w:val="none"/>
        </w:rPr>
        <w:t>实有车辆编制2辆，在编实有车辆2辆。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firstLine="0"/>
        <w:jc w:val="center"/>
        <w:rPr>
          <w:rFonts w:hint="eastAsia" w:ascii="微软雅黑" w:hAnsi="微软雅黑" w:eastAsia="微软雅黑" w:cs="微软雅黑"/>
          <w:i w:val="0"/>
          <w:caps w:val="0"/>
          <w:color w:val="000000"/>
          <w:spacing w:val="0"/>
          <w:sz w:val="32"/>
          <w:szCs w:val="32"/>
          <w:highlight w:val="none"/>
        </w:rPr>
      </w:pPr>
      <w:r>
        <w:rPr>
          <w:rFonts w:hint="eastAsia" w:ascii="黑体" w:hAnsi="宋体" w:eastAsia="黑体" w:cs="黑体"/>
          <w:i w:val="0"/>
          <w:caps w:val="0"/>
          <w:color w:val="000000"/>
          <w:spacing w:val="0"/>
          <w:sz w:val="32"/>
          <w:szCs w:val="32"/>
          <w:highlight w:val="none"/>
        </w:rPr>
        <w:t>第二部分2022年度决算表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600" w:lineRule="atLeast"/>
        <w:ind w:left="0" w:right="0" w:firstLine="600"/>
        <w:jc w:val="center"/>
        <w:rPr>
          <w:rFonts w:hint="eastAsia" w:ascii="微软雅黑" w:hAnsi="微软雅黑" w:eastAsia="微软雅黑" w:cs="微软雅黑"/>
          <w:i w:val="0"/>
          <w:caps w:val="0"/>
          <w:color w:val="000000"/>
          <w:spacing w:val="0"/>
          <w:sz w:val="18"/>
          <w:szCs w:val="18"/>
          <w:highlight w:val="none"/>
        </w:rPr>
      </w:pPr>
      <w:r>
        <w:rPr>
          <w:rFonts w:hint="eastAsia" w:ascii="仿宋_GB2312" w:hAnsi="微软雅黑" w:eastAsia="仿宋_GB2312" w:cs="仿宋_GB2312"/>
          <w:i w:val="0"/>
          <w:caps w:val="0"/>
          <w:color w:val="000000"/>
          <w:spacing w:val="0"/>
          <w:sz w:val="30"/>
          <w:szCs w:val="30"/>
          <w:highlight w:val="none"/>
        </w:rPr>
        <w:t>（详见附件）</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firstLine="0"/>
        <w:jc w:val="center"/>
        <w:rPr>
          <w:rFonts w:hint="eastAsia" w:ascii="微软雅黑" w:hAnsi="微软雅黑" w:eastAsia="微软雅黑" w:cs="微软雅黑"/>
          <w:i w:val="0"/>
          <w:caps w:val="0"/>
          <w:color w:val="000000"/>
          <w:spacing w:val="0"/>
          <w:sz w:val="30"/>
          <w:szCs w:val="30"/>
          <w:highlight w:val="none"/>
        </w:rPr>
      </w:pPr>
      <w:r>
        <w:rPr>
          <w:rFonts w:hint="eastAsia" w:ascii="黑体" w:hAnsi="宋体" w:eastAsia="黑体" w:cs="黑体"/>
          <w:i w:val="0"/>
          <w:caps w:val="0"/>
          <w:color w:val="000000"/>
          <w:spacing w:val="0"/>
          <w:sz w:val="30"/>
          <w:szCs w:val="30"/>
          <w:highlight w:val="none"/>
        </w:rPr>
        <w:t>第三部分2022年度决算情况说明</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45" w:lineRule="atLeast"/>
        <w:ind w:left="0" w:right="0" w:firstLine="600"/>
        <w:rPr>
          <w:rFonts w:hint="eastAsia" w:ascii="微软雅黑" w:hAnsi="微软雅黑" w:eastAsia="微软雅黑" w:cs="微软雅黑"/>
          <w:i w:val="0"/>
          <w:caps w:val="0"/>
          <w:color w:val="000000"/>
          <w:spacing w:val="0"/>
          <w:sz w:val="30"/>
          <w:szCs w:val="30"/>
          <w:highlight w:val="none"/>
        </w:rPr>
      </w:pPr>
      <w:r>
        <w:rPr>
          <w:rFonts w:hint="eastAsia" w:ascii="黑体" w:hAnsi="宋体" w:eastAsia="黑体" w:cs="黑体"/>
          <w:i w:val="0"/>
          <w:caps w:val="0"/>
          <w:color w:val="000000"/>
          <w:spacing w:val="0"/>
          <w:sz w:val="30"/>
          <w:szCs w:val="30"/>
          <w:highlight w:val="none"/>
        </w:rPr>
        <w:t>一、收入决算情况说明</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600" w:lineRule="atLeast"/>
        <w:ind w:left="0" w:right="0" w:firstLine="538"/>
        <w:rPr>
          <w:rFonts w:hint="eastAsia" w:ascii="微软雅黑" w:hAnsi="微软雅黑" w:eastAsia="微软雅黑" w:cs="微软雅黑"/>
          <w:i w:val="0"/>
          <w:caps w:val="0"/>
          <w:color w:val="000000"/>
          <w:spacing w:val="0"/>
          <w:sz w:val="18"/>
          <w:szCs w:val="18"/>
          <w:highlight w:val="none"/>
        </w:rPr>
      </w:pPr>
      <w:r>
        <w:rPr>
          <w:rFonts w:hint="eastAsia" w:ascii="仿宋_GB2312" w:hAnsi="微软雅黑" w:eastAsia="仿宋_GB2312" w:cs="仿宋_GB2312"/>
          <w:i w:val="0"/>
          <w:caps w:val="0"/>
          <w:color w:val="000000"/>
          <w:spacing w:val="0"/>
          <w:sz w:val="30"/>
          <w:szCs w:val="30"/>
          <w:highlight w:val="none"/>
        </w:rPr>
        <w:t>昆明市盘龙区住房和城乡建设局（本级）2022年度收入合计835707232.76元。其中：财政拨款收入835707232.76元，占总收入的100%；上级补助收入0元，占总收入的0%；事业收入0元（含教育收费0元），占总收入的0%；经营收入0元，占总收入的0%；附属单位上缴收入0元，占总收入的0%；其他收入0元，占总收入的0%。与上年相比，上年收入合计144903711.81元，收入合计增加690803520.95元，增长476.73%。其中：财政拨款收入增加690803520.95元，增长476.73%；上级补助收入增加0元，增长0%；事业收入增加0元，增长0%；经营收入增加0元，增长0%；附属单位上缴收入增加0元，增长0%；其他收入增加0元，增长0%。主要原因是本年度政府安排政府性基金预算财政拨款收入700000000元，故经费较上年增幅较大。</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45" w:lineRule="atLeast"/>
        <w:ind w:left="0" w:right="0" w:firstLine="600"/>
        <w:rPr>
          <w:rFonts w:hint="eastAsia" w:ascii="微软雅黑" w:hAnsi="微软雅黑" w:eastAsia="微软雅黑" w:cs="微软雅黑"/>
          <w:i w:val="0"/>
          <w:caps w:val="0"/>
          <w:color w:val="000000"/>
          <w:spacing w:val="0"/>
          <w:sz w:val="30"/>
          <w:szCs w:val="30"/>
          <w:highlight w:val="none"/>
        </w:rPr>
      </w:pPr>
      <w:r>
        <w:rPr>
          <w:rFonts w:hint="eastAsia" w:ascii="黑体" w:hAnsi="宋体" w:eastAsia="黑体" w:cs="黑体"/>
          <w:i w:val="0"/>
          <w:caps w:val="0"/>
          <w:color w:val="000000"/>
          <w:spacing w:val="0"/>
          <w:sz w:val="30"/>
          <w:szCs w:val="30"/>
          <w:highlight w:val="none"/>
        </w:rPr>
        <w:t>二、支出决算情况说明</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600" w:lineRule="atLeast"/>
        <w:ind w:left="0" w:right="0" w:firstLine="600"/>
        <w:jc w:val="both"/>
        <w:rPr>
          <w:rFonts w:hint="eastAsia" w:ascii="微软雅黑" w:hAnsi="微软雅黑" w:eastAsia="微软雅黑" w:cs="微软雅黑"/>
          <w:i w:val="0"/>
          <w:caps w:val="0"/>
          <w:color w:val="000000"/>
          <w:spacing w:val="0"/>
          <w:sz w:val="18"/>
          <w:szCs w:val="18"/>
          <w:highlight w:val="none"/>
        </w:rPr>
      </w:pPr>
      <w:r>
        <w:rPr>
          <w:rFonts w:hint="eastAsia" w:ascii="仿宋_GB2312" w:hAnsi="微软雅黑" w:eastAsia="仿宋_GB2312" w:cs="仿宋_GB2312"/>
          <w:i w:val="0"/>
          <w:caps w:val="0"/>
          <w:color w:val="000000"/>
          <w:spacing w:val="0"/>
          <w:sz w:val="30"/>
          <w:szCs w:val="30"/>
          <w:highlight w:val="none"/>
        </w:rPr>
        <w:t>昆明市盘龙区住房和城乡建设局（本级）2022年度支出合计835707232.76元。其中：基本支出21925998.19元，占总支出的2.62％；项目支出813781234.57元，占总支出的97.38％；上缴上级支出0元，占总支出的0％；经营支出0元，占总支出的0％；对附属单位补助支出0元，占总支出的0％。与上年相比，上年支出合计145173488.73元，支出合计增加690533744.03元，增长475.66%。其中：上年基本支出16848752.64元，基本支出增加5077245.55元，增长30.13%；上年项目支出128324736.09元，项目支出增加707382496.67元，增长551.24%；上缴上级支出增加0元，增长0%；经营支出增加0元，增长0%；对附属单位补助支出增加0元，增长0%。基本支出增加主要原因：2022年新招录人员且部分职工工资职级发生变动，导致基本支出经费较上年增加；项目支出增加主要原因：年度内政府安排政府性基金预算财政拨款收入700000000元，故导致增长幅度较大。</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600" w:lineRule="atLeast"/>
        <w:ind w:left="0" w:right="0" w:firstLine="600"/>
        <w:rPr>
          <w:rFonts w:hint="eastAsia" w:ascii="微软雅黑" w:hAnsi="微软雅黑" w:eastAsia="微软雅黑" w:cs="微软雅黑"/>
          <w:i w:val="0"/>
          <w:caps w:val="0"/>
          <w:color w:val="000000"/>
          <w:spacing w:val="0"/>
          <w:sz w:val="30"/>
          <w:szCs w:val="30"/>
          <w:highlight w:val="none"/>
        </w:rPr>
      </w:pPr>
      <w:r>
        <w:rPr>
          <w:rFonts w:hint="eastAsia" w:ascii="楷体" w:hAnsi="楷体" w:eastAsia="楷体" w:cs="楷体"/>
          <w:i w:val="0"/>
          <w:caps w:val="0"/>
          <w:color w:val="000000"/>
          <w:spacing w:val="0"/>
          <w:sz w:val="30"/>
          <w:szCs w:val="30"/>
          <w:highlight w:val="none"/>
        </w:rPr>
        <w:t>（一）基本支出情况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600" w:lineRule="atLeast"/>
        <w:ind w:left="0" w:right="0" w:firstLine="600"/>
        <w:rPr>
          <w:rFonts w:hint="eastAsia" w:ascii="微软雅黑" w:hAnsi="微软雅黑" w:eastAsia="微软雅黑" w:cs="微软雅黑"/>
          <w:i w:val="0"/>
          <w:caps w:val="0"/>
          <w:color w:val="000000"/>
          <w:spacing w:val="0"/>
          <w:sz w:val="18"/>
          <w:szCs w:val="18"/>
          <w:highlight w:val="none"/>
        </w:rPr>
      </w:pPr>
      <w:r>
        <w:rPr>
          <w:rFonts w:hint="eastAsia" w:ascii="仿宋_GB2312" w:hAnsi="微软雅黑" w:eastAsia="仿宋_GB2312" w:cs="仿宋_GB2312"/>
          <w:i w:val="0"/>
          <w:caps w:val="0"/>
          <w:color w:val="000000"/>
          <w:spacing w:val="0"/>
          <w:sz w:val="30"/>
          <w:szCs w:val="30"/>
          <w:highlight w:val="none"/>
        </w:rPr>
        <w:t>2022年度用于保障昆明市盘龙区住房和城乡建设局（本级）机关、下属事业单位等机构正常运转的日常支出21925998.19元。其中：基本工资、津贴补贴等人员经费支出21049475.66元，占基本支出的96％；办公费、印刷费、水电费、办公设备购置等公用经费876522.53元，占基本支出的4％。</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600" w:lineRule="atLeast"/>
        <w:ind w:left="0" w:right="0" w:firstLine="600"/>
        <w:rPr>
          <w:rFonts w:hint="eastAsia" w:ascii="微软雅黑" w:hAnsi="微软雅黑" w:eastAsia="微软雅黑" w:cs="微软雅黑"/>
          <w:i w:val="0"/>
          <w:caps w:val="0"/>
          <w:color w:val="000000"/>
          <w:spacing w:val="0"/>
          <w:sz w:val="30"/>
          <w:szCs w:val="30"/>
          <w:highlight w:val="none"/>
        </w:rPr>
      </w:pPr>
      <w:r>
        <w:rPr>
          <w:rFonts w:hint="eastAsia" w:ascii="楷体" w:hAnsi="楷体" w:eastAsia="楷体" w:cs="楷体"/>
          <w:i w:val="0"/>
          <w:caps w:val="0"/>
          <w:color w:val="000000"/>
          <w:spacing w:val="0"/>
          <w:sz w:val="30"/>
          <w:szCs w:val="30"/>
          <w:highlight w:val="none"/>
        </w:rPr>
        <w:t>（二）项目支出情况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600" w:lineRule="atLeast"/>
        <w:ind w:left="0" w:right="0" w:firstLine="600"/>
        <w:rPr>
          <w:rFonts w:hint="eastAsia" w:ascii="微软雅黑" w:hAnsi="微软雅黑" w:eastAsia="微软雅黑" w:cs="微软雅黑"/>
          <w:i w:val="0"/>
          <w:caps w:val="0"/>
          <w:color w:val="000000"/>
          <w:spacing w:val="0"/>
          <w:sz w:val="18"/>
          <w:szCs w:val="18"/>
          <w:highlight w:val="none"/>
        </w:rPr>
      </w:pPr>
      <w:r>
        <w:rPr>
          <w:rFonts w:hint="eastAsia" w:ascii="仿宋_GB2312" w:hAnsi="微软雅黑" w:eastAsia="仿宋_GB2312" w:cs="仿宋_GB2312"/>
          <w:i w:val="0"/>
          <w:caps w:val="0"/>
          <w:color w:val="000000"/>
          <w:spacing w:val="0"/>
          <w:sz w:val="30"/>
          <w:szCs w:val="30"/>
          <w:highlight w:val="none"/>
        </w:rPr>
        <w:t>2022年度用于保障昆明市盘龙区住房和城乡建设局（本级）机构、下属事业单位等机构为完成特定的行政工作任务或事业发展目标，用于专项业务工作的经费支出813781234.57元。其中：基本建设类项目支出0元。具体项目开支情况：业务补助专项经费383828.19元，建筑工程远程视频监控管理信息平台专项资金90000元，液化（燃）气管理办公专项资金58700元，人防专项经费67955元，房地产市场的监测数据服务专项经费150000元，防震减灾专项资金15787.2元，北京路北端连接西北绕城高速工程专项资金47054082元，保障性住房维护和管理支出专项经费20503.82元，半年预算调整：保障性住房维护和管理支出补助经费2393316.51元，保障性住房租金补贴专项资金248975.27元，保障性安居工程补助资金157141.45元，城镇保障性安居工程补助资金44430000元，昆明市北部山水新区租赁型居住产品及配套商业设施项目专项资金700000000元，廉租处人员专项经费786982.22元，国博西路（沣源路至白杨路）建设专项资金3500000元，餐饮服务经费456000元，辅助性岗位工位工作人员薪酬专项经费172753.97元，自建房专项整治经费133000元，机场路（虹桥立交至两面寺立交段）主路及虹桥立交下层提升整治项目专项资金6246215.76元，盘龙202号路项目（寺瓦路至盘龙200号路）东半幅道路工程专项资金7415993.18元。</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600" w:lineRule="atLeast"/>
        <w:ind w:left="0" w:right="0" w:firstLine="600"/>
        <w:rPr>
          <w:rFonts w:hint="eastAsia" w:ascii="微软雅黑" w:hAnsi="微软雅黑" w:eastAsia="微软雅黑" w:cs="微软雅黑"/>
          <w:i w:val="0"/>
          <w:caps w:val="0"/>
          <w:color w:val="000000"/>
          <w:spacing w:val="0"/>
          <w:sz w:val="32"/>
          <w:szCs w:val="32"/>
          <w:highlight w:val="none"/>
        </w:rPr>
      </w:pPr>
      <w:r>
        <w:rPr>
          <w:rFonts w:hint="eastAsia" w:ascii="黑体" w:hAnsi="宋体" w:eastAsia="黑体" w:cs="黑体"/>
          <w:i w:val="0"/>
          <w:caps w:val="0"/>
          <w:color w:val="000000"/>
          <w:spacing w:val="0"/>
          <w:sz w:val="32"/>
          <w:szCs w:val="32"/>
          <w:highlight w:val="none"/>
        </w:rPr>
        <w:t>三、一般公共预算财政拨款支出决算情况说明</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600" w:lineRule="atLeast"/>
        <w:ind w:left="0" w:right="0" w:firstLine="600"/>
        <w:rPr>
          <w:rFonts w:hint="eastAsia" w:ascii="微软雅黑" w:hAnsi="微软雅黑" w:eastAsia="微软雅黑" w:cs="微软雅黑"/>
          <w:i w:val="0"/>
          <w:caps w:val="0"/>
          <w:color w:val="000000"/>
          <w:spacing w:val="0"/>
          <w:sz w:val="30"/>
          <w:szCs w:val="30"/>
          <w:highlight w:val="none"/>
        </w:rPr>
      </w:pPr>
      <w:r>
        <w:rPr>
          <w:rFonts w:hint="eastAsia" w:ascii="楷体" w:hAnsi="楷体" w:eastAsia="楷体" w:cs="楷体"/>
          <w:i w:val="0"/>
          <w:caps w:val="0"/>
          <w:color w:val="000000"/>
          <w:spacing w:val="0"/>
          <w:sz w:val="30"/>
          <w:szCs w:val="30"/>
          <w:highlight w:val="none"/>
        </w:rPr>
        <w:t>（一）一般公共预算财政拨款支出决算总体情况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600" w:lineRule="atLeast"/>
        <w:ind w:left="0" w:right="0" w:firstLine="600"/>
        <w:rPr>
          <w:rFonts w:hint="eastAsia" w:ascii="微软雅黑" w:hAnsi="微软雅黑" w:eastAsia="微软雅黑" w:cs="微软雅黑"/>
          <w:i w:val="0"/>
          <w:caps w:val="0"/>
          <w:color w:val="000000"/>
          <w:spacing w:val="0"/>
          <w:sz w:val="18"/>
          <w:szCs w:val="18"/>
          <w:highlight w:val="none"/>
        </w:rPr>
      </w:pPr>
      <w:r>
        <w:rPr>
          <w:rFonts w:hint="eastAsia" w:ascii="仿宋_GB2312" w:hAnsi="微软雅黑" w:eastAsia="仿宋_GB2312" w:cs="仿宋_GB2312"/>
          <w:i w:val="0"/>
          <w:caps w:val="0"/>
          <w:color w:val="000000"/>
          <w:spacing w:val="0"/>
          <w:sz w:val="30"/>
          <w:szCs w:val="30"/>
          <w:highlight w:val="none"/>
        </w:rPr>
        <w:t>昆明市盘龙区住房和城乡建设局（本级）2022年度一般公共预算财政拨款支出135707232.76元,占本年支出合计835707232.76元的16.24%。与上年相比，上年一般公共预算财政拨款支出145173488.73元，减少9466255.97元，下降6.52%,主要原因分析：本年申请基建项目资金较上年减少,且响应国家过“紧日子”政策，缩减部分项目经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600" w:lineRule="atLeast"/>
        <w:ind w:left="0" w:right="0" w:firstLine="600"/>
        <w:rPr>
          <w:rFonts w:hint="eastAsia" w:ascii="楷体" w:hAnsi="楷体" w:eastAsia="楷体" w:cs="楷体"/>
          <w:i w:val="0"/>
          <w:caps w:val="0"/>
          <w:color w:val="000000"/>
          <w:spacing w:val="0"/>
          <w:sz w:val="30"/>
          <w:szCs w:val="30"/>
          <w:highlight w:val="none"/>
        </w:rPr>
      </w:pPr>
      <w:r>
        <w:rPr>
          <w:rFonts w:hint="eastAsia" w:ascii="楷体" w:hAnsi="楷体" w:eastAsia="楷体" w:cs="楷体"/>
          <w:i w:val="0"/>
          <w:caps w:val="0"/>
          <w:color w:val="000000"/>
          <w:spacing w:val="0"/>
          <w:sz w:val="30"/>
          <w:szCs w:val="30"/>
          <w:highlight w:val="none"/>
          <w:lang w:eastAsia="zh-CN"/>
        </w:rPr>
        <w:t>（二）</w:t>
      </w:r>
      <w:r>
        <w:rPr>
          <w:rFonts w:hint="eastAsia" w:ascii="楷体" w:hAnsi="楷体" w:eastAsia="楷体" w:cs="楷体"/>
          <w:i w:val="0"/>
          <w:caps w:val="0"/>
          <w:color w:val="000000"/>
          <w:spacing w:val="0"/>
          <w:sz w:val="30"/>
          <w:szCs w:val="30"/>
          <w:highlight w:val="none"/>
        </w:rPr>
        <w:t>一般公共预算财政拨款支出决算具体情况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600" w:lineRule="atLeast"/>
        <w:ind w:left="0" w:right="0" w:firstLine="600"/>
        <w:rPr>
          <w:rFonts w:hint="eastAsia" w:ascii="仿宋_GB2312" w:hAnsi="微软雅黑" w:eastAsia="仿宋_GB2312" w:cs="仿宋_GB2312"/>
          <w:i w:val="0"/>
          <w:caps w:val="0"/>
          <w:color w:val="000000"/>
          <w:spacing w:val="0"/>
          <w:sz w:val="30"/>
          <w:szCs w:val="30"/>
          <w:highlight w:val="none"/>
        </w:rPr>
      </w:pPr>
      <w:r>
        <w:rPr>
          <w:rFonts w:hint="eastAsia" w:ascii="仿宋_GB2312" w:hAnsi="微软雅黑" w:eastAsia="仿宋_GB2312" w:cs="仿宋_GB2312"/>
          <w:i w:val="0"/>
          <w:caps w:val="0"/>
          <w:color w:val="000000"/>
          <w:spacing w:val="0"/>
          <w:sz w:val="30"/>
          <w:szCs w:val="30"/>
          <w:highlight w:val="none"/>
          <w:lang w:val="en-US" w:eastAsia="zh-CN"/>
        </w:rPr>
        <w:t>1、</w:t>
      </w:r>
      <w:r>
        <w:rPr>
          <w:rFonts w:hint="eastAsia" w:ascii="仿宋_GB2312" w:hAnsi="微软雅黑" w:eastAsia="仿宋_GB2312" w:cs="仿宋_GB2312"/>
          <w:i w:val="0"/>
          <w:caps w:val="0"/>
          <w:color w:val="000000"/>
          <w:spacing w:val="0"/>
          <w:sz w:val="30"/>
          <w:szCs w:val="30"/>
          <w:highlight w:val="none"/>
        </w:rPr>
        <w:t>一般公共服务支出50091.3元</w:t>
      </w:r>
      <w:r>
        <w:rPr>
          <w:rFonts w:hint="eastAsia" w:ascii="仿宋_GB2312" w:hAnsi="微软雅黑" w:eastAsia="仿宋_GB2312" w:cs="仿宋_GB2312"/>
          <w:i w:val="0"/>
          <w:caps w:val="0"/>
          <w:color w:val="000000"/>
          <w:spacing w:val="0"/>
          <w:sz w:val="30"/>
          <w:szCs w:val="30"/>
          <w:highlight w:val="none"/>
          <w:lang w:eastAsia="zh-CN"/>
        </w:rPr>
        <w:t>，占一般公共预算财政拨款总支出的</w:t>
      </w:r>
      <w:r>
        <w:rPr>
          <w:rFonts w:hint="eastAsia" w:ascii="仿宋_GB2312" w:hAnsi="微软雅黑" w:eastAsia="仿宋_GB2312" w:cs="仿宋_GB2312"/>
          <w:i w:val="0"/>
          <w:caps w:val="0"/>
          <w:color w:val="000000"/>
          <w:spacing w:val="0"/>
          <w:sz w:val="30"/>
          <w:szCs w:val="30"/>
          <w:highlight w:val="none"/>
          <w:lang w:val="en-US" w:eastAsia="zh-CN"/>
        </w:rPr>
        <w:t>0.04%，主要用于</w:t>
      </w:r>
      <w:r>
        <w:rPr>
          <w:rFonts w:hint="eastAsia" w:ascii="仿宋_GB2312" w:hAnsi="仿宋_GB2312" w:eastAsia="仿宋_GB2312" w:cs="仿宋_GB2312"/>
          <w:i w:val="0"/>
          <w:caps w:val="0"/>
          <w:color w:val="000000"/>
          <w:spacing w:val="0"/>
          <w:sz w:val="30"/>
          <w:szCs w:val="30"/>
          <w:lang w:eastAsia="zh-CN"/>
        </w:rPr>
        <w:t>支付日常办公费用</w:t>
      </w:r>
      <w:r>
        <w:rPr>
          <w:rFonts w:hint="eastAsia" w:ascii="仿宋_GB2312" w:hAnsi="微软雅黑" w:eastAsia="仿宋_GB2312" w:cs="仿宋_GB2312"/>
          <w:i w:val="0"/>
          <w:caps w:val="0"/>
          <w:color w:val="000000"/>
          <w:spacing w:val="0"/>
          <w:sz w:val="30"/>
          <w:szCs w:val="30"/>
          <w:highlight w:val="none"/>
        </w:rPr>
        <w:t>；</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600" w:lineRule="atLeast"/>
        <w:ind w:left="0" w:right="0" w:firstLine="600"/>
        <w:rPr>
          <w:rFonts w:hint="eastAsia" w:ascii="仿宋_GB2312" w:hAnsi="微软雅黑" w:eastAsia="仿宋_GB2312" w:cs="仿宋_GB2312"/>
          <w:i w:val="0"/>
          <w:caps w:val="0"/>
          <w:color w:val="000000"/>
          <w:spacing w:val="0"/>
          <w:sz w:val="30"/>
          <w:szCs w:val="30"/>
          <w:highlight w:val="none"/>
          <w:lang w:val="en-US" w:eastAsia="zh-CN"/>
        </w:rPr>
      </w:pPr>
      <w:r>
        <w:rPr>
          <w:rFonts w:hint="eastAsia" w:ascii="仿宋_GB2312" w:hAnsi="微软雅黑" w:eastAsia="仿宋_GB2312" w:cs="仿宋_GB2312"/>
          <w:i w:val="0"/>
          <w:caps w:val="0"/>
          <w:color w:val="000000"/>
          <w:spacing w:val="0"/>
          <w:sz w:val="30"/>
          <w:szCs w:val="30"/>
          <w:highlight w:val="none"/>
          <w:lang w:val="en-US" w:eastAsia="zh-CN"/>
        </w:rPr>
        <w:t>2、外交支出0元；</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600" w:lineRule="atLeast"/>
        <w:ind w:left="0" w:right="0" w:firstLine="600"/>
        <w:rPr>
          <w:rFonts w:hint="eastAsia" w:ascii="仿宋_GB2312" w:hAnsi="微软雅黑" w:eastAsia="仿宋_GB2312" w:cs="仿宋_GB2312"/>
          <w:i w:val="0"/>
          <w:caps w:val="0"/>
          <w:color w:val="000000"/>
          <w:spacing w:val="0"/>
          <w:sz w:val="30"/>
          <w:szCs w:val="30"/>
          <w:highlight w:val="none"/>
          <w:lang w:val="en-US" w:eastAsia="zh-CN"/>
        </w:rPr>
      </w:pPr>
      <w:r>
        <w:rPr>
          <w:rFonts w:hint="eastAsia" w:ascii="仿宋_GB2312" w:hAnsi="微软雅黑" w:eastAsia="仿宋_GB2312" w:cs="仿宋_GB2312"/>
          <w:i w:val="0"/>
          <w:caps w:val="0"/>
          <w:color w:val="000000"/>
          <w:spacing w:val="0"/>
          <w:sz w:val="30"/>
          <w:szCs w:val="30"/>
          <w:highlight w:val="none"/>
          <w:lang w:val="en-US" w:eastAsia="zh-CN"/>
        </w:rPr>
        <w:t>3、国防支出0元；</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600" w:lineRule="atLeast"/>
        <w:ind w:left="0" w:right="0" w:firstLine="600"/>
        <w:rPr>
          <w:rFonts w:hint="eastAsia" w:ascii="仿宋_GB2312" w:hAnsi="微软雅黑" w:eastAsia="仿宋_GB2312" w:cs="仿宋_GB2312"/>
          <w:i w:val="0"/>
          <w:caps w:val="0"/>
          <w:color w:val="000000"/>
          <w:spacing w:val="0"/>
          <w:sz w:val="30"/>
          <w:szCs w:val="30"/>
          <w:highlight w:val="none"/>
          <w:lang w:val="en-US" w:eastAsia="zh-CN"/>
        </w:rPr>
      </w:pPr>
      <w:r>
        <w:rPr>
          <w:rFonts w:hint="eastAsia" w:ascii="仿宋_GB2312" w:hAnsi="微软雅黑" w:eastAsia="仿宋_GB2312" w:cs="仿宋_GB2312"/>
          <w:i w:val="0"/>
          <w:caps w:val="0"/>
          <w:color w:val="000000"/>
          <w:spacing w:val="0"/>
          <w:sz w:val="30"/>
          <w:szCs w:val="30"/>
          <w:highlight w:val="none"/>
          <w:lang w:val="en-US" w:eastAsia="zh-CN"/>
        </w:rPr>
        <w:t>4、公共安全支出0元；</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600" w:lineRule="atLeast"/>
        <w:ind w:left="0" w:right="0" w:firstLine="600"/>
        <w:rPr>
          <w:rFonts w:hint="eastAsia" w:ascii="仿宋_GB2312" w:hAnsi="微软雅黑" w:eastAsia="仿宋_GB2312" w:cs="仿宋_GB2312"/>
          <w:i w:val="0"/>
          <w:caps w:val="0"/>
          <w:color w:val="000000"/>
          <w:spacing w:val="0"/>
          <w:sz w:val="30"/>
          <w:szCs w:val="30"/>
          <w:highlight w:val="none"/>
          <w:lang w:val="en-US" w:eastAsia="zh-CN"/>
        </w:rPr>
      </w:pPr>
      <w:r>
        <w:rPr>
          <w:rFonts w:hint="eastAsia" w:ascii="仿宋_GB2312" w:hAnsi="微软雅黑" w:eastAsia="仿宋_GB2312" w:cs="仿宋_GB2312"/>
          <w:i w:val="0"/>
          <w:caps w:val="0"/>
          <w:color w:val="000000"/>
          <w:spacing w:val="0"/>
          <w:sz w:val="30"/>
          <w:szCs w:val="30"/>
          <w:highlight w:val="none"/>
          <w:lang w:val="en-US" w:eastAsia="zh-CN"/>
        </w:rPr>
        <w:t>5、教育支出0元；</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600" w:lineRule="atLeast"/>
        <w:ind w:left="0" w:right="0" w:firstLine="600"/>
        <w:rPr>
          <w:rFonts w:hint="eastAsia" w:ascii="仿宋_GB2312" w:hAnsi="微软雅黑" w:eastAsia="仿宋_GB2312" w:cs="仿宋_GB2312"/>
          <w:i w:val="0"/>
          <w:caps w:val="0"/>
          <w:color w:val="000000"/>
          <w:spacing w:val="0"/>
          <w:sz w:val="30"/>
          <w:szCs w:val="30"/>
          <w:highlight w:val="none"/>
          <w:lang w:val="en-US" w:eastAsia="zh-CN"/>
        </w:rPr>
      </w:pPr>
      <w:r>
        <w:rPr>
          <w:rFonts w:hint="eastAsia" w:ascii="仿宋_GB2312" w:hAnsi="微软雅黑" w:eastAsia="仿宋_GB2312" w:cs="仿宋_GB2312"/>
          <w:i w:val="0"/>
          <w:caps w:val="0"/>
          <w:color w:val="000000"/>
          <w:spacing w:val="0"/>
          <w:sz w:val="30"/>
          <w:szCs w:val="30"/>
          <w:highlight w:val="none"/>
          <w:lang w:val="en-US" w:eastAsia="zh-CN"/>
        </w:rPr>
        <w:t>6、科学技术支出90000元</w:t>
      </w:r>
      <w:r>
        <w:rPr>
          <w:rFonts w:hint="eastAsia" w:ascii="仿宋_GB2312" w:hAnsi="微软雅黑" w:eastAsia="仿宋_GB2312" w:cs="仿宋_GB2312"/>
          <w:i w:val="0"/>
          <w:caps w:val="0"/>
          <w:color w:val="000000"/>
          <w:spacing w:val="0"/>
          <w:sz w:val="30"/>
          <w:szCs w:val="30"/>
          <w:highlight w:val="none"/>
          <w:lang w:eastAsia="zh-CN"/>
        </w:rPr>
        <w:t>，占一般公共预算财政拨款总支出的</w:t>
      </w:r>
      <w:r>
        <w:rPr>
          <w:rFonts w:hint="eastAsia" w:ascii="仿宋_GB2312" w:hAnsi="微软雅黑" w:eastAsia="仿宋_GB2312" w:cs="仿宋_GB2312"/>
          <w:i w:val="0"/>
          <w:caps w:val="0"/>
          <w:color w:val="000000"/>
          <w:spacing w:val="0"/>
          <w:sz w:val="30"/>
          <w:szCs w:val="30"/>
          <w:highlight w:val="none"/>
          <w:lang w:val="en-US" w:eastAsia="zh-CN"/>
        </w:rPr>
        <w:t>0.07%，主要用于</w:t>
      </w:r>
      <w:r>
        <w:rPr>
          <w:rFonts w:hint="eastAsia" w:ascii="仿宋_GB2312" w:hAnsi="仿宋_GB2312" w:eastAsia="仿宋_GB2312" w:cs="仿宋_GB2312"/>
          <w:i w:val="0"/>
          <w:caps w:val="0"/>
          <w:color w:val="000000"/>
          <w:spacing w:val="0"/>
          <w:sz w:val="30"/>
          <w:szCs w:val="30"/>
          <w:lang w:eastAsia="zh-CN"/>
        </w:rPr>
        <w:t>工地监控视频支出</w:t>
      </w:r>
      <w:r>
        <w:rPr>
          <w:rFonts w:hint="eastAsia" w:ascii="仿宋_GB2312" w:hAnsi="微软雅黑" w:eastAsia="仿宋_GB2312" w:cs="仿宋_GB2312"/>
          <w:i w:val="0"/>
          <w:caps w:val="0"/>
          <w:color w:val="000000"/>
          <w:spacing w:val="0"/>
          <w:sz w:val="30"/>
          <w:szCs w:val="30"/>
          <w:highlight w:val="none"/>
          <w:lang w:val="en-US" w:eastAsia="zh-CN"/>
        </w:rPr>
        <w:t>；</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600" w:lineRule="atLeast"/>
        <w:ind w:left="0" w:right="0" w:firstLine="600"/>
        <w:rPr>
          <w:rFonts w:hint="eastAsia" w:ascii="仿宋_GB2312" w:hAnsi="微软雅黑" w:eastAsia="仿宋_GB2312" w:cs="仿宋_GB2312"/>
          <w:i w:val="0"/>
          <w:caps w:val="0"/>
          <w:color w:val="000000"/>
          <w:spacing w:val="0"/>
          <w:sz w:val="30"/>
          <w:szCs w:val="30"/>
          <w:highlight w:val="none"/>
          <w:lang w:val="en-US" w:eastAsia="zh-CN"/>
        </w:rPr>
      </w:pPr>
      <w:r>
        <w:rPr>
          <w:rFonts w:hint="eastAsia" w:ascii="仿宋_GB2312" w:hAnsi="微软雅黑" w:eastAsia="仿宋_GB2312" w:cs="仿宋_GB2312"/>
          <w:i w:val="0"/>
          <w:caps w:val="0"/>
          <w:color w:val="000000"/>
          <w:spacing w:val="0"/>
          <w:sz w:val="30"/>
          <w:szCs w:val="30"/>
          <w:highlight w:val="none"/>
          <w:lang w:val="en-US" w:eastAsia="zh-CN"/>
        </w:rPr>
        <w:t>7、文化旅游体育与传媒支出0元；</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600" w:lineRule="atLeast"/>
        <w:ind w:left="0" w:right="0" w:firstLine="600"/>
        <w:rPr>
          <w:rFonts w:hint="eastAsia" w:ascii="仿宋_GB2312" w:hAnsi="微软雅黑" w:eastAsia="仿宋_GB2312" w:cs="仿宋_GB2312"/>
          <w:i w:val="0"/>
          <w:caps w:val="0"/>
          <w:color w:val="000000"/>
          <w:spacing w:val="0"/>
          <w:sz w:val="30"/>
          <w:szCs w:val="30"/>
          <w:highlight w:val="none"/>
          <w:lang w:val="en-US" w:eastAsia="zh-CN"/>
        </w:rPr>
      </w:pPr>
      <w:r>
        <w:rPr>
          <w:rFonts w:hint="eastAsia" w:ascii="仿宋_GB2312" w:hAnsi="微软雅黑" w:eastAsia="仿宋_GB2312" w:cs="仿宋_GB2312"/>
          <w:i w:val="0"/>
          <w:caps w:val="0"/>
          <w:color w:val="000000"/>
          <w:spacing w:val="0"/>
          <w:sz w:val="30"/>
          <w:szCs w:val="30"/>
          <w:highlight w:val="none"/>
          <w:lang w:val="en-US" w:eastAsia="zh-CN"/>
        </w:rPr>
        <w:t>8、社会保障和就业支出1879587元</w:t>
      </w:r>
      <w:r>
        <w:rPr>
          <w:rFonts w:hint="eastAsia" w:ascii="仿宋_GB2312" w:hAnsi="微软雅黑" w:eastAsia="仿宋_GB2312" w:cs="仿宋_GB2312"/>
          <w:i w:val="0"/>
          <w:caps w:val="0"/>
          <w:color w:val="000000"/>
          <w:spacing w:val="0"/>
          <w:sz w:val="30"/>
          <w:szCs w:val="30"/>
          <w:highlight w:val="none"/>
          <w:lang w:eastAsia="zh-CN"/>
        </w:rPr>
        <w:t>，占一般公共预算财政拨款总支出的</w:t>
      </w:r>
      <w:r>
        <w:rPr>
          <w:rFonts w:hint="eastAsia" w:ascii="仿宋_GB2312" w:hAnsi="微软雅黑" w:eastAsia="仿宋_GB2312" w:cs="仿宋_GB2312"/>
          <w:i w:val="0"/>
          <w:caps w:val="0"/>
          <w:color w:val="000000"/>
          <w:spacing w:val="0"/>
          <w:sz w:val="30"/>
          <w:szCs w:val="30"/>
          <w:highlight w:val="none"/>
          <w:lang w:val="en-US" w:eastAsia="zh-CN"/>
        </w:rPr>
        <w:t>1.39%，主要用于</w:t>
      </w:r>
      <w:r>
        <w:rPr>
          <w:rFonts w:hint="eastAsia" w:ascii="仿宋_GB2312" w:hAnsi="仿宋_GB2312" w:eastAsia="仿宋_GB2312" w:cs="仿宋_GB2312"/>
          <w:i w:val="0"/>
          <w:caps w:val="0"/>
          <w:color w:val="000000"/>
          <w:spacing w:val="0"/>
          <w:sz w:val="30"/>
          <w:szCs w:val="30"/>
          <w:lang w:eastAsia="zh-CN"/>
        </w:rPr>
        <w:t>行政事业单位养老支出及抚恤金支出</w:t>
      </w:r>
      <w:r>
        <w:rPr>
          <w:rFonts w:hint="eastAsia" w:ascii="仿宋_GB2312" w:hAnsi="微软雅黑" w:eastAsia="仿宋_GB2312" w:cs="仿宋_GB2312"/>
          <w:i w:val="0"/>
          <w:caps w:val="0"/>
          <w:color w:val="000000"/>
          <w:spacing w:val="0"/>
          <w:sz w:val="30"/>
          <w:szCs w:val="30"/>
          <w:highlight w:val="none"/>
          <w:lang w:val="en-US" w:eastAsia="zh-CN"/>
        </w:rPr>
        <w:t>；</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600" w:lineRule="atLeast"/>
        <w:ind w:left="0" w:right="0" w:firstLine="600"/>
        <w:rPr>
          <w:rFonts w:hint="eastAsia" w:ascii="仿宋_GB2312" w:hAnsi="微软雅黑" w:eastAsia="仿宋_GB2312" w:cs="仿宋_GB2312"/>
          <w:i w:val="0"/>
          <w:caps w:val="0"/>
          <w:color w:val="000000"/>
          <w:spacing w:val="0"/>
          <w:sz w:val="30"/>
          <w:szCs w:val="30"/>
          <w:highlight w:val="none"/>
          <w:lang w:val="en-US" w:eastAsia="zh-CN"/>
        </w:rPr>
      </w:pPr>
      <w:r>
        <w:rPr>
          <w:rFonts w:hint="eastAsia" w:ascii="仿宋_GB2312" w:hAnsi="微软雅黑" w:eastAsia="仿宋_GB2312" w:cs="仿宋_GB2312"/>
          <w:i w:val="0"/>
          <w:caps w:val="0"/>
          <w:color w:val="000000"/>
          <w:spacing w:val="0"/>
          <w:sz w:val="30"/>
          <w:szCs w:val="30"/>
          <w:highlight w:val="none"/>
          <w:lang w:val="en-US" w:eastAsia="zh-CN"/>
        </w:rPr>
        <w:t>9、卫生健康支出1459794元</w:t>
      </w:r>
      <w:r>
        <w:rPr>
          <w:rFonts w:hint="eastAsia" w:ascii="仿宋_GB2312" w:hAnsi="微软雅黑" w:eastAsia="仿宋_GB2312" w:cs="仿宋_GB2312"/>
          <w:i w:val="0"/>
          <w:caps w:val="0"/>
          <w:color w:val="000000"/>
          <w:spacing w:val="0"/>
          <w:sz w:val="30"/>
          <w:szCs w:val="30"/>
          <w:highlight w:val="none"/>
          <w:lang w:eastAsia="zh-CN"/>
        </w:rPr>
        <w:t>，占一般公共预算财政拨款总支出的</w:t>
      </w:r>
      <w:r>
        <w:rPr>
          <w:rFonts w:hint="eastAsia" w:ascii="仿宋_GB2312" w:hAnsi="微软雅黑" w:eastAsia="仿宋_GB2312" w:cs="仿宋_GB2312"/>
          <w:i w:val="0"/>
          <w:caps w:val="0"/>
          <w:color w:val="000000"/>
          <w:spacing w:val="0"/>
          <w:sz w:val="30"/>
          <w:szCs w:val="30"/>
          <w:highlight w:val="none"/>
          <w:lang w:val="en-US" w:eastAsia="zh-CN"/>
        </w:rPr>
        <w:t>1.08%，主要用于</w:t>
      </w:r>
      <w:r>
        <w:rPr>
          <w:rFonts w:hint="eastAsia" w:ascii="仿宋_GB2312" w:hAnsi="仿宋_GB2312" w:eastAsia="仿宋_GB2312" w:cs="仿宋_GB2312"/>
          <w:i w:val="0"/>
          <w:caps w:val="0"/>
          <w:color w:val="000000"/>
          <w:spacing w:val="0"/>
          <w:sz w:val="30"/>
          <w:szCs w:val="30"/>
          <w:lang w:eastAsia="zh-CN"/>
        </w:rPr>
        <w:t>行政事业单位医疗</w:t>
      </w:r>
      <w:r>
        <w:rPr>
          <w:rFonts w:hint="eastAsia" w:ascii="仿宋_GB2312" w:hAnsi="微软雅黑" w:eastAsia="仿宋_GB2312" w:cs="仿宋_GB2312"/>
          <w:i w:val="0"/>
          <w:caps w:val="0"/>
          <w:color w:val="000000"/>
          <w:spacing w:val="0"/>
          <w:sz w:val="30"/>
          <w:szCs w:val="30"/>
          <w:highlight w:val="none"/>
          <w:lang w:val="en-US" w:eastAsia="zh-CN"/>
        </w:rPr>
        <w:t>；</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600" w:lineRule="atLeast"/>
        <w:ind w:left="0" w:right="0" w:firstLine="600"/>
        <w:rPr>
          <w:rFonts w:hint="eastAsia" w:ascii="仿宋_GB2312" w:hAnsi="微软雅黑" w:eastAsia="仿宋_GB2312" w:cs="仿宋_GB2312"/>
          <w:i w:val="0"/>
          <w:caps w:val="0"/>
          <w:color w:val="000000"/>
          <w:spacing w:val="0"/>
          <w:sz w:val="30"/>
          <w:szCs w:val="30"/>
          <w:highlight w:val="none"/>
          <w:lang w:val="en-US" w:eastAsia="zh-CN"/>
        </w:rPr>
      </w:pPr>
      <w:r>
        <w:rPr>
          <w:rFonts w:hint="eastAsia" w:ascii="仿宋_GB2312" w:hAnsi="微软雅黑" w:eastAsia="仿宋_GB2312" w:cs="仿宋_GB2312"/>
          <w:i w:val="0"/>
          <w:caps w:val="0"/>
          <w:color w:val="000000"/>
          <w:spacing w:val="0"/>
          <w:sz w:val="30"/>
          <w:szCs w:val="30"/>
          <w:highlight w:val="none"/>
          <w:lang w:val="en-US" w:eastAsia="zh-CN"/>
        </w:rPr>
        <w:t>10、节能环保支出3500000元</w:t>
      </w:r>
      <w:r>
        <w:rPr>
          <w:rFonts w:hint="eastAsia" w:ascii="仿宋_GB2312" w:hAnsi="微软雅黑" w:eastAsia="仿宋_GB2312" w:cs="仿宋_GB2312"/>
          <w:i w:val="0"/>
          <w:caps w:val="0"/>
          <w:color w:val="000000"/>
          <w:spacing w:val="0"/>
          <w:sz w:val="30"/>
          <w:szCs w:val="30"/>
          <w:highlight w:val="none"/>
          <w:lang w:eastAsia="zh-CN"/>
        </w:rPr>
        <w:t>，占一般公共预算财政拨款总支出的</w:t>
      </w:r>
      <w:r>
        <w:rPr>
          <w:rFonts w:hint="eastAsia" w:ascii="仿宋_GB2312" w:hAnsi="微软雅黑" w:eastAsia="仿宋_GB2312" w:cs="仿宋_GB2312"/>
          <w:i w:val="0"/>
          <w:caps w:val="0"/>
          <w:color w:val="000000"/>
          <w:spacing w:val="0"/>
          <w:sz w:val="30"/>
          <w:szCs w:val="30"/>
          <w:highlight w:val="none"/>
          <w:lang w:val="en-US" w:eastAsia="zh-CN"/>
        </w:rPr>
        <w:t>2.58%，主要用于</w:t>
      </w:r>
      <w:r>
        <w:rPr>
          <w:rFonts w:hint="eastAsia" w:ascii="仿宋_GB2312" w:hAnsi="仿宋_GB2312" w:eastAsia="仿宋_GB2312" w:cs="仿宋_GB2312"/>
          <w:i w:val="0"/>
          <w:caps w:val="0"/>
          <w:color w:val="000000"/>
          <w:spacing w:val="0"/>
          <w:sz w:val="30"/>
          <w:szCs w:val="30"/>
          <w:lang w:eastAsia="zh-CN"/>
        </w:rPr>
        <w:t>其他环境保护管理事务支出</w:t>
      </w:r>
      <w:r>
        <w:rPr>
          <w:rFonts w:hint="eastAsia" w:ascii="仿宋_GB2312" w:hAnsi="微软雅黑" w:eastAsia="仿宋_GB2312" w:cs="仿宋_GB2312"/>
          <w:i w:val="0"/>
          <w:caps w:val="0"/>
          <w:color w:val="000000"/>
          <w:spacing w:val="0"/>
          <w:sz w:val="30"/>
          <w:szCs w:val="30"/>
          <w:highlight w:val="none"/>
          <w:lang w:val="en-US" w:eastAsia="zh-CN"/>
        </w:rPr>
        <w:t>；</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600" w:lineRule="atLeast"/>
        <w:ind w:left="0" w:right="0" w:firstLine="600"/>
        <w:rPr>
          <w:rFonts w:hint="eastAsia" w:ascii="仿宋_GB2312" w:hAnsi="微软雅黑" w:eastAsia="仿宋_GB2312" w:cs="仿宋_GB2312"/>
          <w:i w:val="0"/>
          <w:caps w:val="0"/>
          <w:color w:val="000000"/>
          <w:spacing w:val="0"/>
          <w:sz w:val="30"/>
          <w:szCs w:val="30"/>
          <w:highlight w:val="none"/>
          <w:lang w:val="en-US" w:eastAsia="zh-CN"/>
        </w:rPr>
      </w:pPr>
      <w:r>
        <w:rPr>
          <w:rFonts w:hint="eastAsia" w:ascii="仿宋_GB2312" w:hAnsi="微软雅黑" w:eastAsia="仿宋_GB2312" w:cs="仿宋_GB2312"/>
          <w:i w:val="0"/>
          <w:caps w:val="0"/>
          <w:color w:val="000000"/>
          <w:spacing w:val="0"/>
          <w:sz w:val="30"/>
          <w:szCs w:val="30"/>
          <w:highlight w:val="none"/>
          <w:lang w:val="en-US" w:eastAsia="zh-CN"/>
        </w:rPr>
        <w:t>11、城乡社区支出80291503.41元</w:t>
      </w:r>
      <w:r>
        <w:rPr>
          <w:rFonts w:hint="eastAsia" w:ascii="仿宋_GB2312" w:hAnsi="微软雅黑" w:eastAsia="仿宋_GB2312" w:cs="仿宋_GB2312"/>
          <w:i w:val="0"/>
          <w:caps w:val="0"/>
          <w:color w:val="000000"/>
          <w:spacing w:val="0"/>
          <w:sz w:val="30"/>
          <w:szCs w:val="30"/>
          <w:highlight w:val="none"/>
          <w:lang w:eastAsia="zh-CN"/>
        </w:rPr>
        <w:t>，占一般公共预算财政拨款总支出的</w:t>
      </w:r>
      <w:r>
        <w:rPr>
          <w:rFonts w:hint="eastAsia" w:ascii="仿宋_GB2312" w:hAnsi="微软雅黑" w:eastAsia="仿宋_GB2312" w:cs="仿宋_GB2312"/>
          <w:i w:val="0"/>
          <w:caps w:val="0"/>
          <w:color w:val="000000"/>
          <w:spacing w:val="0"/>
          <w:sz w:val="30"/>
          <w:szCs w:val="30"/>
          <w:highlight w:val="none"/>
          <w:lang w:val="en-US" w:eastAsia="zh-CN"/>
        </w:rPr>
        <w:t>59.17%，主要用于</w:t>
      </w:r>
      <w:r>
        <w:rPr>
          <w:rFonts w:hint="eastAsia" w:ascii="仿宋_GB2312" w:hAnsi="仿宋_GB2312" w:eastAsia="仿宋_GB2312" w:cs="仿宋_GB2312"/>
          <w:i w:val="0"/>
          <w:caps w:val="0"/>
          <w:color w:val="000000"/>
          <w:spacing w:val="0"/>
          <w:sz w:val="30"/>
          <w:szCs w:val="30"/>
          <w:lang w:eastAsia="zh-CN"/>
        </w:rPr>
        <w:t>城乡社区管理事务、城乡社区规划与管理、城乡社区公共设施、其他城乡社区支出</w:t>
      </w:r>
      <w:r>
        <w:rPr>
          <w:rFonts w:hint="eastAsia" w:ascii="仿宋_GB2312" w:hAnsi="微软雅黑" w:eastAsia="仿宋_GB2312" w:cs="仿宋_GB2312"/>
          <w:i w:val="0"/>
          <w:caps w:val="0"/>
          <w:color w:val="000000"/>
          <w:spacing w:val="0"/>
          <w:sz w:val="30"/>
          <w:szCs w:val="30"/>
          <w:highlight w:val="none"/>
          <w:lang w:val="en-US" w:eastAsia="zh-CN"/>
        </w:rPr>
        <w:t>；</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600" w:lineRule="atLeast"/>
        <w:ind w:left="0" w:right="0" w:firstLine="600"/>
        <w:rPr>
          <w:rFonts w:hint="eastAsia" w:ascii="仿宋_GB2312" w:hAnsi="微软雅黑" w:eastAsia="仿宋_GB2312" w:cs="仿宋_GB2312"/>
          <w:i w:val="0"/>
          <w:caps w:val="0"/>
          <w:color w:val="000000"/>
          <w:spacing w:val="0"/>
          <w:sz w:val="30"/>
          <w:szCs w:val="30"/>
          <w:highlight w:val="none"/>
          <w:lang w:val="en-US" w:eastAsia="zh-CN"/>
        </w:rPr>
      </w:pPr>
      <w:r>
        <w:rPr>
          <w:rFonts w:hint="eastAsia" w:ascii="仿宋_GB2312" w:hAnsi="微软雅黑" w:eastAsia="仿宋_GB2312" w:cs="仿宋_GB2312"/>
          <w:i w:val="0"/>
          <w:caps w:val="0"/>
          <w:color w:val="000000"/>
          <w:spacing w:val="0"/>
          <w:sz w:val="30"/>
          <w:szCs w:val="30"/>
          <w:highlight w:val="none"/>
          <w:lang w:val="en-US" w:eastAsia="zh-CN"/>
        </w:rPr>
        <w:t>12、农林水支出0元；</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600" w:lineRule="atLeast"/>
        <w:ind w:left="0" w:right="0" w:firstLine="600"/>
        <w:rPr>
          <w:rFonts w:hint="eastAsia" w:ascii="仿宋_GB2312" w:hAnsi="微软雅黑" w:eastAsia="仿宋_GB2312" w:cs="仿宋_GB2312"/>
          <w:i w:val="0"/>
          <w:caps w:val="0"/>
          <w:color w:val="000000"/>
          <w:spacing w:val="0"/>
          <w:sz w:val="30"/>
          <w:szCs w:val="30"/>
          <w:highlight w:val="none"/>
          <w:lang w:val="en-US" w:eastAsia="zh-CN"/>
        </w:rPr>
      </w:pPr>
      <w:r>
        <w:rPr>
          <w:rFonts w:hint="eastAsia" w:ascii="仿宋_GB2312" w:hAnsi="微软雅黑" w:eastAsia="仿宋_GB2312" w:cs="仿宋_GB2312"/>
          <w:i w:val="0"/>
          <w:caps w:val="0"/>
          <w:color w:val="000000"/>
          <w:spacing w:val="0"/>
          <w:sz w:val="30"/>
          <w:szCs w:val="30"/>
          <w:highlight w:val="none"/>
          <w:lang w:val="en-US" w:eastAsia="zh-CN"/>
        </w:rPr>
        <w:t>13、交通运输支出0元；</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600" w:lineRule="atLeast"/>
        <w:ind w:left="0" w:right="0" w:firstLine="600"/>
        <w:rPr>
          <w:rFonts w:hint="eastAsia" w:ascii="仿宋_GB2312" w:hAnsi="微软雅黑" w:eastAsia="仿宋_GB2312" w:cs="仿宋_GB2312"/>
          <w:i w:val="0"/>
          <w:caps w:val="0"/>
          <w:color w:val="000000"/>
          <w:spacing w:val="0"/>
          <w:sz w:val="30"/>
          <w:szCs w:val="30"/>
          <w:highlight w:val="none"/>
          <w:lang w:val="en-US" w:eastAsia="zh-CN"/>
        </w:rPr>
      </w:pPr>
      <w:r>
        <w:rPr>
          <w:rFonts w:hint="eastAsia" w:ascii="仿宋_GB2312" w:hAnsi="微软雅黑" w:eastAsia="仿宋_GB2312" w:cs="仿宋_GB2312"/>
          <w:i w:val="0"/>
          <w:caps w:val="0"/>
          <w:color w:val="000000"/>
          <w:spacing w:val="0"/>
          <w:sz w:val="30"/>
          <w:szCs w:val="30"/>
          <w:highlight w:val="none"/>
          <w:lang w:val="en-US" w:eastAsia="zh-CN"/>
        </w:rPr>
        <w:t>14、资源勘探工业信息等支出0元；</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600" w:lineRule="atLeast"/>
        <w:ind w:left="0" w:right="0" w:firstLine="600"/>
        <w:rPr>
          <w:rFonts w:hint="eastAsia" w:ascii="仿宋_GB2312" w:hAnsi="微软雅黑" w:eastAsia="仿宋_GB2312" w:cs="仿宋_GB2312"/>
          <w:i w:val="0"/>
          <w:caps w:val="0"/>
          <w:color w:val="000000"/>
          <w:spacing w:val="0"/>
          <w:sz w:val="30"/>
          <w:szCs w:val="30"/>
          <w:highlight w:val="none"/>
          <w:lang w:val="en-US" w:eastAsia="zh-CN"/>
        </w:rPr>
      </w:pPr>
      <w:r>
        <w:rPr>
          <w:rFonts w:hint="eastAsia" w:ascii="仿宋_GB2312" w:hAnsi="微软雅黑" w:eastAsia="仿宋_GB2312" w:cs="仿宋_GB2312"/>
          <w:i w:val="0"/>
          <w:caps w:val="0"/>
          <w:color w:val="000000"/>
          <w:spacing w:val="0"/>
          <w:sz w:val="30"/>
          <w:szCs w:val="30"/>
          <w:highlight w:val="none"/>
          <w:lang w:val="en-US" w:eastAsia="zh-CN"/>
        </w:rPr>
        <w:t>15、商业服务业等支出0元；</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600" w:lineRule="atLeast"/>
        <w:ind w:left="0" w:right="0" w:firstLine="600"/>
        <w:rPr>
          <w:rFonts w:hint="eastAsia" w:ascii="仿宋_GB2312" w:hAnsi="微软雅黑" w:eastAsia="仿宋_GB2312" w:cs="仿宋_GB2312"/>
          <w:i w:val="0"/>
          <w:caps w:val="0"/>
          <w:color w:val="000000"/>
          <w:spacing w:val="0"/>
          <w:sz w:val="30"/>
          <w:szCs w:val="30"/>
          <w:highlight w:val="none"/>
          <w:lang w:val="en-US" w:eastAsia="zh-CN"/>
        </w:rPr>
      </w:pPr>
      <w:r>
        <w:rPr>
          <w:rFonts w:hint="eastAsia" w:ascii="仿宋_GB2312" w:hAnsi="微软雅黑" w:eastAsia="仿宋_GB2312" w:cs="仿宋_GB2312"/>
          <w:i w:val="0"/>
          <w:caps w:val="0"/>
          <w:color w:val="000000"/>
          <w:spacing w:val="0"/>
          <w:sz w:val="30"/>
          <w:szCs w:val="30"/>
          <w:highlight w:val="none"/>
          <w:lang w:val="en-US" w:eastAsia="zh-CN"/>
        </w:rPr>
        <w:t>16、金融支出0元；</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600" w:lineRule="atLeast"/>
        <w:ind w:left="0" w:right="0" w:firstLine="600"/>
        <w:rPr>
          <w:rFonts w:hint="eastAsia" w:ascii="仿宋_GB2312" w:hAnsi="微软雅黑" w:eastAsia="仿宋_GB2312" w:cs="仿宋_GB2312"/>
          <w:i w:val="0"/>
          <w:caps w:val="0"/>
          <w:color w:val="000000"/>
          <w:spacing w:val="0"/>
          <w:sz w:val="30"/>
          <w:szCs w:val="30"/>
          <w:highlight w:val="none"/>
          <w:lang w:val="en-US" w:eastAsia="zh-CN"/>
        </w:rPr>
      </w:pPr>
      <w:r>
        <w:rPr>
          <w:rFonts w:hint="eastAsia" w:ascii="仿宋_GB2312" w:hAnsi="微软雅黑" w:eastAsia="仿宋_GB2312" w:cs="仿宋_GB2312"/>
          <w:i w:val="0"/>
          <w:caps w:val="0"/>
          <w:color w:val="000000"/>
          <w:spacing w:val="0"/>
          <w:sz w:val="30"/>
          <w:szCs w:val="30"/>
          <w:highlight w:val="none"/>
          <w:lang w:val="en-US" w:eastAsia="zh-CN"/>
        </w:rPr>
        <w:t>17、援助其他地区支出0元；</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600" w:lineRule="atLeast"/>
        <w:ind w:left="0" w:right="0" w:firstLine="600"/>
        <w:rPr>
          <w:rFonts w:hint="eastAsia" w:ascii="仿宋_GB2312" w:hAnsi="微软雅黑" w:eastAsia="仿宋_GB2312" w:cs="仿宋_GB2312"/>
          <w:i w:val="0"/>
          <w:caps w:val="0"/>
          <w:color w:val="000000"/>
          <w:spacing w:val="0"/>
          <w:sz w:val="30"/>
          <w:szCs w:val="30"/>
          <w:highlight w:val="none"/>
          <w:lang w:val="en-US" w:eastAsia="zh-CN"/>
        </w:rPr>
      </w:pPr>
      <w:r>
        <w:rPr>
          <w:rFonts w:hint="eastAsia" w:ascii="仿宋_GB2312" w:hAnsi="微软雅黑" w:eastAsia="仿宋_GB2312" w:cs="仿宋_GB2312"/>
          <w:i w:val="0"/>
          <w:caps w:val="0"/>
          <w:color w:val="000000"/>
          <w:spacing w:val="0"/>
          <w:sz w:val="30"/>
          <w:szCs w:val="30"/>
          <w:highlight w:val="none"/>
          <w:lang w:val="en-US" w:eastAsia="zh-CN"/>
        </w:rPr>
        <w:t>18、自然资源海洋气象等支出0元；</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600" w:lineRule="atLeast"/>
        <w:ind w:left="0" w:right="0" w:firstLine="600"/>
        <w:rPr>
          <w:rFonts w:hint="eastAsia" w:ascii="仿宋_GB2312" w:hAnsi="微软雅黑" w:eastAsia="仿宋_GB2312" w:cs="仿宋_GB2312"/>
          <w:i w:val="0"/>
          <w:caps w:val="0"/>
          <w:color w:val="000000"/>
          <w:spacing w:val="0"/>
          <w:sz w:val="30"/>
          <w:szCs w:val="30"/>
          <w:highlight w:val="none"/>
          <w:lang w:val="en-US" w:eastAsia="zh-CN"/>
        </w:rPr>
      </w:pPr>
      <w:r>
        <w:rPr>
          <w:rFonts w:hint="eastAsia" w:ascii="仿宋_GB2312" w:hAnsi="微软雅黑" w:eastAsia="仿宋_GB2312" w:cs="仿宋_GB2312"/>
          <w:i w:val="0"/>
          <w:caps w:val="0"/>
          <w:color w:val="000000"/>
          <w:spacing w:val="0"/>
          <w:sz w:val="30"/>
          <w:szCs w:val="30"/>
          <w:highlight w:val="none"/>
          <w:lang w:val="en-US" w:eastAsia="zh-CN"/>
        </w:rPr>
        <w:t>19、住房保障支出48436257.05元</w:t>
      </w:r>
      <w:r>
        <w:rPr>
          <w:rFonts w:hint="eastAsia" w:ascii="仿宋_GB2312" w:hAnsi="微软雅黑" w:eastAsia="仿宋_GB2312" w:cs="仿宋_GB2312"/>
          <w:i w:val="0"/>
          <w:caps w:val="0"/>
          <w:color w:val="000000"/>
          <w:spacing w:val="0"/>
          <w:sz w:val="30"/>
          <w:szCs w:val="30"/>
          <w:highlight w:val="none"/>
          <w:lang w:eastAsia="zh-CN"/>
        </w:rPr>
        <w:t>，占一般公共预算财政拨款总支出的</w:t>
      </w:r>
      <w:r>
        <w:rPr>
          <w:rFonts w:hint="eastAsia" w:ascii="仿宋_GB2312" w:hAnsi="微软雅黑" w:eastAsia="仿宋_GB2312" w:cs="仿宋_GB2312"/>
          <w:i w:val="0"/>
          <w:caps w:val="0"/>
          <w:color w:val="000000"/>
          <w:spacing w:val="0"/>
          <w:sz w:val="30"/>
          <w:szCs w:val="30"/>
          <w:highlight w:val="none"/>
          <w:lang w:val="en-US" w:eastAsia="zh-CN"/>
        </w:rPr>
        <w:t>35.69%，主要用于</w:t>
      </w:r>
      <w:r>
        <w:rPr>
          <w:rFonts w:hint="eastAsia" w:ascii="仿宋_GB2312" w:hAnsi="仿宋_GB2312" w:eastAsia="仿宋_GB2312" w:cs="仿宋_GB2312"/>
          <w:i w:val="0"/>
          <w:caps w:val="0"/>
          <w:color w:val="000000"/>
          <w:spacing w:val="0"/>
          <w:sz w:val="30"/>
          <w:szCs w:val="30"/>
          <w:lang w:eastAsia="zh-CN"/>
        </w:rPr>
        <w:t>公共租赁住房、保障性住房租金补贴、其他保障性安居工程支出及公积金缴纳支出</w:t>
      </w:r>
      <w:bookmarkStart w:id="0" w:name="_GoBack"/>
      <w:bookmarkEnd w:id="0"/>
      <w:r>
        <w:rPr>
          <w:rFonts w:hint="eastAsia" w:ascii="仿宋_GB2312" w:hAnsi="微软雅黑" w:eastAsia="仿宋_GB2312" w:cs="仿宋_GB2312"/>
          <w:i w:val="0"/>
          <w:caps w:val="0"/>
          <w:color w:val="000000"/>
          <w:spacing w:val="0"/>
          <w:sz w:val="30"/>
          <w:szCs w:val="30"/>
          <w:highlight w:val="none"/>
          <w:lang w:val="en-US" w:eastAsia="zh-CN"/>
        </w:rPr>
        <w:t>；</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600" w:lineRule="atLeast"/>
        <w:ind w:left="0" w:right="0" w:firstLine="600"/>
        <w:rPr>
          <w:rFonts w:hint="eastAsia" w:ascii="仿宋_GB2312" w:hAnsi="微软雅黑" w:eastAsia="仿宋_GB2312" w:cs="仿宋_GB2312"/>
          <w:i w:val="0"/>
          <w:caps w:val="0"/>
          <w:color w:val="000000"/>
          <w:spacing w:val="0"/>
          <w:sz w:val="30"/>
          <w:szCs w:val="30"/>
          <w:highlight w:val="none"/>
          <w:lang w:val="en-US" w:eastAsia="zh-CN"/>
        </w:rPr>
      </w:pPr>
      <w:r>
        <w:rPr>
          <w:rFonts w:hint="eastAsia" w:ascii="仿宋_GB2312" w:hAnsi="微软雅黑" w:eastAsia="仿宋_GB2312" w:cs="仿宋_GB2312"/>
          <w:i w:val="0"/>
          <w:caps w:val="0"/>
          <w:color w:val="000000"/>
          <w:spacing w:val="0"/>
          <w:sz w:val="30"/>
          <w:szCs w:val="30"/>
          <w:highlight w:val="none"/>
          <w:lang w:val="en-US" w:eastAsia="zh-CN"/>
        </w:rPr>
        <w:t>20、粮油物资储备支出0元；</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600" w:lineRule="atLeast"/>
        <w:ind w:left="0" w:right="0" w:firstLine="600"/>
        <w:rPr>
          <w:rFonts w:hint="eastAsia" w:ascii="仿宋_GB2312" w:hAnsi="微软雅黑" w:eastAsia="仿宋_GB2312" w:cs="仿宋_GB2312"/>
          <w:i w:val="0"/>
          <w:caps w:val="0"/>
          <w:color w:val="000000"/>
          <w:spacing w:val="0"/>
          <w:sz w:val="30"/>
          <w:szCs w:val="30"/>
          <w:highlight w:val="none"/>
          <w:lang w:val="en-US" w:eastAsia="zh-CN"/>
        </w:rPr>
      </w:pPr>
      <w:r>
        <w:rPr>
          <w:rFonts w:hint="eastAsia" w:ascii="仿宋_GB2312" w:hAnsi="微软雅黑" w:eastAsia="仿宋_GB2312" w:cs="仿宋_GB2312"/>
          <w:i w:val="0"/>
          <w:caps w:val="0"/>
          <w:color w:val="000000"/>
          <w:spacing w:val="0"/>
          <w:sz w:val="30"/>
          <w:szCs w:val="30"/>
          <w:highlight w:val="none"/>
          <w:lang w:val="en-US" w:eastAsia="zh-CN"/>
        </w:rPr>
        <w:t>21、国有资本经营预算支出0元；</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600" w:lineRule="atLeast"/>
        <w:ind w:left="0" w:right="0" w:firstLine="600"/>
        <w:rPr>
          <w:rFonts w:hint="eastAsia" w:ascii="仿宋_GB2312" w:hAnsi="微软雅黑" w:eastAsia="仿宋_GB2312" w:cs="仿宋_GB2312"/>
          <w:i w:val="0"/>
          <w:caps w:val="0"/>
          <w:color w:val="000000"/>
          <w:spacing w:val="0"/>
          <w:sz w:val="30"/>
          <w:szCs w:val="30"/>
          <w:highlight w:val="none"/>
          <w:lang w:val="en-US" w:eastAsia="zh-CN"/>
        </w:rPr>
      </w:pPr>
      <w:r>
        <w:rPr>
          <w:rFonts w:hint="eastAsia" w:ascii="仿宋_GB2312" w:hAnsi="微软雅黑" w:eastAsia="仿宋_GB2312" w:cs="仿宋_GB2312"/>
          <w:i w:val="0"/>
          <w:caps w:val="0"/>
          <w:color w:val="000000"/>
          <w:spacing w:val="0"/>
          <w:sz w:val="30"/>
          <w:szCs w:val="30"/>
          <w:highlight w:val="none"/>
          <w:lang w:val="en-US" w:eastAsia="zh-CN"/>
        </w:rPr>
        <w:t>22、灾害防治及应急管理支出0元；</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600" w:lineRule="atLeast"/>
        <w:ind w:left="0" w:right="0" w:firstLine="600"/>
        <w:rPr>
          <w:rFonts w:hint="eastAsia" w:ascii="仿宋_GB2312" w:hAnsi="微软雅黑" w:eastAsia="仿宋_GB2312" w:cs="仿宋_GB2312"/>
          <w:i w:val="0"/>
          <w:caps w:val="0"/>
          <w:color w:val="000000"/>
          <w:spacing w:val="0"/>
          <w:sz w:val="30"/>
          <w:szCs w:val="30"/>
          <w:highlight w:val="none"/>
          <w:lang w:val="en-US" w:eastAsia="zh-CN"/>
        </w:rPr>
      </w:pPr>
      <w:r>
        <w:rPr>
          <w:rFonts w:hint="eastAsia" w:ascii="仿宋_GB2312" w:hAnsi="微软雅黑" w:eastAsia="仿宋_GB2312" w:cs="仿宋_GB2312"/>
          <w:i w:val="0"/>
          <w:caps w:val="0"/>
          <w:color w:val="000000"/>
          <w:spacing w:val="0"/>
          <w:sz w:val="30"/>
          <w:szCs w:val="30"/>
          <w:highlight w:val="none"/>
          <w:lang w:val="en-US" w:eastAsia="zh-CN"/>
        </w:rPr>
        <w:t>23、其他支出0元；</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600" w:lineRule="atLeast"/>
        <w:ind w:left="0" w:right="0" w:firstLine="600"/>
        <w:rPr>
          <w:rFonts w:hint="eastAsia" w:ascii="仿宋_GB2312" w:hAnsi="微软雅黑" w:eastAsia="仿宋_GB2312" w:cs="仿宋_GB2312"/>
          <w:i w:val="0"/>
          <w:caps w:val="0"/>
          <w:color w:val="000000"/>
          <w:spacing w:val="0"/>
          <w:sz w:val="30"/>
          <w:szCs w:val="30"/>
          <w:highlight w:val="none"/>
          <w:lang w:val="en-US" w:eastAsia="zh-CN"/>
        </w:rPr>
      </w:pPr>
      <w:r>
        <w:rPr>
          <w:rFonts w:hint="eastAsia" w:ascii="仿宋_GB2312" w:hAnsi="微软雅黑" w:eastAsia="仿宋_GB2312" w:cs="仿宋_GB2312"/>
          <w:i w:val="0"/>
          <w:caps w:val="0"/>
          <w:color w:val="000000"/>
          <w:spacing w:val="0"/>
          <w:sz w:val="30"/>
          <w:szCs w:val="30"/>
          <w:highlight w:val="none"/>
          <w:lang w:val="en-US" w:eastAsia="zh-CN"/>
        </w:rPr>
        <w:t>24、债务还本支出0元；</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600" w:lineRule="atLeast"/>
        <w:ind w:left="0" w:right="0" w:firstLine="600"/>
        <w:rPr>
          <w:rFonts w:hint="eastAsia" w:ascii="仿宋_GB2312" w:hAnsi="微软雅黑" w:eastAsia="仿宋_GB2312" w:cs="仿宋_GB2312"/>
          <w:i w:val="0"/>
          <w:caps w:val="0"/>
          <w:color w:val="000000"/>
          <w:spacing w:val="0"/>
          <w:sz w:val="30"/>
          <w:szCs w:val="30"/>
          <w:highlight w:val="none"/>
          <w:lang w:val="en-US" w:eastAsia="zh-CN"/>
        </w:rPr>
      </w:pPr>
      <w:r>
        <w:rPr>
          <w:rFonts w:hint="eastAsia" w:ascii="仿宋_GB2312" w:hAnsi="微软雅黑" w:eastAsia="仿宋_GB2312" w:cs="仿宋_GB2312"/>
          <w:i w:val="0"/>
          <w:caps w:val="0"/>
          <w:color w:val="000000"/>
          <w:spacing w:val="0"/>
          <w:sz w:val="30"/>
          <w:szCs w:val="30"/>
          <w:highlight w:val="none"/>
          <w:lang w:val="en-US" w:eastAsia="zh-CN"/>
        </w:rPr>
        <w:t>25、债务付息支出0元；</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600" w:lineRule="atLeast"/>
        <w:ind w:left="0" w:right="0" w:firstLine="600"/>
        <w:rPr>
          <w:rFonts w:hint="eastAsia" w:ascii="仿宋_GB2312" w:hAnsi="微软雅黑" w:eastAsia="仿宋_GB2312" w:cs="仿宋_GB2312"/>
          <w:i w:val="0"/>
          <w:caps w:val="0"/>
          <w:color w:val="000000"/>
          <w:spacing w:val="0"/>
          <w:sz w:val="30"/>
          <w:szCs w:val="30"/>
          <w:highlight w:val="none"/>
          <w:lang w:val="en-US" w:eastAsia="zh-CN"/>
        </w:rPr>
      </w:pPr>
      <w:r>
        <w:rPr>
          <w:rFonts w:hint="eastAsia" w:ascii="仿宋_GB2312" w:hAnsi="微软雅黑" w:eastAsia="仿宋_GB2312" w:cs="仿宋_GB2312"/>
          <w:i w:val="0"/>
          <w:caps w:val="0"/>
          <w:color w:val="000000"/>
          <w:spacing w:val="0"/>
          <w:sz w:val="30"/>
          <w:szCs w:val="30"/>
          <w:highlight w:val="none"/>
          <w:lang w:val="en-US" w:eastAsia="zh-CN"/>
        </w:rPr>
        <w:t>26、抗疫特别国债安排的支出0元。</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450" w:lineRule="atLeast"/>
        <w:ind w:left="0" w:right="0" w:firstLine="600"/>
        <w:rPr>
          <w:rFonts w:hint="eastAsia" w:ascii="微软雅黑" w:hAnsi="微软雅黑" w:eastAsia="微软雅黑" w:cs="微软雅黑"/>
          <w:i w:val="0"/>
          <w:caps w:val="0"/>
          <w:color w:val="000000"/>
          <w:spacing w:val="0"/>
          <w:sz w:val="30"/>
          <w:szCs w:val="30"/>
          <w:highlight w:val="none"/>
        </w:rPr>
      </w:pPr>
      <w:r>
        <w:rPr>
          <w:rFonts w:hint="eastAsia" w:ascii="黑体" w:hAnsi="宋体" w:eastAsia="黑体" w:cs="黑体"/>
          <w:i w:val="0"/>
          <w:caps w:val="0"/>
          <w:color w:val="000000"/>
          <w:spacing w:val="0"/>
          <w:sz w:val="30"/>
          <w:szCs w:val="30"/>
          <w:highlight w:val="none"/>
        </w:rPr>
        <w:t>四、财政拨款“三公”经费支出决算情况说明</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450" w:lineRule="atLeast"/>
        <w:ind w:left="0" w:right="0" w:firstLine="600"/>
        <w:rPr>
          <w:rFonts w:hint="eastAsia" w:ascii="微软雅黑" w:hAnsi="微软雅黑" w:eastAsia="微软雅黑" w:cs="微软雅黑"/>
          <w:i w:val="0"/>
          <w:caps w:val="0"/>
          <w:color w:val="000000"/>
          <w:spacing w:val="0"/>
          <w:sz w:val="30"/>
          <w:szCs w:val="30"/>
          <w:highlight w:val="none"/>
        </w:rPr>
      </w:pPr>
      <w:r>
        <w:rPr>
          <w:rFonts w:hint="eastAsia" w:ascii="仿宋_GB2312" w:hAnsi="微软雅黑" w:eastAsia="仿宋_GB2312" w:cs="仿宋_GB2312"/>
          <w:i w:val="0"/>
          <w:caps w:val="0"/>
          <w:color w:val="000000"/>
          <w:spacing w:val="0"/>
          <w:sz w:val="30"/>
          <w:szCs w:val="30"/>
          <w:highlight w:val="none"/>
        </w:rPr>
        <w:t>2022年度财政拨款“三公”经费支出决算中，财政拨款“三公”经费支出年初预算为279200元，支出决算为82388.97元，完成年初预算的29.51%。其中：因公出国（境）费支出决算0元，占总支出决算的0%；公务用车购置费支出决算0元，占总支出决算的0%；公务用车运行维护费支出决算82388.97元，占总支出决算的100%；公务接待费支出决算0元，占总支出决算的0%，具体是国内接待费支出决算0元（其中：外事接待费支出决算0元），国（境）外接待费支出决算0元。其中：</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450" w:lineRule="atLeast"/>
        <w:ind w:left="0" w:right="0" w:firstLine="600"/>
        <w:rPr>
          <w:rFonts w:hint="eastAsia" w:ascii="微软雅黑" w:hAnsi="微软雅黑" w:eastAsia="微软雅黑" w:cs="微软雅黑"/>
          <w:i w:val="0"/>
          <w:caps w:val="0"/>
          <w:color w:val="000000"/>
          <w:spacing w:val="0"/>
          <w:sz w:val="30"/>
          <w:szCs w:val="30"/>
          <w:highlight w:val="none"/>
        </w:rPr>
      </w:pPr>
      <w:r>
        <w:rPr>
          <w:rFonts w:hint="eastAsia" w:ascii="楷体" w:hAnsi="楷体" w:eastAsia="楷体" w:cs="楷体"/>
          <w:i w:val="0"/>
          <w:caps w:val="0"/>
          <w:color w:val="000000"/>
          <w:spacing w:val="0"/>
          <w:sz w:val="30"/>
          <w:szCs w:val="30"/>
          <w:highlight w:val="none"/>
        </w:rPr>
        <w:t>(一)一般公共预算财政拨款“三公”经费支出决算总体情况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450" w:lineRule="atLeast"/>
        <w:ind w:left="0" w:right="0" w:firstLine="600"/>
        <w:rPr>
          <w:rFonts w:hint="eastAsia" w:ascii="微软雅黑" w:hAnsi="微软雅黑" w:eastAsia="微软雅黑" w:cs="微软雅黑"/>
          <w:i w:val="0"/>
          <w:caps w:val="0"/>
          <w:color w:val="000000"/>
          <w:spacing w:val="0"/>
          <w:sz w:val="30"/>
          <w:szCs w:val="30"/>
          <w:highlight w:val="none"/>
        </w:rPr>
      </w:pPr>
      <w:r>
        <w:rPr>
          <w:rFonts w:hint="eastAsia" w:ascii="仿宋_GB2312" w:hAnsi="微软雅黑" w:eastAsia="仿宋_GB2312" w:cs="仿宋_GB2312"/>
          <w:i w:val="0"/>
          <w:caps w:val="0"/>
          <w:color w:val="000000"/>
          <w:spacing w:val="0"/>
          <w:sz w:val="30"/>
          <w:szCs w:val="30"/>
          <w:highlight w:val="none"/>
        </w:rPr>
        <w:t>昆明市盘龙区住房和城乡建设局（本级）2022年度一般公共预算财政拨款“三公”经费支出年初预算为279200元，支出决算为82388.97元，完成年初预算的29.51。其中：因公出国（境）费支出决算为0元，完成年初预算的0%；公务用车购置费支出决算为0元，完成年初预算的0%；公务用车运行维护费支出决算为82388.97元，完成年初预算的29.51%；公务接待费支出决算为0元，完成年初预算的0%。2022年度一般公共预算财政拨款“三公”经费支出决算数小于年初预算数的主要原因：年初预算按照财政下发标准测算，年度内根据实际工作情况按规定报销经费，同时</w:t>
      </w:r>
      <w:r>
        <w:rPr>
          <w:rFonts w:ascii="仿宋" w:hAnsi="仿宋" w:eastAsia="仿宋" w:cs="仿宋"/>
          <w:i w:val="0"/>
          <w:caps w:val="0"/>
          <w:color w:val="000000"/>
          <w:spacing w:val="0"/>
          <w:sz w:val="30"/>
          <w:szCs w:val="30"/>
          <w:highlight w:val="none"/>
        </w:rPr>
        <w:t>厉行节约，落实政府过“紧日子”要求</w:t>
      </w:r>
      <w:r>
        <w:rPr>
          <w:rFonts w:hint="eastAsia" w:ascii="仿宋_GB2312" w:hAnsi="微软雅黑" w:eastAsia="仿宋_GB2312" w:cs="仿宋_GB2312"/>
          <w:i w:val="0"/>
          <w:caps w:val="0"/>
          <w:color w:val="000000"/>
          <w:spacing w:val="0"/>
          <w:sz w:val="30"/>
          <w:szCs w:val="30"/>
          <w:highlight w:val="none"/>
        </w:rPr>
        <w:t>。</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450" w:lineRule="atLeast"/>
        <w:ind w:left="0" w:right="0" w:firstLine="600"/>
        <w:rPr>
          <w:rFonts w:hint="eastAsia" w:ascii="微软雅黑" w:hAnsi="微软雅黑" w:eastAsia="微软雅黑" w:cs="微软雅黑"/>
          <w:i w:val="0"/>
          <w:caps w:val="0"/>
          <w:color w:val="000000"/>
          <w:spacing w:val="0"/>
          <w:sz w:val="30"/>
          <w:szCs w:val="30"/>
          <w:highlight w:val="none"/>
        </w:rPr>
      </w:pPr>
      <w:r>
        <w:rPr>
          <w:rFonts w:hint="eastAsia" w:ascii="仿宋_GB2312" w:hAnsi="微软雅黑" w:eastAsia="仿宋_GB2312" w:cs="仿宋_GB2312"/>
          <w:i w:val="0"/>
          <w:caps w:val="0"/>
          <w:color w:val="000000"/>
          <w:spacing w:val="0"/>
          <w:sz w:val="30"/>
          <w:szCs w:val="30"/>
          <w:highlight w:val="none"/>
        </w:rPr>
        <w:t>2022度一般公共预算财政拨款“三公”经费支出决算数比上年增加18454.14元，增长28.86%。其中：因公出国（境）费支出决算增加0元，增长0%；公务用车购置费支出决算增加0元，增长0%；公务用车运行维护费支出决算增加18454.14元，增长28.86%；公务接待费支出决算增加0元，增长0%。2022年度一般公共预算财政拨款“三公”经费支出决算增加的主要原因是：人员增加，外出检查工作次数增加。</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450" w:lineRule="atLeast"/>
        <w:ind w:left="0" w:right="0" w:firstLine="600"/>
        <w:rPr>
          <w:rFonts w:hint="eastAsia" w:ascii="微软雅黑" w:hAnsi="微软雅黑" w:eastAsia="微软雅黑" w:cs="微软雅黑"/>
          <w:i w:val="0"/>
          <w:caps w:val="0"/>
          <w:color w:val="000000"/>
          <w:spacing w:val="0"/>
          <w:sz w:val="30"/>
          <w:szCs w:val="30"/>
          <w:highlight w:val="none"/>
        </w:rPr>
      </w:pPr>
      <w:r>
        <w:rPr>
          <w:rFonts w:hint="eastAsia" w:ascii="楷体" w:hAnsi="楷体" w:eastAsia="楷体" w:cs="楷体"/>
          <w:i w:val="0"/>
          <w:caps w:val="0"/>
          <w:color w:val="000000"/>
          <w:spacing w:val="0"/>
          <w:sz w:val="30"/>
          <w:szCs w:val="30"/>
          <w:highlight w:val="none"/>
        </w:rPr>
        <w:t>(二)一般公共预算财政拨款“三公”经费支出实物量的具体情况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450" w:lineRule="atLeast"/>
        <w:ind w:left="0" w:right="0" w:firstLine="600"/>
        <w:rPr>
          <w:rFonts w:hint="eastAsia" w:ascii="微软雅黑" w:hAnsi="微软雅黑" w:eastAsia="微软雅黑" w:cs="微软雅黑"/>
          <w:i w:val="0"/>
          <w:caps w:val="0"/>
          <w:color w:val="000000"/>
          <w:spacing w:val="0"/>
          <w:sz w:val="30"/>
          <w:szCs w:val="30"/>
          <w:highlight w:val="none"/>
        </w:rPr>
      </w:pPr>
      <w:r>
        <w:rPr>
          <w:rFonts w:hint="eastAsia" w:ascii="仿宋_GB2312" w:hAnsi="微软雅黑" w:eastAsia="仿宋_GB2312" w:cs="仿宋_GB2312"/>
          <w:b/>
          <w:i w:val="0"/>
          <w:caps w:val="0"/>
          <w:color w:val="000000"/>
          <w:spacing w:val="0"/>
          <w:sz w:val="30"/>
          <w:szCs w:val="30"/>
          <w:highlight w:val="none"/>
        </w:rPr>
        <w:t>1.</w:t>
      </w:r>
      <w:r>
        <w:rPr>
          <w:rFonts w:hint="eastAsia" w:ascii="仿宋_GB2312" w:hAnsi="微软雅黑" w:eastAsia="仿宋_GB2312" w:cs="仿宋_GB2312"/>
          <w:i w:val="0"/>
          <w:caps w:val="0"/>
          <w:color w:val="000000"/>
          <w:spacing w:val="0"/>
          <w:sz w:val="30"/>
          <w:szCs w:val="30"/>
          <w:highlight w:val="none"/>
        </w:rPr>
        <w:t>安排因公出国（境）团组0个，累计0人次。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450" w:lineRule="atLeast"/>
        <w:ind w:left="0" w:right="0" w:firstLine="600"/>
        <w:rPr>
          <w:rFonts w:hint="eastAsia" w:ascii="微软雅黑" w:hAnsi="微软雅黑" w:eastAsia="微软雅黑" w:cs="微软雅黑"/>
          <w:i w:val="0"/>
          <w:caps w:val="0"/>
          <w:color w:val="000000"/>
          <w:spacing w:val="0"/>
          <w:sz w:val="30"/>
          <w:szCs w:val="30"/>
          <w:highlight w:val="none"/>
        </w:rPr>
      </w:pPr>
      <w:r>
        <w:rPr>
          <w:rFonts w:hint="eastAsia" w:ascii="仿宋_GB2312" w:hAnsi="微软雅黑" w:eastAsia="仿宋_GB2312" w:cs="仿宋_GB2312"/>
          <w:b/>
          <w:i w:val="0"/>
          <w:caps w:val="0"/>
          <w:color w:val="000000"/>
          <w:spacing w:val="0"/>
          <w:sz w:val="30"/>
          <w:szCs w:val="30"/>
          <w:highlight w:val="none"/>
        </w:rPr>
        <w:t>2.</w:t>
      </w:r>
      <w:r>
        <w:rPr>
          <w:rFonts w:hint="eastAsia" w:ascii="仿宋_GB2312" w:hAnsi="微软雅黑" w:eastAsia="仿宋_GB2312" w:cs="仿宋_GB2312"/>
          <w:i w:val="0"/>
          <w:caps w:val="0"/>
          <w:color w:val="000000"/>
          <w:spacing w:val="0"/>
          <w:sz w:val="30"/>
          <w:szCs w:val="30"/>
          <w:highlight w:val="none"/>
        </w:rPr>
        <w:t>购置车辆0辆。开支一般公共预算财政拨款的公务用车保有量为2辆，主要用于人防工作所需车辆燃料费、维修费、过路过桥费、保险费等。</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450" w:lineRule="atLeast"/>
        <w:ind w:left="0" w:right="0" w:firstLine="600"/>
        <w:rPr>
          <w:rFonts w:hint="eastAsia" w:ascii="微软雅黑" w:hAnsi="微软雅黑" w:eastAsia="微软雅黑" w:cs="微软雅黑"/>
          <w:i w:val="0"/>
          <w:caps w:val="0"/>
          <w:color w:val="000000"/>
          <w:spacing w:val="0"/>
          <w:sz w:val="30"/>
          <w:szCs w:val="30"/>
          <w:highlight w:val="none"/>
        </w:rPr>
      </w:pPr>
      <w:r>
        <w:rPr>
          <w:rFonts w:hint="eastAsia" w:ascii="仿宋_GB2312" w:hAnsi="微软雅黑" w:eastAsia="仿宋_GB2312" w:cs="仿宋_GB2312"/>
          <w:b/>
          <w:i w:val="0"/>
          <w:caps w:val="0"/>
          <w:color w:val="000000"/>
          <w:spacing w:val="0"/>
          <w:sz w:val="30"/>
          <w:szCs w:val="30"/>
          <w:highlight w:val="none"/>
        </w:rPr>
        <w:t>3.</w:t>
      </w:r>
      <w:r>
        <w:rPr>
          <w:rFonts w:hint="eastAsia" w:ascii="仿宋_GB2312" w:hAnsi="微软雅黑" w:eastAsia="仿宋_GB2312" w:cs="仿宋_GB2312"/>
          <w:i w:val="0"/>
          <w:caps w:val="0"/>
          <w:color w:val="000000"/>
          <w:spacing w:val="0"/>
          <w:sz w:val="30"/>
          <w:szCs w:val="30"/>
          <w:highlight w:val="none"/>
        </w:rPr>
        <w:t>安排国内公务接待0批次（其中：外事接待0批次），接待人次0人（其中：外事接待人次0人）。安排国（境）外公务接待0批次，接待人次0人。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480" w:lineRule="atLeast"/>
        <w:ind w:left="0" w:right="0" w:firstLine="640"/>
        <w:rPr>
          <w:rFonts w:hint="eastAsia" w:ascii="微软雅黑" w:hAnsi="微软雅黑" w:eastAsia="微软雅黑" w:cs="微软雅黑"/>
          <w:i w:val="0"/>
          <w:caps w:val="0"/>
          <w:color w:val="000000"/>
          <w:spacing w:val="0"/>
          <w:sz w:val="32"/>
          <w:szCs w:val="32"/>
          <w:highlight w:val="none"/>
        </w:rPr>
      </w:pPr>
      <w:r>
        <w:rPr>
          <w:rFonts w:hint="eastAsia" w:ascii="黑体" w:hAnsi="宋体" w:eastAsia="黑体" w:cs="黑体"/>
          <w:i w:val="0"/>
          <w:caps w:val="0"/>
          <w:color w:val="000000"/>
          <w:spacing w:val="0"/>
          <w:sz w:val="32"/>
          <w:szCs w:val="32"/>
          <w:highlight w:val="none"/>
        </w:rPr>
        <w:t>第四部分其他重要事项及相关口径情况说明</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45" w:lineRule="atLeast"/>
        <w:ind w:left="0" w:right="0" w:firstLine="600"/>
        <w:rPr>
          <w:rFonts w:hint="eastAsia" w:ascii="微软雅黑" w:hAnsi="微软雅黑" w:eastAsia="微软雅黑" w:cs="微软雅黑"/>
          <w:i w:val="0"/>
          <w:caps w:val="0"/>
          <w:color w:val="000000"/>
          <w:spacing w:val="0"/>
          <w:sz w:val="30"/>
          <w:szCs w:val="30"/>
          <w:highlight w:val="none"/>
        </w:rPr>
      </w:pPr>
      <w:r>
        <w:rPr>
          <w:rFonts w:hint="eastAsia" w:ascii="黑体" w:hAnsi="宋体" w:eastAsia="黑体" w:cs="黑体"/>
          <w:i w:val="0"/>
          <w:caps w:val="0"/>
          <w:color w:val="000000"/>
          <w:spacing w:val="0"/>
          <w:sz w:val="30"/>
          <w:szCs w:val="30"/>
          <w:highlight w:val="none"/>
        </w:rPr>
        <w:t>一、机关运行经费支出情况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45" w:lineRule="atLeast"/>
        <w:ind w:left="0" w:right="0" w:firstLine="600"/>
        <w:rPr>
          <w:rFonts w:hint="eastAsia" w:ascii="微软雅黑" w:hAnsi="微软雅黑" w:eastAsia="微软雅黑" w:cs="微软雅黑"/>
          <w:i w:val="0"/>
          <w:caps w:val="0"/>
          <w:color w:val="000000"/>
          <w:spacing w:val="0"/>
          <w:sz w:val="30"/>
          <w:szCs w:val="30"/>
          <w:highlight w:val="none"/>
        </w:rPr>
      </w:pPr>
      <w:r>
        <w:rPr>
          <w:rFonts w:hint="eastAsia" w:ascii="仿宋_GB2312" w:hAnsi="微软雅黑" w:eastAsia="仿宋_GB2312" w:cs="仿宋_GB2312"/>
          <w:i w:val="0"/>
          <w:caps w:val="0"/>
          <w:color w:val="000000"/>
          <w:spacing w:val="0"/>
          <w:sz w:val="30"/>
          <w:szCs w:val="30"/>
          <w:highlight w:val="none"/>
        </w:rPr>
        <w:t>昆明市盘龙区住房和城乡建设局（本级）2022年机关运行经费支出876522.53元，上年机关运行经费951898.44元，减少75375.91元，下降7.92%,主要原因分析：响应国家过“紧日子”政策，缩减部分经费。机关运行经费主要用于办公费216284元，水费33689.45元，电费20114.35元，邮电费66658元，差旅费10703.7元，培训费1000元，福利费312508.06元，公务用车运行维护费33074.97元，其他交通费用181350元，其他商品和服务支出1140元。</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45" w:lineRule="atLeast"/>
        <w:ind w:left="0" w:right="0" w:firstLine="600"/>
        <w:jc w:val="both"/>
        <w:rPr>
          <w:rFonts w:hint="eastAsia" w:ascii="微软雅黑" w:hAnsi="微软雅黑" w:eastAsia="微软雅黑" w:cs="微软雅黑"/>
          <w:i w:val="0"/>
          <w:caps w:val="0"/>
          <w:color w:val="000000"/>
          <w:spacing w:val="0"/>
          <w:sz w:val="30"/>
          <w:szCs w:val="30"/>
          <w:highlight w:val="none"/>
        </w:rPr>
      </w:pPr>
      <w:r>
        <w:rPr>
          <w:rFonts w:hint="eastAsia" w:ascii="黑体" w:hAnsi="宋体" w:eastAsia="黑体" w:cs="黑体"/>
          <w:i w:val="0"/>
          <w:caps w:val="0"/>
          <w:color w:val="000000"/>
          <w:spacing w:val="0"/>
          <w:sz w:val="30"/>
          <w:szCs w:val="30"/>
          <w:highlight w:val="none"/>
        </w:rPr>
        <w:t>二、国有资产占用情况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45" w:lineRule="atLeast"/>
        <w:ind w:left="0" w:right="0" w:firstLine="600"/>
        <w:jc w:val="both"/>
        <w:rPr>
          <w:rFonts w:hint="eastAsia" w:ascii="微软雅黑" w:hAnsi="微软雅黑" w:eastAsia="微软雅黑" w:cs="微软雅黑"/>
          <w:i w:val="0"/>
          <w:caps w:val="0"/>
          <w:color w:val="000000"/>
          <w:spacing w:val="0"/>
          <w:sz w:val="30"/>
          <w:szCs w:val="30"/>
          <w:highlight w:val="none"/>
        </w:rPr>
      </w:pPr>
      <w:r>
        <w:rPr>
          <w:rFonts w:hint="eastAsia" w:ascii="仿宋_GB2312" w:hAnsi="微软雅黑" w:eastAsia="仿宋_GB2312" w:cs="仿宋_GB2312"/>
          <w:i w:val="0"/>
          <w:caps w:val="0"/>
          <w:color w:val="000000"/>
          <w:spacing w:val="0"/>
          <w:sz w:val="30"/>
          <w:szCs w:val="30"/>
          <w:highlight w:val="none"/>
        </w:rPr>
        <w:t>截至2022年12月31日，昆明市盘龙区住房和城乡建设局（本级）资产总额2300261.41元，其中，流动资产0元，固定资产449689.55元，对外投资及有价证券0元，在建工程0元，无形资产1850571.86元，其他资产0元（具体内容详见附表）。与上年相比，本年资产总额减少2021元，其中固定资产减少223289.01元。处置房屋建筑物0平方米，账面原值0元；处置车辆0辆，账面原值0元；报废报损资产0项，账面原值0元，实现资产处置收入0元；出租房屋0平方米，账面原值0元，实现资产使用收入0元。（国有资产占有使用情况表详见附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45" w:lineRule="atLeast"/>
        <w:ind w:left="0" w:right="0" w:firstLine="600"/>
        <w:rPr>
          <w:rFonts w:hint="eastAsia" w:ascii="微软雅黑" w:hAnsi="微软雅黑" w:eastAsia="微软雅黑" w:cs="微软雅黑"/>
          <w:i w:val="0"/>
          <w:caps w:val="0"/>
          <w:color w:val="000000"/>
          <w:spacing w:val="0"/>
          <w:sz w:val="30"/>
          <w:szCs w:val="30"/>
          <w:highlight w:val="none"/>
        </w:rPr>
      </w:pPr>
      <w:r>
        <w:rPr>
          <w:rFonts w:hint="eastAsia" w:ascii="黑体" w:hAnsi="宋体" w:eastAsia="黑体" w:cs="黑体"/>
          <w:i w:val="0"/>
          <w:caps w:val="0"/>
          <w:color w:val="000000"/>
          <w:spacing w:val="0"/>
          <w:sz w:val="30"/>
          <w:szCs w:val="30"/>
          <w:highlight w:val="none"/>
        </w:rPr>
        <w:t>三、政府采购支出情况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45" w:lineRule="atLeast"/>
        <w:ind w:left="0" w:right="0" w:firstLine="600"/>
        <w:jc w:val="both"/>
        <w:rPr>
          <w:rFonts w:hint="eastAsia" w:ascii="微软雅黑" w:hAnsi="微软雅黑" w:eastAsia="微软雅黑" w:cs="微软雅黑"/>
          <w:i w:val="0"/>
          <w:caps w:val="0"/>
          <w:color w:val="000000"/>
          <w:spacing w:val="0"/>
          <w:sz w:val="30"/>
          <w:szCs w:val="30"/>
          <w:highlight w:val="none"/>
        </w:rPr>
      </w:pPr>
      <w:r>
        <w:rPr>
          <w:rFonts w:hint="eastAsia" w:ascii="仿宋_GB2312" w:hAnsi="微软雅黑" w:eastAsia="仿宋_GB2312" w:cs="仿宋_GB2312"/>
          <w:i w:val="0"/>
          <w:caps w:val="0"/>
          <w:color w:val="000000"/>
          <w:spacing w:val="0"/>
          <w:sz w:val="30"/>
          <w:szCs w:val="30"/>
          <w:highlight w:val="none"/>
        </w:rPr>
        <w:t>2022年度，政府采购支出总额6514660元，其中：政府采购货物支出0元；政府采购工程支出0元；政府采购服务支出6514660元。授予中小企业合同金额3423180元，占政府采购支出总额的52.55%。</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45" w:lineRule="atLeast"/>
        <w:ind w:left="0" w:right="0" w:firstLine="600"/>
        <w:rPr>
          <w:rFonts w:hint="eastAsia" w:ascii="微软雅黑" w:hAnsi="微软雅黑" w:eastAsia="微软雅黑" w:cs="微软雅黑"/>
          <w:i w:val="0"/>
          <w:caps w:val="0"/>
          <w:color w:val="000000"/>
          <w:spacing w:val="0"/>
          <w:sz w:val="30"/>
          <w:szCs w:val="30"/>
          <w:highlight w:val="none"/>
        </w:rPr>
      </w:pPr>
      <w:r>
        <w:rPr>
          <w:rFonts w:hint="eastAsia" w:ascii="黑体" w:hAnsi="宋体" w:eastAsia="黑体" w:cs="黑体"/>
          <w:i w:val="0"/>
          <w:caps w:val="0"/>
          <w:color w:val="000000"/>
          <w:spacing w:val="0"/>
          <w:sz w:val="30"/>
          <w:szCs w:val="30"/>
          <w:highlight w:val="none"/>
        </w:rPr>
        <w:t>四、绩效自评情况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450" w:lineRule="atLeast"/>
        <w:ind w:left="0" w:right="0" w:firstLine="600"/>
        <w:rPr>
          <w:rFonts w:hint="eastAsia" w:ascii="微软雅黑" w:hAnsi="微软雅黑" w:eastAsia="微软雅黑" w:cs="微软雅黑"/>
          <w:i w:val="0"/>
          <w:caps w:val="0"/>
          <w:color w:val="000000"/>
          <w:spacing w:val="0"/>
          <w:sz w:val="30"/>
          <w:szCs w:val="30"/>
          <w:highlight w:val="none"/>
        </w:rPr>
      </w:pPr>
      <w:r>
        <w:rPr>
          <w:rFonts w:hint="eastAsia" w:ascii="仿宋_GB2312" w:hAnsi="微软雅黑" w:eastAsia="仿宋_GB2312" w:cs="仿宋_GB2312"/>
          <w:i w:val="0"/>
          <w:caps w:val="0"/>
          <w:color w:val="000000"/>
          <w:spacing w:val="0"/>
          <w:sz w:val="30"/>
          <w:szCs w:val="30"/>
          <w:highlight w:val="none"/>
        </w:rPr>
        <w:t>部门绩效自评情况详见附表。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450" w:lineRule="atLeast"/>
        <w:ind w:left="0" w:right="0" w:firstLine="600"/>
        <w:rPr>
          <w:rFonts w:hint="eastAsia" w:ascii="微软雅黑" w:hAnsi="微软雅黑" w:eastAsia="微软雅黑" w:cs="微软雅黑"/>
          <w:i w:val="0"/>
          <w:caps w:val="0"/>
          <w:color w:val="000000"/>
          <w:spacing w:val="0"/>
          <w:sz w:val="30"/>
          <w:szCs w:val="30"/>
          <w:highlight w:val="none"/>
        </w:rPr>
      </w:pPr>
      <w:r>
        <w:rPr>
          <w:rFonts w:hint="eastAsia" w:ascii="黑体" w:hAnsi="宋体" w:eastAsia="黑体" w:cs="黑体"/>
          <w:i w:val="0"/>
          <w:caps w:val="0"/>
          <w:color w:val="000000"/>
          <w:spacing w:val="0"/>
          <w:sz w:val="30"/>
          <w:szCs w:val="30"/>
          <w:highlight w:val="none"/>
        </w:rPr>
        <w:t>五、其他重要事项情况说明</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450" w:lineRule="atLeast"/>
        <w:ind w:left="0" w:right="0" w:firstLine="600"/>
        <w:rPr>
          <w:rFonts w:hint="eastAsia" w:ascii="微软雅黑" w:hAnsi="微软雅黑" w:eastAsia="微软雅黑" w:cs="微软雅黑"/>
          <w:i w:val="0"/>
          <w:caps w:val="0"/>
          <w:color w:val="000000"/>
          <w:spacing w:val="0"/>
          <w:sz w:val="30"/>
          <w:szCs w:val="30"/>
          <w:highlight w:val="none"/>
        </w:rPr>
      </w:pPr>
      <w:r>
        <w:rPr>
          <w:rFonts w:hint="eastAsia" w:ascii="仿宋_GB2312" w:hAnsi="微软雅黑" w:eastAsia="仿宋_GB2312" w:cs="仿宋_GB2312"/>
          <w:i w:val="0"/>
          <w:caps w:val="0"/>
          <w:color w:val="000000"/>
          <w:spacing w:val="0"/>
          <w:sz w:val="30"/>
          <w:szCs w:val="30"/>
          <w:highlight w:val="none"/>
        </w:rPr>
        <w:t>无其他重要事项情况需说明。</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450" w:lineRule="atLeast"/>
        <w:ind w:left="0" w:right="0" w:firstLine="600"/>
        <w:rPr>
          <w:rFonts w:hint="eastAsia" w:ascii="微软雅黑" w:hAnsi="微软雅黑" w:eastAsia="微软雅黑" w:cs="微软雅黑"/>
          <w:i w:val="0"/>
          <w:caps w:val="0"/>
          <w:color w:val="000000"/>
          <w:spacing w:val="0"/>
          <w:sz w:val="30"/>
          <w:szCs w:val="30"/>
          <w:highlight w:val="none"/>
        </w:rPr>
      </w:pPr>
      <w:r>
        <w:rPr>
          <w:rFonts w:hint="eastAsia" w:ascii="黑体" w:hAnsi="宋体" w:eastAsia="黑体" w:cs="黑体"/>
          <w:i w:val="0"/>
          <w:caps w:val="0"/>
          <w:color w:val="000000"/>
          <w:spacing w:val="0"/>
          <w:sz w:val="30"/>
          <w:szCs w:val="30"/>
          <w:highlight w:val="none"/>
        </w:rPr>
        <w:t>六、相关口径说明</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45" w:lineRule="atLeast"/>
        <w:ind w:left="0" w:right="0" w:firstLine="600"/>
        <w:rPr>
          <w:rFonts w:hint="eastAsia" w:ascii="微软雅黑" w:hAnsi="微软雅黑" w:eastAsia="微软雅黑" w:cs="微软雅黑"/>
          <w:i w:val="0"/>
          <w:caps w:val="0"/>
          <w:color w:val="000000"/>
          <w:spacing w:val="0"/>
          <w:sz w:val="30"/>
          <w:szCs w:val="30"/>
          <w:highlight w:val="none"/>
        </w:rPr>
      </w:pPr>
      <w:r>
        <w:rPr>
          <w:rFonts w:hint="eastAsia" w:ascii="仿宋_GB2312" w:hAnsi="微软雅黑" w:eastAsia="仿宋_GB2312" w:cs="仿宋_GB2312"/>
          <w:i w:val="0"/>
          <w:caps w:val="0"/>
          <w:color w:val="000000"/>
          <w:spacing w:val="0"/>
          <w:sz w:val="30"/>
          <w:szCs w:val="30"/>
          <w:highlight w:val="none"/>
        </w:rPr>
        <w:t>（一）基本支出中人员经费包括工资福利支出和对个人和家庭的补助，公用经费包括商品和服务支出、资本性支出等人员经费以外的支出。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45" w:lineRule="atLeast"/>
        <w:ind w:left="0" w:right="0" w:firstLine="600"/>
        <w:rPr>
          <w:rFonts w:hint="eastAsia" w:ascii="微软雅黑" w:hAnsi="微软雅黑" w:eastAsia="微软雅黑" w:cs="微软雅黑"/>
          <w:i w:val="0"/>
          <w:caps w:val="0"/>
          <w:color w:val="000000"/>
          <w:spacing w:val="0"/>
          <w:sz w:val="30"/>
          <w:szCs w:val="30"/>
          <w:highlight w:val="none"/>
        </w:rPr>
      </w:pPr>
      <w:r>
        <w:rPr>
          <w:rFonts w:hint="eastAsia" w:ascii="仿宋_GB2312" w:hAnsi="微软雅黑" w:eastAsia="仿宋_GB2312" w:cs="仿宋_GB2312"/>
          <w:i w:val="0"/>
          <w:caps w:val="0"/>
          <w:color w:val="000000"/>
          <w:spacing w:val="0"/>
          <w:sz w:val="30"/>
          <w:szCs w:val="30"/>
          <w:highlight w:val="none"/>
        </w:rPr>
        <w:t>（二）机关运行经费指行政单位和参照公务员法管理的事业单位使用一般公共预算财政拨款安排的基本支出中的公用经费支出。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45" w:lineRule="atLeast"/>
        <w:ind w:left="0" w:right="0" w:firstLine="600"/>
        <w:rPr>
          <w:rFonts w:hint="eastAsia" w:ascii="微软雅黑" w:hAnsi="微软雅黑" w:eastAsia="微软雅黑" w:cs="微软雅黑"/>
          <w:i w:val="0"/>
          <w:caps w:val="0"/>
          <w:color w:val="000000"/>
          <w:spacing w:val="0"/>
          <w:sz w:val="30"/>
          <w:szCs w:val="30"/>
          <w:highlight w:val="none"/>
        </w:rPr>
      </w:pPr>
      <w:r>
        <w:rPr>
          <w:rFonts w:hint="eastAsia" w:ascii="仿宋_GB2312" w:hAnsi="微软雅黑" w:eastAsia="仿宋_GB2312" w:cs="仿宋_GB2312"/>
          <w:i w:val="0"/>
          <w:caps w:val="0"/>
          <w:color w:val="000000"/>
          <w:spacing w:val="0"/>
          <w:sz w:val="30"/>
          <w:szCs w:val="30"/>
          <w:highlight w:val="none"/>
        </w:rPr>
        <w:t>（三）按照党中央、国务院有关文件及预算管理有关规定，“三公”经费包括因公出国（境）费、公务用车购置及运行维护费、公务接待费。其中：因公出国（境）费，指单位公务出国（境）的国际旅费、国外城市间交通费、住宿费、伙食费、培训费、公杂费等支出；公务用车购置费，指公务用车购置支出（含车辆购置税、牌照费）；公务用车运行维护费，指单位按规定保留的公务用车燃料费、维修费、过桥过路费、保险费、安全奖励费用等支出；公务用车指用于履行公务的机动车辆，包括省部级干部专车、一般公务用车和执法执勤用车；公务接待费，指单位按规定开支的各类公务接待（含外宾接待）费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45" w:lineRule="atLeast"/>
        <w:ind w:left="0" w:right="0" w:firstLine="600"/>
        <w:rPr>
          <w:rFonts w:hint="eastAsia" w:ascii="微软雅黑" w:hAnsi="微软雅黑" w:eastAsia="微软雅黑" w:cs="微软雅黑"/>
          <w:i w:val="0"/>
          <w:caps w:val="0"/>
          <w:color w:val="000000"/>
          <w:spacing w:val="0"/>
          <w:sz w:val="30"/>
          <w:szCs w:val="30"/>
          <w:highlight w:val="none"/>
        </w:rPr>
      </w:pPr>
      <w:r>
        <w:rPr>
          <w:rFonts w:hint="eastAsia" w:ascii="仿宋_GB2312" w:hAnsi="微软雅黑" w:eastAsia="仿宋_GB2312" w:cs="仿宋_GB2312"/>
          <w:i w:val="0"/>
          <w:caps w:val="0"/>
          <w:color w:val="000000"/>
          <w:spacing w:val="0"/>
          <w:sz w:val="30"/>
          <w:szCs w:val="30"/>
          <w:highlight w:val="none"/>
        </w:rPr>
        <w:t>（四）“三公”经费决算数是指各（含下属单位）当年通过本级财政拨款和以前年度财政拨款结转结余资金安排的因公出国（境）费、公务用车购置及运行维护费和公务接待费支出数（包括基本支出和项目支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8" w:lineRule="atLeast"/>
        <w:ind w:left="0" w:right="0" w:firstLine="0"/>
        <w:jc w:val="center"/>
        <w:rPr>
          <w:rFonts w:hint="eastAsia" w:ascii="微软雅黑" w:hAnsi="微软雅黑" w:eastAsia="微软雅黑" w:cs="微软雅黑"/>
          <w:i w:val="0"/>
          <w:caps w:val="0"/>
          <w:color w:val="000000"/>
          <w:spacing w:val="0"/>
          <w:sz w:val="32"/>
          <w:szCs w:val="32"/>
          <w:highlight w:val="none"/>
        </w:rPr>
      </w:pPr>
      <w:r>
        <w:rPr>
          <w:rFonts w:hint="eastAsia" w:ascii="黑体" w:hAnsi="宋体" w:eastAsia="黑体" w:cs="黑体"/>
          <w:i w:val="0"/>
          <w:caps w:val="0"/>
          <w:color w:val="000000"/>
          <w:spacing w:val="0"/>
          <w:sz w:val="32"/>
          <w:szCs w:val="32"/>
          <w:highlight w:val="none"/>
        </w:rPr>
        <w:t>第五部分名词解释</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45" w:lineRule="atLeast"/>
        <w:ind w:left="0" w:right="0" w:firstLine="600"/>
        <w:rPr>
          <w:rFonts w:hint="eastAsia" w:ascii="微软雅黑" w:hAnsi="微软雅黑" w:eastAsia="微软雅黑" w:cs="微软雅黑"/>
          <w:i w:val="0"/>
          <w:caps w:val="0"/>
          <w:color w:val="000000"/>
          <w:spacing w:val="0"/>
          <w:sz w:val="30"/>
          <w:szCs w:val="30"/>
          <w:highlight w:val="none"/>
        </w:rPr>
      </w:pPr>
      <w:r>
        <w:rPr>
          <w:rFonts w:hint="eastAsia" w:ascii="仿宋_GB2312" w:hAnsi="微软雅黑" w:eastAsia="仿宋_GB2312" w:cs="仿宋_GB2312"/>
          <w:i w:val="0"/>
          <w:caps w:val="0"/>
          <w:color w:val="000000"/>
          <w:spacing w:val="0"/>
          <w:sz w:val="30"/>
          <w:szCs w:val="30"/>
          <w:highlight w:val="none"/>
        </w:rPr>
        <w:t>决算：各依据国家有关法律法规规定及其履行职能情况编制，反映所有预算收支和结余执行结果及绩效等情况的综合性年度报告，是改进预算执行以及编制后续年度预算的参考和依据。</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42" w:lineRule="atLeast"/>
        <w:ind w:left="0" w:right="0" w:firstLine="0"/>
        <w:jc w:val="both"/>
        <w:rPr>
          <w:rFonts w:hint="eastAsia" w:ascii="微软雅黑" w:hAnsi="微软雅黑" w:eastAsia="微软雅黑" w:cs="微软雅黑"/>
          <w:i w:val="0"/>
          <w:caps w:val="0"/>
          <w:color w:val="000000"/>
          <w:spacing w:val="0"/>
          <w:sz w:val="21"/>
          <w:szCs w:val="21"/>
          <w:highlight w:val="none"/>
        </w:rPr>
      </w:pPr>
      <w:r>
        <w:rPr>
          <w:rFonts w:hint="default" w:ascii="Calibri" w:hAnsi="Calibri" w:eastAsia="微软雅黑" w:cs="Calibri"/>
          <w:i w:val="0"/>
          <w:caps w:val="0"/>
          <w:color w:val="000000"/>
          <w:spacing w:val="0"/>
          <w:sz w:val="18"/>
          <w:szCs w:val="18"/>
          <w:highlight w:val="none"/>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414" w:lineRule="atLeast"/>
        <w:ind w:left="0" w:right="0" w:firstLine="0"/>
        <w:jc w:val="both"/>
        <w:rPr>
          <w:rFonts w:hint="eastAsia" w:ascii="微软雅黑" w:hAnsi="微软雅黑" w:eastAsia="微软雅黑" w:cs="微软雅黑"/>
          <w:i w:val="0"/>
          <w:caps w:val="0"/>
          <w:color w:val="000000"/>
          <w:spacing w:val="0"/>
          <w:sz w:val="36"/>
          <w:szCs w:val="36"/>
          <w:highlight w:val="none"/>
        </w:rPr>
      </w:pPr>
      <w:r>
        <w:rPr>
          <w:rFonts w:hint="default" w:ascii="Arial" w:hAnsi="Arial" w:eastAsia="微软雅黑" w:cs="Arial"/>
          <w:b/>
          <w:i w:val="0"/>
          <w:caps w:val="0"/>
          <w:color w:val="000000"/>
          <w:spacing w:val="0"/>
          <w:sz w:val="18"/>
          <w:szCs w:val="18"/>
          <w:highlight w:val="none"/>
        </w:rPr>
        <w:t>监督索引号53010303200401111</w:t>
      </w:r>
    </w:p>
    <w:p>
      <w:pPr>
        <w:rPr>
          <w:highlight w:val="non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Arial">
    <w:panose1 w:val="020B0604020202020204"/>
    <w:charset w:val="00"/>
    <w:family w:val="auto"/>
    <w:pitch w:val="default"/>
    <w:sig w:usb0="E0002AFF" w:usb1="C0007843" w:usb2="00000009" w:usb3="00000000" w:csb0="400001FF" w:csb1="FFFF0000"/>
  </w:font>
  <w:font w:name="方正小标宋简体">
    <w:panose1 w:val="03000509000000000000"/>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25D4847"/>
    <w:rsid w:val="11B367F9"/>
    <w:rsid w:val="147773D6"/>
    <w:rsid w:val="2148042A"/>
    <w:rsid w:val="225D4847"/>
    <w:rsid w:val="383C50C4"/>
    <w:rsid w:val="410A0CD3"/>
    <w:rsid w:val="586A2528"/>
    <w:rsid w:val="5C1C1196"/>
    <w:rsid w:val="75844EA6"/>
    <w:rsid w:val="7E226188"/>
    <w:rsid w:val="7E5176D6"/>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4">
    <w:name w:val="Normal Table"/>
    <w:semiHidden/>
    <w:qFormat/>
    <w:uiPriority w:val="0"/>
    <w:tblPr>
      <w:tblLayout w:type="fixed"/>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昆明市盘龙区党政机关单位</Company>
  <Pages>1</Pages>
  <Words>0</Words>
  <Characters>0</Characters>
  <Lines>0</Lines>
  <Paragraphs>0</Paragraphs>
  <ScaleCrop>false</ScaleCrop>
  <LinksUpToDate>false</LinksUpToDate>
  <CharactersWithSpaces>0</CharactersWithSpaces>
  <Application>WPS Office_10.8.0.5950_F1E327BC-269C-435d-A152-05C5408002CA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2023-10-20T07:07:00Z</dcterms:created>
  <dc:creator>Administrator</dc:creator>
  <cp:lastModifiedBy>Administrator</cp:lastModifiedBy>
  <dcterms:modified xsi:type="dcterms:W3CDTF">2023-11-08T16:53:48Z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2052-10.8.0.5950</vt:lpwstr>
  </property>
</Properties>
</file>