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414" w:lineRule="atLeast"/>
        <w:ind w:left="0" w:right="0" w:firstLine="0"/>
        <w:jc w:val="both"/>
        <w:rPr>
          <w:rFonts w:hint="eastAsia" w:ascii="微软雅黑" w:hAnsi="微软雅黑" w:eastAsia="微软雅黑" w:cs="微软雅黑"/>
          <w:i w:val="0"/>
          <w:caps w:val="0"/>
          <w:color w:val="000000"/>
          <w:spacing w:val="0"/>
          <w:sz w:val="36"/>
          <w:szCs w:val="36"/>
        </w:rPr>
      </w:pPr>
      <w:r>
        <w:rPr>
          <w:rFonts w:ascii="Arial" w:hAnsi="Arial" w:eastAsia="微软雅黑" w:cs="Arial"/>
          <w:b/>
          <w:i w:val="0"/>
          <w:caps w:val="0"/>
          <w:color w:val="000000"/>
          <w:spacing w:val="0"/>
          <w:sz w:val="18"/>
          <w:szCs w:val="18"/>
        </w:rPr>
        <w:t>监督索引号53010303200400101000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414" w:lineRule="atLeast"/>
        <w:ind w:left="0" w:right="0" w:firstLine="0"/>
        <w:jc w:val="center"/>
        <w:rPr>
          <w:rFonts w:hint="eastAsia" w:ascii="微软雅黑" w:hAnsi="微软雅黑" w:eastAsia="微软雅黑" w:cs="微软雅黑"/>
          <w:i w:val="0"/>
          <w:caps w:val="0"/>
          <w:color w:val="000000"/>
          <w:spacing w:val="0"/>
          <w:sz w:val="36"/>
          <w:szCs w:val="36"/>
        </w:rPr>
      </w:pPr>
      <w:r>
        <w:rPr>
          <w:rFonts w:ascii="方正小标宋简体" w:hAnsi="方正小标宋简体" w:eastAsia="方正小标宋简体" w:cs="方正小标宋简体"/>
          <w:i w:val="0"/>
          <w:caps w:val="0"/>
          <w:color w:val="000000"/>
          <w:spacing w:val="0"/>
          <w:sz w:val="36"/>
          <w:szCs w:val="36"/>
        </w:rPr>
        <w:t>昆明市盘龙区住房和城乡建设局</w:t>
      </w:r>
      <w:r>
        <w:rPr>
          <w:rFonts w:hint="eastAsia" w:ascii="方正小标宋简体" w:hAnsi="方正小标宋简体" w:eastAsia="方正小标宋简体" w:cs="方正小标宋简体"/>
          <w:i w:val="0"/>
          <w:caps w:val="0"/>
          <w:color w:val="000000"/>
          <w:spacing w:val="0"/>
          <w:sz w:val="36"/>
          <w:szCs w:val="36"/>
        </w:rPr>
        <w:t>2022年度决算</w:t>
      </w:r>
      <w:r>
        <w:rPr>
          <w:rFonts w:hint="eastAsia" w:ascii="方正小标宋简体" w:hAnsi="方正小标宋简体" w:eastAsia="方正小标宋简体" w:cs="方正小标宋简体"/>
          <w:i w:val="0"/>
          <w:caps w:val="0"/>
          <w:color w:val="000000"/>
          <w:spacing w:val="0"/>
          <w:sz w:val="18"/>
          <w:szCs w:val="18"/>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414" w:lineRule="atLeast"/>
        <w:ind w:left="0" w:right="0" w:firstLine="0"/>
        <w:jc w:val="center"/>
        <w:rPr>
          <w:rFonts w:hint="eastAsia" w:ascii="微软雅黑" w:hAnsi="微软雅黑" w:eastAsia="微软雅黑" w:cs="微软雅黑"/>
          <w:i w:val="0"/>
          <w:caps w:val="0"/>
          <w:color w:val="000000"/>
          <w:spacing w:val="0"/>
          <w:sz w:val="44"/>
          <w:szCs w:val="44"/>
        </w:rPr>
      </w:pPr>
      <w:r>
        <w:rPr>
          <w:rFonts w:hint="eastAsia" w:ascii="方正小标宋简体" w:hAnsi="方正小标宋简体" w:eastAsia="方正小标宋简体" w:cs="方正小标宋简体"/>
          <w:i w:val="0"/>
          <w:caps w:val="0"/>
          <w:color w:val="000000"/>
          <w:spacing w:val="0"/>
          <w:sz w:val="44"/>
          <w:szCs w:val="44"/>
        </w:rPr>
        <w:t>目录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0"/>
        <w:rPr>
          <w:rFonts w:hint="eastAsia" w:ascii="微软雅黑" w:hAnsi="微软雅黑" w:eastAsia="微软雅黑" w:cs="微软雅黑"/>
          <w:i w:val="0"/>
          <w:caps w:val="0"/>
          <w:color w:val="000000"/>
          <w:spacing w:val="0"/>
          <w:sz w:val="30"/>
          <w:szCs w:val="30"/>
        </w:rPr>
      </w:pPr>
      <w:r>
        <w:rPr>
          <w:rFonts w:ascii="黑体" w:hAnsi="宋体" w:eastAsia="黑体" w:cs="黑体"/>
          <w:i w:val="0"/>
          <w:caps w:val="0"/>
          <w:color w:val="000000"/>
          <w:spacing w:val="0"/>
          <w:sz w:val="18"/>
          <w:szCs w:val="18"/>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0"/>
        <w:rPr>
          <w:rFonts w:hint="eastAsia" w:ascii="微软雅黑" w:hAnsi="微软雅黑" w:eastAsia="微软雅黑" w:cs="微软雅黑"/>
          <w:i w:val="0"/>
          <w:caps w:val="0"/>
          <w:color w:val="000000"/>
          <w:spacing w:val="0"/>
          <w:sz w:val="30"/>
          <w:szCs w:val="30"/>
        </w:rPr>
      </w:pPr>
      <w:r>
        <w:rPr>
          <w:rFonts w:hint="eastAsia" w:ascii="黑体" w:hAnsi="宋体" w:eastAsia="黑体" w:cs="黑体"/>
          <w:i w:val="0"/>
          <w:caps w:val="0"/>
          <w:color w:val="000000"/>
          <w:spacing w:val="0"/>
          <w:sz w:val="30"/>
          <w:szCs w:val="30"/>
        </w:rPr>
        <w:t>第一部分 </w:t>
      </w:r>
      <w:r>
        <w:rPr>
          <w:rFonts w:hint="eastAsia" w:ascii="黑体" w:hAnsi="宋体" w:eastAsia="黑体" w:cs="黑体"/>
          <w:i w:val="0"/>
          <w:caps w:val="0"/>
          <w:color w:val="000000"/>
          <w:spacing w:val="0"/>
          <w:sz w:val="30"/>
          <w:szCs w:val="30"/>
          <w:lang w:eastAsia="zh-CN"/>
        </w:rPr>
        <w:t>昆明市盘龙区住房和城乡建设局</w:t>
      </w:r>
      <w:r>
        <w:rPr>
          <w:rFonts w:hint="eastAsia" w:ascii="黑体" w:hAnsi="宋体" w:eastAsia="黑体" w:cs="黑体"/>
          <w:i w:val="0"/>
          <w:caps w:val="0"/>
          <w:color w:val="000000"/>
          <w:spacing w:val="0"/>
          <w:sz w:val="30"/>
          <w:szCs w:val="30"/>
        </w:rPr>
        <w:t>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微软雅黑" w:hAnsi="微软雅黑" w:eastAsia="微软雅黑" w:cs="微软雅黑"/>
          <w:i w:val="0"/>
          <w:caps w:val="0"/>
          <w:color w:val="000000"/>
          <w:spacing w:val="0"/>
          <w:sz w:val="18"/>
          <w:szCs w:val="18"/>
        </w:rPr>
      </w:pPr>
      <w:r>
        <w:rPr>
          <w:rFonts w:ascii="楷体" w:hAnsi="楷体" w:eastAsia="楷体" w:cs="楷体"/>
          <w:i w:val="0"/>
          <w:caps w:val="0"/>
          <w:color w:val="000000"/>
          <w:spacing w:val="0"/>
          <w:sz w:val="30"/>
          <w:szCs w:val="30"/>
        </w:rPr>
        <w:t>一、主要职能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微软雅黑" w:hAnsi="微软雅黑" w:eastAsia="微软雅黑" w:cs="微软雅黑"/>
          <w:i w:val="0"/>
          <w:caps w:val="0"/>
          <w:color w:val="000000"/>
          <w:spacing w:val="0"/>
          <w:sz w:val="18"/>
          <w:szCs w:val="18"/>
        </w:rPr>
      </w:pPr>
      <w:r>
        <w:rPr>
          <w:rFonts w:hint="eastAsia" w:ascii="楷体" w:hAnsi="楷体" w:eastAsia="楷体" w:cs="楷体"/>
          <w:i w:val="0"/>
          <w:caps w:val="0"/>
          <w:color w:val="000000"/>
          <w:spacing w:val="0"/>
          <w:sz w:val="30"/>
          <w:szCs w:val="30"/>
        </w:rPr>
        <w:t>二、基本情况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0"/>
        <w:rPr>
          <w:rFonts w:hint="eastAsia" w:ascii="黑体" w:hAnsi="宋体" w:eastAsia="黑体" w:cs="黑体"/>
          <w:i w:val="0"/>
          <w:caps w:val="0"/>
          <w:color w:val="000000"/>
          <w:spacing w:val="0"/>
          <w:sz w:val="30"/>
          <w:szCs w:val="30"/>
        </w:rPr>
      </w:pPr>
      <w:r>
        <w:rPr>
          <w:rFonts w:hint="eastAsia" w:ascii="黑体" w:hAnsi="宋体" w:eastAsia="黑体" w:cs="黑体"/>
          <w:i w:val="0"/>
          <w:caps w:val="0"/>
          <w:color w:val="000000"/>
          <w:spacing w:val="0"/>
          <w:sz w:val="30"/>
          <w:szCs w:val="30"/>
        </w:rPr>
        <w:t>第二部分 2022年度决算表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一、收入支出决算总表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二、收入决算表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三、支出决算表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四、财政拨款收入支出决算总表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五、一般公共预算财政拨款收入支出决算表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六、一般公共预算财政拨款基本支出决算表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七、一般公共预算财政拨款项目支出决算表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八、政府性基金预算财政拨款收入支出决算表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九、国有资本经营预算财政拨款收入支出决算表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十、“三公”经费、行政参公单位机关运行经费情况表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0"/>
        <w:rPr>
          <w:rFonts w:hint="eastAsia" w:ascii="微软雅黑" w:hAnsi="微软雅黑" w:eastAsia="微软雅黑" w:cs="微软雅黑"/>
          <w:i w:val="0"/>
          <w:caps w:val="0"/>
          <w:color w:val="000000"/>
          <w:spacing w:val="0"/>
          <w:sz w:val="30"/>
          <w:szCs w:val="30"/>
        </w:rPr>
      </w:pPr>
      <w:r>
        <w:rPr>
          <w:rFonts w:hint="eastAsia" w:ascii="黑体" w:hAnsi="宋体" w:eastAsia="黑体" w:cs="黑体"/>
          <w:i w:val="0"/>
          <w:caps w:val="0"/>
          <w:color w:val="000000"/>
          <w:spacing w:val="0"/>
          <w:sz w:val="30"/>
          <w:szCs w:val="30"/>
        </w:rPr>
        <w:t>第三部分 2022年度决算情况说明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一、收入决算情况说明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二、支出决算情况说明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三、一般公共预算财政拨款支出决算情况说明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四、财政拨款“三公”经费支出决算情况说明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0"/>
        <w:rPr>
          <w:rFonts w:hint="eastAsia" w:ascii="微软雅黑" w:hAnsi="微软雅黑" w:eastAsia="微软雅黑" w:cs="微软雅黑"/>
          <w:i w:val="0"/>
          <w:caps w:val="0"/>
          <w:color w:val="000000"/>
          <w:spacing w:val="0"/>
          <w:sz w:val="30"/>
          <w:szCs w:val="30"/>
        </w:rPr>
      </w:pPr>
      <w:r>
        <w:rPr>
          <w:rFonts w:hint="eastAsia" w:ascii="黑体" w:hAnsi="宋体" w:eastAsia="黑体" w:cs="黑体"/>
          <w:i w:val="0"/>
          <w:caps w:val="0"/>
          <w:color w:val="000000"/>
          <w:spacing w:val="0"/>
          <w:sz w:val="30"/>
          <w:szCs w:val="30"/>
        </w:rPr>
        <w:t>第四部分</w:t>
      </w:r>
      <w:r>
        <w:rPr>
          <w:rFonts w:hint="eastAsia" w:ascii="楷体" w:hAnsi="楷体" w:eastAsia="楷体" w:cs="楷体"/>
          <w:i w:val="0"/>
          <w:caps w:val="0"/>
          <w:color w:val="000000"/>
          <w:spacing w:val="0"/>
          <w:sz w:val="30"/>
          <w:szCs w:val="30"/>
        </w:rPr>
        <w:t>  </w:t>
      </w:r>
      <w:r>
        <w:rPr>
          <w:rFonts w:hint="eastAsia" w:ascii="黑体" w:hAnsi="宋体" w:eastAsia="黑体" w:cs="黑体"/>
          <w:i w:val="0"/>
          <w:caps w:val="0"/>
          <w:color w:val="000000"/>
          <w:spacing w:val="0"/>
          <w:sz w:val="30"/>
          <w:szCs w:val="30"/>
        </w:rPr>
        <w:t>其他重要事项及相关口径情况说明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一、机关运行经费支出情况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二、国有资产占用情况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三、政府采购支出情况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四、绩效自评情况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（一）整体支出绩效自评情况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（二）整体支出绩效自评表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（三）项目支出绩效自评表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五、其他重要事项情况说明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00" w:lineRule="atLeast"/>
        <w:ind w:left="0" w:right="0" w:firstLine="0"/>
        <w:rPr>
          <w:rFonts w:hint="eastAsia" w:ascii="楷体" w:hAnsi="楷体" w:eastAsia="楷体" w:cs="楷体"/>
          <w:i w:val="0"/>
          <w:caps w:val="0"/>
          <w:color w:val="000000"/>
          <w:spacing w:val="0"/>
          <w:sz w:val="30"/>
          <w:szCs w:val="30"/>
        </w:rPr>
      </w:pPr>
      <w:r>
        <w:rPr>
          <w:rFonts w:hint="eastAsia" w:ascii="楷体" w:hAnsi="楷体" w:eastAsia="楷体" w:cs="楷体"/>
          <w:i w:val="0"/>
          <w:caps w:val="0"/>
          <w:color w:val="000000"/>
          <w:spacing w:val="0"/>
          <w:sz w:val="30"/>
          <w:szCs w:val="30"/>
        </w:rPr>
        <w:t>六、相关口径说明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0"/>
        <w:rPr>
          <w:rFonts w:hint="eastAsia" w:ascii="微软雅黑" w:hAnsi="微软雅黑" w:eastAsia="微软雅黑" w:cs="微软雅黑"/>
          <w:i w:val="0"/>
          <w:caps w:val="0"/>
          <w:color w:val="000000"/>
          <w:spacing w:val="0"/>
          <w:sz w:val="30"/>
          <w:szCs w:val="30"/>
        </w:rPr>
      </w:pPr>
      <w:r>
        <w:rPr>
          <w:rFonts w:hint="eastAsia" w:ascii="黑体" w:hAnsi="宋体" w:eastAsia="黑体" w:cs="黑体"/>
          <w:i w:val="0"/>
          <w:caps w:val="0"/>
          <w:color w:val="000000"/>
          <w:spacing w:val="0"/>
          <w:sz w:val="30"/>
          <w:szCs w:val="30"/>
        </w:rPr>
        <w:t>第五部分  名词解释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center"/>
        <w:rPr>
          <w:rFonts w:hint="eastAsia" w:ascii="微软雅黑" w:hAnsi="微软雅黑" w:eastAsia="微软雅黑" w:cs="微软雅黑"/>
          <w:i w:val="0"/>
          <w:caps w:val="0"/>
          <w:color w:val="000000"/>
          <w:spacing w:val="0"/>
          <w:sz w:val="32"/>
          <w:szCs w:val="32"/>
        </w:rPr>
      </w:pPr>
      <w:r>
        <w:rPr>
          <w:rFonts w:hint="eastAsia" w:ascii="黑体" w:hAnsi="宋体" w:eastAsia="黑体" w:cs="黑体"/>
          <w:i w:val="0"/>
          <w:caps w:val="0"/>
          <w:color w:val="000000"/>
          <w:spacing w:val="0"/>
          <w:sz w:val="18"/>
          <w:szCs w:val="18"/>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center"/>
        <w:rPr>
          <w:rFonts w:hint="eastAsia" w:ascii="微软雅黑" w:hAnsi="微软雅黑" w:eastAsia="微软雅黑" w:cs="微软雅黑"/>
          <w:i w:val="0"/>
          <w:caps w:val="0"/>
          <w:color w:val="000000"/>
          <w:spacing w:val="0"/>
          <w:sz w:val="32"/>
          <w:szCs w:val="32"/>
        </w:rPr>
      </w:pPr>
      <w:r>
        <w:rPr>
          <w:rFonts w:hint="eastAsia" w:ascii="黑体" w:hAnsi="宋体" w:eastAsia="黑体" w:cs="黑体"/>
          <w:i w:val="0"/>
          <w:caps w:val="0"/>
          <w:color w:val="000000"/>
          <w:spacing w:val="0"/>
          <w:sz w:val="18"/>
          <w:szCs w:val="18"/>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center"/>
        <w:rPr>
          <w:rFonts w:hint="eastAsia" w:ascii="微软雅黑" w:hAnsi="微软雅黑" w:eastAsia="微软雅黑" w:cs="微软雅黑"/>
          <w:i w:val="0"/>
          <w:caps w:val="0"/>
          <w:color w:val="000000"/>
          <w:spacing w:val="0"/>
          <w:sz w:val="32"/>
          <w:szCs w:val="32"/>
        </w:rPr>
      </w:pPr>
      <w:r>
        <w:rPr>
          <w:rFonts w:hint="eastAsia" w:ascii="黑体" w:hAnsi="宋体" w:eastAsia="黑体" w:cs="黑体"/>
          <w:i w:val="0"/>
          <w:caps w:val="0"/>
          <w:color w:val="000000"/>
          <w:spacing w:val="0"/>
          <w:sz w:val="18"/>
          <w:szCs w:val="18"/>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center"/>
        <w:rPr>
          <w:rFonts w:hint="eastAsia" w:ascii="微软雅黑" w:hAnsi="微软雅黑" w:eastAsia="微软雅黑" w:cs="微软雅黑"/>
          <w:i w:val="0"/>
          <w:caps w:val="0"/>
          <w:color w:val="000000"/>
          <w:spacing w:val="0"/>
          <w:sz w:val="32"/>
          <w:szCs w:val="32"/>
        </w:rPr>
      </w:pPr>
      <w:r>
        <w:rPr>
          <w:rFonts w:hint="eastAsia" w:ascii="黑体" w:hAnsi="宋体" w:eastAsia="黑体" w:cs="黑体"/>
          <w:i w:val="0"/>
          <w:caps w:val="0"/>
          <w:color w:val="000000"/>
          <w:spacing w:val="0"/>
          <w:sz w:val="18"/>
          <w:szCs w:val="18"/>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center"/>
        <w:rPr>
          <w:rFonts w:hint="eastAsia" w:ascii="微软雅黑" w:hAnsi="微软雅黑" w:eastAsia="微软雅黑" w:cs="微软雅黑"/>
          <w:i w:val="0"/>
          <w:caps w:val="0"/>
          <w:color w:val="000000"/>
          <w:spacing w:val="0"/>
          <w:sz w:val="32"/>
          <w:szCs w:val="32"/>
        </w:rPr>
      </w:pPr>
      <w:r>
        <w:rPr>
          <w:rFonts w:hint="eastAsia" w:ascii="黑体" w:hAnsi="宋体" w:eastAsia="黑体" w:cs="黑体"/>
          <w:i w:val="0"/>
          <w:caps w:val="0"/>
          <w:color w:val="000000"/>
          <w:spacing w:val="0"/>
          <w:sz w:val="18"/>
          <w:szCs w:val="18"/>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both"/>
        <w:rPr>
          <w:rFonts w:hint="eastAsia" w:ascii="微软雅黑" w:hAnsi="微软雅黑" w:eastAsia="微软雅黑" w:cs="微软雅黑"/>
          <w:i w:val="0"/>
          <w:caps w:val="0"/>
          <w:color w:val="000000"/>
          <w:spacing w:val="0"/>
          <w:sz w:val="32"/>
          <w:szCs w:val="32"/>
        </w:rPr>
      </w:pPr>
      <w:r>
        <w:rPr>
          <w:rFonts w:hint="eastAsia" w:ascii="黑体" w:hAnsi="宋体" w:eastAsia="黑体" w:cs="黑体"/>
          <w:i w:val="0"/>
          <w:caps w:val="0"/>
          <w:color w:val="000000"/>
          <w:spacing w:val="0"/>
          <w:sz w:val="18"/>
          <w:szCs w:val="18"/>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both"/>
        <w:rPr>
          <w:rFonts w:hint="eastAsia" w:ascii="微软雅黑" w:hAnsi="微软雅黑" w:eastAsia="微软雅黑" w:cs="微软雅黑"/>
          <w:i w:val="0"/>
          <w:caps w:val="0"/>
          <w:color w:val="000000"/>
          <w:spacing w:val="0"/>
          <w:sz w:val="32"/>
          <w:szCs w:val="32"/>
        </w:rPr>
      </w:pPr>
      <w:r>
        <w:rPr>
          <w:rFonts w:hint="eastAsia" w:ascii="黑体" w:hAnsi="宋体" w:eastAsia="黑体" w:cs="黑体"/>
          <w:i w:val="0"/>
          <w:caps w:val="0"/>
          <w:color w:val="000000"/>
          <w:spacing w:val="0"/>
          <w:sz w:val="18"/>
          <w:szCs w:val="18"/>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center"/>
        <w:rPr>
          <w:rFonts w:hint="eastAsia" w:ascii="微软雅黑" w:hAnsi="微软雅黑" w:eastAsia="微软雅黑" w:cs="微软雅黑"/>
          <w:i w:val="0"/>
          <w:caps w:val="0"/>
          <w:color w:val="000000"/>
          <w:spacing w:val="0"/>
          <w:sz w:val="32"/>
          <w:szCs w:val="32"/>
        </w:rPr>
      </w:pPr>
      <w:r>
        <w:rPr>
          <w:rFonts w:hint="eastAsia" w:ascii="黑体" w:hAnsi="宋体" w:eastAsia="黑体" w:cs="黑体"/>
          <w:i w:val="0"/>
          <w:caps w:val="0"/>
          <w:color w:val="000000"/>
          <w:spacing w:val="0"/>
          <w:sz w:val="32"/>
          <w:szCs w:val="32"/>
        </w:rPr>
        <w:t>第一部分  </w:t>
      </w:r>
      <w:r>
        <w:rPr>
          <w:rFonts w:hint="eastAsia" w:ascii="黑体" w:hAnsi="宋体" w:eastAsia="黑体" w:cs="黑体"/>
          <w:i w:val="0"/>
          <w:caps w:val="0"/>
          <w:color w:val="000000"/>
          <w:spacing w:val="0"/>
          <w:sz w:val="32"/>
          <w:szCs w:val="32"/>
          <w:lang w:eastAsia="zh-CN"/>
        </w:rPr>
        <w:t>昆明市盘龙区住房和城乡建设局</w:t>
      </w:r>
      <w:r>
        <w:rPr>
          <w:rFonts w:hint="eastAsia" w:ascii="黑体" w:hAnsi="宋体" w:eastAsia="黑体" w:cs="黑体"/>
          <w:i w:val="0"/>
          <w:caps w:val="0"/>
          <w:color w:val="000000"/>
          <w:spacing w:val="0"/>
          <w:sz w:val="32"/>
          <w:szCs w:val="32"/>
        </w:rPr>
        <w:t>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黑体" w:hAnsi="宋体" w:eastAsia="黑体" w:cs="黑体"/>
          <w:i w:val="0"/>
          <w:caps w:val="0"/>
          <w:color w:val="000000"/>
          <w:spacing w:val="0"/>
          <w:sz w:val="30"/>
          <w:szCs w:val="30"/>
        </w:rPr>
        <w:t>一、主要职能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楷体" w:hAnsi="楷体" w:eastAsia="楷体" w:cs="楷体"/>
          <w:i w:val="0"/>
          <w:caps w:val="0"/>
          <w:color w:val="000000"/>
          <w:spacing w:val="0"/>
          <w:sz w:val="30"/>
          <w:szCs w:val="30"/>
        </w:rPr>
        <w:t>（一）主要职能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rPr>
      </w:pPr>
      <w:r>
        <w:rPr>
          <w:rFonts w:ascii="仿宋_GB2312" w:hAnsi="微软雅黑" w:eastAsia="仿宋_GB2312" w:cs="仿宋_GB2312"/>
          <w:i w:val="0"/>
          <w:caps w:val="0"/>
          <w:color w:val="000000"/>
          <w:spacing w:val="0"/>
          <w:sz w:val="30"/>
          <w:szCs w:val="30"/>
        </w:rPr>
        <w:t>1、负责贯彻执行国家、省、市有关住房和城乡建设、人民防空的法律、法规、规章及方针政策，拟订全区住房和城乡建设中长期发展规划、年度建设计划，并组织实施。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2、负责审批权限范围内的城市建设计划、初步设计审查、施工许可及工程竣工验收备案。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3、负责审批权限范围内的建设工程消防设计审查、消防验收、备案和抽查。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4、负责工程建设项目的质量监督及本行业领域的安全生产监管；负责建筑施工企业安全生产许可证核发、延期审查和批后管理；负责建设工程标准化和造价管理工作，参与编制建筑经济定额。</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5、负责贯彻执行建筑业的行业管理法律、法规及政策，规范建筑市场，推进建筑业发展；在权限范围内负责建筑业企业的资质审查、报批管理。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6、负责贯彻执行房地产业的行业管理法律、法规及政策，规范房地产市场秩序；负责贯彻执行物业服务行业的法律、法规及政策，指导、监督辖区内各物业服务企业工作；负责贯彻执行房屋租赁行业的地方性法规、规章和规范性文件，指导、监督辖区内各房屋中介机构工作；负责辖区房屋安全管理鉴定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7、负责辖区内瓶装液化燃气供应站（点）、液化燃气用户的行业管理、安全管理工作；负责对辖区内瓶装液化气供应站（点）操作人员持证上岗情况的监督检查工作。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8、按照上级业务主管的要求承担滇池流域外城镇排水与污水处理职责。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9、负责政府工程项目的代建监督、指导工作；配合做好建筑和市政工程施工图设计文件审查备案工作；负责主城区城市道路、桥梁（隧道）的路面平整及井盖运行管理（不含其他附属设施），指导、监督、检查日常维护管养工作；负责辖区内城市道路、桥梁占用挖掘的监管，指导辖区内城市规划道路、桥梁（隧道）路面及井盖的管养维护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10、负责贯彻有关村镇建设的法律、法规及政策，指导辖区内村镇建设、安全及危房改造，负责农村民居通用图的设计及推广；配合做好特色小（城）镇、美丽乡村等创建工作。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11、负责辖区内建筑工程抗震设防管理及农村民居抗震安全工作；负责建设工程的抗震设防专项审查，协助有关做好震后抢险工作；指导和组织震后恢复重建工作。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12、负责拟订辖区保障性安居工程的发展规划、计划并监督实施；负责指导监督辖区直管公房的维修、抗震加固和改造；承担直管公房房屋租金收取工作；负责直管公房统计年报工作；指导参与辖区住房制度改革工作及住房补贴发放工作；负责私有房产历史遗留问题的核查和政策落实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13、负责依据城市发展总体规划，平时组织开展人民防空建设，战时组织开展城市人民防空袭斗争。负责人防工程维护管理，负责人防设施拆除迁移审批。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14、负责贯彻执行国家和省、市、区颁布的工程建设有关消防工程的政策、法律、法规、规范、标准；负责辖区内新建、扩建、改建工程项目的消防工程设计审查、验收和备案。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15、负责建筑起重机械的安全监督管理。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16、完成区委、区政府和上级机关交办的其他任务。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rPr>
      </w:pPr>
      <w:r>
        <w:rPr>
          <w:rFonts w:hint="eastAsia" w:ascii="楷体" w:hAnsi="楷体" w:eastAsia="楷体" w:cs="楷体"/>
          <w:i w:val="0"/>
          <w:caps w:val="0"/>
          <w:color w:val="000000"/>
          <w:spacing w:val="0"/>
          <w:sz w:val="30"/>
          <w:szCs w:val="30"/>
        </w:rPr>
        <w:t>（二）2022年度重点工作任务概述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1.坚持站高谋远，高品质推进城乡建设管理,以</w:t>
      </w:r>
      <w:r>
        <w:rPr>
          <w:rFonts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完善城市功能，改善人居环境</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为目标，加大城市基础设施建设维护力度，提升住房保障水平。提升城市形象，完善市政基础设施,一是加强市政项目顶层规划。顺利完成北京路连接西北绕高速立交工程政府与社会资本合作（PPP）项目2022年度绩效考核，政府年度付费4705.41万元；加强生态保护，完善政府投资项目水保环评等手续办理；编制盘龙区道路建设及整治计划。二是夯实市政基础设施建设。全力推进路网建设，投资2653.64万元，持续推进国博大道、国博西路、国博东路以及盘龙区人民东路延安医院过街人行天桥、白龙路石闸立交过街人行天桥建设；打通交通</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肠梗阻</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，投资约9200万元，完成农科南路跨江桥建设，打通了104号、169号路、通源路与沣源路断头路，实现任旗营片区、盛唐城片区、誉峰国际小区的互联互通；治理交通堵点，投资约371.58万元，对穿金路</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北辰大道、白龙路</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二环东路等5个拥堵节点实施工程性改造；实施道路提升整治工程，投资约5835.99万元，实施了东三环（白龙路</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白沙街段）病害、隐患综合整治工程，白云路（盘龙江至万华路段）暨北京路道路交叉口提升改造工程以及金星片区道路整治提升工程；规范企业代建道路，完成熹祥苑周边、虹桥村、龙池村片区代建道路建设，督促企业按要求完成龙江片区部分路网建设，中交印象美庐代建道路、景泰街市政管线补建工程、伍家村边坡防护工程、金刀营片区路网工程均按计划开工建设。三是加强市政基础设施管养维护。加大辖区市政道路、桥梁、洗手设施巡查管养力度，对万华路、白龙路、沣源路、机场高速等道路进行整治提升，对辖区56个洗手池进行日常管养维护；加强道路桥梁安全检测，对北京路、东风东路等6条道路以及清水河桥（沣源路）、太乙桥、松华桥等21座桥梁进行安全检测；加大路政巡查力度，共办理围栏占道325起、开挖52起，收取城市道路占道挖掘费17.57万元。完成东三环、园博路、云小路道路塌陷应急抢险工作，出动维护车辆38车次完成对机场高速、东三环等多条道路、人行天桥铲雪除冰任务，确保过往车辆和人民群众通行安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2.强化住房保障，改善城乡居住条件。一是持续抓好公租房、廉租房、保障性租赁住房等保障性住房的多渠道供给。一方面抓好公租房、廉租房管理服务，共计办理公租房申请4320余户，审核通过申请人员优抚确认675人；辖区公租房小区天怡峰景、福泽雅苑入住率达95%左右；完成城镇保障性住房租赁补贴资金兑付30.75万元；严格按照收支两条线原则管理公租房、廉租房租金、履约金，公租房租金收缴率在90%以上，廉租房租金收缴率达98.04%；全面开展公共租赁住房分级定租、分级定补工作，住户最大租金减免额度达到95%；制定印发盘龙区公共租赁住房租后管理工作流程；积极组织开展2022年昆明市公租房社区邻里节系列活动。另一方面大力推进保障性租赁住房建设，成立盘龙区保障性安居工程建设领导小组，积极推进相关工作有序开展，2022年盘龙区保障性租赁住房建设任务数为3000套,目前建设工作正有序推进中，将进一步满足盘龙区新市民、青年人等群体的住房需求。二是积极开展房屋安全鉴定及自建房排查整治，切实保障城乡居民住房安全。截止目前，共计完成68幢房屋安全鉴定；辖区9286栋经营性自建房已经全部完成排查，存在安全隐患的43栋已全部采取整治措施；辖区农村存量危房进行</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回头看</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排查出的26户存量危房中3户已拆除重建，其余23户正积极推进整治。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3.加强物业管理，提升物业服务水平。高举</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党建引领</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红色物业</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的新时代旗帜，不断提升物业管理水平，成立昆明市盘龙区物业管理协会，组建物业协会专家组，目前我局正同专家组拟定盘龙区老旧小区物业服务标准，探索老旧小区引入物业管理新模式。目前，辖区748个小区的业委会、物委会覆盖率已达100%；全年共处理物业领域投诉3062件；审计认定需整改的13个住宅维修资金项目已追回5个的部分资金；对23个物业项目进行属地备案，对10个物业项目进行物业服务政府指导价备案；对辖区全部居住小区物业服务企业开展信用等级评价；385个物业服务小区全部完成物业服务及收费信息公示；积极推动垃圾分类，共计向小区发放宣传资料22500余份；开展了</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春城党建新力量</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专项服务、</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双星小区</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评选等活动。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4.抓宣传减灾害，提高抵御灾害风险能力。组织开展盘龙区地震灾害综合风险普查，编写震情跟踪月报10篇、年中震情会商报告1篇、2023年度地震趋势研究报告1篇；办结抗震设防审批件7件；完成地震易发区房屋设施抗震设防信息采集，审核通过房屋设施加固工程信息81条、新建工程信息4条；加强抗震救灾组织体系建设及应急救灾能力，我区现共有地震应急志愿者队伍12支，共计480人；修订完善盘龙区2022年地震应急预案；利用</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5</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12</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防灾减灾日、2022年国际减灾日等开展宣传活动6次。我局始终坚持人民至上、生命至上原则，时刻紧绷安全弦，目前，已建成应急避难场所4个，创建省、市级防震减灾科普示范学校6所，创建国家、省、市级地震安全示范社区4个；组建人防专业合成队伍14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5.全力推进建筑业发展。进一步加强建筑企业资质监管，办理建筑业企业资质初审171条、资质变更初审370条、施工劳务接件148条；落实重点建筑企业领导包保责任制，精准指导企业产值统计，加强对建投二公司、中交昆明公司等大型国有企业产值调度；引进大型建筑企业入盘龙，分别引入重庆渝发华南（云南）建设工程有限公司、联投城乡建设（云南）发展有限公司；编制印发《盘龙区优秀建筑企业推荐名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6.力促房地产业发展平稳。一是全力做好盘龙区</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保交楼、保民生、保稳定</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各项工作，通过成立工作专班、出台企业纾困政策、编制</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一楼一策</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化解方案、制定复工复产计划、严格预售资金监管、实际施工中动态监管项目资金使用等措施，推动项目复工续建。截止目前，已完成盛唐城G4地块、俊发城文系列、俊尚峰、逸璟峰、天宇澜山等项目的复工续建。二是加强房地产经纪机构和从业人员管理，截止目前，盘龙区在昆明市房屋租赁管理服务平台共有384家门店经纪机构通过审核，录入房屋租赁备案信息53283条。三是持续开展房地产市场、住房租赁中介机构乱象专项整治，现场检查中介机构4次，处理投诉434件，下达限期整改通知书28份，移交区城管局案件24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7.建筑施工安全监管。目前全区共有在建工程项目35个，总建筑面积约935.598万㎡。一是签订2022年质量安全目标责任书和安全生产</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一岗双责</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责任书150份。二是参加14次危大工程专家论证，梳理56家建设项目危大工程分项清单，并根据清单进行后续监管。三是依托安全生产三年行动计划、</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百日攻坚</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行动等工作，开展建筑施工领域监督检查及安全生产宣传教育，累计监督在建项目85个次，下达隐患整改指令书183份，排查安全隐患1350余条，有效整改率达到96%以上；总结事故教训、完善监管机制，形成盘龙区建筑施工领域安全生产形势分析报告；定期发布辖区建筑工地</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红黑榜</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；举办安全生产宣传活动20余次，覆盖在建工地、小区物业、燃气门市等多个领域。2022年我局监管的房屋市政工程项目生产安全事故数下降66.7%。</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8.消防设计审查及验收。截止目前，办结特殊建设工程消防设计审查事项26件、办理建设工程消防验收16件、建设工程消防验收备案26件；引进第三方消防技术服务机构，充实我区建设工程消防审验技术力量。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9.一是加大检查力度，组织开展燃气行业安全生产集中排查整治8次，与辖区7家液化气企业签订安全经营服务责任书；常态化对燃气场站开展检查16次、对燃气企业检查12次、对燃气供应站点检查132次；开展无证经营液化气联合执法检查2次；开展燃气安全</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百日攻坚</w:t>
      </w:r>
      <w:r>
        <w:rPr>
          <w:rFonts w:hint="default" w:ascii="Calibri" w:hAnsi="Calibri" w:eastAsia="微软雅黑" w:cs="Calibri"/>
          <w:i w:val="0"/>
          <w:caps w:val="0"/>
          <w:color w:val="000000"/>
          <w:spacing w:val="0"/>
          <w:sz w:val="30"/>
          <w:szCs w:val="30"/>
        </w:rPr>
        <w:t>”</w:t>
      </w:r>
      <w:r>
        <w:rPr>
          <w:rFonts w:hint="eastAsia" w:ascii="仿宋_GB2312" w:hAnsi="微软雅黑" w:eastAsia="仿宋_GB2312" w:cs="仿宋_GB2312"/>
          <w:i w:val="0"/>
          <w:caps w:val="0"/>
          <w:color w:val="000000"/>
          <w:spacing w:val="0"/>
          <w:sz w:val="30"/>
          <w:szCs w:val="30"/>
        </w:rPr>
        <w:t>联合检查15次。二是大力推动非居民用户可燃气体报警装置安装工作，目前盘龙区3347户非居民燃气用户已全部完成安装。三是推动占压燃气管道整治，目前整改率95%。四是开展燃气管道老化更新改造，目前可研报告经区人民政府研究同意，已于2022年9月20日获发改批复，后续工作正有序推进。五是组织应急演练及宣传教育，共计开展燃气安全应急演练及知识宣传3次，发放宣传资料3000余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10.工程建设审批制度改革。通过精简办证资料、电子证照等举措，建筑工程施工许可证从受理到办结压缩至3个工作日；探索告知承诺+容缺受理机制，积极推行并联审批。今年以来，完成房屋建筑工程和市政基础设施建设工程初步设计审批5件、施工许可证新证核发18件，建筑工程施工许可证变更9件，商品住宅精装修手续5件，房屋装饰装修工程施工许可意见20件，工程建设抗震设防专项审查6件，城镇污水排入排水管网许可36件，既有住宅加装电梯联审意见7件；办理新申报工程质量监督注册27件、质量监督承诺手续1件、质量监督意见手续25件、建设工程安全报监备案32件、深基坑工程设计方案评审申请手续7件、工程竣工验收备案手续8件、牵头竣工联合验收9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11.加强市政项目顶层规划，依规开展合同签订。区市政处严格按照单位内控制度及合同管理流程，合法合规完成项目建设合同签订、审核、工程服务单位询价面谈、招标、资金估（概）算等前期工作。同时顺利完成北京路连接西北绕高速立交工程政府与社会资本合作（PPP）项目2022年度绩效考核，全力推进云南省昆明市盘龙区道路综合整治提升及路网改造工程政府和社会资本合作（PPP）项目清算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12.夯实市政基础设施建设，不断完善配套功能，着力实施政府重点投资项目。一是全力推进路网建设。持续推进国博大道、国博西路、国博东路建设以及盘龙区人民东路延安医院过街人行天桥、白龙路石闸立交过街人行天桥建设；二是打通交通“肠梗阻”。完成农科南路跨江桥建设，打通了104号、169号路断头路，解决任旗营片区、盛唐城片区、誉峰国际小区的互联互通，打通了通源路与沣源路断头路，完善交通微循环。三是治理交通堵点。对穿金路—北辰大道、白龙路—二环东路等5个拥堵节点实施工程性改造。四是实施道路提升整治工程。实施了东三环（白龙路—白沙街段）病害、隐患综合整治工程、白云路（盘龙江至万华路段）暨北京路道路交叉口提升改造工程以及金星片区道路整治提升工程。规范企业代建道路，加强代建道路监管，建立代建道路管理台账。对项目情况、代建范围、前期手续办理情况、项目进展、存在问题等进行及时跟进。一是完成熹祥苑周边、虹桥村、龙池村片区代建道路建设，督促企业按照要求完成龙江片区部分路网建设；二是中交印象美庐代建道路、景泰街市政管线补建工程、伍家村边坡防护工程、金刀营片区路网工程均按计划开工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13.加强道路桥梁管养维护，充分发挥职能作用，认真做好维修养护工作。一是加大盘龙辖区市政道路桥梁设施巡查管养力度，2022年对万华路、白龙路、沣源路、机场高速等道路进行整治提升，完成沥青路面5.98万平方米；修补坑塘285平方米；修补人行道换块翻修171平方米，新支街沿流水石21米，更换井盖4个，维修桥梁护栏32.0米、护栏端柱9根、桥梁伸缩缝12.2米、桥面破损197.9平方米、机非隔离带防撞墩5.0米、机非隔离带钢制栏杆12.2米、防眩板8片；对辖区56个洗手池进行日常管养维护；二是加强道路桥梁安全检测。对北京路、东风东路等6条道路以及清水河桥（沣源路）、太乙桥、松华桥等21座桥梁进行安全检测，确保盘龙辖区市政道路桥梁设施安全运行；三是严格路政管理巡查工作，加大路政巡查力度，加强辖区在建工程周边道路的重点管理，督促责任单位及时修复破损路面，2022年共办理围栏占道325起、开挖52起；四是认真处置投诉案件。2022年完成网格化案件处置1100件、12345热线回复468件，接听率100%，及时回复处理率100%；五是圆满完成应急抢险工作。完成东三环、园博路、云小路道路塌陷应急抢险工作，在极寒天气出动维护车辆38车次突击完成对盘龙辖区机场高速、东三环等多条道路、人行天桥铲雪除冰任务，泼洒工业盐及融雪剂约7吨，确保过往车辆和人民群众安全通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黑体" w:hAnsi="宋体" w:eastAsia="黑体" w:cs="黑体"/>
          <w:i w:val="0"/>
          <w:caps w:val="0"/>
          <w:color w:val="000000"/>
          <w:spacing w:val="0"/>
          <w:sz w:val="30"/>
          <w:szCs w:val="30"/>
        </w:rPr>
        <w:t>二、部门基本情况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楷体" w:hAnsi="楷体" w:eastAsia="楷体" w:cs="楷体"/>
          <w:i w:val="0"/>
          <w:caps w:val="0"/>
          <w:color w:val="000000"/>
          <w:spacing w:val="0"/>
          <w:sz w:val="30"/>
          <w:szCs w:val="30"/>
        </w:rPr>
        <w:t>（一）机构设置情况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仿宋_GB2312" w:hAnsi="微软雅黑" w:eastAsia="仿宋_GB2312" w:cs="仿宋_GB2312"/>
          <w:i w:val="0"/>
          <w:caps w:val="0"/>
          <w:color w:val="000000"/>
          <w:spacing w:val="0"/>
          <w:sz w:val="30"/>
          <w:szCs w:val="30"/>
        </w:rPr>
      </w:pPr>
      <w:r>
        <w:rPr>
          <w:rFonts w:hint="eastAsia" w:ascii="仿宋_GB2312" w:hAnsi="微软雅黑" w:eastAsia="仿宋_GB2312" w:cs="仿宋_GB2312"/>
          <w:i w:val="0"/>
          <w:caps w:val="0"/>
          <w:color w:val="000000"/>
          <w:spacing w:val="0"/>
          <w:sz w:val="30"/>
          <w:szCs w:val="30"/>
        </w:rPr>
        <w:t>昆明市盘龙区住房和城乡建设局共设置15个内设机构，包括：综合办公室、财务科、城乡建设科、工程建设审批科、物业服务科、企业服务管理科、政策法规科、人民防空综合科、人事财务科、项目规划科、工程技术科、工程建设科、合同预算科、道桥维护科、路政管理科；所属单位6个，分别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1.昆明市盘龙区市政基础设施建设管理处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2.盘龙区房屋安全鉴定和建设工程质量安全监督站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3.昆明市盘龙区廉租住房建设管理处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4.昆明市盘龙区防震减灾局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5.昆明市盘龙区保障性住房管理服务中心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6.昆明市盘龙区建设工程定额站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楷体" w:hAnsi="楷体" w:eastAsia="楷体" w:cs="楷体"/>
          <w:i w:val="0"/>
          <w:caps w:val="0"/>
          <w:color w:val="000000"/>
          <w:spacing w:val="0"/>
          <w:sz w:val="30"/>
          <w:szCs w:val="30"/>
        </w:rPr>
        <w:t>（二）决算单位构成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纳入昆明市盘龙区住房和城乡建设局2022年度决算编报的单位共2个。其中：行政单位1个，参照公务员法管理的事业单位0个，其他事业单位1个。分别是：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1.昆明市盘龙区住房和城乡建设局（本级）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2.昆明市盘龙区市政基础设施建设管理处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jc w:val="both"/>
        <w:rPr>
          <w:rFonts w:hint="eastAsia" w:ascii="微软雅黑" w:hAnsi="微软雅黑" w:eastAsia="微软雅黑" w:cs="微软雅黑"/>
          <w:i w:val="0"/>
          <w:caps w:val="0"/>
          <w:color w:val="000000"/>
          <w:spacing w:val="0"/>
          <w:sz w:val="30"/>
          <w:szCs w:val="30"/>
        </w:rPr>
      </w:pPr>
      <w:r>
        <w:rPr>
          <w:rFonts w:hint="eastAsia" w:ascii="楷体" w:hAnsi="楷体" w:eastAsia="楷体" w:cs="楷体"/>
          <w:i w:val="0"/>
          <w:caps w:val="0"/>
          <w:color w:val="000000"/>
          <w:spacing w:val="0"/>
          <w:sz w:val="30"/>
          <w:szCs w:val="30"/>
        </w:rPr>
        <w:t>（三）部门人员和车辆的编制及实有情况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昆明市盘龙区住房和城乡建设局2022年末实有人员编制214人。其中：行政编制14人（含行政工勤编制2人），事业编制200人（含参公管理事业编制0人）；在职在编实有行政人员17人（含行政工勤人员2人），事业人员178人（含参公管理事业人员0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尚未移交养老保险基金发放养老金的离退休人员共计0人（离休1人，退休0人）；由养老保险基金发放养老金的离退休人员</w:t>
      </w:r>
      <w:r>
        <w:rPr>
          <w:rFonts w:hint="eastAsia" w:ascii="仿宋_GB2312" w:hAnsi="微软雅黑" w:eastAsia="仿宋_GB2312" w:cs="仿宋_GB2312"/>
          <w:i w:val="0"/>
          <w:caps w:val="0"/>
          <w:color w:val="000000"/>
          <w:spacing w:val="0"/>
          <w:sz w:val="30"/>
          <w:szCs w:val="30"/>
          <w:lang w:val="en-US" w:eastAsia="zh-CN"/>
        </w:rPr>
        <w:t>198</w:t>
      </w:r>
      <w:r>
        <w:rPr>
          <w:rFonts w:hint="eastAsia" w:ascii="仿宋_GB2312" w:hAnsi="微软雅黑" w:eastAsia="仿宋_GB2312" w:cs="仿宋_GB2312"/>
          <w:i w:val="0"/>
          <w:caps w:val="0"/>
          <w:color w:val="000000"/>
          <w:spacing w:val="0"/>
          <w:sz w:val="30"/>
          <w:szCs w:val="30"/>
        </w:rPr>
        <w:t>人（离休0人，退休198人）。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实有车辆编制10辆，在编实有车辆10辆。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center"/>
        <w:rPr>
          <w:rFonts w:hint="eastAsia" w:ascii="微软雅黑" w:hAnsi="微软雅黑" w:eastAsia="微软雅黑" w:cs="微软雅黑"/>
          <w:i w:val="0"/>
          <w:caps w:val="0"/>
          <w:color w:val="000000"/>
          <w:spacing w:val="0"/>
          <w:sz w:val="32"/>
          <w:szCs w:val="32"/>
        </w:rPr>
      </w:pPr>
      <w:r>
        <w:rPr>
          <w:rFonts w:hint="eastAsia" w:ascii="黑体" w:hAnsi="宋体" w:eastAsia="黑体" w:cs="黑体"/>
          <w:i w:val="0"/>
          <w:caps w:val="0"/>
          <w:color w:val="000000"/>
          <w:spacing w:val="0"/>
          <w:sz w:val="32"/>
          <w:szCs w:val="32"/>
        </w:rPr>
        <w:t>第二部分  2022年度决算表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center"/>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（详见附件）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center"/>
        <w:rPr>
          <w:rFonts w:hint="eastAsia" w:ascii="微软雅黑" w:hAnsi="微软雅黑" w:eastAsia="微软雅黑" w:cs="微软雅黑"/>
          <w:i w:val="0"/>
          <w:caps w:val="0"/>
          <w:color w:val="000000"/>
          <w:spacing w:val="0"/>
          <w:sz w:val="32"/>
          <w:szCs w:val="32"/>
        </w:rPr>
      </w:pPr>
      <w:r>
        <w:rPr>
          <w:rFonts w:hint="eastAsia" w:ascii="黑体" w:hAnsi="宋体" w:eastAsia="黑体" w:cs="黑体"/>
          <w:i w:val="0"/>
          <w:caps w:val="0"/>
          <w:color w:val="000000"/>
          <w:spacing w:val="0"/>
          <w:sz w:val="32"/>
          <w:szCs w:val="32"/>
        </w:rPr>
        <w:t>第三部分  2022年度决算情况说明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rPr>
      </w:pPr>
      <w:r>
        <w:rPr>
          <w:rFonts w:hint="eastAsia" w:ascii="黑体" w:hAnsi="宋体" w:eastAsia="黑体" w:cs="黑体"/>
          <w:i w:val="0"/>
          <w:caps w:val="0"/>
          <w:color w:val="000000"/>
          <w:spacing w:val="0"/>
          <w:sz w:val="30"/>
          <w:szCs w:val="30"/>
        </w:rPr>
        <w:t>一、收入决算情况说明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538"/>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昆明市盘龙区住房和城乡建设局2022年度收入合计860534697.88元。其中：财政拨款收入860534697.88元，占总收入的100%；上级补助收入0元，占总收入的0%；事业收入0元（含教育收费0元），占总收入的0%；经营收入0元，占总收入的0%；附属单位上缴收入0元，占总收入的0%；其他收入0元，占总收入的0%。与上年相比，上年收入合计171099907.15元，收入合计增加689434790.73元，增长402.94%。其中：财政拨款收入增加689434790.73元，增长402.94%；上级补助收入增加0元，增长0%；事业收入增加0元，增长0%；经营收入增加0元，增长0%；附属单位上缴收入增加0元，增长0%；其他收入增加0元，增长0%。主要原因是本年度政府安排政府性基金预算财政拨款收入700000000元，故经费较上年增幅较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rPr>
      </w:pPr>
      <w:r>
        <w:rPr>
          <w:rFonts w:hint="eastAsia" w:ascii="黑体" w:hAnsi="宋体" w:eastAsia="黑体" w:cs="黑体"/>
          <w:i w:val="0"/>
          <w:caps w:val="0"/>
          <w:color w:val="000000"/>
          <w:spacing w:val="0"/>
          <w:sz w:val="30"/>
          <w:szCs w:val="30"/>
        </w:rPr>
        <w:t>二、支出决算情况说明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昆明市盘龙区住房和城乡建设局2022年度支出合计860534697.88元。其中：基本支出44652233.32元，占总支出的5.19％；项目支出815882464.56元，占总支出的94.81％；上缴上级支出0元，占总支出的0％；经营支出0元，占总支出的0％；对附属单位补助支出0元，占总支出的0％。与上年相比，上年支出合计171066476.14元，支出合计增加689468221.74元，增长403.04%。其中：基本支出增加4875060.23元，增长12.26%；项目支出增加684593161.51元，增长521.44%；上缴上级支出增加0元，增长0%；经营支出增加0元，增长0%；对附属单位补助支出增加0元，增长0%。增加主要原因：年度内政府安排政府性基金预算财政拨款收入700000000元，故导致增长幅度较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微软雅黑" w:hAnsi="微软雅黑" w:eastAsia="微软雅黑" w:cs="微软雅黑"/>
          <w:i w:val="0"/>
          <w:caps w:val="0"/>
          <w:color w:val="000000"/>
          <w:spacing w:val="0"/>
          <w:sz w:val="18"/>
          <w:szCs w:val="18"/>
        </w:rPr>
      </w:pPr>
      <w:r>
        <w:rPr>
          <w:rFonts w:hint="eastAsia" w:ascii="楷体" w:hAnsi="楷体" w:eastAsia="楷体" w:cs="楷体"/>
          <w:i w:val="0"/>
          <w:caps w:val="0"/>
          <w:color w:val="000000"/>
          <w:spacing w:val="0"/>
          <w:sz w:val="30"/>
          <w:szCs w:val="30"/>
        </w:rPr>
        <w:t>（一）基本支出情况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2022年度用于保障昆明市盘龙区住房和城乡建设局机关、下属事业单位等机构正常运转的日常支出44652233.32元。其中：基本工资、津贴补贴等人员经费支出42592630.02元，占基本支出的95.39％；办公费、印刷费、水电费、办公设备购置等公用经费2059603.3元，占基本支出的4.61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微软雅黑" w:hAnsi="微软雅黑" w:eastAsia="微软雅黑" w:cs="微软雅黑"/>
          <w:i w:val="0"/>
          <w:caps w:val="0"/>
          <w:color w:val="000000"/>
          <w:spacing w:val="0"/>
          <w:sz w:val="18"/>
          <w:szCs w:val="18"/>
        </w:rPr>
      </w:pPr>
      <w:r>
        <w:rPr>
          <w:rFonts w:hint="eastAsia" w:ascii="楷体" w:hAnsi="楷体" w:eastAsia="楷体" w:cs="楷体"/>
          <w:i w:val="0"/>
          <w:caps w:val="0"/>
          <w:color w:val="000000"/>
          <w:spacing w:val="0"/>
          <w:sz w:val="30"/>
          <w:szCs w:val="30"/>
        </w:rPr>
        <w:t>（二）项目支出情况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2022年度用于保障昆明市盘龙区住房和城乡建设局机构、下属事业单位等机构为完成特定的行政工作任务或事业发展目标，用于专项业务工作的经费支出815882464.56元。其中：基本建设类项目支出0元。具体项目开支情况：业务补助专项经费383828.19元，建筑工程远程视频监控管理信息平台专项资金90000元，液化（燃）气管理办公专项资金58700元，人防专项经费67955元，房地产市场的监测数据服务专项经费150000元，防震减灾专项资金15787.2元，北京路北端连接西北绕城高速工程专项资金47054082元，保障性住房维护和管理支出专项经费20503.82元，半年预算调整：保障性住房维护和管理支出补助经费2393316.51元，保障性住房租金补贴专项资金248975.27元，保障性安居工程补助资金157141.45元，城镇保障性安居工程补助资金44430000元，昆明市北部山水新区租赁型居住产品及配套商业设施项目专项资金700000000元，廉租处人员专项经费786982.22元，国博西路（沣源路至白杨路）建设专项资金3500000元，餐饮服务经费456000元，辅助性岗位工位工作人员薪酬专项经费172753.97元，自建房专项整治经费133000元，机场路（虹桥立交至两面寺立交段）主路及虹桥立交下层提升整治项目专项资金6246215.76元，盘龙202号路项目（寺瓦路至盘龙200号路）东半幅道路工程专项资金7415993.18元,电梯维护经费25306.7元，道路开挖修复经费97200元，道桥维修养护经费998723.29元，桥梁安全检测经费980000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微软雅黑" w:hAnsi="微软雅黑" w:eastAsia="微软雅黑" w:cs="微软雅黑"/>
          <w:i w:val="0"/>
          <w:caps w:val="0"/>
          <w:color w:val="000000"/>
          <w:spacing w:val="0"/>
          <w:sz w:val="18"/>
          <w:szCs w:val="18"/>
        </w:rPr>
      </w:pPr>
      <w:r>
        <w:rPr>
          <w:rFonts w:hint="eastAsia" w:ascii="黑体" w:hAnsi="宋体" w:eastAsia="黑体" w:cs="黑体"/>
          <w:i w:val="0"/>
          <w:caps w:val="0"/>
          <w:color w:val="000000"/>
          <w:spacing w:val="0"/>
          <w:sz w:val="30"/>
          <w:szCs w:val="30"/>
        </w:rPr>
        <w:t>三、一般公共预算财政拨款支出决算情况说明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微软雅黑" w:hAnsi="微软雅黑" w:eastAsia="微软雅黑" w:cs="微软雅黑"/>
          <w:i w:val="0"/>
          <w:caps w:val="0"/>
          <w:color w:val="000000"/>
          <w:spacing w:val="0"/>
          <w:sz w:val="18"/>
          <w:szCs w:val="18"/>
        </w:rPr>
      </w:pPr>
      <w:r>
        <w:rPr>
          <w:rFonts w:hint="eastAsia" w:ascii="楷体" w:hAnsi="楷体" w:eastAsia="楷体" w:cs="楷体"/>
          <w:i w:val="0"/>
          <w:caps w:val="0"/>
          <w:color w:val="000000"/>
          <w:spacing w:val="0"/>
          <w:sz w:val="30"/>
          <w:szCs w:val="30"/>
        </w:rPr>
        <w:t>（一）一般公共预算财政拨款支出决算总体情况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微软雅黑" w:hAnsi="微软雅黑" w:eastAsia="微软雅黑" w:cs="微软雅黑"/>
          <w:i w:val="0"/>
          <w:caps w:val="0"/>
          <w:color w:val="000000"/>
          <w:spacing w:val="0"/>
          <w:sz w:val="18"/>
          <w:szCs w:val="18"/>
        </w:rPr>
      </w:pPr>
      <w:r>
        <w:rPr>
          <w:rFonts w:hint="eastAsia" w:ascii="仿宋_GB2312" w:hAnsi="微软雅黑" w:eastAsia="仿宋_GB2312" w:cs="仿宋_GB2312"/>
          <w:i w:val="0"/>
          <w:caps w:val="0"/>
          <w:color w:val="000000"/>
          <w:spacing w:val="0"/>
          <w:sz w:val="30"/>
          <w:szCs w:val="30"/>
        </w:rPr>
        <w:t>昆明市盘龙区住房和城乡建设局2022年度一般公共预算财政拨款支出160534697.88元,占本年支出合计的18.66%。与上年相比减少10531778.26元，下降6.16%,主要原因分析：本年申请基建项目资金较上年减少,且响应国家过“紧日子”政策，缩减部分项目经费。</w:t>
      </w:r>
    </w:p>
    <w:p>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微软雅黑" w:hAnsi="微软雅黑" w:eastAsia="微软雅黑" w:cs="微软雅黑"/>
          <w:i w:val="0"/>
          <w:caps w:val="0"/>
          <w:color w:val="000000"/>
          <w:spacing w:val="0"/>
          <w:sz w:val="18"/>
          <w:szCs w:val="18"/>
        </w:rPr>
      </w:pPr>
      <w:r>
        <w:rPr>
          <w:rFonts w:hint="eastAsia" w:ascii="楷体" w:hAnsi="楷体" w:eastAsia="楷体" w:cs="楷体"/>
          <w:i w:val="0"/>
          <w:caps w:val="0"/>
          <w:color w:val="000000"/>
          <w:spacing w:val="0"/>
          <w:sz w:val="30"/>
          <w:szCs w:val="30"/>
        </w:rPr>
        <w:t>一般公共预算财政拨款支出决算具体情况</w:t>
      </w:r>
      <w:r>
        <w:rPr>
          <w:rFonts w:hint="eastAsia" w:ascii="微软雅黑" w:hAnsi="微软雅黑" w:eastAsia="微软雅黑" w:cs="微软雅黑"/>
          <w:i w:val="0"/>
          <w:caps w:val="0"/>
          <w:color w:val="000000"/>
          <w:spacing w:val="0"/>
          <w:sz w:val="18"/>
          <w:szCs w:val="18"/>
        </w:rPr>
        <w:t>   </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lang w:eastAsia="zh-CN"/>
        </w:rPr>
        <w:t>一</w:t>
      </w:r>
      <w:r>
        <w:rPr>
          <w:rFonts w:hint="eastAsia" w:ascii="仿宋_GB2312" w:hAnsi="仿宋_GB2312" w:eastAsia="仿宋_GB2312" w:cs="仿宋_GB2312"/>
          <w:i w:val="0"/>
          <w:caps w:val="0"/>
          <w:color w:val="000000"/>
          <w:spacing w:val="0"/>
          <w:sz w:val="30"/>
          <w:szCs w:val="30"/>
        </w:rPr>
        <w:t>般公共服务支出50091.3元</w:t>
      </w:r>
      <w:r>
        <w:rPr>
          <w:rFonts w:hint="eastAsia" w:ascii="仿宋_GB2312" w:hAnsi="仿宋_GB2312" w:eastAsia="仿宋_GB2312" w:cs="仿宋_GB2312"/>
          <w:i w:val="0"/>
          <w:caps w:val="0"/>
          <w:color w:val="000000"/>
          <w:spacing w:val="0"/>
          <w:sz w:val="30"/>
          <w:szCs w:val="30"/>
          <w:lang w:eastAsia="zh-CN"/>
        </w:rPr>
        <w:t>，占一般公共预算财政拨款总支出的</w:t>
      </w:r>
      <w:r>
        <w:rPr>
          <w:rFonts w:hint="eastAsia" w:ascii="仿宋_GB2312" w:hAnsi="仿宋_GB2312" w:eastAsia="仿宋_GB2312" w:cs="仿宋_GB2312"/>
          <w:i w:val="0"/>
          <w:caps w:val="0"/>
          <w:color w:val="000000"/>
          <w:spacing w:val="0"/>
          <w:sz w:val="30"/>
          <w:szCs w:val="30"/>
          <w:lang w:val="en-US" w:eastAsia="zh-CN"/>
        </w:rPr>
        <w:t>0.03%，</w:t>
      </w:r>
      <w:r>
        <w:rPr>
          <w:rFonts w:hint="eastAsia" w:ascii="仿宋_GB2312" w:hAnsi="仿宋_GB2312" w:eastAsia="仿宋_GB2312" w:cs="仿宋_GB2312"/>
          <w:i w:val="0"/>
          <w:caps w:val="0"/>
          <w:color w:val="000000"/>
          <w:spacing w:val="0"/>
          <w:sz w:val="30"/>
          <w:szCs w:val="30"/>
          <w:lang w:eastAsia="zh-CN"/>
        </w:rPr>
        <w:t>主要用于支付日常办公费用</w:t>
      </w:r>
      <w:r>
        <w:rPr>
          <w:rFonts w:hint="eastAsia" w:ascii="仿宋_GB2312" w:hAnsi="仿宋_GB2312" w:eastAsia="仿宋_GB2312" w:cs="仿宋_GB2312"/>
          <w:i w:val="0"/>
          <w:caps w:val="0"/>
          <w:color w:val="000000"/>
          <w:spacing w:val="0"/>
          <w:sz w:val="30"/>
          <w:szCs w:val="30"/>
        </w:rPr>
        <w:t>；</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外交支出0元；</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国防支出0元；</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公共安全支出0元；</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教育支出0元；</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科学技术支出90000元</w:t>
      </w:r>
      <w:r>
        <w:rPr>
          <w:rFonts w:hint="eastAsia" w:ascii="仿宋_GB2312" w:hAnsi="仿宋_GB2312" w:eastAsia="仿宋_GB2312" w:cs="仿宋_GB2312"/>
          <w:i w:val="0"/>
          <w:caps w:val="0"/>
          <w:color w:val="000000"/>
          <w:spacing w:val="0"/>
          <w:sz w:val="30"/>
          <w:szCs w:val="30"/>
          <w:lang w:eastAsia="zh-CN"/>
        </w:rPr>
        <w:t>，占一般公共预算财政拨款总支出的</w:t>
      </w:r>
      <w:r>
        <w:rPr>
          <w:rFonts w:hint="eastAsia" w:ascii="仿宋_GB2312" w:hAnsi="仿宋_GB2312" w:eastAsia="仿宋_GB2312" w:cs="仿宋_GB2312"/>
          <w:i w:val="0"/>
          <w:caps w:val="0"/>
          <w:color w:val="000000"/>
          <w:spacing w:val="0"/>
          <w:sz w:val="30"/>
          <w:szCs w:val="30"/>
          <w:lang w:val="en-US" w:eastAsia="zh-CN"/>
        </w:rPr>
        <w:t>0.06%，</w:t>
      </w:r>
      <w:r>
        <w:rPr>
          <w:rFonts w:hint="eastAsia" w:ascii="仿宋_GB2312" w:hAnsi="仿宋_GB2312" w:eastAsia="仿宋_GB2312" w:cs="仿宋_GB2312"/>
          <w:i w:val="0"/>
          <w:caps w:val="0"/>
          <w:color w:val="000000"/>
          <w:spacing w:val="0"/>
          <w:sz w:val="30"/>
          <w:szCs w:val="30"/>
          <w:lang w:eastAsia="zh-CN"/>
        </w:rPr>
        <w:t>主要用于工地监控视频支出</w:t>
      </w:r>
      <w:r>
        <w:rPr>
          <w:rFonts w:hint="eastAsia" w:ascii="仿宋_GB2312" w:hAnsi="仿宋_GB2312" w:eastAsia="仿宋_GB2312" w:cs="仿宋_GB2312"/>
          <w:i w:val="0"/>
          <w:caps w:val="0"/>
          <w:color w:val="000000"/>
          <w:spacing w:val="0"/>
          <w:sz w:val="30"/>
          <w:szCs w:val="30"/>
        </w:rPr>
        <w:t>；</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文化旅游体育与传媒支出</w:t>
      </w:r>
      <w:r>
        <w:rPr>
          <w:rFonts w:hint="eastAsia" w:ascii="仿宋_GB2312" w:hAnsi="仿宋_GB2312" w:eastAsia="仿宋_GB2312" w:cs="仿宋_GB2312"/>
          <w:i w:val="0"/>
          <w:caps w:val="0"/>
          <w:color w:val="000000"/>
          <w:spacing w:val="0"/>
          <w:sz w:val="30"/>
          <w:szCs w:val="30"/>
          <w:lang w:val="en-US" w:eastAsia="zh-CN"/>
        </w:rPr>
        <w:t>0</w:t>
      </w:r>
      <w:r>
        <w:rPr>
          <w:rFonts w:hint="eastAsia" w:ascii="仿宋_GB2312" w:hAnsi="仿宋_GB2312" w:eastAsia="仿宋_GB2312" w:cs="仿宋_GB2312"/>
          <w:i w:val="0"/>
          <w:caps w:val="0"/>
          <w:color w:val="000000"/>
          <w:spacing w:val="0"/>
          <w:sz w:val="30"/>
          <w:szCs w:val="30"/>
        </w:rPr>
        <w:t>元；</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社会保障和就业支出4253891.58元</w:t>
      </w:r>
      <w:r>
        <w:rPr>
          <w:rFonts w:hint="eastAsia" w:ascii="仿宋_GB2312" w:hAnsi="仿宋_GB2312" w:eastAsia="仿宋_GB2312" w:cs="仿宋_GB2312"/>
          <w:i w:val="0"/>
          <w:caps w:val="0"/>
          <w:color w:val="000000"/>
          <w:spacing w:val="0"/>
          <w:sz w:val="30"/>
          <w:szCs w:val="30"/>
          <w:lang w:eastAsia="zh-CN"/>
        </w:rPr>
        <w:t>，占一般公共预算财政拨款总支出的</w:t>
      </w:r>
      <w:r>
        <w:rPr>
          <w:rFonts w:hint="eastAsia" w:ascii="仿宋_GB2312" w:hAnsi="仿宋_GB2312" w:eastAsia="仿宋_GB2312" w:cs="仿宋_GB2312"/>
          <w:i w:val="0"/>
          <w:caps w:val="0"/>
          <w:color w:val="000000"/>
          <w:spacing w:val="0"/>
          <w:sz w:val="30"/>
          <w:szCs w:val="30"/>
          <w:lang w:val="en-US" w:eastAsia="zh-CN"/>
        </w:rPr>
        <w:t>2.65%，</w:t>
      </w:r>
      <w:r>
        <w:rPr>
          <w:rFonts w:hint="eastAsia" w:ascii="仿宋_GB2312" w:hAnsi="仿宋_GB2312" w:eastAsia="仿宋_GB2312" w:cs="仿宋_GB2312"/>
          <w:i w:val="0"/>
          <w:caps w:val="0"/>
          <w:color w:val="000000"/>
          <w:spacing w:val="0"/>
          <w:sz w:val="30"/>
          <w:szCs w:val="30"/>
          <w:lang w:eastAsia="zh-CN"/>
        </w:rPr>
        <w:t>主要用于行政事业单位养老支出及抚恤金支出</w:t>
      </w:r>
      <w:r>
        <w:rPr>
          <w:rFonts w:hint="eastAsia" w:ascii="仿宋_GB2312" w:hAnsi="仿宋_GB2312" w:eastAsia="仿宋_GB2312" w:cs="仿宋_GB2312"/>
          <w:i w:val="0"/>
          <w:caps w:val="0"/>
          <w:color w:val="000000"/>
          <w:spacing w:val="0"/>
          <w:sz w:val="30"/>
          <w:szCs w:val="30"/>
        </w:rPr>
        <w:t>；</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卫生健康支出3583479.78元</w:t>
      </w:r>
      <w:r>
        <w:rPr>
          <w:rFonts w:hint="eastAsia" w:ascii="仿宋_GB2312" w:hAnsi="仿宋_GB2312" w:eastAsia="仿宋_GB2312" w:cs="仿宋_GB2312"/>
          <w:i w:val="0"/>
          <w:caps w:val="0"/>
          <w:color w:val="000000"/>
          <w:spacing w:val="0"/>
          <w:sz w:val="30"/>
          <w:szCs w:val="30"/>
          <w:lang w:eastAsia="zh-CN"/>
        </w:rPr>
        <w:t>，占一般公共预算财政拨款总支出的</w:t>
      </w:r>
      <w:r>
        <w:rPr>
          <w:rFonts w:hint="eastAsia" w:ascii="仿宋_GB2312" w:hAnsi="仿宋_GB2312" w:eastAsia="仿宋_GB2312" w:cs="仿宋_GB2312"/>
          <w:i w:val="0"/>
          <w:caps w:val="0"/>
          <w:color w:val="000000"/>
          <w:spacing w:val="0"/>
          <w:sz w:val="30"/>
          <w:szCs w:val="30"/>
          <w:lang w:val="en-US" w:eastAsia="zh-CN"/>
        </w:rPr>
        <w:t>2.23%，</w:t>
      </w:r>
      <w:r>
        <w:rPr>
          <w:rFonts w:hint="eastAsia" w:ascii="仿宋_GB2312" w:hAnsi="仿宋_GB2312" w:eastAsia="仿宋_GB2312" w:cs="仿宋_GB2312"/>
          <w:i w:val="0"/>
          <w:caps w:val="0"/>
          <w:color w:val="000000"/>
          <w:spacing w:val="0"/>
          <w:sz w:val="30"/>
          <w:szCs w:val="30"/>
          <w:lang w:eastAsia="zh-CN"/>
        </w:rPr>
        <w:t>主要用于行政事业单位医疗</w:t>
      </w:r>
      <w:r>
        <w:rPr>
          <w:rFonts w:hint="eastAsia" w:ascii="仿宋_GB2312" w:hAnsi="仿宋_GB2312" w:eastAsia="仿宋_GB2312" w:cs="仿宋_GB2312"/>
          <w:i w:val="0"/>
          <w:caps w:val="0"/>
          <w:color w:val="000000"/>
          <w:spacing w:val="0"/>
          <w:sz w:val="30"/>
          <w:szCs w:val="30"/>
        </w:rPr>
        <w:t>；</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节能环保支出3500000元</w:t>
      </w:r>
      <w:r>
        <w:rPr>
          <w:rFonts w:hint="eastAsia" w:ascii="仿宋_GB2312" w:hAnsi="仿宋_GB2312" w:eastAsia="仿宋_GB2312" w:cs="仿宋_GB2312"/>
          <w:i w:val="0"/>
          <w:caps w:val="0"/>
          <w:color w:val="000000"/>
          <w:spacing w:val="0"/>
          <w:sz w:val="30"/>
          <w:szCs w:val="30"/>
          <w:lang w:eastAsia="zh-CN"/>
        </w:rPr>
        <w:t>，占一般公共预算财政拨款总支出的</w:t>
      </w:r>
      <w:r>
        <w:rPr>
          <w:rFonts w:hint="eastAsia" w:ascii="仿宋_GB2312" w:hAnsi="仿宋_GB2312" w:eastAsia="仿宋_GB2312" w:cs="仿宋_GB2312"/>
          <w:i w:val="0"/>
          <w:caps w:val="0"/>
          <w:color w:val="000000"/>
          <w:spacing w:val="0"/>
          <w:sz w:val="30"/>
          <w:szCs w:val="30"/>
          <w:lang w:val="en-US" w:eastAsia="zh-CN"/>
        </w:rPr>
        <w:t>2.18%，</w:t>
      </w:r>
      <w:r>
        <w:rPr>
          <w:rFonts w:hint="eastAsia" w:ascii="仿宋_GB2312" w:hAnsi="仿宋_GB2312" w:eastAsia="仿宋_GB2312" w:cs="仿宋_GB2312"/>
          <w:i w:val="0"/>
          <w:caps w:val="0"/>
          <w:color w:val="000000"/>
          <w:spacing w:val="0"/>
          <w:sz w:val="30"/>
          <w:szCs w:val="30"/>
          <w:lang w:eastAsia="zh-CN"/>
        </w:rPr>
        <w:t>主要用于其他环境保护管理事务支出</w:t>
      </w:r>
      <w:r>
        <w:rPr>
          <w:rFonts w:hint="eastAsia" w:ascii="仿宋_GB2312" w:hAnsi="仿宋_GB2312" w:eastAsia="仿宋_GB2312" w:cs="仿宋_GB2312"/>
          <w:i w:val="0"/>
          <w:caps w:val="0"/>
          <w:color w:val="000000"/>
          <w:spacing w:val="0"/>
          <w:sz w:val="30"/>
          <w:szCs w:val="30"/>
        </w:rPr>
        <w:t>；</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城乡社区支出98879252.17元</w:t>
      </w:r>
      <w:r>
        <w:rPr>
          <w:rFonts w:hint="eastAsia" w:ascii="仿宋_GB2312" w:hAnsi="仿宋_GB2312" w:eastAsia="仿宋_GB2312" w:cs="仿宋_GB2312"/>
          <w:i w:val="0"/>
          <w:caps w:val="0"/>
          <w:color w:val="000000"/>
          <w:spacing w:val="0"/>
          <w:sz w:val="30"/>
          <w:szCs w:val="30"/>
          <w:lang w:eastAsia="zh-CN"/>
        </w:rPr>
        <w:t>，占一般公共预算财政拨款总支出的</w:t>
      </w:r>
      <w:r>
        <w:rPr>
          <w:rFonts w:hint="eastAsia" w:ascii="仿宋_GB2312" w:hAnsi="仿宋_GB2312" w:eastAsia="仿宋_GB2312" w:cs="仿宋_GB2312"/>
          <w:i w:val="0"/>
          <w:caps w:val="0"/>
          <w:color w:val="000000"/>
          <w:spacing w:val="0"/>
          <w:sz w:val="30"/>
          <w:szCs w:val="30"/>
          <w:lang w:val="en-US" w:eastAsia="zh-CN"/>
        </w:rPr>
        <w:t>61.59%，</w:t>
      </w:r>
      <w:r>
        <w:rPr>
          <w:rFonts w:hint="eastAsia" w:ascii="仿宋_GB2312" w:hAnsi="仿宋_GB2312" w:eastAsia="仿宋_GB2312" w:cs="仿宋_GB2312"/>
          <w:i w:val="0"/>
          <w:caps w:val="0"/>
          <w:color w:val="000000"/>
          <w:spacing w:val="0"/>
          <w:sz w:val="30"/>
          <w:szCs w:val="30"/>
          <w:lang w:eastAsia="zh-CN"/>
        </w:rPr>
        <w:t>主要用于城乡社区管理事务、城乡社区规划与管理、城乡社区公共设施、其他城乡社区支出</w:t>
      </w:r>
      <w:r>
        <w:rPr>
          <w:rFonts w:hint="eastAsia" w:ascii="仿宋_GB2312" w:hAnsi="仿宋_GB2312" w:eastAsia="仿宋_GB2312" w:cs="仿宋_GB2312"/>
          <w:i w:val="0"/>
          <w:caps w:val="0"/>
          <w:color w:val="000000"/>
          <w:spacing w:val="0"/>
          <w:sz w:val="30"/>
          <w:szCs w:val="30"/>
        </w:rPr>
        <w:t>；</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农林水支出0元；</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交通运输支出0元；</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资源勘探工业信息等支出0元；</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商业服务业等支出0元；</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金融支出0元；</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援助其他地区支出0元；</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自然资源海洋气象等支出0元；</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住房保障支出50177983.05元</w:t>
      </w:r>
      <w:r>
        <w:rPr>
          <w:rFonts w:hint="eastAsia" w:ascii="仿宋_GB2312" w:hAnsi="仿宋_GB2312" w:eastAsia="仿宋_GB2312" w:cs="仿宋_GB2312"/>
          <w:i w:val="0"/>
          <w:caps w:val="0"/>
          <w:color w:val="000000"/>
          <w:spacing w:val="0"/>
          <w:sz w:val="30"/>
          <w:szCs w:val="30"/>
          <w:lang w:eastAsia="zh-CN"/>
        </w:rPr>
        <w:t>，占一般公共预算财政拨款总支出的</w:t>
      </w:r>
      <w:r>
        <w:rPr>
          <w:rFonts w:hint="eastAsia" w:ascii="仿宋_GB2312" w:hAnsi="仿宋_GB2312" w:eastAsia="仿宋_GB2312" w:cs="仿宋_GB2312"/>
          <w:i w:val="0"/>
          <w:caps w:val="0"/>
          <w:color w:val="000000"/>
          <w:spacing w:val="0"/>
          <w:sz w:val="30"/>
          <w:szCs w:val="30"/>
          <w:lang w:val="en-US" w:eastAsia="zh-CN"/>
        </w:rPr>
        <w:t>31.26%，</w:t>
      </w:r>
      <w:r>
        <w:rPr>
          <w:rFonts w:hint="eastAsia" w:ascii="仿宋_GB2312" w:hAnsi="仿宋_GB2312" w:eastAsia="仿宋_GB2312" w:cs="仿宋_GB2312"/>
          <w:i w:val="0"/>
          <w:caps w:val="0"/>
          <w:color w:val="000000"/>
          <w:spacing w:val="0"/>
          <w:sz w:val="30"/>
          <w:szCs w:val="30"/>
          <w:lang w:eastAsia="zh-CN"/>
        </w:rPr>
        <w:t>主要用于</w:t>
      </w:r>
      <w:bookmarkStart w:id="0" w:name="_GoBack"/>
      <w:r>
        <w:rPr>
          <w:rFonts w:hint="eastAsia" w:ascii="仿宋_GB2312" w:hAnsi="仿宋_GB2312" w:eastAsia="仿宋_GB2312" w:cs="仿宋_GB2312"/>
          <w:i w:val="0"/>
          <w:caps w:val="0"/>
          <w:color w:val="000000"/>
          <w:spacing w:val="0"/>
          <w:sz w:val="30"/>
          <w:szCs w:val="30"/>
          <w:lang w:eastAsia="zh-CN"/>
        </w:rPr>
        <w:t>公共租赁住房、保障性住房租金补贴、其他保障性安居工程支出及公积金缴纳支出</w:t>
      </w:r>
      <w:bookmarkEnd w:id="0"/>
      <w:r>
        <w:rPr>
          <w:rFonts w:hint="eastAsia" w:ascii="仿宋_GB2312" w:hAnsi="仿宋_GB2312" w:eastAsia="仿宋_GB2312" w:cs="仿宋_GB2312"/>
          <w:i w:val="0"/>
          <w:caps w:val="0"/>
          <w:color w:val="000000"/>
          <w:spacing w:val="0"/>
          <w:sz w:val="30"/>
          <w:szCs w:val="30"/>
        </w:rPr>
        <w:t>；</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粮油物资储备支出0元；</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国有资本经营预算支出0元；</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灾害防治及应急管理支出0元；</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其他支出</w:t>
      </w:r>
      <w:r>
        <w:rPr>
          <w:rFonts w:hint="eastAsia" w:ascii="仿宋_GB2312" w:hAnsi="仿宋_GB2312" w:eastAsia="仿宋_GB2312" w:cs="仿宋_GB2312"/>
          <w:i w:val="0"/>
          <w:caps w:val="0"/>
          <w:color w:val="000000"/>
          <w:spacing w:val="0"/>
          <w:sz w:val="30"/>
          <w:szCs w:val="30"/>
          <w:lang w:val="en-US" w:eastAsia="zh-CN"/>
        </w:rPr>
        <w:t>0</w:t>
      </w:r>
      <w:r>
        <w:rPr>
          <w:rFonts w:hint="eastAsia" w:ascii="仿宋_GB2312" w:hAnsi="仿宋_GB2312" w:eastAsia="仿宋_GB2312" w:cs="仿宋_GB2312"/>
          <w:i w:val="0"/>
          <w:caps w:val="0"/>
          <w:color w:val="000000"/>
          <w:spacing w:val="0"/>
          <w:sz w:val="30"/>
          <w:szCs w:val="30"/>
        </w:rPr>
        <w:t>元；</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债务还本支出0元；</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债务付息支出0元；</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600" w:leftChars="0" w:right="0" w:rightChars="0"/>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rPr>
        <w:t>抗疫特别国债安排的支出0元</w:t>
      </w:r>
      <w:r>
        <w:rPr>
          <w:rFonts w:hint="eastAsia" w:ascii="仿宋_GB2312" w:hAnsi="仿宋_GB2312" w:eastAsia="仿宋_GB2312" w:cs="仿宋_GB2312"/>
          <w:i w:val="0"/>
          <w:caps w:val="0"/>
          <w:color w:val="000000"/>
          <w:spacing w:val="0"/>
          <w:sz w:val="30"/>
          <w:szCs w:val="30"/>
          <w:lang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rPr>
      </w:pPr>
      <w:r>
        <w:rPr>
          <w:rFonts w:hint="eastAsia" w:ascii="黑体" w:hAnsi="宋体" w:eastAsia="黑体" w:cs="黑体"/>
          <w:i w:val="0"/>
          <w:caps w:val="0"/>
          <w:color w:val="000000"/>
          <w:spacing w:val="0"/>
          <w:sz w:val="30"/>
          <w:szCs w:val="30"/>
        </w:rPr>
        <w:t>四、财政拨款“三公”经费支出决算情况说明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rPr>
      </w:pPr>
      <w:r>
        <w:rPr>
          <w:rFonts w:hint="eastAsia" w:ascii="仿宋_GB2312" w:hAnsi="微软雅黑" w:eastAsia="仿宋_GB2312" w:cs="仿宋_GB2312"/>
          <w:i w:val="0"/>
          <w:caps w:val="0"/>
          <w:color w:val="000000"/>
          <w:spacing w:val="0"/>
          <w:sz w:val="30"/>
          <w:szCs w:val="30"/>
        </w:rPr>
        <w:t>2022年度财政拨款“三公”经费支出决算中，财政拨款“三公”经费支出年初预算为892000元，支出决算为368047.01元，完成年初预算的41.26%。其中：因公出国（境）费支出决算0元，占总支出决算的0%；公务用车购置费支出决算0元，占总支出决算的0%；公务用车运行维护费支出决算368047.01元，占总支出决算的100%；公务接待费支出决算0元，占总支出决算的0%，具体是国内接待费支出决算0元（其中：外事接待费支出决算0元），国（境）外接待费支出决算0元。其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rPr>
      </w:pPr>
      <w:r>
        <w:rPr>
          <w:rFonts w:hint="eastAsia" w:ascii="楷体" w:hAnsi="楷体" w:eastAsia="楷体" w:cs="楷体"/>
          <w:i w:val="0"/>
          <w:caps w:val="0"/>
          <w:color w:val="000000"/>
          <w:spacing w:val="0"/>
          <w:sz w:val="30"/>
          <w:szCs w:val="30"/>
        </w:rPr>
        <w:t>(一)一般公共预算财政拨款“三公”经费支出决算总体情况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rPr>
      </w:pPr>
      <w:r>
        <w:rPr>
          <w:rFonts w:hint="eastAsia" w:ascii="仿宋_GB2312" w:hAnsi="微软雅黑" w:eastAsia="仿宋_GB2312" w:cs="仿宋_GB2312"/>
          <w:i w:val="0"/>
          <w:caps w:val="0"/>
          <w:color w:val="000000"/>
          <w:spacing w:val="0"/>
          <w:sz w:val="30"/>
          <w:szCs w:val="30"/>
        </w:rPr>
        <w:t>2022年度一般公共预算财政拨款“三公”经费支出年初预算为892000元，支出决算为368047.01元，完成年初预算的41.26%。其中：因公出国（境）费支出决算为0元，完成年初预算的0%；公务用车购置费支出决算为0元，完成年初预算的0%；公务用车运行维护费支出决算为368047.01元，完成年初预算的41.26%；公务接待费支出决算为0元，完成年初预算的0%。2022年度一般公共预算财政拨款“三公”经费支出决算数小于年初预算数的主要原因：年初预算按照财政下发标准测算，年度内根据实际工作情况按规定报销经费，同时厉行节约，落实政府过“紧日子”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rPr>
      </w:pPr>
      <w:r>
        <w:rPr>
          <w:rFonts w:hint="eastAsia" w:ascii="仿宋_GB2312" w:hAnsi="微软雅黑" w:eastAsia="仿宋_GB2312" w:cs="仿宋_GB2312"/>
          <w:i w:val="0"/>
          <w:caps w:val="0"/>
          <w:color w:val="000000"/>
          <w:spacing w:val="0"/>
          <w:sz w:val="30"/>
          <w:szCs w:val="30"/>
        </w:rPr>
        <w:t>2022年度一般公共预算财政拨款“三公”经费支出决算数比上年增加68841.88元，增长23.01%。其中：因公出国（境）费支出决算增加0元，增长0%；公务用车购置费支出决算增加0元，增长0%；公务用车运行维护费支出决算增加68841.88元，增长23.01%；公务接待费支出决算增加0元，增长0%。2022年度一般公共预算财政拨款“三公”经费支出决算增加的主要原因是：人员增加，外出检查工作次数增加，同时下属单位2021年第四季度的公务用车运行维护费，在2021年底财政关账前未出结算报销单据，所以于2022年才进行列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rPr>
      </w:pPr>
      <w:r>
        <w:rPr>
          <w:rFonts w:hint="eastAsia" w:ascii="楷体" w:hAnsi="楷体" w:eastAsia="楷体" w:cs="楷体"/>
          <w:i w:val="0"/>
          <w:caps w:val="0"/>
          <w:color w:val="000000"/>
          <w:spacing w:val="0"/>
          <w:sz w:val="30"/>
          <w:szCs w:val="30"/>
        </w:rPr>
        <w:t>(二)</w:t>
      </w:r>
      <w:r>
        <w:rPr>
          <w:rFonts w:hint="eastAsia" w:ascii="仿宋_GB2312" w:hAnsi="微软雅黑" w:eastAsia="仿宋_GB2312" w:cs="仿宋_GB2312"/>
          <w:i w:val="0"/>
          <w:caps w:val="0"/>
          <w:color w:val="000000"/>
          <w:spacing w:val="0"/>
          <w:sz w:val="30"/>
          <w:szCs w:val="30"/>
        </w:rPr>
        <w:t> </w:t>
      </w:r>
      <w:r>
        <w:rPr>
          <w:rFonts w:hint="eastAsia" w:ascii="楷体" w:hAnsi="楷体" w:eastAsia="楷体" w:cs="楷体"/>
          <w:i w:val="0"/>
          <w:caps w:val="0"/>
          <w:color w:val="000000"/>
          <w:spacing w:val="0"/>
          <w:sz w:val="30"/>
          <w:szCs w:val="30"/>
        </w:rPr>
        <w:t>一般公共预算财政拨款“三公”经费支出实物量的具体情况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rPr>
      </w:pPr>
      <w:r>
        <w:rPr>
          <w:rFonts w:hint="eastAsia" w:ascii="仿宋_GB2312" w:hAnsi="微软雅黑" w:eastAsia="仿宋_GB2312" w:cs="仿宋_GB2312"/>
          <w:b/>
          <w:i w:val="0"/>
          <w:caps w:val="0"/>
          <w:color w:val="000000"/>
          <w:spacing w:val="0"/>
          <w:sz w:val="30"/>
          <w:szCs w:val="30"/>
        </w:rPr>
        <w:t>1.</w:t>
      </w:r>
      <w:r>
        <w:rPr>
          <w:rFonts w:hint="eastAsia" w:ascii="仿宋_GB2312" w:hAnsi="微软雅黑" w:eastAsia="仿宋_GB2312" w:cs="仿宋_GB2312"/>
          <w:i w:val="0"/>
          <w:caps w:val="0"/>
          <w:color w:val="000000"/>
          <w:spacing w:val="0"/>
          <w:sz w:val="30"/>
          <w:szCs w:val="30"/>
        </w:rPr>
        <w:t>安排因公出国（境）团组0个，累计0人次。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rPr>
      </w:pPr>
      <w:r>
        <w:rPr>
          <w:rFonts w:hint="eastAsia" w:ascii="仿宋_GB2312" w:hAnsi="微软雅黑" w:eastAsia="仿宋_GB2312" w:cs="仿宋_GB2312"/>
          <w:b/>
          <w:i w:val="0"/>
          <w:caps w:val="0"/>
          <w:color w:val="000000"/>
          <w:spacing w:val="0"/>
          <w:sz w:val="30"/>
          <w:szCs w:val="30"/>
        </w:rPr>
        <w:t>2.</w:t>
      </w:r>
      <w:r>
        <w:rPr>
          <w:rFonts w:hint="eastAsia" w:ascii="仿宋_GB2312" w:hAnsi="微软雅黑" w:eastAsia="仿宋_GB2312" w:cs="仿宋_GB2312"/>
          <w:i w:val="0"/>
          <w:caps w:val="0"/>
          <w:color w:val="000000"/>
          <w:spacing w:val="0"/>
          <w:sz w:val="30"/>
          <w:szCs w:val="30"/>
        </w:rPr>
        <w:t>购置车辆0辆。开支一般公共预算财政拨款的公务用车保有量为10辆。主要用于人防工作、</w:t>
      </w:r>
      <w:r>
        <w:rPr>
          <w:rFonts w:hint="eastAsia" w:ascii="仿宋" w:hAnsi="仿宋" w:eastAsia="仿宋" w:cs="仿宋"/>
          <w:i w:val="0"/>
          <w:caps w:val="0"/>
          <w:color w:val="000000"/>
          <w:spacing w:val="0"/>
          <w:sz w:val="30"/>
          <w:szCs w:val="30"/>
        </w:rPr>
        <w:t>路政巡查工作</w:t>
      </w:r>
      <w:r>
        <w:rPr>
          <w:rFonts w:hint="eastAsia" w:ascii="仿宋_GB2312" w:hAnsi="微软雅黑" w:eastAsia="仿宋_GB2312" w:cs="仿宋_GB2312"/>
          <w:i w:val="0"/>
          <w:caps w:val="0"/>
          <w:color w:val="000000"/>
          <w:spacing w:val="0"/>
          <w:sz w:val="30"/>
          <w:szCs w:val="30"/>
        </w:rPr>
        <w:t>所需车辆燃料费、维修费、过路过桥费、保险费等。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rPr>
      </w:pPr>
      <w:r>
        <w:rPr>
          <w:rFonts w:hint="eastAsia" w:ascii="仿宋_GB2312" w:hAnsi="微软雅黑" w:eastAsia="仿宋_GB2312" w:cs="仿宋_GB2312"/>
          <w:b/>
          <w:i w:val="0"/>
          <w:caps w:val="0"/>
          <w:color w:val="000000"/>
          <w:spacing w:val="0"/>
          <w:sz w:val="30"/>
          <w:szCs w:val="30"/>
        </w:rPr>
        <w:t>3.</w:t>
      </w:r>
      <w:r>
        <w:rPr>
          <w:rFonts w:hint="eastAsia" w:ascii="仿宋_GB2312" w:hAnsi="微软雅黑" w:eastAsia="仿宋_GB2312" w:cs="仿宋_GB2312"/>
          <w:i w:val="0"/>
          <w:caps w:val="0"/>
          <w:color w:val="000000"/>
          <w:spacing w:val="0"/>
          <w:sz w:val="30"/>
          <w:szCs w:val="30"/>
        </w:rPr>
        <w:t>安排国内公务接待0批次（其中：外事接待0批次），接待人次0人（其中：外事接待人次0人）。安排国（境）外公务接待0批次，接待人次0人。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80" w:lineRule="atLeast"/>
        <w:ind w:left="0" w:right="0" w:firstLine="640"/>
        <w:rPr>
          <w:rFonts w:hint="eastAsia" w:ascii="微软雅黑" w:hAnsi="微软雅黑" w:eastAsia="微软雅黑" w:cs="微软雅黑"/>
          <w:i w:val="0"/>
          <w:caps w:val="0"/>
          <w:color w:val="000000"/>
          <w:spacing w:val="0"/>
          <w:sz w:val="32"/>
          <w:szCs w:val="32"/>
        </w:rPr>
      </w:pPr>
      <w:r>
        <w:rPr>
          <w:rFonts w:hint="eastAsia" w:ascii="黑体" w:hAnsi="宋体" w:eastAsia="黑体" w:cs="黑体"/>
          <w:i w:val="0"/>
          <w:caps w:val="0"/>
          <w:color w:val="000000"/>
          <w:spacing w:val="0"/>
          <w:sz w:val="32"/>
          <w:szCs w:val="32"/>
        </w:rPr>
        <w:t>第四部分  其他重要事项及相关口径情况说明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rPr>
      </w:pPr>
      <w:r>
        <w:rPr>
          <w:rFonts w:hint="eastAsia" w:ascii="黑体" w:hAnsi="宋体" w:eastAsia="黑体" w:cs="黑体"/>
          <w:i w:val="0"/>
          <w:caps w:val="0"/>
          <w:color w:val="000000"/>
          <w:spacing w:val="0"/>
          <w:sz w:val="30"/>
          <w:szCs w:val="30"/>
        </w:rPr>
        <w:t>一、机关运行经费支出情况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rPr>
      </w:pPr>
      <w:r>
        <w:rPr>
          <w:rFonts w:hint="eastAsia" w:ascii="仿宋_GB2312" w:hAnsi="微软雅黑" w:eastAsia="仿宋_GB2312" w:cs="仿宋_GB2312"/>
          <w:i w:val="0"/>
          <w:caps w:val="0"/>
          <w:color w:val="000000"/>
          <w:spacing w:val="0"/>
          <w:sz w:val="30"/>
          <w:szCs w:val="30"/>
        </w:rPr>
        <w:t>昆明市盘龙区住房和城乡建设局2022年机关运行经费支出876522.53元，上年机关运行经费951898.44元，减少75375.91元，下降7.92%,主要原因分析：响应国家过“紧日子”政策，缩减部分经费。机关运行经费主要用于办公费216284元，  水费33689.45元，电费20114.35元，邮电费66658元，差旅费10703.7元，培训费1000元，福利费312508.06元，公务用车运行维护费33074.97元，其他交通费用181350元，其他商品和服务支出1140元。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jc w:val="both"/>
        <w:rPr>
          <w:rFonts w:hint="eastAsia" w:ascii="微软雅黑" w:hAnsi="微软雅黑" w:eastAsia="微软雅黑" w:cs="微软雅黑"/>
          <w:i w:val="0"/>
          <w:caps w:val="0"/>
          <w:color w:val="000000"/>
          <w:spacing w:val="0"/>
          <w:sz w:val="30"/>
          <w:szCs w:val="30"/>
        </w:rPr>
      </w:pPr>
      <w:r>
        <w:rPr>
          <w:rFonts w:hint="eastAsia" w:ascii="黑体" w:hAnsi="宋体" w:eastAsia="黑体" w:cs="黑体"/>
          <w:i w:val="0"/>
          <w:caps w:val="0"/>
          <w:color w:val="000000"/>
          <w:spacing w:val="0"/>
          <w:sz w:val="30"/>
          <w:szCs w:val="30"/>
        </w:rPr>
        <w:t>二、国有资产占用情况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jc w:val="both"/>
        <w:rPr>
          <w:rFonts w:hint="eastAsia" w:ascii="微软雅黑" w:hAnsi="微软雅黑" w:eastAsia="微软雅黑" w:cs="微软雅黑"/>
          <w:i w:val="0"/>
          <w:caps w:val="0"/>
          <w:color w:val="000000"/>
          <w:spacing w:val="0"/>
          <w:sz w:val="30"/>
          <w:szCs w:val="30"/>
        </w:rPr>
      </w:pPr>
      <w:r>
        <w:rPr>
          <w:rFonts w:hint="eastAsia" w:ascii="仿宋_GB2312" w:hAnsi="微软雅黑" w:eastAsia="仿宋_GB2312" w:cs="仿宋_GB2312"/>
          <w:i w:val="0"/>
          <w:caps w:val="0"/>
          <w:color w:val="000000"/>
          <w:spacing w:val="0"/>
          <w:sz w:val="30"/>
          <w:szCs w:val="30"/>
        </w:rPr>
        <w:t>截至2022年12月31日，昆明市盘龙区住房和城乡建设局资产总额22351295.13元，其中，流动资产7526816.89元，固定资产12970395.38元，对外投资及有价证券0元，在建工程0元，无形资产1854082.86元，其他资产0元（具体内容详见附表）。与上年相比，本年资产总额672637.48元，其中固定资产增加6370元。处置房屋建筑物0平方米，账面原值0元；处置车辆0辆，账面原值0元；报废报损资产0项，账面原值0元，实现资产处置收入0元；出租房屋及土地6707.72平方米，账面原值1元(以名义金额1元入账)，实现资产使用收入46000元。（国有资产占有使用情况表详见附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rPr>
      </w:pPr>
      <w:r>
        <w:rPr>
          <w:rFonts w:hint="eastAsia" w:ascii="黑体" w:hAnsi="宋体" w:eastAsia="黑体" w:cs="黑体"/>
          <w:i w:val="0"/>
          <w:caps w:val="0"/>
          <w:color w:val="000000"/>
          <w:spacing w:val="0"/>
          <w:sz w:val="30"/>
          <w:szCs w:val="30"/>
        </w:rPr>
        <w:t>三、政府采购支出情况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jc w:val="both"/>
        <w:rPr>
          <w:rFonts w:hint="eastAsia" w:ascii="微软雅黑" w:hAnsi="微软雅黑" w:eastAsia="微软雅黑" w:cs="微软雅黑"/>
          <w:i w:val="0"/>
          <w:caps w:val="0"/>
          <w:color w:val="000000"/>
          <w:spacing w:val="0"/>
          <w:sz w:val="30"/>
          <w:szCs w:val="30"/>
        </w:rPr>
      </w:pPr>
      <w:r>
        <w:rPr>
          <w:rFonts w:hint="eastAsia" w:ascii="仿宋_GB2312" w:hAnsi="微软雅黑" w:eastAsia="仿宋_GB2312" w:cs="仿宋_GB2312"/>
          <w:i w:val="0"/>
          <w:caps w:val="0"/>
          <w:color w:val="000000"/>
          <w:spacing w:val="0"/>
          <w:sz w:val="30"/>
          <w:szCs w:val="30"/>
        </w:rPr>
        <w:t>2022年度，政府采购支出总额</w:t>
      </w:r>
      <w:r>
        <w:rPr>
          <w:rFonts w:hint="eastAsia" w:ascii="仿宋" w:hAnsi="仿宋" w:eastAsia="仿宋" w:cs="仿宋"/>
          <w:i w:val="0"/>
          <w:caps w:val="0"/>
          <w:color w:val="000000"/>
          <w:spacing w:val="0"/>
          <w:sz w:val="30"/>
          <w:szCs w:val="30"/>
        </w:rPr>
        <w:t>7533710</w:t>
      </w:r>
      <w:r>
        <w:rPr>
          <w:rFonts w:hint="eastAsia" w:ascii="仿宋_GB2312" w:hAnsi="微软雅黑" w:eastAsia="仿宋_GB2312" w:cs="仿宋_GB2312"/>
          <w:i w:val="0"/>
          <w:caps w:val="0"/>
          <w:color w:val="000000"/>
          <w:spacing w:val="0"/>
          <w:sz w:val="30"/>
          <w:szCs w:val="30"/>
        </w:rPr>
        <w:t>元，其中：政府采购货物支出</w:t>
      </w:r>
      <w:r>
        <w:rPr>
          <w:rFonts w:hint="eastAsia" w:ascii="仿宋" w:hAnsi="仿宋" w:eastAsia="仿宋" w:cs="仿宋"/>
          <w:i w:val="0"/>
          <w:caps w:val="0"/>
          <w:color w:val="000000"/>
          <w:spacing w:val="0"/>
          <w:sz w:val="30"/>
          <w:szCs w:val="30"/>
        </w:rPr>
        <w:t>21050</w:t>
      </w:r>
      <w:r>
        <w:rPr>
          <w:rFonts w:hint="eastAsia" w:ascii="仿宋_GB2312" w:hAnsi="微软雅黑" w:eastAsia="仿宋_GB2312" w:cs="仿宋_GB2312"/>
          <w:i w:val="0"/>
          <w:caps w:val="0"/>
          <w:color w:val="000000"/>
          <w:spacing w:val="0"/>
          <w:sz w:val="30"/>
          <w:szCs w:val="30"/>
        </w:rPr>
        <w:t>元；政府采购工程支出0元；政府采购服务支出</w:t>
      </w:r>
      <w:r>
        <w:rPr>
          <w:rFonts w:hint="eastAsia" w:ascii="仿宋" w:hAnsi="仿宋" w:eastAsia="仿宋" w:cs="仿宋"/>
          <w:i w:val="0"/>
          <w:caps w:val="0"/>
          <w:color w:val="000000"/>
          <w:spacing w:val="0"/>
          <w:sz w:val="30"/>
          <w:szCs w:val="30"/>
        </w:rPr>
        <w:t>7512660</w:t>
      </w:r>
      <w:r>
        <w:rPr>
          <w:rFonts w:hint="eastAsia" w:ascii="仿宋_GB2312" w:hAnsi="微软雅黑" w:eastAsia="仿宋_GB2312" w:cs="仿宋_GB2312"/>
          <w:i w:val="0"/>
          <w:caps w:val="0"/>
          <w:color w:val="000000"/>
          <w:spacing w:val="0"/>
          <w:sz w:val="30"/>
          <w:szCs w:val="30"/>
        </w:rPr>
        <w:t>元。授予中小企业合同金额3423180元，占政府采购支出总额的45.44%。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rPr>
      </w:pPr>
      <w:r>
        <w:rPr>
          <w:rFonts w:hint="eastAsia" w:ascii="黑体" w:hAnsi="宋体" w:eastAsia="黑体" w:cs="黑体"/>
          <w:i w:val="0"/>
          <w:caps w:val="0"/>
          <w:color w:val="000000"/>
          <w:spacing w:val="0"/>
          <w:sz w:val="30"/>
          <w:szCs w:val="30"/>
        </w:rPr>
        <w:t>四、绩效自评情况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rPr>
      </w:pPr>
      <w:r>
        <w:rPr>
          <w:rFonts w:hint="eastAsia" w:ascii="仿宋_GB2312" w:hAnsi="微软雅黑" w:eastAsia="仿宋_GB2312" w:cs="仿宋_GB2312"/>
          <w:i w:val="0"/>
          <w:caps w:val="0"/>
          <w:color w:val="000000"/>
          <w:spacing w:val="0"/>
          <w:sz w:val="30"/>
          <w:szCs w:val="30"/>
        </w:rPr>
        <w:t>部门绩效自评情况详见附表。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rPr>
      </w:pPr>
      <w:r>
        <w:rPr>
          <w:rFonts w:hint="eastAsia" w:ascii="黑体" w:hAnsi="宋体" w:eastAsia="黑体" w:cs="黑体"/>
          <w:i w:val="0"/>
          <w:caps w:val="0"/>
          <w:color w:val="000000"/>
          <w:spacing w:val="0"/>
          <w:sz w:val="30"/>
          <w:szCs w:val="30"/>
        </w:rPr>
        <w:t>五、其他重要事项情况说明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rPr>
      </w:pPr>
      <w:r>
        <w:rPr>
          <w:rFonts w:hint="eastAsia" w:ascii="仿宋_GB2312" w:hAnsi="微软雅黑" w:eastAsia="仿宋_GB2312" w:cs="仿宋_GB2312"/>
          <w:i w:val="0"/>
          <w:caps w:val="0"/>
          <w:color w:val="000000"/>
          <w:spacing w:val="0"/>
          <w:sz w:val="30"/>
          <w:szCs w:val="30"/>
        </w:rPr>
        <w:t>无其他重要情况需说明。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rPr>
      </w:pPr>
      <w:r>
        <w:rPr>
          <w:rFonts w:hint="eastAsia" w:ascii="黑体" w:hAnsi="宋体" w:eastAsia="黑体" w:cs="黑体"/>
          <w:i w:val="0"/>
          <w:caps w:val="0"/>
          <w:color w:val="000000"/>
          <w:spacing w:val="0"/>
          <w:sz w:val="30"/>
          <w:szCs w:val="30"/>
        </w:rPr>
        <w:t>六、相关口径说明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rPr>
      </w:pPr>
      <w:r>
        <w:rPr>
          <w:rFonts w:hint="eastAsia" w:ascii="仿宋_GB2312" w:hAnsi="微软雅黑" w:eastAsia="仿宋_GB2312" w:cs="仿宋_GB2312"/>
          <w:i w:val="0"/>
          <w:caps w:val="0"/>
          <w:color w:val="000000"/>
          <w:spacing w:val="0"/>
          <w:sz w:val="30"/>
          <w:szCs w:val="30"/>
        </w:rPr>
        <w:t>（一）基本支出中人员经费包括工资福利支出和对个人和家庭的补助，公用经费包括商品和服务支出、资本性支出等人员经费以外的支出。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rPr>
      </w:pPr>
      <w:r>
        <w:rPr>
          <w:rFonts w:hint="eastAsia" w:ascii="仿宋_GB2312" w:hAnsi="微软雅黑" w:eastAsia="仿宋_GB2312" w:cs="仿宋_GB2312"/>
          <w:i w:val="0"/>
          <w:caps w:val="0"/>
          <w:color w:val="000000"/>
          <w:spacing w:val="0"/>
          <w:sz w:val="30"/>
          <w:szCs w:val="30"/>
        </w:rPr>
        <w:t>（二）机关运行经费指行政单位和参照公务员法管理的事业单位使用一般公共预算财政拨款安排的基本支出中的公用经费支出。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rPr>
      </w:pPr>
      <w:r>
        <w:rPr>
          <w:rFonts w:hint="eastAsia" w:ascii="仿宋_GB2312" w:hAnsi="微软雅黑" w:eastAsia="仿宋_GB2312" w:cs="仿宋_GB2312"/>
          <w:i w:val="0"/>
          <w:caps w:val="0"/>
          <w:color w:val="000000"/>
          <w:spacing w:val="0"/>
          <w:sz w:val="30"/>
          <w:szCs w:val="30"/>
        </w:rPr>
        <w:t>（三）按照党中央、国务院有关文件及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rPr>
      </w:pPr>
      <w:r>
        <w:rPr>
          <w:rFonts w:hint="eastAsia" w:ascii="仿宋_GB2312" w:hAnsi="微软雅黑" w:eastAsia="仿宋_GB2312" w:cs="仿宋_GB2312"/>
          <w:i w:val="0"/>
          <w:caps w:val="0"/>
          <w:color w:val="000000"/>
          <w:spacing w:val="0"/>
          <w:sz w:val="30"/>
          <w:szCs w:val="30"/>
        </w:rPr>
        <w:t>（四）“三公”经费决算数是指各（含下属单位）当年通过本级财政拨款和以前年度财政拨款结转结余资金安排的因公出国（境）费、公务用车购置及运行维护费和公务接待费支出数（包括基本支出和项目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center"/>
        <w:rPr>
          <w:rFonts w:hint="eastAsia" w:ascii="微软雅黑" w:hAnsi="微软雅黑" w:eastAsia="微软雅黑" w:cs="微软雅黑"/>
          <w:i w:val="0"/>
          <w:caps w:val="0"/>
          <w:color w:val="000000"/>
          <w:spacing w:val="0"/>
          <w:sz w:val="32"/>
          <w:szCs w:val="32"/>
        </w:rPr>
      </w:pPr>
      <w:r>
        <w:rPr>
          <w:rFonts w:hint="eastAsia" w:ascii="黑体" w:hAnsi="宋体" w:eastAsia="黑体" w:cs="黑体"/>
          <w:i w:val="0"/>
          <w:caps w:val="0"/>
          <w:color w:val="000000"/>
          <w:spacing w:val="0"/>
          <w:sz w:val="32"/>
          <w:szCs w:val="32"/>
        </w:rPr>
        <w:t>第五部分  名词解释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rPr>
      </w:pPr>
      <w:r>
        <w:rPr>
          <w:rFonts w:hint="eastAsia" w:ascii="仿宋_GB2312" w:hAnsi="微软雅黑" w:eastAsia="仿宋_GB2312" w:cs="仿宋_GB2312"/>
          <w:i w:val="0"/>
          <w:caps w:val="0"/>
          <w:color w:val="000000"/>
          <w:spacing w:val="0"/>
          <w:sz w:val="30"/>
          <w:szCs w:val="30"/>
        </w:rPr>
        <w:t>决算：各依据国家有关法律法规规定及其履行职能情况编制，反映所有预算收支和结余执行结果及绩效等情况的综合性年度报告，是改进预算执行以及编制后续年度预算的参考和依据。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2" w:lineRule="atLeast"/>
        <w:ind w:left="0" w:right="0" w:firstLine="0"/>
        <w:jc w:val="both"/>
        <w:rPr>
          <w:rFonts w:hint="eastAsia" w:ascii="微软雅黑" w:hAnsi="微软雅黑" w:eastAsia="微软雅黑" w:cs="微软雅黑"/>
          <w:i w:val="0"/>
          <w:caps w:val="0"/>
          <w:color w:val="000000"/>
          <w:spacing w:val="0"/>
          <w:sz w:val="21"/>
          <w:szCs w:val="21"/>
        </w:rPr>
      </w:pPr>
      <w:r>
        <w:rPr>
          <w:rFonts w:hint="default" w:ascii="Calibri" w:hAnsi="Calibri" w:eastAsia="微软雅黑" w:cs="Calibri"/>
          <w:i w:val="0"/>
          <w:caps w:val="0"/>
          <w:color w:val="000000"/>
          <w:spacing w:val="0"/>
          <w:sz w:val="18"/>
          <w:szCs w:val="18"/>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414" w:lineRule="atLeast"/>
        <w:ind w:left="0" w:right="0" w:firstLine="0"/>
        <w:jc w:val="both"/>
        <w:rPr>
          <w:rFonts w:hint="eastAsia" w:ascii="微软雅黑" w:hAnsi="微软雅黑" w:eastAsia="微软雅黑" w:cs="微软雅黑"/>
          <w:i w:val="0"/>
          <w:caps w:val="0"/>
          <w:color w:val="000000"/>
          <w:spacing w:val="0"/>
          <w:sz w:val="36"/>
          <w:szCs w:val="36"/>
        </w:rPr>
      </w:pPr>
      <w:r>
        <w:rPr>
          <w:rFonts w:hint="default" w:ascii="Arial" w:hAnsi="Arial" w:eastAsia="微软雅黑" w:cs="Arial"/>
          <w:b/>
          <w:i w:val="0"/>
          <w:caps w:val="0"/>
          <w:color w:val="000000"/>
          <w:spacing w:val="0"/>
          <w:sz w:val="18"/>
          <w:szCs w:val="18"/>
        </w:rPr>
        <w:t>监督索引号53010303200400101111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07" w:lineRule="atLeast"/>
        <w:ind w:left="0" w:right="0"/>
        <w:rPr>
          <w:sz w:val="18"/>
          <w:szCs w:val="18"/>
        </w:rPr>
      </w:pPr>
      <w:r>
        <w:rPr>
          <w:rFonts w:hint="eastAsia" w:ascii="微软雅黑" w:hAnsi="微软雅黑" w:eastAsia="微软雅黑" w:cs="微软雅黑"/>
          <w:i w:val="0"/>
          <w:caps w:val="0"/>
          <w:color w:val="000000"/>
          <w:spacing w:val="0"/>
          <w:sz w:val="18"/>
          <w:szCs w:val="18"/>
        </w:rPr>
        <w:fldChar w:fldCharType="begin"/>
      </w:r>
      <w:r>
        <w:rPr>
          <w:rFonts w:hint="eastAsia" w:ascii="微软雅黑" w:hAnsi="微软雅黑" w:eastAsia="微软雅黑" w:cs="微软雅黑"/>
          <w:i w:val="0"/>
          <w:caps w:val="0"/>
          <w:color w:val="000000"/>
          <w:spacing w:val="0"/>
          <w:sz w:val="18"/>
          <w:szCs w:val="18"/>
        </w:rPr>
        <w:instrText xml:space="preserve">INCLUDEPICTURE \d "https://czt.yn.gov.cn/yjsgk/PbWeb/Admin/DepManage/PublicFiles/530103/14369d03-267f-45b4-b11a-45a2c1a236c7/%E6%98%86%E6%98%8E%E5%B8%82%E7%9B%98%E9%BE%99%E5%8C%BA%E4%BD%8F%E6%88%BF%E5%92%8C%E5%9F%8E%E4%B9%A1%E5%BB%BA%E8%AE%BE%E5%B1%802022%E5%B9%B4%E5%BA%A6%E5%86%B3%E7%AE%9720231020031328807.001.png" \* MERGEFORMATINET </w:instrText>
      </w:r>
      <w:r>
        <w:rPr>
          <w:rFonts w:hint="eastAsia" w:ascii="微软雅黑" w:hAnsi="微软雅黑" w:eastAsia="微软雅黑" w:cs="微软雅黑"/>
          <w:i w:val="0"/>
          <w:caps w:val="0"/>
          <w:color w:val="000000"/>
          <w:spacing w:val="0"/>
          <w:sz w:val="18"/>
          <w:szCs w:val="18"/>
        </w:rPr>
        <w:fldChar w:fldCharType="separate"/>
      </w:r>
      <w:r>
        <w:rPr>
          <w:rFonts w:hint="eastAsia" w:ascii="微软雅黑" w:hAnsi="微软雅黑" w:eastAsia="微软雅黑" w:cs="微软雅黑"/>
          <w:i w:val="0"/>
          <w:caps w:val="0"/>
          <w:color w:val="000000"/>
          <w:spacing w:val="0"/>
          <w:sz w:val="18"/>
          <w:szCs w:val="18"/>
        </w:rPr>
        <w:drawing>
          <wp:inline distT="0" distB="0" distL="114300" distR="114300">
            <wp:extent cx="295275" cy="40005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295275" cy="400050"/>
                    </a:xfrm>
                    <a:prstGeom prst="rect">
                      <a:avLst/>
                    </a:prstGeom>
                    <a:noFill/>
                    <a:ln w="9525">
                      <a:noFill/>
                    </a:ln>
                  </pic:spPr>
                </pic:pic>
              </a:graphicData>
            </a:graphic>
          </wp:inline>
        </w:drawing>
      </w:r>
      <w:r>
        <w:rPr>
          <w:rFonts w:hint="eastAsia" w:ascii="微软雅黑" w:hAnsi="微软雅黑" w:eastAsia="微软雅黑" w:cs="微软雅黑"/>
          <w:i w:val="0"/>
          <w:caps w:val="0"/>
          <w:color w:val="000000"/>
          <w:spacing w:val="0"/>
          <w:sz w:val="18"/>
          <w:szCs w:val="18"/>
        </w:rPr>
        <w:fldChar w:fldCharType="end"/>
      </w:r>
      <w:r>
        <w:rPr>
          <w:rFonts w:hint="default" w:ascii="Calibri" w:hAnsi="Calibri" w:eastAsia="微软雅黑" w:cs="Calibri"/>
          <w:i w:val="0"/>
          <w:caps w:val="0"/>
          <w:color w:val="000000"/>
          <w:spacing w:val="0"/>
          <w:sz w:val="18"/>
          <w:szCs w:val="18"/>
        </w:rPr>
        <w:t>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4BC851"/>
    <w:multiLevelType w:val="singleLevel"/>
    <w:tmpl w:val="654BC851"/>
    <w:lvl w:ilvl="0" w:tentative="0">
      <w:start w:val="2"/>
      <w:numFmt w:val="chineseCounting"/>
      <w:suff w:val="nothing"/>
      <w:lvlText w:val="（%1）"/>
      <w:lvlJc w:val="left"/>
    </w:lvl>
  </w:abstractNum>
  <w:abstractNum w:abstractNumId="1">
    <w:nsid w:val="654BC869"/>
    <w:multiLevelType w:val="singleLevel"/>
    <w:tmpl w:val="654BC869"/>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7F3320"/>
    <w:rsid w:val="2C245507"/>
    <w:rsid w:val="2F0709EF"/>
    <w:rsid w:val="30B827E7"/>
    <w:rsid w:val="3B7F3320"/>
    <w:rsid w:val="4C276C8B"/>
    <w:rsid w:val="767B5C1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Pages>
  <Words>0</Words>
  <Characters>0</Characters>
  <Lines>0</Lines>
  <Paragraphs>0</Paragraphs>
  <ScaleCrop>false</ScaleCrop>
  <LinksUpToDate>false</LinksUpToDate>
  <CharactersWithSpaces>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2023-10-20T07:14:00Z</dcterms:created>
  <dc:creator>Administrator</dc:creator>
  <cp:lastModifiedBy>Administrator</cp:lastModifiedBy>
  <dcterms:modified xsi:type="dcterms:W3CDTF">2023-11-08T16:54:24Z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