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hint="eastAsia" w:ascii="微软雅黑" w:hAnsi="微软雅黑" w:eastAsia="微软雅黑" w:cs="微软雅黑"/>
          <w:i w:val="0"/>
          <w:iCs w:val="0"/>
          <w:caps w:val="0"/>
          <w:color w:val="000000"/>
          <w:spacing w:val="0"/>
          <w:sz w:val="36"/>
          <w:szCs w:val="36"/>
        </w:rPr>
      </w:pPr>
      <w:r>
        <w:rPr>
          <w:rFonts w:ascii="Arial" w:hAnsi="Arial" w:eastAsia="微软雅黑" w:cs="Arial"/>
          <w:b/>
          <w:bCs/>
          <w:i w:val="0"/>
          <w:iCs w:val="0"/>
          <w:caps w:val="0"/>
          <w:color w:val="000000"/>
          <w:spacing w:val="0"/>
          <w:sz w:val="18"/>
          <w:szCs w:val="18"/>
        </w:rPr>
        <w:t>监督索引号53010303200400000</w:t>
      </w:r>
    </w:p>
    <w:p>
      <w:pPr>
        <w:pStyle w:val="2"/>
        <w:ind w:left="0" w:leftChars="0" w:firstLine="0" w:firstLineChars="0"/>
        <w:rPr>
          <w:rFonts w:hint="eastAsia" w:eastAsia="等线"/>
          <w:lang w:eastAsia="zh-CN"/>
        </w:rPr>
      </w:pPr>
      <w:r>
        <w:rPr>
          <w:rFonts w:hint="eastAsia" w:ascii="Arial" w:hAnsi="Arial" w:eastAsia="宋体" w:cs="Arial"/>
          <w:b/>
          <w:bCs/>
          <w:i w:val="0"/>
          <w:iCs w:val="0"/>
          <w:caps w:val="0"/>
          <w:color w:val="000000"/>
          <w:spacing w:val="0"/>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昆明市盘龙区住房和城乡建设局2023年预算公开目录</w:t>
      </w:r>
    </w:p>
    <w:p>
      <w:pPr>
        <w:pStyle w:val="3"/>
        <w:rPr>
          <w:rFonts w:hint="eastAsia"/>
        </w:rPr>
      </w:pP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lang w:val="en-US" w:eastAsia="zh-CN"/>
        </w:rPr>
        <w:t xml:space="preserve"> 昆明市</w:t>
      </w:r>
      <w:r>
        <w:rPr>
          <w:rFonts w:hint="eastAsia" w:ascii="黑体" w:hAnsi="黑体" w:eastAsia="黑体"/>
          <w:sz w:val="32"/>
          <w:szCs w:val="32"/>
        </w:rPr>
        <w:t>盘龙区</w:t>
      </w:r>
      <w:r>
        <w:rPr>
          <w:rFonts w:hint="eastAsia" w:ascii="黑体" w:hAnsi="黑体" w:eastAsia="黑体"/>
          <w:sz w:val="32"/>
          <w:szCs w:val="32"/>
          <w:lang w:eastAsia="zh-CN"/>
        </w:rPr>
        <w:t>住房和城乡建设局</w:t>
      </w:r>
      <w:r>
        <w:rPr>
          <w:rFonts w:hint="eastAsia" w:ascii="黑体" w:hAnsi="黑体" w:eastAsia="黑体"/>
          <w:sz w:val="32"/>
          <w:szCs w:val="32"/>
          <w:lang w:val="en-US" w:eastAsia="zh-CN"/>
        </w:rPr>
        <w:t xml:space="preserve"> </w:t>
      </w:r>
      <w:r>
        <w:rPr>
          <w:rFonts w:hint="eastAsia" w:ascii="黑体" w:hAnsi="黑体" w:eastAsia="黑体"/>
          <w:sz w:val="32"/>
          <w:szCs w:val="32"/>
          <w:lang w:eastAsia="zh-CN"/>
        </w:rPr>
        <w:t>2023</w:t>
      </w:r>
      <w:r>
        <w:rPr>
          <w:rFonts w:hint="eastAsia" w:ascii="黑体" w:hAnsi="黑体" w:eastAsia="黑体"/>
          <w:sz w:val="32"/>
          <w:szCs w:val="32"/>
        </w:rPr>
        <w:t>年部门预算编制说明</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一、基本职能及主要工作</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二、预算单位基本情况</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三、预算单位收入情况</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rPr>
        <w:t>预算单位支出情况</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对下专项转移支付情况</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六、</w:t>
      </w:r>
      <w:r>
        <w:rPr>
          <w:rFonts w:hint="eastAsia" w:ascii="仿宋_GB2312" w:hAnsi="仿宋_GB2312" w:eastAsia="仿宋_GB2312" w:cs="仿宋_GB2312"/>
          <w:kern w:val="0"/>
          <w:sz w:val="32"/>
          <w:szCs w:val="32"/>
        </w:rPr>
        <w:t>政府采购预算情况</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七、部门“三公”经费增减变化情况及原因说明</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八、重点项目预算绩效目标情况</w:t>
      </w:r>
    </w:p>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黑体" w:hAnsi="黑体" w:eastAsia="黑体"/>
          <w:sz w:val="32"/>
          <w:szCs w:val="32"/>
        </w:rPr>
      </w:pPr>
      <w:r>
        <w:rPr>
          <w:rFonts w:hint="eastAsia" w:ascii="仿宋_GB2312" w:hAnsi="仿宋_GB2312" w:eastAsia="仿宋_GB2312" w:cs="仿宋_GB2312"/>
          <w:kern w:val="0"/>
          <w:sz w:val="32"/>
          <w:szCs w:val="32"/>
        </w:rPr>
        <w:t>九、其他公开信息</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昆明市</w:t>
      </w:r>
      <w:r>
        <w:rPr>
          <w:rFonts w:hint="eastAsia" w:ascii="黑体" w:hAnsi="黑体" w:eastAsia="黑体"/>
          <w:sz w:val="32"/>
          <w:szCs w:val="32"/>
        </w:rPr>
        <w:t>盘龙区</w:t>
      </w:r>
      <w:r>
        <w:rPr>
          <w:rFonts w:hint="eastAsia" w:ascii="黑体" w:hAnsi="黑体" w:eastAsia="黑体"/>
          <w:sz w:val="32"/>
          <w:szCs w:val="32"/>
          <w:lang w:eastAsia="zh-CN"/>
        </w:rPr>
        <w:t>住房和城乡建设局2023</w:t>
      </w:r>
      <w:r>
        <w:rPr>
          <w:rFonts w:hint="eastAsia" w:ascii="黑体" w:hAnsi="黑体" w:eastAsia="黑体"/>
          <w:sz w:val="32"/>
          <w:szCs w:val="32"/>
        </w:rPr>
        <w:t>年部门预算表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一、</w:t>
      </w:r>
      <w:r>
        <w:rPr>
          <w:rFonts w:hint="eastAsia" w:ascii="Times New Roman" w:hAnsi="Times New Roman" w:eastAsia="仿宋_GB2312"/>
          <w:sz w:val="32"/>
          <w:szCs w:val="32"/>
          <w:lang w:eastAsia="zh-CN"/>
        </w:rPr>
        <w:t>财务收支预算总表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二、部门收入</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三、部门支出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四、财政拨款收支</w:t>
      </w:r>
      <w:r>
        <w:rPr>
          <w:rFonts w:hint="eastAsia" w:ascii="Times New Roman" w:hAnsi="Times New Roman" w:eastAsia="仿宋_GB2312"/>
          <w:sz w:val="32"/>
          <w:szCs w:val="32"/>
          <w:lang w:eastAsia="zh-CN"/>
        </w:rPr>
        <w:t>预算总</w:t>
      </w:r>
      <w:r>
        <w:rPr>
          <w:rFonts w:hint="eastAsia" w:ascii="Times New Roman" w:hAnsi="Times New Roman" w:eastAsia="仿宋_GB2312"/>
          <w:sz w:val="32"/>
          <w:szCs w:val="32"/>
        </w:rPr>
        <w:t>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rPr>
        <w:t>五、一般公共预算支出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r>
        <w:rPr>
          <w:rFonts w:hint="eastAsia" w:ascii="Times New Roman" w:hAnsi="Times New Roman" w:eastAsia="仿宋_GB2312"/>
          <w:sz w:val="32"/>
          <w:szCs w:val="32"/>
          <w:lang w:eastAsia="zh-CN"/>
        </w:rPr>
        <w:t>（按功能科目分类）</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六、一般公共预算“三公”经费支出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七、</w:t>
      </w:r>
      <w:r>
        <w:rPr>
          <w:rFonts w:hint="eastAsia" w:ascii="Times New Roman" w:hAnsi="Times New Roman" w:eastAsia="仿宋_GB2312"/>
          <w:sz w:val="32"/>
          <w:szCs w:val="32"/>
        </w:rPr>
        <w:t>基本支出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r>
        <w:rPr>
          <w:rFonts w:hint="eastAsia" w:ascii="Times New Roman" w:hAnsi="Times New Roman" w:eastAsia="仿宋_GB2312"/>
          <w:sz w:val="32"/>
          <w:szCs w:val="32"/>
          <w:lang w:eastAsia="zh-CN"/>
        </w:rPr>
        <w:t>（人员类、运转类公用经费项目）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八</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项目支出预算表（其他运转类、特定目标类项目）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lang w:eastAsia="zh-CN"/>
        </w:rPr>
        <w:t>九</w:t>
      </w:r>
      <w:r>
        <w:rPr>
          <w:rFonts w:hint="eastAsia" w:ascii="Times New Roman" w:hAnsi="Times New Roman" w:eastAsia="仿宋_GB2312"/>
          <w:sz w:val="32"/>
          <w:szCs w:val="32"/>
        </w:rPr>
        <w:t>、项目支出绩效目标表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十、政府性基金预算支出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十</w:t>
      </w:r>
      <w:r>
        <w:rPr>
          <w:rFonts w:hint="eastAsia" w:ascii="Times New Roman" w:hAnsi="Times New Roman" w:eastAsia="仿宋_GB2312"/>
          <w:sz w:val="32"/>
          <w:szCs w:val="32"/>
          <w:lang w:eastAsia="zh-CN"/>
        </w:rPr>
        <w:t>一</w:t>
      </w:r>
      <w:r>
        <w:rPr>
          <w:rFonts w:hint="eastAsia" w:ascii="Times New Roman" w:hAnsi="Times New Roman" w:eastAsia="仿宋_GB2312"/>
          <w:sz w:val="32"/>
          <w:szCs w:val="32"/>
        </w:rPr>
        <w:t>、部门政府采购</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十</w:t>
      </w:r>
      <w:r>
        <w:rPr>
          <w:rFonts w:hint="eastAsia" w:ascii="Times New Roman" w:hAnsi="Times New Roman" w:eastAsia="仿宋_GB2312"/>
          <w:sz w:val="32"/>
          <w:szCs w:val="32"/>
          <w:lang w:eastAsia="zh-CN"/>
        </w:rPr>
        <w:t>二、政府购买服务预算表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十三</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区对下转移支付预算表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十</w:t>
      </w:r>
      <w:r>
        <w:rPr>
          <w:rFonts w:hint="eastAsia" w:ascii="Times New Roman" w:hAnsi="Times New Roman" w:eastAsia="仿宋_GB2312"/>
          <w:sz w:val="32"/>
          <w:szCs w:val="32"/>
          <w:lang w:eastAsia="zh-CN"/>
        </w:rPr>
        <w:t>四</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区</w:t>
      </w:r>
      <w:r>
        <w:rPr>
          <w:rFonts w:hint="eastAsia" w:ascii="Times New Roman" w:hAnsi="Times New Roman" w:eastAsia="仿宋_GB2312"/>
          <w:sz w:val="32"/>
          <w:szCs w:val="32"/>
        </w:rPr>
        <w:t>对下转移支付绩效目标表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十五、新增资产配置表</w:t>
      </w:r>
    </w:p>
    <w:p>
      <w:pPr>
        <w:spacing w:line="570" w:lineRule="exact"/>
        <w:jc w:val="left"/>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十六、上级补助项目支出预算表</w:t>
      </w:r>
    </w:p>
    <w:p>
      <w:pPr>
        <w:pStyle w:val="3"/>
        <w:rPr>
          <w:rFonts w:hint="eastAsia"/>
          <w:highlight w:val="none"/>
          <w:lang w:eastAsia="zh-CN"/>
        </w:rPr>
      </w:pPr>
      <w:r>
        <w:rPr>
          <w:rFonts w:hint="eastAsia" w:ascii="Times New Roman" w:hAnsi="Times New Roman" w:eastAsia="仿宋_GB2312"/>
          <w:sz w:val="32"/>
          <w:szCs w:val="32"/>
          <w:highlight w:val="none"/>
        </w:rPr>
        <w:t>十七、部门项目中期规划预算表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0"/>
          <w:szCs w:val="30"/>
        </w:rPr>
      </w:pPr>
    </w:p>
    <w:p>
      <w:pPr>
        <w:pStyle w:val="3"/>
        <w:rPr>
          <w:rFonts w:hint="eastAsia" w:ascii="Times New Roman" w:hAnsi="Times New Roman" w:eastAsia="仿宋_GB2312"/>
          <w:sz w:val="30"/>
          <w:szCs w:val="30"/>
        </w:rPr>
      </w:pPr>
    </w:p>
    <w:p>
      <w:pPr>
        <w:pStyle w:val="3"/>
        <w:rPr>
          <w:rFonts w:hint="eastAsia" w:ascii="Times New Roman" w:hAnsi="Times New Roman" w:eastAsia="仿宋_GB2312"/>
          <w:sz w:val="30"/>
          <w:szCs w:val="30"/>
        </w:rPr>
      </w:pPr>
    </w:p>
    <w:p>
      <w:pPr>
        <w:pStyle w:val="3"/>
        <w:rPr>
          <w:rFonts w:hint="eastAsia" w:ascii="Times New Roman" w:hAnsi="Times New Roman" w:eastAsia="仿宋_GB2312"/>
          <w:sz w:val="30"/>
          <w:szCs w:val="30"/>
        </w:rPr>
      </w:pPr>
    </w:p>
    <w:p>
      <w:pPr>
        <w:pStyle w:val="3"/>
        <w:rPr>
          <w:rFonts w:hint="eastAsia" w:ascii="Times New Roman" w:hAnsi="Times New Roman" w:eastAsia="仿宋_GB2312"/>
          <w:sz w:val="30"/>
          <w:szCs w:val="30"/>
        </w:rPr>
      </w:pPr>
    </w:p>
    <w:p>
      <w:pPr>
        <w:pStyle w:val="3"/>
        <w:rPr>
          <w:rFonts w:hint="eastAsia" w:ascii="Times New Roman" w:hAnsi="Times New Roman" w:eastAsia="仿宋_GB2312"/>
          <w:sz w:val="30"/>
          <w:szCs w:val="30"/>
        </w:rPr>
      </w:pPr>
    </w:p>
    <w:p>
      <w:pPr>
        <w:pStyle w:val="3"/>
        <w:rPr>
          <w:rFonts w:hint="eastAsia" w:ascii="Times New Roman" w:hAnsi="Times New Roman" w:eastAsia="仿宋_GB2312"/>
          <w:sz w:val="30"/>
          <w:szCs w:val="30"/>
        </w:rPr>
      </w:pPr>
    </w:p>
    <w:p>
      <w:pPr>
        <w:pStyle w:val="3"/>
        <w:rPr>
          <w:rFonts w:hint="eastAsia" w:ascii="Times New Roman" w:hAnsi="Times New Roman" w:eastAsia="仿宋_GB2312"/>
          <w:sz w:val="30"/>
          <w:szCs w:val="30"/>
        </w:rPr>
      </w:pPr>
    </w:p>
    <w:p>
      <w:pPr>
        <w:pStyle w:val="3"/>
        <w:jc w:val="center"/>
        <w:rPr>
          <w:rFonts w:hint="eastAsia" w:ascii="方正小标宋简体" w:eastAsia="方正小标宋简体"/>
          <w:kern w:val="0"/>
          <w:sz w:val="44"/>
          <w:szCs w:val="44"/>
          <w:lang w:val="en-US" w:eastAsia="zh-CN" w:bidi="ar-SA"/>
        </w:rPr>
      </w:pPr>
      <w:r>
        <w:rPr>
          <w:rFonts w:hint="eastAsia" w:ascii="方正小标宋简体" w:eastAsia="方正小标宋简体"/>
          <w:kern w:val="0"/>
          <w:sz w:val="44"/>
          <w:szCs w:val="44"/>
          <w:lang w:val="en-US" w:eastAsia="zh-CN" w:bidi="ar-SA"/>
        </w:rPr>
        <w:t>昆明市盘龙区住房和城乡建设局2023年部门预算编制说明</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3" w:firstLineChars="200"/>
        <w:jc w:val="both"/>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一、基本职能及主要工作</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（一）部门主要职责</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1、负责贯彻执行国家、省、市有关住房和城乡建设、人民防空的法律、法规、规章及方针政策，拟订全区住房和城乡建设中长期发展规划、年度建设计划，并组织实施。</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2、负责审批权限范围内的城市建设计划、初步设计审查、施工许可及工程竣工验收备案。</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3、负责审批权限范围内的建设工程消防设计审查、消防验收、备案和抽查。</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4、负责工程建设项目的质量监督及本行业领域的安全生产监管；负责建筑施工企业安全生产许可证核发、延期审查和批后管理；负责建设工程标准化和造价管理工作，参与编制建筑经济定额。</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5、负责贯彻执行建筑业的行业管理法律、法规及政策，规范建筑市场，推进建筑业发展；在权限范围内负责建筑业企业的资质审查、报批管理。</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6、负责贯彻执行房地产业的行业管理法律、法规及政策，规范房地产市场秩序；负责贯彻执行物业服务行业的法律、法规及政策，指导、监督辖区内各物业服务企业工作；负责贯彻执行房屋租赁行业的地方性法规、规章和规范性文件，指导、监督辖区内各房屋中介机构工作；负责辖区房屋安全管理鉴定工作。</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7、负责辖区内瓶装液化燃气供应站（点）、液化燃气用户的行业管理、安全管理工作；负责对辖区内瓶装液化气供应站（点）操作人员持证上岗情况的监督检查工作。</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8、按照上级业务主管部门的要求承担滇池流域外城镇排水与污水处理职责。</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9、负责政府工程项目的代建监督、指导工作；配合做好建筑和市政工程施工图设计文件审查备案工作；负责主城区城市道路、桥梁（隧道）的路面平整及井盖运行管理（不含其他附属设施），指导、监督、检查日常维护管养工作；负责辖区内城市道路、桥梁占用挖掘的监管，指导辖区内城市规划道路、桥梁（隧道）路面及井盖的管养维护工作。</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10、负责贯彻有关村镇建设的法律、法规及政策，指导辖区内村镇建设、安全及危房改造，负责农村民居通用图的设计及推广；配合做好特色小（城）镇、美丽乡村等创建工作。</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11、负责辖区内建筑工程抗震设防管理及农村民居抗震安全工作；负责建设工程的抗震设防专项审查，协助有关部门做好震后抢险工作；指导和组织震后恢复重建工作。</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12、负责拟订辖区保障性安居工程的发展规划、计划并监督实施；负责指导监督辖区直管公房的维修、抗震加固和改造；承担直管公房房屋租金收取工作；负责直管公房统计年报工作；指导参与辖区住房制度改革工作及住房补贴发放工作；负责私有房产历史遗留问题的核查和政策落实工作。</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13、负责依据城市发展总体规划，平时组织开展人民防空建设，战时组织开展城市人民防空袭斗争。负责人防工程维护管理，负责人防设施拆除迁移审批。</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14、负责贯彻执行国家和省、市、区颁布的工程建设有关消防工程的政策、法律、法规、规范、标准；负责辖区内新建、扩建、改建工程项目的消防工程设计审查、验收和备案。</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15、负责建筑起重机械的安全监督管理。</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16、完成区委、区政府和上级机关交办的其他任务。</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（二）机构设置情况</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住房和城乡建设局（本级）共设置8个内设机构，包括：综合办公室、财务科、城乡建设科、工程建设审批科、物业服务科、企业服务管理科、政策法规科、人民防空综合科；所属事业单位7个，分别是：</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1、昆明市盘龙区市政基础设施建设管理处</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2、盘龙区房屋安全鉴定和建设工程质量安全监督站</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3、昆明市盘龙区廉租住房建设管理处</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4、昆明市盘龙区住房和城乡建设局房管所</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5、昆明市盘龙区防震减灾局</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6、昆明市盘龙区保障性住房管理服务中心</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7、昆明市盘龙区建设工程定额站</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（三）重点工作概述</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lang w:val="en-US" w:eastAsia="zh-CN"/>
        </w:rPr>
        <w:t>进一步推进城市基础设施品质提升。一是做好项目前期规划，积极推进国博大道、国博西路等项目前期手续办理；继续做好建设项目造价控制及预决算编制审查，推进盘龙区道路综合整治提升及路网改造工程政府和社会资本合作（PPP）项目清算工作。二是有序推进项目建设，确保续建的国博西路、国博东路等项目在2023年内完工；逐步细化昆曲入城段下匝道等项目规划设计方案，加快推进人行天桥、茨坝片区等项目的前期工作。三是加强城市基础设施领域的物联网技术应用，建立权属设施的信息化监测、管理系统，与市网格化系统实现数据实时共享。</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2、</w:t>
      </w:r>
      <w:r>
        <w:rPr>
          <w:rFonts w:hint="default" w:ascii="Times New Roman" w:hAnsi="Times New Roman" w:eastAsia="仿宋_GB2312" w:cs="Times New Roman"/>
          <w:kern w:val="0"/>
          <w:sz w:val="32"/>
          <w:szCs w:val="32"/>
          <w:highlight w:val="none"/>
          <w:lang w:val="en-US" w:eastAsia="zh-CN"/>
        </w:rPr>
        <w:t>进一步优化审批制度提升营商环境。一是结合盘龙区情，加快通过工程制度改革联席制度，形成盘龙区特色的简化审批流程，提高办事效率，增强政策连续性和可执行性。二是持续做好城镇老旧小区改造项目建设手续审批，通过联审联批方式疏通城镇老旧小区改造建设手续问题，加快改造进程。</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3、</w:t>
      </w:r>
      <w:r>
        <w:rPr>
          <w:rFonts w:hint="default" w:ascii="Times New Roman" w:hAnsi="Times New Roman" w:eastAsia="仿宋_GB2312" w:cs="Times New Roman"/>
          <w:kern w:val="0"/>
          <w:sz w:val="32"/>
          <w:szCs w:val="32"/>
          <w:highlight w:val="none"/>
          <w:lang w:val="en-US" w:eastAsia="zh-CN"/>
        </w:rPr>
        <w:t>进一步加大建筑业产值报送力度。一是充分发挥建丰建筑科技有限公司、云南邮电工程有限公司等的行业领头羊的作用，力争建筑业产值稳中有增。二是继续通过营业执照+资质+实地走访方式，增加入库企业的数量，扩大产值报送的“基数”。三是进一步发挥国企“稳定器”、“压舱石”作用，加强与中交（昆明）建设有限公司、云南送变电工程有限公司、云南建投第二建设有限公司等大型国有企业的对接，协调中铁十四局昆明公司进行首次报库。</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4、</w:t>
      </w:r>
      <w:r>
        <w:rPr>
          <w:rFonts w:hint="default" w:ascii="Times New Roman" w:hAnsi="Times New Roman" w:eastAsia="仿宋_GB2312" w:cs="Times New Roman"/>
          <w:kern w:val="0"/>
          <w:sz w:val="32"/>
          <w:szCs w:val="32"/>
          <w:highlight w:val="none"/>
          <w:lang w:val="en-US" w:eastAsia="zh-CN"/>
        </w:rPr>
        <w:t>进一步加大房地产领域风险隐患排查处置力度。一是在今年工作的基础上，持续加强部门联动，完善处置机制，严格落实“3+N”工作化解方案及包保化解稳控“五个一”工作要求，健全与各部门联动机制，确保维稳过程中响应及时、研判到位、责任清晰、处置得当。二是加快“保交楼”推进，进一步提高政治站位、优化资金审批流程，加快项目资金审批速度，持续跟踪、监管项目剩余工程，加强质量安全监督，切实推动项目复工续建。</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5、</w:t>
      </w:r>
      <w:r>
        <w:rPr>
          <w:rFonts w:hint="default" w:ascii="Times New Roman" w:hAnsi="Times New Roman" w:eastAsia="仿宋_GB2312" w:cs="Times New Roman"/>
          <w:kern w:val="0"/>
          <w:sz w:val="32"/>
          <w:szCs w:val="32"/>
          <w:highlight w:val="none"/>
          <w:lang w:val="en-US" w:eastAsia="zh-CN"/>
        </w:rPr>
        <w:t>进一步加大安全生产监管力度。一是深入推进房屋市政工程安全生产治理行动，加大隐患排查力度，着重抓好危大工程、高空作业、临边防护、安全教育培训、违法分包转包、未批先建等监督检查，严厉打击各类违法违规行为。二是继续加强燃气安全监管，深刻汲取事故教训，增强燃气供应站点检查频率，全方位全领域全覆盖开展燃气安全隐患排查整治，确保人民生命财产安全。</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6、</w:t>
      </w:r>
      <w:r>
        <w:rPr>
          <w:rFonts w:hint="default" w:ascii="Times New Roman" w:hAnsi="Times New Roman" w:eastAsia="仿宋_GB2312" w:cs="Times New Roman"/>
          <w:kern w:val="0"/>
          <w:sz w:val="32"/>
          <w:szCs w:val="32"/>
          <w:highlight w:val="none"/>
          <w:lang w:val="en-US" w:eastAsia="zh-CN"/>
        </w:rPr>
        <w:t>进一步加强辖区居民住房保障。一是积极与不动产权登记中心等相关部门对接，推进办理馨悦尚居代建的221套廉租房和福虹家园小区不动产权证办理。二是持续关注保障性住房政策动态，切实监督保障性租赁住房项目计划推进进度，加快供给速度，着力解决青年人和新市民住房问题。三是全力完成我区自建房安全隐患排查整治，同时结合此项工作加强农村自建房存量危房整治，确保住房安全。</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7、</w:t>
      </w:r>
      <w:r>
        <w:rPr>
          <w:rFonts w:hint="default" w:ascii="Times New Roman" w:hAnsi="Times New Roman" w:eastAsia="仿宋_GB2312" w:cs="Times New Roman"/>
          <w:kern w:val="0"/>
          <w:sz w:val="32"/>
          <w:szCs w:val="32"/>
          <w:highlight w:val="none"/>
          <w:lang w:val="en-US" w:eastAsia="zh-CN"/>
        </w:rPr>
        <w:t>进一步提高防震减灾应急处置能力。一是增强监测预报实效，争取在十四五期间配合省地震局建设覆盖盘龙区境内所有街道的地震预警与烈度速报骨干台网。二是提高震害防御能力，持续做好辖区房屋设施抗震设防信息采集的培训、审核、监管工作，为全区地震灾害风险防治提供真实、准确数据支撑。三是提升地震应急救援处置能力，制订、完善和实施2023年地震应急预案；组织开展地震应急演练，深化地震应急救援志愿者队伍建设、组织、培训，提高盘龙区地震灾害应急处置综合能力。</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8、负责辖区内日常道路、桥梁路政巡查工作；承担盘龙区范围内快速路</w:t>
      </w:r>
      <w:r>
        <w:rPr>
          <w:rFonts w:hint="default"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kern w:val="0"/>
          <w:sz w:val="32"/>
          <w:szCs w:val="32"/>
          <w:highlight w:val="none"/>
          <w:lang w:val="en-US" w:eastAsia="zh-CN"/>
        </w:rPr>
        <w:t>条、主干道</w:t>
      </w:r>
      <w:r>
        <w:rPr>
          <w:rFonts w:hint="default" w:ascii="Times New Roman" w:hAnsi="Times New Roman" w:eastAsia="仿宋_GB2312" w:cs="Times New Roman"/>
          <w:kern w:val="0"/>
          <w:sz w:val="32"/>
          <w:szCs w:val="32"/>
          <w:highlight w:val="none"/>
          <w:lang w:val="en-US" w:eastAsia="zh-CN"/>
        </w:rPr>
        <w:t>30</w:t>
      </w:r>
      <w:r>
        <w:rPr>
          <w:rFonts w:hint="eastAsia" w:ascii="Times New Roman" w:hAnsi="Times New Roman" w:eastAsia="仿宋_GB2312" w:cs="Times New Roman"/>
          <w:kern w:val="0"/>
          <w:sz w:val="32"/>
          <w:szCs w:val="32"/>
          <w:highlight w:val="none"/>
          <w:lang w:val="en-US" w:eastAsia="zh-CN"/>
        </w:rPr>
        <w:t>条、次干道</w:t>
      </w:r>
      <w:r>
        <w:rPr>
          <w:rFonts w:hint="default" w:ascii="Times New Roman" w:hAnsi="Times New Roman" w:eastAsia="仿宋_GB2312" w:cs="Times New Roman"/>
          <w:kern w:val="0"/>
          <w:sz w:val="32"/>
          <w:szCs w:val="32"/>
          <w:highlight w:val="none"/>
          <w:lang w:val="en-US" w:eastAsia="zh-CN"/>
        </w:rPr>
        <w:t>55</w:t>
      </w:r>
      <w:r>
        <w:rPr>
          <w:rFonts w:hint="eastAsia" w:ascii="Times New Roman" w:hAnsi="Times New Roman" w:eastAsia="仿宋_GB2312" w:cs="Times New Roman"/>
          <w:kern w:val="0"/>
          <w:sz w:val="32"/>
          <w:szCs w:val="32"/>
          <w:highlight w:val="none"/>
          <w:lang w:val="en-US" w:eastAsia="zh-CN"/>
        </w:rPr>
        <w:t>条、支路</w:t>
      </w:r>
      <w:r>
        <w:rPr>
          <w:rFonts w:hint="default" w:ascii="Times New Roman" w:hAnsi="Times New Roman" w:eastAsia="仿宋_GB2312" w:cs="Times New Roman"/>
          <w:kern w:val="0"/>
          <w:sz w:val="32"/>
          <w:szCs w:val="32"/>
          <w:highlight w:val="none"/>
          <w:lang w:val="en-US" w:eastAsia="zh-CN"/>
        </w:rPr>
        <w:t>121</w:t>
      </w:r>
      <w:r>
        <w:rPr>
          <w:rFonts w:hint="eastAsia" w:ascii="Times New Roman" w:hAnsi="Times New Roman" w:eastAsia="仿宋_GB2312" w:cs="Times New Roman"/>
          <w:kern w:val="0"/>
          <w:sz w:val="32"/>
          <w:szCs w:val="32"/>
          <w:highlight w:val="none"/>
          <w:lang w:val="en-US" w:eastAsia="zh-CN"/>
        </w:rPr>
        <w:t>条、立交桥</w:t>
      </w:r>
      <w:r>
        <w:rPr>
          <w:rFonts w:hint="default" w:ascii="Times New Roman" w:hAnsi="Times New Roman" w:eastAsia="仿宋_GB2312" w:cs="Times New Roman"/>
          <w:kern w:val="0"/>
          <w:sz w:val="32"/>
          <w:szCs w:val="32"/>
          <w:highlight w:val="none"/>
          <w:lang w:val="en-US" w:eastAsia="zh-CN"/>
        </w:rPr>
        <w:t>4</w:t>
      </w:r>
      <w:r>
        <w:rPr>
          <w:rFonts w:hint="eastAsia" w:ascii="Times New Roman" w:hAnsi="Times New Roman" w:eastAsia="仿宋_GB2312" w:cs="Times New Roman"/>
          <w:kern w:val="0"/>
          <w:sz w:val="32"/>
          <w:szCs w:val="32"/>
          <w:highlight w:val="none"/>
          <w:lang w:val="en-US" w:eastAsia="zh-CN"/>
        </w:rPr>
        <w:t>座、人行天桥</w:t>
      </w:r>
      <w:r>
        <w:rPr>
          <w:rFonts w:hint="default" w:ascii="Times New Roman" w:hAnsi="Times New Roman" w:eastAsia="仿宋_GB2312" w:cs="Times New Roman"/>
          <w:kern w:val="0"/>
          <w:sz w:val="32"/>
          <w:szCs w:val="32"/>
          <w:highlight w:val="none"/>
          <w:lang w:val="en-US" w:eastAsia="zh-CN"/>
        </w:rPr>
        <w:t>10</w:t>
      </w:r>
      <w:r>
        <w:rPr>
          <w:rFonts w:hint="eastAsia" w:ascii="Times New Roman" w:hAnsi="Times New Roman" w:eastAsia="仿宋_GB2312" w:cs="Times New Roman"/>
          <w:kern w:val="0"/>
          <w:sz w:val="32"/>
          <w:szCs w:val="32"/>
          <w:highlight w:val="none"/>
          <w:lang w:val="en-US" w:eastAsia="zh-CN"/>
        </w:rPr>
        <w:t>座、一般桥</w:t>
      </w:r>
      <w:r>
        <w:rPr>
          <w:rFonts w:hint="default" w:ascii="Times New Roman" w:hAnsi="Times New Roman" w:eastAsia="仿宋_GB2312" w:cs="Times New Roman"/>
          <w:kern w:val="0"/>
          <w:sz w:val="32"/>
          <w:szCs w:val="32"/>
          <w:highlight w:val="none"/>
          <w:lang w:val="en-US" w:eastAsia="zh-CN"/>
        </w:rPr>
        <w:t>69</w:t>
      </w:r>
      <w:r>
        <w:rPr>
          <w:rFonts w:hint="eastAsia" w:ascii="Times New Roman" w:hAnsi="Times New Roman" w:eastAsia="仿宋_GB2312" w:cs="Times New Roman"/>
          <w:kern w:val="0"/>
          <w:sz w:val="32"/>
          <w:szCs w:val="32"/>
          <w:highlight w:val="none"/>
          <w:lang w:val="en-US" w:eastAsia="zh-CN"/>
        </w:rPr>
        <w:t>座、隧道桥</w:t>
      </w:r>
      <w:r>
        <w:rPr>
          <w:rFonts w:hint="default" w:ascii="Times New Roman" w:hAnsi="Times New Roman" w:eastAsia="仿宋_GB2312" w:cs="Times New Roman"/>
          <w:kern w:val="0"/>
          <w:sz w:val="32"/>
          <w:szCs w:val="32"/>
          <w:highlight w:val="none"/>
          <w:lang w:val="en-US" w:eastAsia="zh-CN"/>
        </w:rPr>
        <w:t>2</w:t>
      </w:r>
      <w:r>
        <w:rPr>
          <w:rFonts w:hint="eastAsia" w:ascii="Times New Roman" w:hAnsi="Times New Roman" w:eastAsia="仿宋_GB2312" w:cs="Times New Roman"/>
          <w:kern w:val="0"/>
          <w:sz w:val="32"/>
          <w:szCs w:val="32"/>
          <w:highlight w:val="none"/>
          <w:lang w:val="en-US" w:eastAsia="zh-CN"/>
        </w:rPr>
        <w:t>座等道路、桥梁的管理维护及桥梁安全检测工作；沣源路龙头街地铁站过街人行天桥、农大西校区沣源路过街人行天桥共</w:t>
      </w:r>
      <w:r>
        <w:rPr>
          <w:rFonts w:hint="default" w:ascii="Times New Roman" w:hAnsi="Times New Roman" w:eastAsia="仿宋_GB2312" w:cs="Times New Roman"/>
          <w:kern w:val="0"/>
          <w:sz w:val="32"/>
          <w:szCs w:val="32"/>
          <w:highlight w:val="none"/>
          <w:lang w:val="en-US" w:eastAsia="zh-CN"/>
        </w:rPr>
        <w:t>4</w:t>
      </w:r>
      <w:r>
        <w:rPr>
          <w:rFonts w:hint="eastAsia" w:ascii="Times New Roman" w:hAnsi="Times New Roman" w:eastAsia="仿宋_GB2312" w:cs="Times New Roman"/>
          <w:kern w:val="0"/>
          <w:sz w:val="32"/>
          <w:szCs w:val="32"/>
          <w:highlight w:val="none"/>
          <w:lang w:val="en-US" w:eastAsia="zh-CN"/>
        </w:rPr>
        <w:t>部电梯的维护工作；以及辖区内道路建设；承担着城市道路、桥梁抢险工作，与人民群众的生产、生活息息相关。</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3" w:firstLineChars="200"/>
        <w:jc w:val="both"/>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二、预算单位基本情况</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我部门编制2023年部门预算单位共2个。其中：财政全额供给单位2个；差额供给单位0个；定额补助单位0个；自收自支单位0个。财政全额供给单位中行政单位1个；参公单位0个；事业单位1个。截止2022年12月统计，部门基本情况如下：</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昆明市盘龙区住房和城乡建设局在职人员编制220人，其中：行政编制12人，工勤人员编制2人，事业编制206人（包括盘龙区廉租租赁住房管理处自收自支编制5人）。在职实有200人，其中： 财政全额保障200人，财政差额补助0人，财政专户资金、单位资金保障0人。</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离退休人员199人，其中： 离休1人，退休198人。</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辆编制10辆，实有车辆10辆（其中8辆为生产用车）。</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3" w:firstLineChars="200"/>
        <w:jc w:val="both"/>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三、预算单位收入情况</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（一）部门财务收入情况</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昆明市盘龙区住房和城乡建设局2023年部门财务总收入为8262.64万元，其中：昆明市盘龙区住房和城乡建设局（本级）2023年部门财务总收入为5685.88万元，昆明市盘龙区市政基础设施建设管理处</w:t>
      </w:r>
      <w:r>
        <w:rPr>
          <w:rFonts w:hint="default" w:ascii="Times New Roman" w:hAnsi="Times New Roman" w:eastAsia="仿宋_GB2312" w:cs="Times New Roman"/>
          <w:kern w:val="0"/>
          <w:sz w:val="32"/>
          <w:szCs w:val="32"/>
          <w:highlight w:val="none"/>
          <w:lang w:val="en-US" w:eastAsia="zh-CN"/>
        </w:rPr>
        <w:t>2023</w:t>
      </w:r>
      <w:r>
        <w:rPr>
          <w:rFonts w:hint="eastAsia" w:ascii="Times New Roman" w:hAnsi="Times New Roman" w:eastAsia="仿宋_GB2312" w:cs="Times New Roman"/>
          <w:kern w:val="0"/>
          <w:sz w:val="32"/>
          <w:szCs w:val="32"/>
          <w:highlight w:val="none"/>
          <w:lang w:val="en-US" w:eastAsia="zh-CN"/>
        </w:rPr>
        <w:t>年部门财务总收入</w:t>
      </w:r>
      <w:r>
        <w:rPr>
          <w:rFonts w:hint="default" w:ascii="Times New Roman" w:hAnsi="Times New Roman" w:eastAsia="仿宋_GB2312" w:cs="Times New Roman"/>
          <w:kern w:val="0"/>
          <w:sz w:val="32"/>
          <w:szCs w:val="32"/>
          <w:highlight w:val="none"/>
          <w:lang w:val="en-US" w:eastAsia="zh-CN"/>
        </w:rPr>
        <w:t>2576.76</w:t>
      </w:r>
      <w:r>
        <w:rPr>
          <w:rFonts w:hint="eastAsia" w:ascii="Times New Roman" w:hAnsi="Times New Roman" w:eastAsia="仿宋_GB2312" w:cs="Times New Roman"/>
          <w:kern w:val="0"/>
          <w:sz w:val="32"/>
          <w:szCs w:val="32"/>
          <w:highlight w:val="none"/>
          <w:lang w:val="en-US" w:eastAsia="zh-CN"/>
        </w:rPr>
        <w:t>万元。</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住房和城乡建设局（本级）2023年部门财务总收入为5685.88万元，其中：一般公共预算收入5685.88万元，政府性基金0万元，国有资本经营收益0万元，财政专户管理资金收入0万元，事业收入0万元，事业单位经营收入0万元，上级补助收入0万元，附属单位上缴收入0万元，其他收入0万元。2022年财务总收入为8126.73万元，全部属于一般公共预算收入。</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与上年对比财务总收入减少2440.85万元，减少的主要原因是本年申请基建项目资金较上年减少,且响应国家过“紧日子”政策，缩减部分项目经费。</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昆明市盘龙区市政基础设施建设管理处</w:t>
      </w:r>
      <w:r>
        <w:rPr>
          <w:rFonts w:hint="default" w:ascii="Times New Roman" w:hAnsi="Times New Roman" w:eastAsia="仿宋_GB2312" w:cs="Times New Roman"/>
          <w:kern w:val="0"/>
          <w:sz w:val="32"/>
          <w:szCs w:val="32"/>
          <w:highlight w:val="none"/>
          <w:lang w:val="en-US" w:eastAsia="zh-CN"/>
        </w:rPr>
        <w:t>2023</w:t>
      </w:r>
      <w:r>
        <w:rPr>
          <w:rFonts w:hint="eastAsia" w:ascii="Times New Roman" w:hAnsi="Times New Roman" w:eastAsia="仿宋_GB2312" w:cs="Times New Roman"/>
          <w:kern w:val="0"/>
          <w:sz w:val="32"/>
          <w:szCs w:val="32"/>
          <w:highlight w:val="none"/>
          <w:lang w:val="en-US" w:eastAsia="zh-CN"/>
        </w:rPr>
        <w:t>年部门财务总收入</w:t>
      </w:r>
      <w:r>
        <w:rPr>
          <w:rFonts w:hint="default" w:ascii="Times New Roman" w:hAnsi="Times New Roman" w:eastAsia="仿宋_GB2312" w:cs="Times New Roman"/>
          <w:kern w:val="0"/>
          <w:sz w:val="32"/>
          <w:szCs w:val="32"/>
          <w:highlight w:val="none"/>
          <w:lang w:val="en-US" w:eastAsia="zh-CN"/>
        </w:rPr>
        <w:t>2,576.76</w:t>
      </w:r>
      <w:r>
        <w:rPr>
          <w:rFonts w:hint="eastAsia" w:ascii="Times New Roman" w:hAnsi="Times New Roman" w:eastAsia="仿宋_GB2312" w:cs="Times New Roman"/>
          <w:kern w:val="0"/>
          <w:sz w:val="32"/>
          <w:szCs w:val="32"/>
          <w:highlight w:val="none"/>
          <w:lang w:val="en-US" w:eastAsia="zh-CN"/>
        </w:rPr>
        <w:t>万元，其中：一般公共预算</w:t>
      </w:r>
      <w:r>
        <w:rPr>
          <w:rFonts w:hint="default" w:ascii="Times New Roman" w:hAnsi="Times New Roman" w:eastAsia="仿宋_GB2312" w:cs="Times New Roman"/>
          <w:kern w:val="0"/>
          <w:sz w:val="32"/>
          <w:szCs w:val="32"/>
          <w:highlight w:val="none"/>
          <w:lang w:val="en-US" w:eastAsia="zh-CN"/>
        </w:rPr>
        <w:t>2,576.76</w:t>
      </w:r>
      <w:r>
        <w:rPr>
          <w:rFonts w:hint="eastAsia" w:ascii="Times New Roman" w:hAnsi="Times New Roman" w:eastAsia="仿宋_GB2312" w:cs="Times New Roman"/>
          <w:kern w:val="0"/>
          <w:sz w:val="32"/>
          <w:szCs w:val="32"/>
          <w:highlight w:val="none"/>
          <w:lang w:val="en-US" w:eastAsia="zh-CN"/>
        </w:rPr>
        <w:t>万元，政府性基金</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万元，国有资本经营收益</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万元，财政专户管理资金收入</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万元，事业收入</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万元，事业单位经营收入</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万元，上级补助收入</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万元，附属单位上缴收入</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万元，其他收入</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与上年对比增加</w:t>
      </w:r>
      <w:r>
        <w:rPr>
          <w:rFonts w:hint="default" w:ascii="Times New Roman" w:hAnsi="Times New Roman" w:eastAsia="仿宋_GB2312" w:cs="Times New Roman"/>
          <w:kern w:val="0"/>
          <w:sz w:val="32"/>
          <w:szCs w:val="32"/>
          <w:highlight w:val="none"/>
          <w:lang w:val="en-US" w:eastAsia="zh-CN"/>
        </w:rPr>
        <w:t>111.61</w:t>
      </w:r>
      <w:r>
        <w:rPr>
          <w:rFonts w:hint="eastAsia" w:ascii="Times New Roman" w:hAnsi="Times New Roman" w:eastAsia="仿宋_GB2312" w:cs="Times New Roman"/>
          <w:kern w:val="0"/>
          <w:sz w:val="32"/>
          <w:szCs w:val="32"/>
          <w:highlight w:val="none"/>
          <w:lang w:val="en-US" w:eastAsia="zh-CN"/>
        </w:rPr>
        <w:t>万元，增长</w:t>
      </w:r>
      <w:r>
        <w:rPr>
          <w:rFonts w:hint="default" w:ascii="Times New Roman" w:hAnsi="Times New Roman" w:eastAsia="仿宋_GB2312" w:cs="Times New Roman"/>
          <w:kern w:val="0"/>
          <w:sz w:val="32"/>
          <w:szCs w:val="32"/>
          <w:highlight w:val="none"/>
          <w:lang w:val="en-US" w:eastAsia="zh-CN"/>
        </w:rPr>
        <w:t>4.53%</w:t>
      </w:r>
      <w:r>
        <w:rPr>
          <w:rFonts w:hint="eastAsia" w:ascii="Times New Roman" w:hAnsi="Times New Roman" w:eastAsia="仿宋_GB2312" w:cs="Times New Roman"/>
          <w:kern w:val="0"/>
          <w:sz w:val="32"/>
          <w:szCs w:val="32"/>
          <w:highlight w:val="none"/>
          <w:lang w:val="en-US" w:eastAsia="zh-CN"/>
        </w:rPr>
        <w:t>，主要原因分析：一是单位新招录</w:t>
      </w:r>
      <w:r>
        <w:rPr>
          <w:rFonts w:hint="default" w:ascii="Times New Roman" w:hAnsi="Times New Roman" w:eastAsia="仿宋_GB2312" w:cs="Times New Roman"/>
          <w:kern w:val="0"/>
          <w:sz w:val="32"/>
          <w:szCs w:val="32"/>
          <w:highlight w:val="none"/>
          <w:lang w:val="en-US" w:eastAsia="zh-CN"/>
        </w:rPr>
        <w:t>20</w:t>
      </w:r>
      <w:r>
        <w:rPr>
          <w:rFonts w:hint="eastAsia" w:ascii="Times New Roman" w:hAnsi="Times New Roman" w:eastAsia="仿宋_GB2312" w:cs="Times New Roman"/>
          <w:kern w:val="0"/>
          <w:sz w:val="32"/>
          <w:szCs w:val="32"/>
          <w:highlight w:val="none"/>
          <w:lang w:val="en-US" w:eastAsia="zh-CN"/>
        </w:rPr>
        <w:t>人，退休</w:t>
      </w:r>
      <w:r>
        <w:rPr>
          <w:rFonts w:hint="default" w:ascii="Times New Roman" w:hAnsi="Times New Roman" w:eastAsia="仿宋_GB2312" w:cs="Times New Roman"/>
          <w:kern w:val="0"/>
          <w:sz w:val="32"/>
          <w:szCs w:val="32"/>
          <w:highlight w:val="none"/>
          <w:lang w:val="en-US" w:eastAsia="zh-CN"/>
        </w:rPr>
        <w:t>7</w:t>
      </w:r>
      <w:r>
        <w:rPr>
          <w:rFonts w:hint="eastAsia" w:ascii="Times New Roman" w:hAnsi="Times New Roman" w:eastAsia="仿宋_GB2312" w:cs="Times New Roman"/>
          <w:kern w:val="0"/>
          <w:sz w:val="32"/>
          <w:szCs w:val="32"/>
          <w:highlight w:val="none"/>
          <w:lang w:val="en-US" w:eastAsia="zh-CN"/>
        </w:rPr>
        <w:t>人，人员变动导致人员经费和公用经费相应调整增加</w:t>
      </w:r>
      <w:r>
        <w:rPr>
          <w:rFonts w:hint="default" w:ascii="Times New Roman" w:hAnsi="Times New Roman" w:eastAsia="仿宋_GB2312" w:cs="Times New Roman"/>
          <w:kern w:val="0"/>
          <w:sz w:val="32"/>
          <w:szCs w:val="32"/>
          <w:highlight w:val="none"/>
          <w:lang w:val="en-US" w:eastAsia="zh-CN"/>
        </w:rPr>
        <w:t>200.93</w:t>
      </w:r>
      <w:r>
        <w:rPr>
          <w:rFonts w:hint="eastAsia" w:ascii="Times New Roman" w:hAnsi="Times New Roman" w:eastAsia="仿宋_GB2312" w:cs="Times New Roman"/>
          <w:kern w:val="0"/>
          <w:sz w:val="32"/>
          <w:szCs w:val="32"/>
          <w:highlight w:val="none"/>
          <w:lang w:val="en-US" w:eastAsia="zh-CN"/>
        </w:rPr>
        <w:t>万元；二是</w:t>
      </w:r>
      <w:r>
        <w:rPr>
          <w:rFonts w:hint="default" w:ascii="Times New Roman" w:hAnsi="Times New Roman" w:eastAsia="仿宋_GB2312" w:cs="Times New Roman"/>
          <w:kern w:val="0"/>
          <w:sz w:val="32"/>
          <w:szCs w:val="32"/>
          <w:highlight w:val="none"/>
          <w:lang w:val="en-US" w:eastAsia="zh-CN"/>
        </w:rPr>
        <w:t>2023</w:t>
      </w:r>
      <w:r>
        <w:rPr>
          <w:rFonts w:hint="eastAsia" w:ascii="Times New Roman" w:hAnsi="Times New Roman" w:eastAsia="仿宋_GB2312" w:cs="Times New Roman"/>
          <w:kern w:val="0"/>
          <w:sz w:val="32"/>
          <w:szCs w:val="32"/>
          <w:highlight w:val="none"/>
          <w:lang w:val="en-US" w:eastAsia="zh-CN"/>
        </w:rPr>
        <w:t>年预算增加残疾人保障金</w:t>
      </w:r>
      <w:r>
        <w:rPr>
          <w:rFonts w:hint="default" w:ascii="Times New Roman" w:hAnsi="Times New Roman" w:eastAsia="仿宋_GB2312" w:cs="Times New Roman"/>
          <w:kern w:val="0"/>
          <w:sz w:val="32"/>
          <w:szCs w:val="32"/>
          <w:highlight w:val="none"/>
          <w:lang w:val="en-US" w:eastAsia="zh-CN"/>
        </w:rPr>
        <w:t>20.93</w:t>
      </w:r>
      <w:r>
        <w:rPr>
          <w:rFonts w:hint="eastAsia" w:ascii="Times New Roman" w:hAnsi="Times New Roman" w:eastAsia="仿宋_GB2312" w:cs="Times New Roman"/>
          <w:kern w:val="0"/>
          <w:sz w:val="32"/>
          <w:szCs w:val="32"/>
          <w:highlight w:val="none"/>
          <w:lang w:val="en-US" w:eastAsia="zh-CN"/>
        </w:rPr>
        <w:t>万元；三是根据区财政资金安排，项目支出较去年减少</w:t>
      </w:r>
      <w:r>
        <w:rPr>
          <w:rFonts w:hint="default" w:ascii="Times New Roman" w:hAnsi="Times New Roman" w:eastAsia="仿宋_GB2312" w:cs="Times New Roman"/>
          <w:kern w:val="0"/>
          <w:sz w:val="32"/>
          <w:szCs w:val="32"/>
          <w:highlight w:val="none"/>
          <w:lang w:val="en-US" w:eastAsia="zh-CN"/>
        </w:rPr>
        <w:t>110.25</w:t>
      </w:r>
      <w:r>
        <w:rPr>
          <w:rFonts w:hint="eastAsia" w:ascii="Times New Roman" w:hAnsi="Times New Roman" w:eastAsia="仿宋_GB2312" w:cs="Times New Roman"/>
          <w:kern w:val="0"/>
          <w:sz w:val="32"/>
          <w:szCs w:val="32"/>
          <w:highlight w:val="none"/>
          <w:lang w:val="en-US" w:eastAsia="zh-CN"/>
        </w:rPr>
        <w:t>万元。</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（二）财政拨款收入情况</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住房和城乡建设局2023年部门财政拨款收入8262.64万元，其中：昆明市盘龙区住房和城乡建设局（本级）2023年部门财政拨款收入5685.88万元，其中:本年收入5685.88万元，昆明市盘龙区市政基础设施建设管理处</w:t>
      </w:r>
      <w:r>
        <w:rPr>
          <w:rFonts w:hint="default" w:ascii="Times New Roman" w:hAnsi="Times New Roman" w:eastAsia="仿宋_GB2312" w:cs="Times New Roman"/>
          <w:kern w:val="0"/>
          <w:sz w:val="32"/>
          <w:szCs w:val="32"/>
          <w:highlight w:val="none"/>
          <w:lang w:val="en-US" w:eastAsia="zh-CN"/>
        </w:rPr>
        <w:t>2023</w:t>
      </w:r>
      <w:r>
        <w:rPr>
          <w:rFonts w:hint="eastAsia" w:ascii="Times New Roman" w:hAnsi="Times New Roman" w:eastAsia="仿宋_GB2312" w:cs="Times New Roman"/>
          <w:kern w:val="0"/>
          <w:sz w:val="32"/>
          <w:szCs w:val="32"/>
          <w:highlight w:val="none"/>
          <w:lang w:val="en-US" w:eastAsia="zh-CN"/>
        </w:rPr>
        <w:t>年部门财政拨款收入</w:t>
      </w:r>
      <w:r>
        <w:rPr>
          <w:rFonts w:hint="default" w:ascii="Times New Roman" w:hAnsi="Times New Roman" w:eastAsia="仿宋_GB2312" w:cs="Times New Roman"/>
          <w:kern w:val="0"/>
          <w:sz w:val="32"/>
          <w:szCs w:val="32"/>
          <w:highlight w:val="none"/>
          <w:lang w:val="en-US" w:eastAsia="zh-CN"/>
        </w:rPr>
        <w:t>2576.76</w:t>
      </w:r>
      <w:r>
        <w:rPr>
          <w:rFonts w:hint="eastAsia" w:ascii="Times New Roman" w:hAnsi="Times New Roman" w:eastAsia="仿宋_GB2312" w:cs="Times New Roman"/>
          <w:kern w:val="0"/>
          <w:sz w:val="32"/>
          <w:szCs w:val="32"/>
          <w:highlight w:val="none"/>
          <w:lang w:val="en-US" w:eastAsia="zh-CN"/>
        </w:rPr>
        <w:t>万元。</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住房和城乡建设局（本级）2023年部门财政拨款收入5685.88万元，其中:本年收入5685.88万元，上年结转收入0万元。本年收入中，一般公共预算财政拨款5685.88万元，政府性基金预算财政拨款0万元，国有资本经营收益财政拨款0万元。上年部门财政拨款收入 8126.73万元，全部属于本年收入。</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与上年相比预算收入减少2440.85万元，减少的主要原因是基建项目资金减少，且响应国家过“紧日子”政策，缩减部分项目经费。</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昆明市盘龙区市政基础设施建设管理处</w:t>
      </w:r>
      <w:r>
        <w:rPr>
          <w:rFonts w:hint="default" w:ascii="Times New Roman" w:hAnsi="Times New Roman" w:eastAsia="仿宋_GB2312" w:cs="Times New Roman"/>
          <w:kern w:val="0"/>
          <w:sz w:val="32"/>
          <w:szCs w:val="32"/>
          <w:highlight w:val="none"/>
          <w:lang w:val="en-US" w:eastAsia="zh-CN"/>
        </w:rPr>
        <w:t>2023</w:t>
      </w:r>
      <w:r>
        <w:rPr>
          <w:rFonts w:hint="eastAsia" w:ascii="Times New Roman" w:hAnsi="Times New Roman" w:eastAsia="仿宋_GB2312" w:cs="Times New Roman"/>
          <w:kern w:val="0"/>
          <w:sz w:val="32"/>
          <w:szCs w:val="32"/>
          <w:highlight w:val="none"/>
          <w:lang w:val="en-US" w:eastAsia="zh-CN"/>
        </w:rPr>
        <w:t>年部门财政拨款收入</w:t>
      </w:r>
      <w:r>
        <w:rPr>
          <w:rFonts w:hint="default" w:ascii="Times New Roman" w:hAnsi="Times New Roman" w:eastAsia="仿宋_GB2312" w:cs="Times New Roman"/>
          <w:kern w:val="0"/>
          <w:sz w:val="32"/>
          <w:szCs w:val="32"/>
          <w:highlight w:val="none"/>
          <w:lang w:val="en-US" w:eastAsia="zh-CN"/>
        </w:rPr>
        <w:t>2576.76</w:t>
      </w:r>
      <w:r>
        <w:rPr>
          <w:rFonts w:hint="eastAsia" w:ascii="Times New Roman" w:hAnsi="Times New Roman" w:eastAsia="仿宋_GB2312" w:cs="Times New Roman"/>
          <w:kern w:val="0"/>
          <w:sz w:val="32"/>
          <w:szCs w:val="32"/>
          <w:highlight w:val="none"/>
          <w:lang w:val="en-US" w:eastAsia="zh-CN"/>
        </w:rPr>
        <w:t>万元，其中</w:t>
      </w:r>
      <w:r>
        <w:rPr>
          <w:rFonts w:hint="default" w:ascii="Times New Roman" w:hAnsi="Times New Roman" w:eastAsia="仿宋_GB2312" w:cs="Times New Roman"/>
          <w:kern w:val="0"/>
          <w:sz w:val="32"/>
          <w:szCs w:val="32"/>
          <w:highlight w:val="none"/>
          <w:lang w:val="en-US" w:eastAsia="zh-CN"/>
        </w:rPr>
        <w:t>:</w:t>
      </w:r>
      <w:r>
        <w:rPr>
          <w:rFonts w:hint="eastAsia" w:ascii="Times New Roman" w:hAnsi="Times New Roman" w:eastAsia="仿宋_GB2312" w:cs="Times New Roman"/>
          <w:kern w:val="0"/>
          <w:sz w:val="32"/>
          <w:szCs w:val="32"/>
          <w:highlight w:val="none"/>
          <w:lang w:val="en-US" w:eastAsia="zh-CN"/>
        </w:rPr>
        <w:t>本年收入</w:t>
      </w:r>
      <w:r>
        <w:rPr>
          <w:rFonts w:hint="default" w:ascii="Times New Roman" w:hAnsi="Times New Roman" w:eastAsia="仿宋_GB2312" w:cs="Times New Roman"/>
          <w:kern w:val="0"/>
          <w:sz w:val="32"/>
          <w:szCs w:val="32"/>
          <w:highlight w:val="none"/>
          <w:lang w:val="en-US" w:eastAsia="zh-CN"/>
        </w:rPr>
        <w:t>2576.76</w:t>
      </w:r>
      <w:r>
        <w:rPr>
          <w:rFonts w:hint="eastAsia" w:ascii="Times New Roman" w:hAnsi="Times New Roman" w:eastAsia="仿宋_GB2312" w:cs="Times New Roman"/>
          <w:kern w:val="0"/>
          <w:sz w:val="32"/>
          <w:szCs w:val="32"/>
          <w:highlight w:val="none"/>
          <w:lang w:val="en-US" w:eastAsia="zh-CN"/>
        </w:rPr>
        <w:t>万元，上年结转收入</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万元。本年收入中，一般公共预算财政拨款</w:t>
      </w:r>
      <w:r>
        <w:rPr>
          <w:rFonts w:hint="default" w:ascii="Times New Roman" w:hAnsi="Times New Roman" w:eastAsia="仿宋_GB2312" w:cs="Times New Roman"/>
          <w:kern w:val="0"/>
          <w:sz w:val="32"/>
          <w:szCs w:val="32"/>
          <w:highlight w:val="none"/>
          <w:lang w:val="en-US" w:eastAsia="zh-CN"/>
        </w:rPr>
        <w:t>2576.76</w:t>
      </w:r>
      <w:r>
        <w:rPr>
          <w:rFonts w:hint="eastAsia" w:ascii="Times New Roman" w:hAnsi="Times New Roman" w:eastAsia="仿宋_GB2312" w:cs="Times New Roman"/>
          <w:kern w:val="0"/>
          <w:sz w:val="32"/>
          <w:szCs w:val="32"/>
          <w:highlight w:val="none"/>
          <w:lang w:val="en-US" w:eastAsia="zh-CN"/>
        </w:rPr>
        <w:t>万元，政府性基金预算财政拨款</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万元，国有资本经营收益财政拨款</w:t>
      </w:r>
      <w:r>
        <w:rPr>
          <w:rFonts w:hint="default" w:ascii="Times New Roman" w:hAnsi="Times New Roman" w:eastAsia="仿宋_GB2312" w:cs="Times New Roman"/>
          <w:kern w:val="0"/>
          <w:sz w:val="32"/>
          <w:szCs w:val="32"/>
          <w:highlight w:val="none"/>
          <w:lang w:val="en-US" w:eastAsia="zh-CN"/>
        </w:rPr>
        <w:t>0</w:t>
      </w:r>
      <w:r>
        <w:rPr>
          <w:rFonts w:hint="eastAsia" w:ascii="Times New Roman" w:hAnsi="Times New Roman" w:eastAsia="仿宋_GB2312" w:cs="Times New Roman"/>
          <w:kern w:val="0"/>
          <w:sz w:val="32"/>
          <w:szCs w:val="32"/>
          <w:highlight w:val="none"/>
          <w:lang w:val="en-US" w:eastAsia="zh-CN"/>
        </w:rPr>
        <w:t>万元。</w:t>
      </w:r>
    </w:p>
    <w:p>
      <w:pPr>
        <w:pStyle w:val="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与上年对比增加</w:t>
      </w:r>
      <w:r>
        <w:rPr>
          <w:rFonts w:hint="default" w:ascii="Times New Roman" w:hAnsi="Times New Roman" w:eastAsia="仿宋_GB2312" w:cs="Times New Roman"/>
          <w:kern w:val="0"/>
          <w:sz w:val="32"/>
          <w:szCs w:val="32"/>
          <w:highlight w:val="none"/>
          <w:lang w:val="en-US" w:eastAsia="zh-CN"/>
        </w:rPr>
        <w:t>111.61</w:t>
      </w:r>
      <w:r>
        <w:rPr>
          <w:rFonts w:hint="eastAsia" w:ascii="Times New Roman" w:hAnsi="Times New Roman" w:eastAsia="仿宋_GB2312" w:cs="Times New Roman"/>
          <w:kern w:val="0"/>
          <w:sz w:val="32"/>
          <w:szCs w:val="32"/>
          <w:highlight w:val="none"/>
          <w:lang w:val="en-US" w:eastAsia="zh-CN"/>
        </w:rPr>
        <w:t>万元，增长</w:t>
      </w:r>
      <w:r>
        <w:rPr>
          <w:rFonts w:hint="default" w:ascii="Times New Roman" w:hAnsi="Times New Roman" w:eastAsia="仿宋_GB2312" w:cs="Times New Roman"/>
          <w:kern w:val="0"/>
          <w:sz w:val="32"/>
          <w:szCs w:val="32"/>
          <w:highlight w:val="none"/>
          <w:lang w:val="en-US" w:eastAsia="zh-CN"/>
        </w:rPr>
        <w:t>4.53%</w:t>
      </w:r>
      <w:r>
        <w:rPr>
          <w:rFonts w:hint="eastAsia" w:ascii="Times New Roman" w:hAnsi="Times New Roman" w:eastAsia="仿宋_GB2312" w:cs="Times New Roman"/>
          <w:kern w:val="0"/>
          <w:sz w:val="32"/>
          <w:szCs w:val="32"/>
          <w:highlight w:val="none"/>
          <w:lang w:val="en-US" w:eastAsia="zh-CN"/>
        </w:rPr>
        <w:t>，主要原因分析：一是单位新招录</w:t>
      </w:r>
      <w:r>
        <w:rPr>
          <w:rFonts w:hint="default" w:ascii="Times New Roman" w:hAnsi="Times New Roman" w:eastAsia="仿宋_GB2312" w:cs="Times New Roman"/>
          <w:kern w:val="0"/>
          <w:sz w:val="32"/>
          <w:szCs w:val="32"/>
          <w:highlight w:val="none"/>
          <w:lang w:val="en-US" w:eastAsia="zh-CN"/>
        </w:rPr>
        <w:t>20</w:t>
      </w:r>
      <w:r>
        <w:rPr>
          <w:rFonts w:hint="eastAsia" w:ascii="Times New Roman" w:hAnsi="Times New Roman" w:eastAsia="仿宋_GB2312" w:cs="Times New Roman"/>
          <w:kern w:val="0"/>
          <w:sz w:val="32"/>
          <w:szCs w:val="32"/>
          <w:highlight w:val="none"/>
          <w:lang w:val="en-US" w:eastAsia="zh-CN"/>
        </w:rPr>
        <w:t>人，退休</w:t>
      </w:r>
      <w:r>
        <w:rPr>
          <w:rFonts w:hint="default" w:ascii="Times New Roman" w:hAnsi="Times New Roman" w:eastAsia="仿宋_GB2312" w:cs="Times New Roman"/>
          <w:kern w:val="0"/>
          <w:sz w:val="32"/>
          <w:szCs w:val="32"/>
          <w:highlight w:val="none"/>
          <w:lang w:val="en-US" w:eastAsia="zh-CN"/>
        </w:rPr>
        <w:t>7</w:t>
      </w:r>
      <w:r>
        <w:rPr>
          <w:rFonts w:hint="eastAsia" w:ascii="Times New Roman" w:hAnsi="Times New Roman" w:eastAsia="仿宋_GB2312" w:cs="Times New Roman"/>
          <w:kern w:val="0"/>
          <w:sz w:val="32"/>
          <w:szCs w:val="32"/>
          <w:highlight w:val="none"/>
          <w:lang w:val="en-US" w:eastAsia="zh-CN"/>
        </w:rPr>
        <w:t>人，人员变动导致人员经费和公用经费相应调整增加</w:t>
      </w:r>
      <w:r>
        <w:rPr>
          <w:rFonts w:hint="default" w:ascii="Times New Roman" w:hAnsi="Times New Roman" w:eastAsia="仿宋_GB2312" w:cs="Times New Roman"/>
          <w:kern w:val="0"/>
          <w:sz w:val="32"/>
          <w:szCs w:val="32"/>
          <w:highlight w:val="none"/>
          <w:lang w:val="en-US" w:eastAsia="zh-CN"/>
        </w:rPr>
        <w:t>200.93</w:t>
      </w:r>
      <w:r>
        <w:rPr>
          <w:rFonts w:hint="eastAsia" w:ascii="Times New Roman" w:hAnsi="Times New Roman" w:eastAsia="仿宋_GB2312" w:cs="Times New Roman"/>
          <w:kern w:val="0"/>
          <w:sz w:val="32"/>
          <w:szCs w:val="32"/>
          <w:highlight w:val="none"/>
          <w:lang w:val="en-US" w:eastAsia="zh-CN"/>
        </w:rPr>
        <w:t>万元；二是</w:t>
      </w:r>
      <w:r>
        <w:rPr>
          <w:rFonts w:hint="default" w:ascii="Times New Roman" w:hAnsi="Times New Roman" w:eastAsia="仿宋_GB2312" w:cs="Times New Roman"/>
          <w:kern w:val="0"/>
          <w:sz w:val="32"/>
          <w:szCs w:val="32"/>
          <w:highlight w:val="none"/>
          <w:lang w:val="en-US" w:eastAsia="zh-CN"/>
        </w:rPr>
        <w:t>2023</w:t>
      </w:r>
      <w:r>
        <w:rPr>
          <w:rFonts w:hint="eastAsia" w:ascii="Times New Roman" w:hAnsi="Times New Roman" w:eastAsia="仿宋_GB2312" w:cs="Times New Roman"/>
          <w:kern w:val="0"/>
          <w:sz w:val="32"/>
          <w:szCs w:val="32"/>
          <w:highlight w:val="none"/>
          <w:lang w:val="en-US" w:eastAsia="zh-CN"/>
        </w:rPr>
        <w:t>年预算增加残疾人保障金</w:t>
      </w:r>
      <w:r>
        <w:rPr>
          <w:rFonts w:hint="default" w:ascii="Times New Roman" w:hAnsi="Times New Roman" w:eastAsia="仿宋_GB2312" w:cs="Times New Roman"/>
          <w:kern w:val="0"/>
          <w:sz w:val="32"/>
          <w:szCs w:val="32"/>
          <w:highlight w:val="none"/>
          <w:lang w:val="en-US" w:eastAsia="zh-CN"/>
        </w:rPr>
        <w:t>20.93</w:t>
      </w:r>
      <w:r>
        <w:rPr>
          <w:rFonts w:hint="eastAsia" w:ascii="Times New Roman" w:hAnsi="Times New Roman" w:eastAsia="仿宋_GB2312" w:cs="Times New Roman"/>
          <w:kern w:val="0"/>
          <w:sz w:val="32"/>
          <w:szCs w:val="32"/>
          <w:highlight w:val="none"/>
          <w:lang w:val="en-US" w:eastAsia="zh-CN"/>
        </w:rPr>
        <w:t>万元；三是根据区财政资金安排，项目支出较去年减少</w:t>
      </w:r>
      <w:r>
        <w:rPr>
          <w:rFonts w:hint="default" w:ascii="Times New Roman" w:hAnsi="Times New Roman" w:eastAsia="仿宋_GB2312" w:cs="Times New Roman"/>
          <w:kern w:val="0"/>
          <w:sz w:val="32"/>
          <w:szCs w:val="32"/>
          <w:highlight w:val="none"/>
          <w:lang w:val="en-US" w:eastAsia="zh-CN"/>
        </w:rPr>
        <w:t>110.25</w:t>
      </w:r>
      <w:r>
        <w:rPr>
          <w:rFonts w:hint="eastAsia" w:ascii="Times New Roman" w:hAnsi="Times New Roman" w:eastAsia="仿宋_GB2312" w:cs="Times New Roman"/>
          <w:kern w:val="0"/>
          <w:sz w:val="32"/>
          <w:szCs w:val="32"/>
          <w:highlight w:val="none"/>
          <w:lang w:val="en-US" w:eastAsia="zh-CN"/>
        </w:rPr>
        <w:t>万元。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3" w:firstLineChars="200"/>
        <w:jc w:val="both"/>
        <w:textAlignment w:val="auto"/>
        <w:outlineLvl w:val="9"/>
        <w:rPr>
          <w:rFonts w:hint="eastAsia" w:ascii="黑体" w:hAnsi="黑体" w:eastAsia="黑体" w:cs="黑体"/>
          <w:b/>
          <w:bCs/>
          <w:sz w:val="32"/>
          <w:szCs w:val="32"/>
        </w:rPr>
      </w:pPr>
      <w:r>
        <w:rPr>
          <w:rFonts w:hint="eastAsia" w:ascii="黑体" w:hAnsi="黑体" w:eastAsia="黑体" w:cs="黑体"/>
          <w:b/>
          <w:bCs/>
          <w:sz w:val="32"/>
          <w:szCs w:val="32"/>
          <w:lang w:eastAsia="zh-CN"/>
        </w:rPr>
        <w:t>四、</w:t>
      </w:r>
      <w:r>
        <w:rPr>
          <w:rFonts w:hint="eastAsia" w:ascii="黑体" w:hAnsi="黑体" w:eastAsia="黑体" w:cs="黑体"/>
          <w:b/>
          <w:bCs/>
          <w:sz w:val="32"/>
          <w:szCs w:val="32"/>
        </w:rPr>
        <w:t>预算单位支出情况</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昆明市盘龙区住房和城乡建设局2023年部门预算总支出8262.64万元，其中：基本支出4612.15万元，与上年相比增加372.88万元，增加主要原因分析：一是2022年新招录人员一批，致使经费较上年增加；二是</w:t>
      </w:r>
      <w:r>
        <w:rPr>
          <w:rFonts w:hint="default" w:ascii="Times New Roman" w:hAnsi="Times New Roman" w:eastAsia="仿宋_GB2312" w:cs="Times New Roman"/>
          <w:kern w:val="0"/>
          <w:sz w:val="32"/>
          <w:szCs w:val="32"/>
          <w:highlight w:val="none"/>
          <w:lang w:val="en-US" w:eastAsia="zh-CN" w:bidi="ar-SA"/>
        </w:rPr>
        <w:t>2023</w:t>
      </w:r>
      <w:r>
        <w:rPr>
          <w:rFonts w:hint="eastAsia" w:ascii="Times New Roman" w:hAnsi="Times New Roman" w:eastAsia="仿宋_GB2312" w:cs="Times New Roman"/>
          <w:kern w:val="0"/>
          <w:sz w:val="32"/>
          <w:szCs w:val="32"/>
          <w:highlight w:val="none"/>
          <w:lang w:val="en-US" w:eastAsia="zh-CN" w:bidi="ar-SA"/>
        </w:rPr>
        <w:t>年预算增加残疾人保障金；项目支出3650.49万元，与上年对比减少了2702.12万元，减少主要原因分析：2023年响应国家政策，根据单位实际情况，基建项目预算申请经费较上年减少，且缩减部分经常性项目经费。</w:t>
      </w:r>
    </w:p>
    <w:p>
      <w:pPr>
        <w:widowControl/>
        <w:ind w:firstLine="640" w:firstLineChars="200"/>
        <w:jc w:val="left"/>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昆明市盘龙区住房和城乡建设局（本级）</w:t>
      </w:r>
      <w:r>
        <w:rPr>
          <w:rFonts w:hint="eastAsia" w:ascii="Times New Roman" w:hAnsi="Times New Roman" w:eastAsia="仿宋_GB2312" w:cs="Times New Roman"/>
          <w:color w:val="auto"/>
          <w:kern w:val="0"/>
          <w:sz w:val="32"/>
          <w:szCs w:val="32"/>
          <w:highlight w:val="none"/>
          <w:lang w:val="en-US" w:eastAsia="zh-CN" w:bidi="ar-SA"/>
        </w:rPr>
        <w:t>财政拨款安排支出功能科目分类情况如下：2060404主要用于科技成果转化与扩散</w:t>
      </w:r>
      <w:r>
        <w:rPr>
          <w:rFonts w:hint="eastAsia" w:ascii="Times New Roman" w:hAnsi="Times New Roman" w:eastAsia="仿宋_GB2312" w:cs="Times New Roman"/>
          <w:kern w:val="0"/>
          <w:sz w:val="32"/>
          <w:szCs w:val="32"/>
          <w:highlight w:val="none"/>
          <w:lang w:val="en-US" w:eastAsia="zh-CN" w:bidi="ar-SA"/>
        </w:rPr>
        <w:t>支出9万元，2080501主要用于行政单位离退休支出553.76万元，2080505主要用于机关事业单位基本养老保险缴费支出149.54万元，2080801主要用于死亡抚恤支出0.74万元，2081199主要用于其它残疾人事业支出18.10万元，2101101主要用于行政单位医疗支出18.8万元，2101102主要用于事业单位医疗支出62.85万元，2101103主要用于公务员医疗补助支出62.10万元，2101199主要用于其他行政事业单位医疗支出总计5.62万元，2120101主要用于行政运行支出1168.39万元，2120102主要用于一般行政管理事务支出282.02万元，2129999主要用于其他城乡社区支出2930万元，2210101主要用于廉租住房支出5万元，2210106主要用于公共租赁住房支出298.75万元，2210201主要用于住房公积金支出121.21万元；财政拨款本年共安排支出5685.88万元。</w:t>
      </w:r>
    </w:p>
    <w:p>
      <w:pPr>
        <w:widowControl/>
        <w:ind w:firstLine="640" w:firstLineChars="200"/>
        <w:jc w:val="left"/>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昆明市盘龙区市政基础设施建设管理处财政拨款安排支出按功能科目分类情况：</w:t>
      </w:r>
      <w:r>
        <w:rPr>
          <w:rFonts w:hint="default" w:ascii="Times New Roman" w:hAnsi="Times New Roman" w:eastAsia="仿宋_GB2312" w:cs="Times New Roman"/>
          <w:kern w:val="0"/>
          <w:sz w:val="32"/>
          <w:szCs w:val="32"/>
          <w:highlight w:val="none"/>
          <w:lang w:val="en-US" w:eastAsia="zh-CN" w:bidi="ar-SA"/>
        </w:rPr>
        <w:t>2080502</w:t>
      </w:r>
      <w:r>
        <w:rPr>
          <w:rFonts w:hint="eastAsia" w:ascii="Times New Roman" w:hAnsi="Times New Roman" w:eastAsia="仿宋_GB2312" w:cs="Times New Roman"/>
          <w:kern w:val="0"/>
          <w:sz w:val="32"/>
          <w:szCs w:val="32"/>
          <w:highlight w:val="none"/>
          <w:lang w:val="en-US" w:eastAsia="zh-CN" w:bidi="ar-SA"/>
        </w:rPr>
        <w:t>事业单位离退休</w:t>
      </w:r>
      <w:r>
        <w:rPr>
          <w:rFonts w:hint="default" w:ascii="Times New Roman" w:hAnsi="Times New Roman" w:eastAsia="仿宋_GB2312" w:cs="Times New Roman"/>
          <w:kern w:val="0"/>
          <w:sz w:val="32"/>
          <w:szCs w:val="32"/>
          <w:highlight w:val="none"/>
          <w:lang w:val="en-US" w:eastAsia="zh-CN" w:bidi="ar-SA"/>
        </w:rPr>
        <w:t>19.04</w:t>
      </w:r>
      <w:r>
        <w:rPr>
          <w:rFonts w:hint="eastAsia" w:ascii="Times New Roman" w:hAnsi="Times New Roman" w:eastAsia="仿宋_GB2312" w:cs="Times New Roman"/>
          <w:kern w:val="0"/>
          <w:sz w:val="32"/>
          <w:szCs w:val="32"/>
          <w:highlight w:val="none"/>
          <w:lang w:val="en-US" w:eastAsia="zh-CN" w:bidi="ar-SA"/>
        </w:rPr>
        <w:t>万元，主要用于事业单位开支的离退休经费；</w:t>
      </w:r>
      <w:r>
        <w:rPr>
          <w:rFonts w:hint="default" w:ascii="Times New Roman" w:hAnsi="Times New Roman" w:eastAsia="仿宋_GB2312" w:cs="Times New Roman"/>
          <w:kern w:val="0"/>
          <w:sz w:val="32"/>
          <w:szCs w:val="32"/>
          <w:highlight w:val="none"/>
          <w:lang w:val="en-US" w:eastAsia="zh-CN" w:bidi="ar-SA"/>
        </w:rPr>
        <w:t>2080505</w:t>
      </w:r>
      <w:r>
        <w:rPr>
          <w:rFonts w:hint="eastAsia" w:ascii="Times New Roman" w:hAnsi="Times New Roman" w:eastAsia="仿宋_GB2312" w:cs="Times New Roman"/>
          <w:kern w:val="0"/>
          <w:sz w:val="32"/>
          <w:szCs w:val="32"/>
          <w:highlight w:val="none"/>
          <w:lang w:val="en-US" w:eastAsia="zh-CN" w:bidi="ar-SA"/>
        </w:rPr>
        <w:t>机关事业单位基本养老保险缴费支出</w:t>
      </w:r>
      <w:r>
        <w:rPr>
          <w:rFonts w:hint="default" w:ascii="Times New Roman" w:hAnsi="Times New Roman" w:eastAsia="仿宋_GB2312" w:cs="Times New Roman"/>
          <w:kern w:val="0"/>
          <w:sz w:val="32"/>
          <w:szCs w:val="32"/>
          <w:highlight w:val="none"/>
          <w:lang w:val="en-US" w:eastAsia="zh-CN" w:bidi="ar-SA"/>
        </w:rPr>
        <w:t>199.51</w:t>
      </w:r>
      <w:r>
        <w:rPr>
          <w:rFonts w:hint="eastAsia" w:ascii="Times New Roman" w:hAnsi="Times New Roman" w:eastAsia="仿宋_GB2312" w:cs="Times New Roman"/>
          <w:kern w:val="0"/>
          <w:sz w:val="32"/>
          <w:szCs w:val="32"/>
          <w:highlight w:val="none"/>
          <w:lang w:val="en-US" w:eastAsia="zh-CN" w:bidi="ar-SA"/>
        </w:rPr>
        <w:t>万元，主要用于机关事业单位实施养老保险制度由单位缴纳的基本养老保险费支出；</w:t>
      </w:r>
      <w:r>
        <w:rPr>
          <w:rFonts w:hint="default" w:ascii="Times New Roman" w:hAnsi="Times New Roman" w:eastAsia="仿宋_GB2312" w:cs="Times New Roman"/>
          <w:kern w:val="0"/>
          <w:sz w:val="32"/>
          <w:szCs w:val="32"/>
          <w:highlight w:val="none"/>
          <w:lang w:val="en-US" w:eastAsia="zh-CN" w:bidi="ar-SA"/>
        </w:rPr>
        <w:t>2080506</w:t>
      </w:r>
      <w:r>
        <w:rPr>
          <w:rFonts w:hint="eastAsia" w:ascii="Times New Roman" w:hAnsi="Times New Roman" w:eastAsia="仿宋_GB2312" w:cs="Times New Roman"/>
          <w:kern w:val="0"/>
          <w:sz w:val="32"/>
          <w:szCs w:val="32"/>
          <w:highlight w:val="none"/>
          <w:lang w:val="en-US" w:eastAsia="zh-CN" w:bidi="ar-SA"/>
        </w:rPr>
        <w:t>机关事业单位职业年金缴费支出</w:t>
      </w:r>
      <w:r>
        <w:rPr>
          <w:rFonts w:hint="default" w:ascii="Times New Roman" w:hAnsi="Times New Roman" w:eastAsia="仿宋_GB2312" w:cs="Times New Roman"/>
          <w:kern w:val="0"/>
          <w:sz w:val="32"/>
          <w:szCs w:val="32"/>
          <w:highlight w:val="none"/>
          <w:lang w:val="en-US" w:eastAsia="zh-CN" w:bidi="ar-SA"/>
        </w:rPr>
        <w:t>67.63</w:t>
      </w:r>
      <w:r>
        <w:rPr>
          <w:rFonts w:hint="eastAsia" w:ascii="Times New Roman" w:hAnsi="Times New Roman" w:eastAsia="仿宋_GB2312" w:cs="Times New Roman"/>
          <w:kern w:val="0"/>
          <w:sz w:val="32"/>
          <w:szCs w:val="32"/>
          <w:highlight w:val="none"/>
          <w:lang w:val="en-US" w:eastAsia="zh-CN" w:bidi="ar-SA"/>
        </w:rPr>
        <w:t>万元，主要用于机关事业单位实施养老保险制度由单位实际缴纳的职业年金支出；</w:t>
      </w:r>
      <w:r>
        <w:rPr>
          <w:rFonts w:hint="default" w:ascii="Times New Roman" w:hAnsi="Times New Roman" w:eastAsia="仿宋_GB2312" w:cs="Times New Roman"/>
          <w:kern w:val="0"/>
          <w:sz w:val="32"/>
          <w:szCs w:val="32"/>
          <w:highlight w:val="none"/>
          <w:lang w:val="en-US" w:eastAsia="zh-CN" w:bidi="ar-SA"/>
        </w:rPr>
        <w:t>2080801</w:t>
      </w:r>
      <w:r>
        <w:rPr>
          <w:rFonts w:hint="eastAsia" w:ascii="Times New Roman" w:hAnsi="Times New Roman" w:eastAsia="仿宋_GB2312" w:cs="Times New Roman"/>
          <w:kern w:val="0"/>
          <w:sz w:val="32"/>
          <w:szCs w:val="32"/>
          <w:highlight w:val="none"/>
          <w:lang w:val="en-US" w:eastAsia="zh-CN" w:bidi="ar-SA"/>
        </w:rPr>
        <w:t>死亡抚恤</w:t>
      </w:r>
      <w:r>
        <w:rPr>
          <w:rFonts w:hint="default" w:ascii="Times New Roman" w:hAnsi="Times New Roman" w:eastAsia="仿宋_GB2312" w:cs="Times New Roman"/>
          <w:kern w:val="0"/>
          <w:sz w:val="32"/>
          <w:szCs w:val="32"/>
          <w:highlight w:val="none"/>
          <w:lang w:val="en-US" w:eastAsia="zh-CN" w:bidi="ar-SA"/>
        </w:rPr>
        <w:t>5.29</w:t>
      </w:r>
      <w:r>
        <w:rPr>
          <w:rFonts w:hint="eastAsia" w:ascii="Times New Roman" w:hAnsi="Times New Roman" w:eastAsia="仿宋_GB2312" w:cs="Times New Roman"/>
          <w:kern w:val="0"/>
          <w:sz w:val="32"/>
          <w:szCs w:val="32"/>
          <w:highlight w:val="none"/>
          <w:lang w:val="en-US" w:eastAsia="zh-CN" w:bidi="ar-SA"/>
        </w:rPr>
        <w:t>万元，主要用于财政部门安排的事业单位病故人员家属的一次性和定期抚恤金、丧葬补助费等；</w:t>
      </w:r>
      <w:r>
        <w:rPr>
          <w:rFonts w:hint="default" w:ascii="Times New Roman" w:hAnsi="Times New Roman" w:eastAsia="仿宋_GB2312" w:cs="Times New Roman"/>
          <w:kern w:val="0"/>
          <w:sz w:val="32"/>
          <w:szCs w:val="32"/>
          <w:highlight w:val="none"/>
          <w:lang w:val="en-US" w:eastAsia="zh-CN" w:bidi="ar-SA"/>
        </w:rPr>
        <w:t>2081199</w:t>
      </w:r>
      <w:r>
        <w:rPr>
          <w:rFonts w:hint="eastAsia" w:ascii="Times New Roman" w:hAnsi="Times New Roman" w:eastAsia="仿宋_GB2312" w:cs="Times New Roman"/>
          <w:kern w:val="0"/>
          <w:sz w:val="32"/>
          <w:szCs w:val="32"/>
          <w:highlight w:val="none"/>
          <w:lang w:val="en-US" w:eastAsia="zh-CN" w:bidi="ar-SA"/>
        </w:rPr>
        <w:t>其他残疾人事业支出</w:t>
      </w:r>
      <w:r>
        <w:rPr>
          <w:rFonts w:hint="default" w:ascii="Times New Roman" w:hAnsi="Times New Roman" w:eastAsia="仿宋_GB2312" w:cs="Times New Roman"/>
          <w:kern w:val="0"/>
          <w:sz w:val="32"/>
          <w:szCs w:val="32"/>
          <w:highlight w:val="none"/>
          <w:lang w:val="en-US" w:eastAsia="zh-CN" w:bidi="ar-SA"/>
        </w:rPr>
        <w:t>20.93</w:t>
      </w:r>
      <w:r>
        <w:rPr>
          <w:rFonts w:hint="eastAsia" w:ascii="Times New Roman" w:hAnsi="Times New Roman" w:eastAsia="仿宋_GB2312" w:cs="Times New Roman"/>
          <w:kern w:val="0"/>
          <w:sz w:val="32"/>
          <w:szCs w:val="32"/>
          <w:highlight w:val="none"/>
          <w:lang w:val="en-US" w:eastAsia="zh-CN" w:bidi="ar-SA"/>
        </w:rPr>
        <w:t>万元，主要用于财政部门安排的其他残疾人事业方面的支出；</w:t>
      </w:r>
      <w:r>
        <w:rPr>
          <w:rFonts w:hint="default" w:ascii="Times New Roman" w:hAnsi="Times New Roman" w:eastAsia="仿宋_GB2312" w:cs="Times New Roman"/>
          <w:kern w:val="0"/>
          <w:sz w:val="32"/>
          <w:szCs w:val="32"/>
          <w:highlight w:val="none"/>
          <w:lang w:val="en-US" w:eastAsia="zh-CN" w:bidi="ar-SA"/>
        </w:rPr>
        <w:t>2101102</w:t>
      </w:r>
      <w:r>
        <w:rPr>
          <w:rFonts w:hint="eastAsia" w:ascii="Times New Roman" w:hAnsi="Times New Roman" w:eastAsia="仿宋_GB2312" w:cs="Times New Roman"/>
          <w:kern w:val="0"/>
          <w:sz w:val="32"/>
          <w:szCs w:val="32"/>
          <w:highlight w:val="none"/>
          <w:lang w:val="en-US" w:eastAsia="zh-CN" w:bidi="ar-SA"/>
        </w:rPr>
        <w:t>事业单位医疗</w:t>
      </w:r>
      <w:r>
        <w:rPr>
          <w:rFonts w:hint="default" w:ascii="Times New Roman" w:hAnsi="Times New Roman" w:eastAsia="仿宋_GB2312" w:cs="Times New Roman"/>
          <w:kern w:val="0"/>
          <w:sz w:val="32"/>
          <w:szCs w:val="32"/>
          <w:highlight w:val="none"/>
          <w:lang w:val="en-US" w:eastAsia="zh-CN" w:bidi="ar-SA"/>
        </w:rPr>
        <w:t>117.67</w:t>
      </w:r>
      <w:r>
        <w:rPr>
          <w:rFonts w:hint="eastAsia" w:ascii="Times New Roman" w:hAnsi="Times New Roman" w:eastAsia="仿宋_GB2312" w:cs="Times New Roman"/>
          <w:kern w:val="0"/>
          <w:sz w:val="32"/>
          <w:szCs w:val="32"/>
          <w:highlight w:val="none"/>
          <w:lang w:val="en-US" w:eastAsia="zh-CN" w:bidi="ar-SA"/>
        </w:rPr>
        <w:t>万元，主要用于财政部门安排的事业单位基本医疗保险缴费经费，未参加医疗保险的事业单位的公费医疗经费，按国家规定享受离休人员待遇的医疗经费支出；</w:t>
      </w:r>
      <w:r>
        <w:rPr>
          <w:rFonts w:hint="default" w:ascii="Times New Roman" w:hAnsi="Times New Roman" w:eastAsia="仿宋_GB2312" w:cs="Times New Roman"/>
          <w:kern w:val="0"/>
          <w:sz w:val="32"/>
          <w:szCs w:val="32"/>
          <w:highlight w:val="none"/>
          <w:lang w:val="en-US" w:eastAsia="zh-CN" w:bidi="ar-SA"/>
        </w:rPr>
        <w:t>2101103</w:t>
      </w:r>
      <w:r>
        <w:rPr>
          <w:rFonts w:hint="eastAsia" w:ascii="Times New Roman" w:hAnsi="Times New Roman" w:eastAsia="仿宋_GB2312" w:cs="Times New Roman"/>
          <w:kern w:val="0"/>
          <w:sz w:val="32"/>
          <w:szCs w:val="32"/>
          <w:highlight w:val="none"/>
          <w:lang w:val="en-US" w:eastAsia="zh-CN" w:bidi="ar-SA"/>
        </w:rPr>
        <w:t>公务员医疗补助</w:t>
      </w:r>
      <w:r>
        <w:rPr>
          <w:rFonts w:hint="default" w:ascii="Times New Roman" w:hAnsi="Times New Roman" w:eastAsia="仿宋_GB2312" w:cs="Times New Roman"/>
          <w:kern w:val="0"/>
          <w:sz w:val="32"/>
          <w:szCs w:val="32"/>
          <w:highlight w:val="none"/>
          <w:lang w:val="en-US" w:eastAsia="zh-CN" w:bidi="ar-SA"/>
        </w:rPr>
        <w:t>113.86</w:t>
      </w:r>
      <w:r>
        <w:rPr>
          <w:rFonts w:hint="eastAsia" w:ascii="Times New Roman" w:hAnsi="Times New Roman" w:eastAsia="仿宋_GB2312" w:cs="Times New Roman"/>
          <w:kern w:val="0"/>
          <w:sz w:val="32"/>
          <w:szCs w:val="32"/>
          <w:highlight w:val="none"/>
          <w:lang w:val="en-US" w:eastAsia="zh-CN" w:bidi="ar-SA"/>
        </w:rPr>
        <w:t>万元，主要用于财政部门安排的公务员医疗补助经费；</w:t>
      </w:r>
      <w:r>
        <w:rPr>
          <w:rFonts w:hint="default" w:ascii="Times New Roman" w:hAnsi="Times New Roman" w:eastAsia="仿宋_GB2312" w:cs="Times New Roman"/>
          <w:kern w:val="0"/>
          <w:sz w:val="32"/>
          <w:szCs w:val="32"/>
          <w:highlight w:val="none"/>
          <w:lang w:val="en-US" w:eastAsia="zh-CN" w:bidi="ar-SA"/>
        </w:rPr>
        <w:t>2101199</w:t>
      </w:r>
      <w:r>
        <w:rPr>
          <w:rFonts w:hint="eastAsia" w:ascii="Times New Roman" w:hAnsi="Times New Roman" w:eastAsia="仿宋_GB2312" w:cs="Times New Roman"/>
          <w:kern w:val="0"/>
          <w:sz w:val="32"/>
          <w:szCs w:val="32"/>
          <w:highlight w:val="none"/>
          <w:lang w:val="en-US" w:eastAsia="zh-CN" w:bidi="ar-SA"/>
        </w:rPr>
        <w:t>其他行政事业单位医疗支出</w:t>
      </w:r>
      <w:r>
        <w:rPr>
          <w:rFonts w:hint="default" w:ascii="Times New Roman" w:hAnsi="Times New Roman" w:eastAsia="仿宋_GB2312" w:cs="Times New Roman"/>
          <w:kern w:val="0"/>
          <w:sz w:val="32"/>
          <w:szCs w:val="32"/>
          <w:highlight w:val="none"/>
          <w:lang w:val="en-US" w:eastAsia="zh-CN" w:bidi="ar-SA"/>
        </w:rPr>
        <w:t>7.84</w:t>
      </w:r>
      <w:r>
        <w:rPr>
          <w:rFonts w:hint="eastAsia" w:ascii="Times New Roman" w:hAnsi="Times New Roman" w:eastAsia="仿宋_GB2312" w:cs="Times New Roman"/>
          <w:kern w:val="0"/>
          <w:sz w:val="32"/>
          <w:szCs w:val="32"/>
          <w:highlight w:val="none"/>
          <w:lang w:val="en-US" w:eastAsia="zh-CN" w:bidi="ar-SA"/>
        </w:rPr>
        <w:t>万元，主要用于其他行政事业单位医疗方面的支出；</w:t>
      </w:r>
      <w:r>
        <w:rPr>
          <w:rFonts w:hint="default" w:ascii="Times New Roman" w:hAnsi="Times New Roman" w:eastAsia="仿宋_GB2312" w:cs="Times New Roman"/>
          <w:kern w:val="0"/>
          <w:sz w:val="32"/>
          <w:szCs w:val="32"/>
          <w:highlight w:val="none"/>
          <w:lang w:val="en-US" w:eastAsia="zh-CN" w:bidi="ar-SA"/>
        </w:rPr>
        <w:t>2120399</w:t>
      </w:r>
      <w:r>
        <w:rPr>
          <w:rFonts w:hint="eastAsia" w:ascii="Times New Roman" w:hAnsi="Times New Roman" w:eastAsia="仿宋_GB2312" w:cs="Times New Roman"/>
          <w:kern w:val="0"/>
          <w:sz w:val="32"/>
          <w:szCs w:val="32"/>
          <w:highlight w:val="none"/>
          <w:lang w:val="en-US" w:eastAsia="zh-CN" w:bidi="ar-SA"/>
        </w:rPr>
        <w:t>其他城乡社区公共设施支出</w:t>
      </w:r>
      <w:r>
        <w:rPr>
          <w:rFonts w:hint="default" w:ascii="Times New Roman" w:hAnsi="Times New Roman" w:eastAsia="仿宋_GB2312" w:cs="Times New Roman"/>
          <w:kern w:val="0"/>
          <w:sz w:val="32"/>
          <w:szCs w:val="32"/>
          <w:highlight w:val="none"/>
          <w:lang w:val="en-US" w:eastAsia="zh-CN" w:bidi="ar-SA"/>
        </w:rPr>
        <w:t>1,842</w:t>
      </w:r>
      <w:r>
        <w:rPr>
          <w:rFonts w:hint="eastAsia" w:ascii="Times New Roman" w:hAnsi="Times New Roman" w:eastAsia="仿宋_GB2312" w:cs="Times New Roman"/>
          <w:kern w:val="0"/>
          <w:sz w:val="32"/>
          <w:szCs w:val="32"/>
          <w:highlight w:val="none"/>
          <w:lang w:val="en-US" w:eastAsia="zh-CN" w:bidi="ar-SA"/>
        </w:rPr>
        <w:t>万元，主要用于其他用于城乡社区公共设施方面的支出；</w:t>
      </w:r>
      <w:r>
        <w:rPr>
          <w:rFonts w:hint="default" w:ascii="Times New Roman" w:hAnsi="Times New Roman" w:eastAsia="仿宋_GB2312" w:cs="Times New Roman"/>
          <w:kern w:val="0"/>
          <w:sz w:val="32"/>
          <w:szCs w:val="32"/>
          <w:highlight w:val="none"/>
          <w:lang w:val="en-US" w:eastAsia="zh-CN" w:bidi="ar-SA"/>
        </w:rPr>
        <w:t>2210201</w:t>
      </w:r>
      <w:r>
        <w:rPr>
          <w:rFonts w:hint="eastAsia" w:ascii="Times New Roman" w:hAnsi="Times New Roman" w:eastAsia="仿宋_GB2312" w:cs="Times New Roman"/>
          <w:kern w:val="0"/>
          <w:sz w:val="32"/>
          <w:szCs w:val="32"/>
          <w:highlight w:val="none"/>
          <w:lang w:val="en-US" w:eastAsia="zh-CN" w:bidi="ar-SA"/>
        </w:rPr>
        <w:t>住房公积金</w:t>
      </w:r>
      <w:r>
        <w:rPr>
          <w:rFonts w:hint="default" w:ascii="Times New Roman" w:hAnsi="Times New Roman" w:eastAsia="仿宋_GB2312" w:cs="Times New Roman"/>
          <w:kern w:val="0"/>
          <w:sz w:val="32"/>
          <w:szCs w:val="32"/>
          <w:highlight w:val="none"/>
          <w:lang w:val="en-US" w:eastAsia="zh-CN" w:bidi="ar-SA"/>
        </w:rPr>
        <w:t>182.99</w:t>
      </w:r>
      <w:r>
        <w:rPr>
          <w:rFonts w:hint="eastAsia" w:ascii="Times New Roman" w:hAnsi="Times New Roman" w:eastAsia="仿宋_GB2312" w:cs="Times New Roman"/>
          <w:kern w:val="0"/>
          <w:sz w:val="32"/>
          <w:szCs w:val="32"/>
          <w:highlight w:val="none"/>
          <w:lang w:val="en-US" w:eastAsia="zh-CN" w:bidi="ar-SA"/>
        </w:rPr>
        <w:t>万元，主要用于行政事业单位按人力资源和社会保障部、财政部规定的基本工资和津贴补贴以及规定比例为职工缴纳的住房公积金。</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3" w:firstLineChars="200"/>
        <w:jc w:val="both"/>
        <w:textAlignment w:val="auto"/>
        <w:outlineLvl w:val="9"/>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五、区对下专项转移支付情况</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昆明市盘龙区住房和城乡建设局无对下专项转移支付;无与中央配套事项 ;无按既定政策标准测算补助事项;无经济社会事业发展事项。</w:t>
      </w:r>
    </w:p>
    <w:p>
      <w:pPr>
        <w:widowControl/>
        <w:ind w:firstLine="643" w:firstLineChars="200"/>
        <w:jc w:val="left"/>
        <w:rPr>
          <w:rFonts w:hint="eastAsia" w:ascii="黑体" w:hAnsi="黑体" w:eastAsia="黑体" w:cs="黑体"/>
          <w:b/>
          <w:bCs/>
          <w:color w:val="auto"/>
          <w:kern w:val="0"/>
          <w:sz w:val="32"/>
          <w:szCs w:val="32"/>
        </w:rPr>
      </w:pPr>
      <w:r>
        <w:rPr>
          <w:rFonts w:hint="eastAsia" w:ascii="黑体" w:hAnsi="黑体" w:eastAsia="黑体" w:cs="黑体"/>
          <w:b/>
          <w:bCs/>
          <w:color w:val="auto"/>
          <w:kern w:val="0"/>
          <w:sz w:val="32"/>
          <w:szCs w:val="32"/>
        </w:rPr>
        <w:t>六、政府采购预算情况</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昆明市盘龙区住房和城乡建设局根据《中华人民共和国政府采购法》的有关规定，编制了政府采购预算，共涉及采购项目</w:t>
      </w:r>
      <w:r>
        <w:rPr>
          <w:rFonts w:hint="default" w:ascii="Times New Roman" w:hAnsi="Times New Roman" w:eastAsia="仿宋_GB2312" w:cs="Times New Roman"/>
          <w:kern w:val="0"/>
          <w:sz w:val="32"/>
          <w:szCs w:val="32"/>
          <w:highlight w:val="none"/>
          <w:lang w:val="en-US" w:eastAsia="zh-CN" w:bidi="ar-SA"/>
        </w:rPr>
        <w:t>3</w:t>
      </w:r>
      <w:r>
        <w:rPr>
          <w:rFonts w:hint="eastAsia" w:ascii="Times New Roman" w:hAnsi="Times New Roman" w:eastAsia="仿宋_GB2312" w:cs="Times New Roman"/>
          <w:kern w:val="0"/>
          <w:sz w:val="32"/>
          <w:szCs w:val="32"/>
          <w:highlight w:val="none"/>
          <w:lang w:val="en-US" w:eastAsia="zh-CN" w:bidi="ar-SA"/>
        </w:rPr>
        <w:t>个，政府采购预算总额</w:t>
      </w:r>
      <w:r>
        <w:rPr>
          <w:rFonts w:hint="default" w:ascii="Times New Roman" w:hAnsi="Times New Roman" w:eastAsia="仿宋_GB2312" w:cs="Times New Roman"/>
          <w:kern w:val="0"/>
          <w:sz w:val="32"/>
          <w:szCs w:val="32"/>
          <w:highlight w:val="none"/>
          <w:lang w:val="en-US" w:eastAsia="zh-CN" w:bidi="ar-SA"/>
        </w:rPr>
        <w:t>92.53</w:t>
      </w:r>
      <w:r>
        <w:rPr>
          <w:rFonts w:hint="eastAsia" w:ascii="Times New Roman" w:hAnsi="Times New Roman" w:eastAsia="仿宋_GB2312" w:cs="Times New Roman"/>
          <w:kern w:val="0"/>
          <w:sz w:val="32"/>
          <w:szCs w:val="32"/>
          <w:highlight w:val="none"/>
          <w:lang w:val="en-US" w:eastAsia="zh-CN" w:bidi="ar-SA"/>
        </w:rPr>
        <w:t>万元，其中：政府采购货物预算</w:t>
      </w:r>
      <w:r>
        <w:rPr>
          <w:rFonts w:hint="default" w:ascii="Times New Roman" w:hAnsi="Times New Roman" w:eastAsia="仿宋_GB2312" w:cs="Times New Roman"/>
          <w:kern w:val="0"/>
          <w:sz w:val="32"/>
          <w:szCs w:val="32"/>
          <w:highlight w:val="none"/>
          <w:lang w:val="en-US" w:eastAsia="zh-CN" w:bidi="ar-SA"/>
        </w:rPr>
        <w:t>0.73</w:t>
      </w:r>
      <w:r>
        <w:rPr>
          <w:rFonts w:hint="eastAsia" w:ascii="Times New Roman" w:hAnsi="Times New Roman" w:eastAsia="仿宋_GB2312" w:cs="Times New Roman"/>
          <w:kern w:val="0"/>
          <w:sz w:val="32"/>
          <w:szCs w:val="32"/>
          <w:highlight w:val="none"/>
          <w:lang w:val="en-US" w:eastAsia="zh-CN" w:bidi="ar-SA"/>
        </w:rPr>
        <w:t>万元、政府采购服务预算</w:t>
      </w:r>
      <w:r>
        <w:rPr>
          <w:rFonts w:hint="default" w:ascii="Times New Roman" w:hAnsi="Times New Roman" w:eastAsia="仿宋_GB2312" w:cs="Times New Roman"/>
          <w:kern w:val="0"/>
          <w:sz w:val="32"/>
          <w:szCs w:val="32"/>
          <w:highlight w:val="none"/>
          <w:lang w:val="en-US" w:eastAsia="zh-CN" w:bidi="ar-SA"/>
        </w:rPr>
        <w:t>91.8</w:t>
      </w:r>
      <w:r>
        <w:rPr>
          <w:rFonts w:hint="eastAsia" w:ascii="Times New Roman" w:hAnsi="Times New Roman" w:eastAsia="仿宋_GB2312" w:cs="Times New Roman"/>
          <w:kern w:val="0"/>
          <w:sz w:val="32"/>
          <w:szCs w:val="32"/>
          <w:highlight w:val="none"/>
          <w:lang w:val="en-US" w:eastAsia="zh-CN" w:bidi="ar-SA"/>
        </w:rPr>
        <w:t>万元、政府采购工程预算</w:t>
      </w:r>
      <w:r>
        <w:rPr>
          <w:rFonts w:hint="default" w:ascii="Times New Roman" w:hAnsi="Times New Roman" w:eastAsia="仿宋_GB2312" w:cs="Times New Roman"/>
          <w:kern w:val="0"/>
          <w:sz w:val="32"/>
          <w:szCs w:val="32"/>
          <w:highlight w:val="none"/>
          <w:lang w:val="en-US" w:eastAsia="zh-CN" w:bidi="ar-SA"/>
        </w:rPr>
        <w:t>0</w:t>
      </w:r>
      <w:r>
        <w:rPr>
          <w:rFonts w:hint="eastAsia" w:ascii="Times New Roman" w:hAnsi="Times New Roman" w:eastAsia="仿宋_GB2312" w:cs="Times New Roman"/>
          <w:kern w:val="0"/>
          <w:sz w:val="32"/>
          <w:szCs w:val="32"/>
          <w:highlight w:val="none"/>
          <w:lang w:val="en-US" w:eastAsia="zh-CN" w:bidi="ar-SA"/>
        </w:rPr>
        <w:t>万元。</w:t>
      </w:r>
    </w:p>
    <w:p>
      <w:pPr>
        <w:ind w:firstLine="643" w:firstLineChars="200"/>
        <w:rPr>
          <w:rFonts w:hint="eastAsia" w:ascii="黑体" w:hAnsi="黑体" w:eastAsia="黑体" w:cs="黑体"/>
          <w:color w:val="auto"/>
          <w:kern w:val="0"/>
          <w:sz w:val="32"/>
          <w:szCs w:val="32"/>
        </w:rPr>
      </w:pPr>
      <w:r>
        <w:rPr>
          <w:rFonts w:hint="eastAsia" w:ascii="黑体" w:hAnsi="黑体" w:eastAsia="黑体" w:cs="黑体"/>
          <w:b/>
          <w:bCs/>
          <w:color w:val="auto"/>
          <w:kern w:val="0"/>
          <w:sz w:val="32"/>
          <w:szCs w:val="32"/>
        </w:rPr>
        <w:t>七、部门“三公”经费增减变化情况及原因说明</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2023年一般公共预算财政拨款“三公”经费预算合计102.16万元，其中：昆明市盘龙区住房和城乡建设局（本级）2023年一般公共预算财政拨款“三公”经费预算合计33.2万元，昆明市盘龙区市政基础设施建设管理处</w:t>
      </w:r>
      <w:r>
        <w:rPr>
          <w:rFonts w:hint="default" w:ascii="Times New Roman" w:hAnsi="Times New Roman" w:eastAsia="仿宋_GB2312" w:cs="Times New Roman"/>
          <w:kern w:val="0"/>
          <w:sz w:val="32"/>
          <w:szCs w:val="32"/>
          <w:highlight w:val="none"/>
          <w:lang w:val="en-US" w:eastAsia="zh-CN" w:bidi="ar-SA"/>
        </w:rPr>
        <w:t>2023</w:t>
      </w:r>
      <w:r>
        <w:rPr>
          <w:rFonts w:hint="eastAsia" w:ascii="Times New Roman" w:hAnsi="Times New Roman" w:eastAsia="仿宋_GB2312" w:cs="Times New Roman"/>
          <w:kern w:val="0"/>
          <w:sz w:val="32"/>
          <w:szCs w:val="32"/>
          <w:highlight w:val="none"/>
          <w:lang w:val="en-US" w:eastAsia="zh-CN" w:bidi="ar-SA"/>
        </w:rPr>
        <w:t>年一般公共预算财政拨款</w:t>
      </w:r>
      <w:r>
        <w:rPr>
          <w:rFonts w:hint="default" w:ascii="Times New Roman" w:hAnsi="Times New Roman" w:eastAsia="仿宋_GB2312" w:cs="Times New Roman"/>
          <w:kern w:val="0"/>
          <w:sz w:val="32"/>
          <w:szCs w:val="32"/>
          <w:highlight w:val="none"/>
          <w:lang w:val="en-US" w:eastAsia="zh-CN" w:bidi="ar-SA"/>
        </w:rPr>
        <w:t>“</w:t>
      </w:r>
      <w:r>
        <w:rPr>
          <w:rFonts w:hint="eastAsia" w:ascii="Times New Roman" w:hAnsi="Times New Roman" w:eastAsia="仿宋_GB2312" w:cs="Times New Roman"/>
          <w:kern w:val="0"/>
          <w:sz w:val="32"/>
          <w:szCs w:val="32"/>
          <w:highlight w:val="none"/>
          <w:lang w:val="en-US" w:eastAsia="zh-CN" w:bidi="ar-SA"/>
        </w:rPr>
        <w:t>三公”经费预算合计</w:t>
      </w:r>
      <w:r>
        <w:rPr>
          <w:rFonts w:hint="default" w:ascii="Times New Roman" w:hAnsi="Times New Roman" w:eastAsia="仿宋_GB2312" w:cs="Times New Roman"/>
          <w:kern w:val="0"/>
          <w:sz w:val="32"/>
          <w:szCs w:val="32"/>
          <w:highlight w:val="none"/>
          <w:lang w:val="en-US" w:eastAsia="zh-CN" w:bidi="ar-SA"/>
        </w:rPr>
        <w:t>68.96</w:t>
      </w:r>
      <w:r>
        <w:rPr>
          <w:rFonts w:hint="eastAsia" w:ascii="Times New Roman" w:hAnsi="Times New Roman" w:eastAsia="仿宋_GB2312" w:cs="Times New Roman"/>
          <w:kern w:val="0"/>
          <w:sz w:val="32"/>
          <w:szCs w:val="32"/>
          <w:highlight w:val="none"/>
          <w:lang w:val="en-US" w:eastAsia="zh-CN" w:bidi="ar-SA"/>
        </w:rPr>
        <w:t>万元。</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昆明市盘龙区住房和城乡建设局（本级）2023年一般公共预算财政拨款“三公”经费预算合计33.2万元，与上年相比，上年预算合计27.92万元，较上年增加5.28万元，增长18.91</w:t>
      </w:r>
      <w:bookmarkStart w:id="0" w:name="_GoBack"/>
      <w:bookmarkEnd w:id="0"/>
      <w:r>
        <w:rPr>
          <w:rFonts w:hint="eastAsia" w:ascii="Times New Roman" w:hAnsi="Times New Roman" w:eastAsia="仿宋_GB2312" w:cs="Times New Roman"/>
          <w:kern w:val="0"/>
          <w:sz w:val="32"/>
          <w:szCs w:val="32"/>
          <w:highlight w:val="none"/>
          <w:lang w:val="en-US" w:eastAsia="zh-CN" w:bidi="ar-SA"/>
        </w:rPr>
        <w:t>%，具体变动情况如下：</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w:t>
      </w:r>
      <w:r>
        <w:rPr>
          <w:rFonts w:hint="eastAsia" w:ascii="楷体_GB2312" w:eastAsia="楷体_GB2312"/>
          <w:kern w:val="0"/>
          <w:sz w:val="32"/>
          <w:szCs w:val="32"/>
          <w:lang w:val="en-US" w:eastAsia="zh-CN"/>
        </w:rPr>
        <w:t>一</w:t>
      </w:r>
      <w:r>
        <w:rPr>
          <w:rFonts w:hint="eastAsia" w:ascii="楷体_GB2312" w:eastAsia="楷体_GB2312"/>
          <w:kern w:val="0"/>
          <w:sz w:val="32"/>
          <w:szCs w:val="32"/>
          <w:lang w:eastAsia="zh-CN"/>
        </w:rPr>
        <w:t>）因公出国（境）费</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昆明市盘龙区住房和城乡建设局（本级）部门2023年因公出国（境）费预算为0万元，较上年增加0万元，增长0%，共计安排因公出国（境）团组0个，因公出国（境）0人次。</w:t>
      </w: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昆明市盘龙区住房和城乡建设局（本级）2023年因公出国（境）费与上年相比无变化。</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（二）公务接待费</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昆明市盘龙区住房和城乡建设局（本级）2023年公务接待费预算为0万元，较上年增加0万元，增长0%，国内公务接待批次为0次，共计接待0人次。</w:t>
      </w:r>
    </w:p>
    <w:p>
      <w:pPr>
        <w:widowControl/>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昆明市盘龙区住房和城乡建设局（本级）2023年公务接待费与上年相比无变化。</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（三）公务用车购置及运行维护费</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本级）2023年公务用车购置及运行维护费为33.20万元，与上年相比，上年预算27.92万元，较上年增加5.28万元，增长18.91%。其中：公务用车购置费0万元，较上年增加0万元，增长0%；公务用车运行维护费33.2万元，较上年增加5.28万元，增长18.91%。共计购置公务用车0辆，年末公务用车保有量为2辆。</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增加变化原因：2022年新招录人员，经费按照人员数量标准测算，致使公务用车运行维护费增加。</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昆明市盘龙区市政基础设施建设管理处</w:t>
      </w:r>
      <w:r>
        <w:rPr>
          <w:rFonts w:hint="default" w:ascii="Times New Roman" w:hAnsi="Times New Roman" w:eastAsia="仿宋_GB2312" w:cs="Times New Roman"/>
          <w:kern w:val="0"/>
          <w:sz w:val="32"/>
          <w:szCs w:val="32"/>
          <w:highlight w:val="none"/>
          <w:lang w:val="en-US" w:eastAsia="zh-CN" w:bidi="ar-SA"/>
        </w:rPr>
        <w:t>2023</w:t>
      </w:r>
      <w:r>
        <w:rPr>
          <w:rFonts w:hint="eastAsia" w:ascii="Times New Roman" w:hAnsi="Times New Roman" w:eastAsia="仿宋_GB2312" w:cs="Times New Roman"/>
          <w:kern w:val="0"/>
          <w:sz w:val="32"/>
          <w:szCs w:val="32"/>
          <w:highlight w:val="none"/>
          <w:lang w:val="en-US" w:eastAsia="zh-CN" w:bidi="ar-SA"/>
        </w:rPr>
        <w:t>年一般公共预算财政拨款</w:t>
      </w:r>
      <w:r>
        <w:rPr>
          <w:rFonts w:hint="default" w:ascii="Times New Roman" w:hAnsi="Times New Roman" w:eastAsia="仿宋_GB2312" w:cs="Times New Roman"/>
          <w:kern w:val="0"/>
          <w:sz w:val="32"/>
          <w:szCs w:val="32"/>
          <w:highlight w:val="none"/>
          <w:lang w:val="en-US" w:eastAsia="zh-CN" w:bidi="ar-SA"/>
        </w:rPr>
        <w:t>“</w:t>
      </w:r>
      <w:r>
        <w:rPr>
          <w:rFonts w:hint="eastAsia" w:ascii="Times New Roman" w:hAnsi="Times New Roman" w:eastAsia="仿宋_GB2312" w:cs="Times New Roman"/>
          <w:kern w:val="0"/>
          <w:sz w:val="32"/>
          <w:szCs w:val="32"/>
          <w:highlight w:val="none"/>
          <w:lang w:val="en-US" w:eastAsia="zh-CN" w:bidi="ar-SA"/>
        </w:rPr>
        <w:t>三公”经费预算合计</w:t>
      </w:r>
      <w:r>
        <w:rPr>
          <w:rFonts w:hint="default" w:ascii="Times New Roman" w:hAnsi="Times New Roman" w:eastAsia="仿宋_GB2312" w:cs="Times New Roman"/>
          <w:kern w:val="0"/>
          <w:sz w:val="32"/>
          <w:szCs w:val="32"/>
          <w:highlight w:val="none"/>
          <w:lang w:val="en-US" w:eastAsia="zh-CN" w:bidi="ar-SA"/>
        </w:rPr>
        <w:t>68.96</w:t>
      </w:r>
      <w:r>
        <w:rPr>
          <w:rFonts w:hint="eastAsia" w:ascii="Times New Roman" w:hAnsi="Times New Roman" w:eastAsia="仿宋_GB2312" w:cs="Times New Roman"/>
          <w:kern w:val="0"/>
          <w:sz w:val="32"/>
          <w:szCs w:val="32"/>
          <w:highlight w:val="none"/>
          <w:lang w:val="en-US" w:eastAsia="zh-CN" w:bidi="ar-SA"/>
        </w:rPr>
        <w:t>万元，较上年增加</w:t>
      </w:r>
      <w:r>
        <w:rPr>
          <w:rFonts w:hint="default" w:ascii="Times New Roman" w:hAnsi="Times New Roman" w:eastAsia="仿宋_GB2312" w:cs="Times New Roman"/>
          <w:kern w:val="0"/>
          <w:sz w:val="32"/>
          <w:szCs w:val="32"/>
          <w:highlight w:val="none"/>
          <w:lang w:val="en-US" w:eastAsia="zh-CN" w:bidi="ar-SA"/>
        </w:rPr>
        <w:t>7.68</w:t>
      </w:r>
      <w:r>
        <w:rPr>
          <w:rFonts w:hint="eastAsia" w:ascii="Times New Roman" w:hAnsi="Times New Roman" w:eastAsia="仿宋_GB2312" w:cs="Times New Roman"/>
          <w:kern w:val="0"/>
          <w:sz w:val="32"/>
          <w:szCs w:val="32"/>
          <w:highlight w:val="none"/>
          <w:lang w:val="en-US" w:eastAsia="zh-CN" w:bidi="ar-SA"/>
        </w:rPr>
        <w:t>万元，增长</w:t>
      </w:r>
      <w:r>
        <w:rPr>
          <w:rFonts w:hint="default" w:ascii="Times New Roman" w:hAnsi="Times New Roman" w:eastAsia="仿宋_GB2312" w:cs="Times New Roman"/>
          <w:kern w:val="0"/>
          <w:sz w:val="32"/>
          <w:szCs w:val="32"/>
          <w:highlight w:val="none"/>
          <w:lang w:val="en-US" w:eastAsia="zh-CN" w:bidi="ar-SA"/>
        </w:rPr>
        <w:t>12.53%</w:t>
      </w:r>
      <w:r>
        <w:rPr>
          <w:rFonts w:hint="eastAsia" w:ascii="Times New Roman" w:hAnsi="Times New Roman" w:eastAsia="仿宋_GB2312" w:cs="Times New Roman"/>
          <w:kern w:val="0"/>
          <w:sz w:val="32"/>
          <w:szCs w:val="32"/>
          <w:highlight w:val="none"/>
          <w:lang w:val="en-US" w:eastAsia="zh-CN" w:bidi="ar-SA"/>
        </w:rPr>
        <w:t>，具体变动情况如下：</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（一）因公出国（境）费</w:t>
      </w:r>
    </w:p>
    <w:p>
      <w:pPr>
        <w:widowControl/>
        <w:ind w:firstLine="640" w:firstLineChars="200"/>
        <w:jc w:val="left"/>
        <w:rPr>
          <w:rFonts w:hint="eastAsia" w:ascii="仿宋_GB2312" w:hAnsi="仿宋_GB2312" w:eastAsia="仿宋_GB2312" w:cs="仿宋_GB2312"/>
          <w:sz w:val="32"/>
          <w:szCs w:val="32"/>
        </w:rPr>
      </w:pPr>
      <w:r>
        <w:rPr>
          <w:rFonts w:hint="eastAsia" w:ascii="Times New Roman" w:hAnsi="Times New Roman" w:eastAsia="仿宋_GB2312" w:cs="Times New Roman"/>
          <w:kern w:val="0"/>
          <w:sz w:val="32"/>
          <w:szCs w:val="32"/>
          <w:highlight w:val="none"/>
          <w:lang w:val="en-US" w:eastAsia="zh-CN" w:bidi="ar-SA"/>
        </w:rPr>
        <w:t>昆明市盘龙区市政基础设施建设管理处</w:t>
      </w:r>
      <w:r>
        <w:rPr>
          <w:rFonts w:hint="eastAsia" w:ascii="仿宋_GB2312" w:hAnsi="仿宋_GB2312" w:eastAsia="仿宋_GB2312" w:cs="仿宋_GB2312"/>
          <w:sz w:val="32"/>
          <w:szCs w:val="32"/>
        </w:rPr>
        <w:t>2023年因公出国（境）费预算为0万元，较上年增加0万元，增长0%，共计安排因公出国（境）团组0个，因公出国（境）0人次。</w:t>
      </w:r>
    </w:p>
    <w:p>
      <w:pPr>
        <w:widowControl/>
        <w:ind w:firstLine="640" w:firstLineChars="200"/>
        <w:jc w:val="left"/>
        <w:rPr>
          <w:rFonts w:hint="eastAsia"/>
        </w:rPr>
      </w:pPr>
      <w:r>
        <w:rPr>
          <w:rFonts w:hint="eastAsia" w:ascii="仿宋_GB2312" w:hAnsi="仿宋_GB2312" w:eastAsia="仿宋_GB2312" w:cs="仿宋_GB2312"/>
          <w:kern w:val="0"/>
          <w:sz w:val="32"/>
          <w:szCs w:val="32"/>
          <w:highlight w:val="none"/>
          <w:lang w:val="en-US" w:eastAsia="zh-CN" w:bidi="ar-SA"/>
        </w:rPr>
        <w:t>昆明市盘龙区市政基础设施建设管理处</w:t>
      </w:r>
      <w:r>
        <w:rPr>
          <w:rFonts w:hint="eastAsia" w:ascii="仿宋_GB2312" w:hAnsi="仿宋_GB2312" w:eastAsia="仿宋_GB2312" w:cs="仿宋_GB2312"/>
          <w:sz w:val="32"/>
          <w:szCs w:val="32"/>
        </w:rPr>
        <w:t>2023年因公出国（境）费与上年相比无变化。</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（二）公务接待费</w:t>
      </w:r>
    </w:p>
    <w:p>
      <w:pPr>
        <w:pStyle w:val="2"/>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昆明市盘龙区市政基础设施建设管理处</w:t>
      </w:r>
      <w:r>
        <w:rPr>
          <w:rFonts w:hint="eastAsia" w:ascii="仿宋_GB2312" w:hAnsi="仿宋_GB2312" w:eastAsia="仿宋_GB2312" w:cs="仿宋_GB2312"/>
          <w:sz w:val="32"/>
          <w:szCs w:val="32"/>
        </w:rPr>
        <w:t>2023年公务接待费预算为0万元，较上年增加0万元，增长0%，</w:t>
      </w:r>
      <w:r>
        <w:rPr>
          <w:rFonts w:hint="eastAsia" w:ascii="仿宋_GB2312" w:hAnsi="仿宋_GB2312" w:eastAsia="仿宋_GB2312" w:cs="仿宋_GB2312"/>
          <w:kern w:val="0"/>
          <w:sz w:val="32"/>
          <w:szCs w:val="32"/>
          <w:highlight w:val="none"/>
          <w:lang w:val="en-US" w:eastAsia="zh-CN" w:bidi="ar-SA"/>
        </w:rPr>
        <w:t>国内公务接待批次为0次，共计接待0人次。</w:t>
      </w:r>
    </w:p>
    <w:p>
      <w:pPr>
        <w:widowControl/>
        <w:ind w:firstLine="640" w:firstLineChars="200"/>
        <w:jc w:val="left"/>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昆明市盘龙区市政基础设施建设管理处</w:t>
      </w:r>
      <w:r>
        <w:rPr>
          <w:rFonts w:hint="eastAsia" w:ascii="仿宋_GB2312" w:hAnsi="仿宋_GB2312" w:eastAsia="仿宋_GB2312" w:cs="仿宋_GB2312"/>
          <w:sz w:val="32"/>
          <w:szCs w:val="32"/>
        </w:rPr>
        <w:t>2023年公务接待费与上年相比无变化。</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（三）公务用车购置及运行维护费</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昆明市盘龙区市政基础设施建设管理处</w:t>
      </w:r>
      <w:r>
        <w:rPr>
          <w:rFonts w:hint="default" w:ascii="Times New Roman" w:hAnsi="Times New Roman" w:eastAsia="仿宋_GB2312" w:cs="Times New Roman"/>
          <w:kern w:val="0"/>
          <w:sz w:val="32"/>
          <w:szCs w:val="32"/>
          <w:highlight w:val="none"/>
          <w:lang w:val="en-US" w:eastAsia="zh-CN" w:bidi="ar-SA"/>
        </w:rPr>
        <w:t>2023</w:t>
      </w:r>
      <w:r>
        <w:rPr>
          <w:rFonts w:hint="eastAsia" w:ascii="Times New Roman" w:hAnsi="Times New Roman" w:eastAsia="仿宋_GB2312" w:cs="Times New Roman"/>
          <w:kern w:val="0"/>
          <w:sz w:val="32"/>
          <w:szCs w:val="32"/>
          <w:highlight w:val="none"/>
          <w:lang w:val="en-US" w:eastAsia="zh-CN" w:bidi="ar-SA"/>
        </w:rPr>
        <w:t>年公务用车购置及运行维护费为</w:t>
      </w:r>
      <w:r>
        <w:rPr>
          <w:rFonts w:hint="default" w:ascii="Times New Roman" w:hAnsi="Times New Roman" w:eastAsia="仿宋_GB2312" w:cs="Times New Roman"/>
          <w:kern w:val="0"/>
          <w:sz w:val="32"/>
          <w:szCs w:val="32"/>
          <w:highlight w:val="none"/>
          <w:lang w:val="en-US" w:eastAsia="zh-CN" w:bidi="ar-SA"/>
        </w:rPr>
        <w:t>68.96</w:t>
      </w:r>
      <w:r>
        <w:rPr>
          <w:rFonts w:hint="eastAsia" w:ascii="Times New Roman" w:hAnsi="Times New Roman" w:eastAsia="仿宋_GB2312" w:cs="Times New Roman"/>
          <w:kern w:val="0"/>
          <w:sz w:val="32"/>
          <w:szCs w:val="32"/>
          <w:highlight w:val="none"/>
          <w:lang w:val="en-US" w:eastAsia="zh-CN" w:bidi="ar-SA"/>
        </w:rPr>
        <w:t>万元，较上年增加</w:t>
      </w:r>
      <w:r>
        <w:rPr>
          <w:rFonts w:hint="default" w:ascii="Times New Roman" w:hAnsi="Times New Roman" w:eastAsia="仿宋_GB2312" w:cs="Times New Roman"/>
          <w:kern w:val="0"/>
          <w:sz w:val="32"/>
          <w:szCs w:val="32"/>
          <w:highlight w:val="none"/>
          <w:lang w:val="en-US" w:eastAsia="zh-CN" w:bidi="ar-SA"/>
        </w:rPr>
        <w:t>7.68</w:t>
      </w:r>
      <w:r>
        <w:rPr>
          <w:rFonts w:hint="eastAsia" w:ascii="Times New Roman" w:hAnsi="Times New Roman" w:eastAsia="仿宋_GB2312" w:cs="Times New Roman"/>
          <w:kern w:val="0"/>
          <w:sz w:val="32"/>
          <w:szCs w:val="32"/>
          <w:highlight w:val="none"/>
          <w:lang w:val="en-US" w:eastAsia="zh-CN" w:bidi="ar-SA"/>
        </w:rPr>
        <w:t>万元，增长</w:t>
      </w:r>
      <w:r>
        <w:rPr>
          <w:rFonts w:hint="default" w:ascii="Times New Roman" w:hAnsi="Times New Roman" w:eastAsia="仿宋_GB2312" w:cs="Times New Roman"/>
          <w:kern w:val="0"/>
          <w:sz w:val="32"/>
          <w:szCs w:val="32"/>
          <w:highlight w:val="none"/>
          <w:lang w:val="en-US" w:eastAsia="zh-CN" w:bidi="ar-SA"/>
        </w:rPr>
        <w:t>12.53%</w:t>
      </w:r>
      <w:r>
        <w:rPr>
          <w:rFonts w:hint="eastAsia" w:ascii="Times New Roman" w:hAnsi="Times New Roman" w:eastAsia="仿宋_GB2312" w:cs="Times New Roman"/>
          <w:kern w:val="0"/>
          <w:sz w:val="32"/>
          <w:szCs w:val="32"/>
          <w:highlight w:val="none"/>
          <w:lang w:val="en-US" w:eastAsia="zh-CN" w:bidi="ar-SA"/>
        </w:rPr>
        <w:t>。其中：公务用车购置费</w:t>
      </w:r>
      <w:r>
        <w:rPr>
          <w:rFonts w:hint="default" w:ascii="Times New Roman" w:hAnsi="Times New Roman" w:eastAsia="仿宋_GB2312" w:cs="Times New Roman"/>
          <w:kern w:val="0"/>
          <w:sz w:val="32"/>
          <w:szCs w:val="32"/>
          <w:highlight w:val="none"/>
          <w:lang w:val="en-US" w:eastAsia="zh-CN" w:bidi="ar-SA"/>
        </w:rPr>
        <w:t>0</w:t>
      </w:r>
      <w:r>
        <w:rPr>
          <w:rFonts w:hint="eastAsia" w:ascii="Times New Roman" w:hAnsi="Times New Roman" w:eastAsia="仿宋_GB2312" w:cs="Times New Roman"/>
          <w:kern w:val="0"/>
          <w:sz w:val="32"/>
          <w:szCs w:val="32"/>
          <w:highlight w:val="none"/>
          <w:lang w:val="en-US" w:eastAsia="zh-CN" w:bidi="ar-SA"/>
        </w:rPr>
        <w:t>万元，较上年增加</w:t>
      </w:r>
      <w:r>
        <w:rPr>
          <w:rFonts w:hint="default" w:ascii="Times New Roman" w:hAnsi="Times New Roman" w:eastAsia="仿宋_GB2312" w:cs="Times New Roman"/>
          <w:kern w:val="0"/>
          <w:sz w:val="32"/>
          <w:szCs w:val="32"/>
          <w:highlight w:val="none"/>
          <w:lang w:val="en-US" w:eastAsia="zh-CN" w:bidi="ar-SA"/>
        </w:rPr>
        <w:t>0</w:t>
      </w:r>
      <w:r>
        <w:rPr>
          <w:rFonts w:hint="eastAsia" w:ascii="Times New Roman" w:hAnsi="Times New Roman" w:eastAsia="仿宋_GB2312" w:cs="Times New Roman"/>
          <w:kern w:val="0"/>
          <w:sz w:val="32"/>
          <w:szCs w:val="32"/>
          <w:highlight w:val="none"/>
          <w:lang w:val="en-US" w:eastAsia="zh-CN" w:bidi="ar-SA"/>
        </w:rPr>
        <w:t>万元，增长</w:t>
      </w:r>
      <w:r>
        <w:rPr>
          <w:rFonts w:hint="default" w:ascii="Times New Roman" w:hAnsi="Times New Roman" w:eastAsia="仿宋_GB2312" w:cs="Times New Roman"/>
          <w:kern w:val="0"/>
          <w:sz w:val="32"/>
          <w:szCs w:val="32"/>
          <w:highlight w:val="none"/>
          <w:lang w:val="en-US" w:eastAsia="zh-CN" w:bidi="ar-SA"/>
        </w:rPr>
        <w:t>0%</w:t>
      </w:r>
      <w:r>
        <w:rPr>
          <w:rFonts w:hint="eastAsia" w:ascii="Times New Roman" w:hAnsi="Times New Roman" w:eastAsia="仿宋_GB2312" w:cs="Times New Roman"/>
          <w:kern w:val="0"/>
          <w:sz w:val="32"/>
          <w:szCs w:val="32"/>
          <w:highlight w:val="none"/>
          <w:lang w:val="en-US" w:eastAsia="zh-CN" w:bidi="ar-SA"/>
        </w:rPr>
        <w:t>；公务用车运行维护费</w:t>
      </w:r>
      <w:r>
        <w:rPr>
          <w:rFonts w:hint="default" w:ascii="Times New Roman" w:hAnsi="Times New Roman" w:eastAsia="仿宋_GB2312" w:cs="Times New Roman"/>
          <w:kern w:val="0"/>
          <w:sz w:val="32"/>
          <w:szCs w:val="32"/>
          <w:highlight w:val="none"/>
          <w:lang w:val="en-US" w:eastAsia="zh-CN" w:bidi="ar-SA"/>
        </w:rPr>
        <w:t>68.96</w:t>
      </w:r>
      <w:r>
        <w:rPr>
          <w:rFonts w:hint="eastAsia" w:ascii="Times New Roman" w:hAnsi="Times New Roman" w:eastAsia="仿宋_GB2312" w:cs="Times New Roman"/>
          <w:kern w:val="0"/>
          <w:sz w:val="32"/>
          <w:szCs w:val="32"/>
          <w:highlight w:val="none"/>
          <w:lang w:val="en-US" w:eastAsia="zh-CN" w:bidi="ar-SA"/>
        </w:rPr>
        <w:t>万元，较上年增加</w:t>
      </w:r>
      <w:r>
        <w:rPr>
          <w:rFonts w:hint="default" w:ascii="Times New Roman" w:hAnsi="Times New Roman" w:eastAsia="仿宋_GB2312" w:cs="Times New Roman"/>
          <w:kern w:val="0"/>
          <w:sz w:val="32"/>
          <w:szCs w:val="32"/>
          <w:highlight w:val="none"/>
          <w:lang w:val="en-US" w:eastAsia="zh-CN" w:bidi="ar-SA"/>
        </w:rPr>
        <w:t>7.68</w:t>
      </w:r>
      <w:r>
        <w:rPr>
          <w:rFonts w:hint="eastAsia" w:ascii="Times New Roman" w:hAnsi="Times New Roman" w:eastAsia="仿宋_GB2312" w:cs="Times New Roman"/>
          <w:kern w:val="0"/>
          <w:sz w:val="32"/>
          <w:szCs w:val="32"/>
          <w:highlight w:val="none"/>
          <w:lang w:val="en-US" w:eastAsia="zh-CN" w:bidi="ar-SA"/>
        </w:rPr>
        <w:t>万元，增长</w:t>
      </w:r>
      <w:r>
        <w:rPr>
          <w:rFonts w:hint="default" w:ascii="Times New Roman" w:hAnsi="Times New Roman" w:eastAsia="仿宋_GB2312" w:cs="Times New Roman"/>
          <w:kern w:val="0"/>
          <w:sz w:val="32"/>
          <w:szCs w:val="32"/>
          <w:highlight w:val="none"/>
          <w:lang w:val="en-US" w:eastAsia="zh-CN" w:bidi="ar-SA"/>
        </w:rPr>
        <w:t>12.53%</w:t>
      </w:r>
      <w:r>
        <w:rPr>
          <w:rFonts w:hint="eastAsia" w:ascii="Times New Roman" w:hAnsi="Times New Roman" w:eastAsia="仿宋_GB2312" w:cs="Times New Roman"/>
          <w:kern w:val="0"/>
          <w:sz w:val="32"/>
          <w:szCs w:val="32"/>
          <w:highlight w:val="none"/>
          <w:lang w:val="en-US" w:eastAsia="zh-CN" w:bidi="ar-SA"/>
        </w:rPr>
        <w:t>。共计购置公务用车</w:t>
      </w:r>
      <w:r>
        <w:rPr>
          <w:rFonts w:hint="default" w:ascii="Times New Roman" w:hAnsi="Times New Roman" w:eastAsia="仿宋_GB2312" w:cs="Times New Roman"/>
          <w:kern w:val="0"/>
          <w:sz w:val="32"/>
          <w:szCs w:val="32"/>
          <w:highlight w:val="none"/>
          <w:lang w:val="en-US" w:eastAsia="zh-CN" w:bidi="ar-SA"/>
        </w:rPr>
        <w:t>0</w:t>
      </w:r>
      <w:r>
        <w:rPr>
          <w:rFonts w:hint="eastAsia" w:ascii="Times New Roman" w:hAnsi="Times New Roman" w:eastAsia="仿宋_GB2312" w:cs="Times New Roman"/>
          <w:kern w:val="0"/>
          <w:sz w:val="32"/>
          <w:szCs w:val="32"/>
          <w:highlight w:val="none"/>
          <w:lang w:val="en-US" w:eastAsia="zh-CN" w:bidi="ar-SA"/>
        </w:rPr>
        <w:t>辆，年末公务用车保有量为</w:t>
      </w:r>
      <w:r>
        <w:rPr>
          <w:rFonts w:hint="default" w:ascii="Times New Roman" w:hAnsi="Times New Roman" w:eastAsia="仿宋_GB2312" w:cs="Times New Roman"/>
          <w:kern w:val="0"/>
          <w:sz w:val="32"/>
          <w:szCs w:val="32"/>
          <w:highlight w:val="none"/>
          <w:lang w:val="en-US" w:eastAsia="zh-CN" w:bidi="ar-SA"/>
        </w:rPr>
        <w:t>8</w:t>
      </w:r>
      <w:r>
        <w:rPr>
          <w:rFonts w:hint="eastAsia" w:ascii="Times New Roman" w:hAnsi="Times New Roman" w:eastAsia="仿宋_GB2312" w:cs="Times New Roman"/>
          <w:kern w:val="0"/>
          <w:sz w:val="32"/>
          <w:szCs w:val="32"/>
          <w:highlight w:val="none"/>
          <w:lang w:val="en-US" w:eastAsia="zh-CN" w:bidi="ar-SA"/>
        </w:rPr>
        <w:t>辆（均为生产用车）。</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增减变化原因：单位新招录</w:t>
      </w:r>
      <w:r>
        <w:rPr>
          <w:rFonts w:hint="default" w:ascii="Times New Roman" w:hAnsi="Times New Roman" w:eastAsia="仿宋_GB2312" w:cs="Times New Roman"/>
          <w:kern w:val="0"/>
          <w:sz w:val="32"/>
          <w:szCs w:val="32"/>
          <w:highlight w:val="none"/>
          <w:lang w:val="en-US" w:eastAsia="zh-CN" w:bidi="ar-SA"/>
        </w:rPr>
        <w:t>20</w:t>
      </w:r>
      <w:r>
        <w:rPr>
          <w:rFonts w:hint="eastAsia" w:ascii="Times New Roman" w:hAnsi="Times New Roman" w:eastAsia="仿宋_GB2312" w:cs="Times New Roman"/>
          <w:kern w:val="0"/>
          <w:sz w:val="32"/>
          <w:szCs w:val="32"/>
          <w:highlight w:val="none"/>
          <w:lang w:val="en-US" w:eastAsia="zh-CN" w:bidi="ar-SA"/>
        </w:rPr>
        <w:t>人，退休</w:t>
      </w:r>
      <w:r>
        <w:rPr>
          <w:rFonts w:hint="default" w:ascii="Times New Roman" w:hAnsi="Times New Roman" w:eastAsia="仿宋_GB2312" w:cs="Times New Roman"/>
          <w:kern w:val="0"/>
          <w:sz w:val="32"/>
          <w:szCs w:val="32"/>
          <w:highlight w:val="none"/>
          <w:lang w:val="en-US" w:eastAsia="zh-CN" w:bidi="ar-SA"/>
        </w:rPr>
        <w:t>7</w:t>
      </w:r>
      <w:r>
        <w:rPr>
          <w:rFonts w:hint="eastAsia" w:ascii="Times New Roman" w:hAnsi="Times New Roman" w:eastAsia="仿宋_GB2312" w:cs="Times New Roman"/>
          <w:kern w:val="0"/>
          <w:sz w:val="32"/>
          <w:szCs w:val="32"/>
          <w:highlight w:val="none"/>
          <w:lang w:val="en-US" w:eastAsia="zh-CN" w:bidi="ar-SA"/>
        </w:rPr>
        <w:t>人，人员变动导致公务用车定额包干经费相应增加</w:t>
      </w:r>
      <w:r>
        <w:rPr>
          <w:rFonts w:hint="default" w:ascii="Times New Roman" w:hAnsi="Times New Roman" w:eastAsia="仿宋_GB2312" w:cs="Times New Roman"/>
          <w:kern w:val="0"/>
          <w:sz w:val="32"/>
          <w:szCs w:val="32"/>
          <w:highlight w:val="none"/>
          <w:lang w:val="en-US" w:eastAsia="zh-CN" w:bidi="ar-SA"/>
        </w:rPr>
        <w:t>7.68</w:t>
      </w:r>
      <w:r>
        <w:rPr>
          <w:rFonts w:hint="eastAsia" w:ascii="Times New Roman" w:hAnsi="Times New Roman" w:eastAsia="仿宋_GB2312" w:cs="Times New Roman"/>
          <w:kern w:val="0"/>
          <w:sz w:val="32"/>
          <w:szCs w:val="32"/>
          <w:highlight w:val="none"/>
          <w:lang w:val="en-US" w:eastAsia="zh-CN" w:bidi="ar-SA"/>
        </w:rPr>
        <w:t>万元。</w:t>
      </w:r>
    </w:p>
    <w:p>
      <w:pPr>
        <w:widowControl/>
        <w:numPr>
          <w:ilvl w:val="0"/>
          <w:numId w:val="1"/>
        </w:numPr>
        <w:ind w:left="420" w:leftChars="200"/>
        <w:jc w:val="left"/>
        <w:rPr>
          <w:rFonts w:hint="eastAsia"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rPr>
        <w:t>重点项目预算绩效目标情况</w:t>
      </w:r>
    </w:p>
    <w:p>
      <w:pPr>
        <w:snapToGrid w:val="0"/>
        <w:spacing w:line="560" w:lineRule="exact"/>
        <w:ind w:firstLine="640" w:firstLineChars="200"/>
        <w:jc w:val="both"/>
        <w:rPr>
          <w:rFonts w:hint="eastAsia" w:ascii="楷体_GB2312" w:hAnsi="楷体_GB2312" w:eastAsia="楷体_GB2312" w:cs="楷体_GB2312"/>
          <w:spacing w:val="14"/>
          <w:sz w:val="32"/>
          <w:szCs w:val="32"/>
        </w:rPr>
      </w:pPr>
      <w:r>
        <w:rPr>
          <w:rFonts w:hint="eastAsia" w:ascii="楷体_GB2312" w:eastAsia="楷体_GB2312"/>
          <w:kern w:val="0"/>
          <w:sz w:val="32"/>
          <w:szCs w:val="32"/>
          <w:lang w:eastAsia="zh-CN"/>
        </w:rPr>
        <w:t>（一）</w:t>
      </w:r>
      <w:r>
        <w:rPr>
          <w:rFonts w:hint="eastAsia" w:ascii="楷体_GB2312" w:eastAsia="楷体_GB2312"/>
          <w:kern w:val="0"/>
          <w:sz w:val="32"/>
          <w:szCs w:val="32"/>
          <w:lang w:val="en-US" w:eastAsia="zh-CN"/>
        </w:rPr>
        <w:t>2023年</w:t>
      </w:r>
      <w:r>
        <w:rPr>
          <w:rFonts w:hint="eastAsia" w:ascii="楷体_GB2312" w:hAnsi="楷体_GB2312" w:eastAsia="楷体_GB2312" w:cs="楷体_GB2312"/>
          <w:spacing w:val="14"/>
          <w:sz w:val="32"/>
          <w:szCs w:val="32"/>
        </w:rPr>
        <w:t>道桥维修养护项目</w:t>
      </w:r>
    </w:p>
    <w:p>
      <w:pPr>
        <w:pStyle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城镇道路养护技术规范》、《城市桥梁养护技术标准》等法规及我处现管养城市道路桥梁设施现状，并结合近年来省、市、区的统一部署，全力配合我区市政基础设施的工作要求，城市井盖紧急处置、城市道路空洞检测处置、涉及职能工作的舆情处置等超出日常维护计划外的临时性工作任务具有突发性、临时性、时效性、特殊性，认真对标职能工作积极找短板，补漏洞，制定专项工作方案，及时消除安全隐患，确保辖区内的道路桥梁设施完好，畅通。</w:t>
      </w:r>
    </w:p>
    <w:p>
      <w:pPr>
        <w:pStyle w:val="2"/>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提高城市桥梁的养护水平，保障辖区内的城市桥梁完好和安全运行，每年需对管养的桥梁进行安全检测，2023年计划对铂金大道桥（云南印象）、北部客运站桥、凤凰河桥、北京路延长线1号桥、北京路延长线2号桥、北京路延长线3号桥、白沙河1号桥（寺瓦路）、白沙河2号桥、白沙河3号桥、白沙河4号桥、消防通道桥、世博路桥、东三环景泰街口人行天桥、北站下穿隧道、董家湾地下通道共15座桥梁进行外观，动、静载实验。通过检测，对辖区桥梁设施进行病害分析并及时发现问题，找出维护重点，制定专项方案进行养护。</w:t>
      </w:r>
    </w:p>
    <w:p>
      <w:pPr>
        <w:pStyle w:val="2"/>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根据《中华人民共和国特种设备安全法》、《自动扶梯和自动人行道的制造与安装安全规范》GB16899、《电梯制造与安装规范》GB7588、《电梯使用管理与维护保养》TSGT5001、《昆明市盘龙区市政基础设施建设管理处人行天桥电梯管理细则》等文件要求，结合我处实际情况，为加强城市人行天桥电梯的维保工作，提高城市天桥电梯的维保水平，保障辖区内的城市人行天桥电梯完好和安全运行，2022年计划对沣源路龙头街地铁站过街人行天桥、农大西校区沣源路过街人行天桥共4部电梯进行维保，确保电梯安全、正常运行。</w:t>
      </w:r>
    </w:p>
    <w:p>
      <w:pPr>
        <w:numPr>
          <w:ilvl w:val="0"/>
          <w:numId w:val="2"/>
        </w:numPr>
        <w:spacing w:line="560" w:lineRule="exact"/>
        <w:ind w:left="-220" w:leftChars="0" w:firstLine="640" w:firstLineChars="0"/>
        <w:jc w:val="both"/>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保障性住房租赁补贴专项资金预算项目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实际出发，本着以人为本原则，持续推进保障性住房租赁补贴发放工作，切实把保障工作作为重要的民生大事来抓。通过对本辖区范围内住房困难的低保家庭符合领取租赁补贴的人员发放保障性住房租赁补贴，更加完成城镇住房保障制度，解决城镇最低收入家庭的住房困难问题，以货币化保障手段更好地补充实物配租，切实提高本辖区内最低收入家庭的生活品质，更加完善住房保障方式，提升服务水平，努力做到应保尽保，确保社会安全稳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继续对本辖区范围内住房困难的低保家庭符合领取租赁补贴的人员，严格按照租赁补贴申请、审核、公示和发放等规定积极开展工作，切实做好我区低保家庭承租保障性住房租赁补发放工作，确保补贴金额按季度及时发放，努力实现年度应发进度，实现计划绩效目标考核要求，做到应保尽保。</w:t>
      </w:r>
    </w:p>
    <w:p>
      <w:pPr>
        <w:pStyle w:val="2"/>
        <w:numPr>
          <w:ilvl w:val="0"/>
          <w:numId w:val="2"/>
        </w:numPr>
        <w:ind w:left="-220" w:leftChars="0" w:firstLine="640" w:firstLineChars="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防震减灾</w:t>
      </w:r>
      <w:r>
        <w:rPr>
          <w:rFonts w:hint="eastAsia" w:ascii="楷体_GB2312" w:hAnsi="楷体_GB2312" w:eastAsia="楷体_GB2312" w:cs="楷体_GB2312"/>
          <w:sz w:val="32"/>
          <w:szCs w:val="32"/>
          <w:lang w:val="en-US" w:eastAsia="zh-CN"/>
        </w:rPr>
        <w:t>专项资金</w:t>
      </w:r>
    </w:p>
    <w:p>
      <w:pPr>
        <w:widowControl/>
        <w:ind w:firstLine="640" w:firstLineChars="200"/>
        <w:jc w:val="both"/>
        <w:rPr>
          <w:rFonts w:hint="eastAsia" w:ascii="楷体_GB2312" w:hAnsi="楷体_GB2312" w:eastAsia="楷体_GB2312" w:cs="楷体_GB2312"/>
          <w:sz w:val="32"/>
          <w:szCs w:val="32"/>
          <w:lang w:val="en-US" w:eastAsia="zh-CN"/>
        </w:rPr>
      </w:pPr>
      <w:r>
        <w:rPr>
          <w:rFonts w:hint="eastAsia" w:ascii="仿宋_GB2312" w:hAnsi="宋体" w:eastAsia="仿宋_GB2312"/>
          <w:sz w:val="32"/>
          <w:szCs w:val="32"/>
        </w:rPr>
        <w:t>以最大限度防御和减轻地震灾害为宗旨，</w:t>
      </w:r>
      <w:r>
        <w:rPr>
          <w:rFonts w:hint="eastAsia" w:ascii="仿宋_GB2312" w:eastAsia="仿宋_GB2312"/>
          <w:sz w:val="32"/>
          <w:szCs w:val="32"/>
        </w:rPr>
        <w:t>统筹资金，加大防震减灾经费投入，</w:t>
      </w:r>
      <w:r>
        <w:rPr>
          <w:rFonts w:hint="eastAsia" w:ascii="仿宋_GB2312" w:hAnsi="宋体" w:eastAsia="仿宋_GB2312"/>
          <w:sz w:val="32"/>
          <w:szCs w:val="32"/>
        </w:rPr>
        <w:t>推进地震监测预报、震灾防御、应急救援、法规宣传四大工作体系建设</w:t>
      </w:r>
      <w:r>
        <w:rPr>
          <w:rFonts w:hint="eastAsia" w:ascii="仿宋_GB2312" w:hAnsi="宋体" w:eastAsia="仿宋_GB2312"/>
          <w:sz w:val="32"/>
          <w:szCs w:val="32"/>
          <w:lang w:eastAsia="zh-CN"/>
        </w:rPr>
        <w:t>，</w:t>
      </w:r>
      <w:r>
        <w:rPr>
          <w:rFonts w:hint="eastAsia" w:ascii="仿宋_GB2312" w:eastAsia="仿宋_GB2312"/>
          <w:sz w:val="32"/>
          <w:szCs w:val="32"/>
        </w:rPr>
        <w:t>确保全区防震减灾主要任务落实和重点建设项目实施到位</w:t>
      </w:r>
      <w:r>
        <w:rPr>
          <w:rFonts w:hint="eastAsia" w:ascii="仿宋_GB2312" w:hAnsi="宋体" w:eastAsia="仿宋_GB2312"/>
          <w:sz w:val="32"/>
          <w:szCs w:val="32"/>
        </w:rPr>
        <w:t>。</w:t>
      </w:r>
    </w:p>
    <w:p>
      <w:pPr>
        <w:numPr>
          <w:ilvl w:val="0"/>
          <w:numId w:val="2"/>
        </w:numPr>
        <w:snapToGrid w:val="0"/>
        <w:spacing w:line="570" w:lineRule="exact"/>
        <w:ind w:left="-220" w:leftChars="0" w:firstLine="640" w:firstLineChars="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昆明市</w:t>
      </w:r>
      <w:r>
        <w:rPr>
          <w:rFonts w:hint="eastAsia" w:ascii="楷体_GB2312" w:hAnsi="楷体_GB2312" w:eastAsia="楷体_GB2312" w:cs="楷体_GB2312"/>
          <w:sz w:val="32"/>
          <w:szCs w:val="32"/>
        </w:rPr>
        <w:t>建筑工程远程视频监控管理平台系统盘龙区二级平台项目</w:t>
      </w:r>
    </w:p>
    <w:p>
      <w:pPr>
        <w:spacing w:line="560" w:lineRule="exact"/>
        <w:ind w:firstLine="600" w:firstLineChars="200"/>
        <w:rPr>
          <w:rFonts w:eastAsia="仿宋_GB2312"/>
          <w:kern w:val="0"/>
          <w:sz w:val="30"/>
          <w:szCs w:val="30"/>
        </w:rPr>
      </w:pPr>
      <w:r>
        <w:rPr>
          <w:rFonts w:hint="eastAsia" w:eastAsia="仿宋_GB2312"/>
          <w:kern w:val="0"/>
          <w:sz w:val="30"/>
          <w:szCs w:val="30"/>
        </w:rPr>
        <w:t>针对目前安全监管和防范手段相对落后，全国建筑施工企业信息化水平仍较低，信息化尚未深度融入安全生产核心业务的现状，利用信息化对建筑施工安全生产进行“智能化”监管。</w:t>
      </w:r>
    </w:p>
    <w:p>
      <w:pPr>
        <w:pStyle w:val="2"/>
        <w:rPr>
          <w:rFonts w:hint="default" w:ascii="Times New Roman" w:hAnsi="Times New Roman" w:eastAsia="仿宋_GB2312" w:cs="Times New Roman"/>
          <w:kern w:val="0"/>
          <w:sz w:val="32"/>
          <w:szCs w:val="32"/>
          <w:highlight w:val="none"/>
          <w:lang w:val="en-US" w:eastAsia="zh-CN" w:bidi="ar-SA"/>
        </w:rPr>
      </w:pPr>
      <w:r>
        <w:rPr>
          <w:rFonts w:hint="eastAsia" w:eastAsia="仿宋_GB2312"/>
          <w:kern w:val="0"/>
          <w:sz w:val="30"/>
          <w:szCs w:val="30"/>
        </w:rPr>
        <w:t>通过昆明市建筑工程远程视频监控管理信息平台系统盘龙区二级平台系统，进一步落实企业安全监管责任，提高政府、企业对工程现场的远程管理水平，加快企业对工程现场安全隐患处理的速度。政府通过出台相应法规文件推动政府部门及企业完善信息化建设，并通过本系统进一步提高安全监管水平。通过政府统筹规划，协调各业务管理部门，围绕安全监管制度为核心，以信息化技术为技术手段，将科技技术力量与安全监管制度紧密集合，实现体制创新，能够统一处置生产安全领域的各类事件</w:t>
      </w:r>
    </w:p>
    <w:p>
      <w:pPr>
        <w:widowControl/>
        <w:ind w:firstLine="643" w:firstLineChars="200"/>
        <w:jc w:val="left"/>
        <w:rPr>
          <w:rFonts w:hint="eastAsia" w:ascii="黑体" w:hAnsi="黑体" w:eastAsia="黑体" w:cs="黑体"/>
          <w:b/>
          <w:bCs/>
          <w:color w:val="auto"/>
          <w:kern w:val="0"/>
          <w:sz w:val="32"/>
          <w:szCs w:val="32"/>
        </w:rPr>
      </w:pPr>
      <w:r>
        <w:rPr>
          <w:rFonts w:hint="eastAsia" w:ascii="黑体" w:hAnsi="黑体" w:eastAsia="黑体" w:cs="黑体"/>
          <w:b/>
          <w:bCs/>
          <w:color w:val="auto"/>
          <w:kern w:val="0"/>
          <w:sz w:val="32"/>
          <w:szCs w:val="32"/>
        </w:rPr>
        <w:t>九、其他公开信息</w:t>
      </w:r>
    </w:p>
    <w:p>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楷体_GB2312" w:eastAsia="楷体_GB2312"/>
          <w:kern w:val="0"/>
          <w:sz w:val="32"/>
          <w:szCs w:val="32"/>
          <w:lang w:eastAsia="zh-CN"/>
        </w:rPr>
      </w:pPr>
      <w:r>
        <w:rPr>
          <w:rFonts w:hint="eastAsia" w:ascii="楷体_GB2312" w:eastAsia="楷体_GB2312"/>
          <w:kern w:val="0"/>
          <w:sz w:val="32"/>
          <w:szCs w:val="32"/>
          <w:lang w:eastAsia="zh-CN"/>
        </w:rPr>
        <w:t>（一）专业名词解释</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1.一般公共预算收入：指政府为履行职能，按国家法律法规规定收取的纳入预算管理的各项税收及非税收入总和。《中华人民共和国预算法》第二十七条规定：一般公共预算收入包括各项税收收入、行政事业性收费收入、国有资源（资产）有偿使用收入、转移性收入和其他收入。</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2.一般公共预算支出：指政府为履行职能需要，通过预算资金安排的用于维持政权运转及支持各项社会事业发展等方面的支出，支出类别分为“类”、“款”、“项”、“目”四个级次，具体划分由国家财政部门统一规定。《中华人民共和国预算法》第二十七条规定：一般公共预算支出按照其功能分类，包括一般公共服务支出，外交、公共安全、国防支出，农业、环境保护支出，教育、科技、文化、卫生、体育支出，社会保障及就业支出和其他支出。</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3．“三公”经费：指因公出国（境）经费、公务用车购置及运行维护费和公务接待费。其中：因公出国（境）经费是指行政单位、事业单位工作人员公务出国（境）的住宿费、旅费、伙食补助费、杂费、培训费等支出；公务用车购置及运行维护费指行政单位、事业单位公务用车购置费、公务用车租用费、燃料费、维修费、过桥过路费、保险费等支出；公务接待费指行政单位、事业单位按规定开支的各项公务接待（外宾接待）费用。</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4.政府采购：指各级政府及其所属机构为了开展日常政务活动或为公众提供公共服务的需要，在财政的监督下，以法定的方式、方法和程序，对货物、工程或服务的购买。政府采购不仅是指具体的采购过程，而且是采购政策、采购程序、采购过程及采购管理的总称，是一种对公共采购管理的制度。</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5．基本支出：是部门支出预算的组成部分，是行政事业单位为保障其机构正常运转、完成日常工作任务而编制的年度基本支出计划，其内容包括人员经费和日常公用经费两部分。</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6．项目支出：是部门支出预算的组成部分，是单位为完成其特定的工作任务或事业发展目标，在基本支出预算之外编制的年度项目支出计划。</w:t>
      </w:r>
    </w:p>
    <w:p>
      <w:pPr>
        <w:widowControl/>
        <w:ind w:firstLine="640" w:firstLineChars="200"/>
        <w:jc w:val="left"/>
        <w:rPr>
          <w:rFonts w:hint="eastAsia" w:ascii="楷体_GB2312" w:eastAsia="楷体_GB2312"/>
          <w:kern w:val="0"/>
          <w:sz w:val="32"/>
          <w:szCs w:val="32"/>
          <w:lang w:eastAsia="zh-CN"/>
        </w:rPr>
      </w:pPr>
      <w:r>
        <w:rPr>
          <w:rFonts w:hint="eastAsia" w:ascii="楷体_GB2312" w:eastAsia="楷体_GB2312"/>
          <w:kern w:val="0"/>
          <w:sz w:val="32"/>
          <w:szCs w:val="32"/>
          <w:lang w:eastAsia="zh-CN"/>
        </w:rPr>
        <w:t>（二）机关运行经费安排变化情况及原因说明</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昆明市盘龙区住房和城乡建设局2023年机关运行经费安排155.17万元，其中：办公费17.70万元、差旅费11.54万元、电费4.37万元、福利费36.54万元、公务用车运行维护费33.2万元、培训费4.62万元、其他交通费用17.76万元、其他商品和服务支出3.28万元、水费5.90万元、维修（护）费12.31万元、邮电费7.95万元。</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与上年对比，上年机关运行经费140.44万元，较上年增加14.73万元，增加主要原因分析：2022年新招录人员，相关运行经费增加。</w:t>
      </w:r>
    </w:p>
    <w:p>
      <w:pPr>
        <w:widowControl/>
        <w:ind w:firstLine="640" w:firstLineChars="200"/>
        <w:jc w:val="left"/>
        <w:rPr>
          <w:rFonts w:hint="eastAsia" w:ascii="楷体_GB2312" w:eastAsia="楷体_GB2312"/>
          <w:kern w:val="0"/>
          <w:sz w:val="32"/>
          <w:szCs w:val="32"/>
          <w:lang w:eastAsia="zh-CN"/>
        </w:rPr>
      </w:pPr>
      <w:r>
        <w:rPr>
          <w:rFonts w:hint="eastAsia" w:ascii="楷体_GB2312" w:eastAsia="楷体_GB2312"/>
          <w:kern w:val="0"/>
          <w:sz w:val="32"/>
          <w:szCs w:val="32"/>
          <w:lang w:eastAsia="zh-CN"/>
        </w:rPr>
        <w:t>（三）国有资产</w:t>
      </w:r>
      <w:r>
        <w:rPr>
          <w:rFonts w:hint="eastAsia" w:ascii="楷体_GB2312" w:eastAsia="楷体_GB2312"/>
          <w:kern w:val="0"/>
          <w:sz w:val="32"/>
          <w:szCs w:val="32"/>
          <w:lang w:val="en-US" w:eastAsia="zh-CN"/>
        </w:rPr>
        <w:t>占有使用</w:t>
      </w:r>
      <w:r>
        <w:rPr>
          <w:rFonts w:hint="eastAsia" w:ascii="楷体_GB2312" w:eastAsia="楷体_GB2312"/>
          <w:kern w:val="0"/>
          <w:sz w:val="32"/>
          <w:szCs w:val="32"/>
          <w:lang w:eastAsia="zh-CN"/>
        </w:rPr>
        <w:t>情况</w:t>
      </w:r>
    </w:p>
    <w:p>
      <w:pPr>
        <w:pStyle w:val="2"/>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截至2022年12月31日，昆明市盘龙区住房和城乡建设局部门资产总额3640.81万元，其中，流动资产2459.14万元，固定资产996.61万元，对外投资及有价证券0万元，在建工程0万元，无形资产185.06万元，其他资产0万元。与上年相比，资产总额增加291万元，其中固定资产减少7.44万元。处置房屋建筑物0平方米，账面原值0万元；处置车辆0辆，账面原值0万元；报废报损资产0项，账面原值0万元，实现资产处置收入0万元；资产使用收入5.44万元，其中出租资产6707.72平方米，资产出租收入0万元。鉴于截至2022年12月31日的国有资产占有使用精准数据，需在完成2022年决算编制后才能汇总，此处公开为2022年12月（2023年1月上报）资产月报数据。</w:t>
      </w:r>
    </w:p>
    <w:p>
      <w:pPr>
        <w:pStyle w:val="2"/>
        <w:rPr>
          <w:rFonts w:hint="eastAsia" w:ascii="Times New Roman" w:hAnsi="Times New Roman" w:eastAsia="仿宋_GB2312" w:cs="Times New Roman"/>
          <w:kern w:val="0"/>
          <w:sz w:val="32"/>
          <w:szCs w:val="32"/>
          <w:highlight w:val="none"/>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hint="eastAsia" w:ascii="微软雅黑" w:hAnsi="微软雅黑" w:eastAsia="微软雅黑" w:cs="微软雅黑"/>
          <w:i w:val="0"/>
          <w:iCs w:val="0"/>
          <w:caps w:val="0"/>
          <w:color w:val="000000"/>
          <w:spacing w:val="0"/>
          <w:sz w:val="36"/>
          <w:szCs w:val="36"/>
        </w:rPr>
      </w:pPr>
      <w:r>
        <w:rPr>
          <w:rFonts w:hint="eastAsia" w:ascii="Times New Roman" w:hAnsi="Times New Roman" w:eastAsia="仿宋_GB2312" w:cs="Times New Roman"/>
          <w:kern w:val="0"/>
          <w:sz w:val="32"/>
          <w:szCs w:val="32"/>
          <w:lang w:val="en-US" w:eastAsia="zh-CN"/>
        </w:rPr>
        <w:t xml:space="preserve"> </w:t>
      </w:r>
      <w:r>
        <w:rPr>
          <w:rFonts w:hint="default" w:ascii="Arial" w:hAnsi="Arial" w:eastAsia="微软雅黑" w:cs="Arial"/>
          <w:b/>
          <w:bCs/>
          <w:i w:val="0"/>
          <w:iCs w:val="0"/>
          <w:caps w:val="0"/>
          <w:color w:val="000000"/>
          <w:spacing w:val="0"/>
          <w:sz w:val="18"/>
          <w:szCs w:val="18"/>
        </w:rPr>
        <w:t>监督索引号53010303200400111</w:t>
      </w:r>
    </w:p>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rPr>
                              <w:rFonts w:hint="eastAsia" w:ascii="宋体" w:hAnsi="宋体" w:eastAsia="宋体"/>
                              <w:sz w:val="28"/>
                              <w:lang w:eastAsia="zh-CN"/>
                            </w:rPr>
                          </w:pPr>
                          <w:r>
                            <w:rPr>
                              <w:rFonts w:hint="eastAsia" w:ascii="宋体" w:hAnsi="宋体"/>
                              <w:sz w:val="28"/>
                              <w:lang w:eastAsia="zh-CN"/>
                            </w:rPr>
                            <w:t>—</w:t>
                          </w:r>
                          <w:r>
                            <w:rPr>
                              <w:rFonts w:hint="eastAsia" w:ascii="宋体" w:hAnsi="宋体"/>
                              <w:sz w:val="28"/>
                              <w:lang w:val="en-US"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1</w:t>
                          </w:r>
                          <w:r>
                            <w:rPr>
                              <w:rFonts w:hint="eastAsia" w:ascii="宋体" w:hAnsi="宋体"/>
                              <w:sz w:val="28"/>
                              <w:lang w:eastAsia="zh-CN"/>
                            </w:rPr>
                            <w:fldChar w:fldCharType="end"/>
                          </w:r>
                          <w:r>
                            <w:rPr>
                              <w:rFonts w:hint="eastAsia" w:ascii="宋体" w:hAnsi="宋体"/>
                              <w:sz w:val="28"/>
                              <w:lang w:val="en-US" w:eastAsia="zh-CN"/>
                            </w:rPr>
                            <w:t xml:space="preserve"> </w:t>
                          </w:r>
                          <w:r>
                            <w:rPr>
                              <w:rFonts w:hint="eastAsia" w:ascii="宋体" w:hAnsi="宋体"/>
                              <w:sz w:val="28"/>
                              <w:lang w:eastAsia="zh-CN"/>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6wzidABAACiAwAADgAAAGRycy9lMm9Eb2MueG1srVPNjtMwEL4j8Q6W&#10;7zRppUUlaroCVYuQECAt+wCu4zSW/KcZt0lfAN6AExfuPFefg7GTdNFy2QMXZ/78zXyfJ5vbwRp2&#10;UoDau5ovFyVnyknfaHeo+cPXu1drzjAK1wjjnar5WSG/3b58selDpVa+86ZRwAjEYdWHmncxhqoo&#10;UHbKClz4oBwlWw9WRHLhUDQgekK3pliV5eui99AE8FIhUnQ3JvmECM8B9G2rpdp5ebTKxREVlBGR&#10;KGGnA/JtnrZtlYyf2xZVZKbmxDTmk5qQvU9nsd2I6gAidFpOI4jnjPCEkxXaUdMr1E5EwY6g/4Gy&#10;WoJH38aF9LYYiWRFiMWyfKLNfSeCylxIagxX0fH/wcpPpy/AdEObwJkTlh788uP75efvy69vbJnk&#10;6QNWVHUfqC4O7/yQSqc4UjCxHlqw6Ut8GOVJ3PNVXDVEJtOl9Wq9LiklKTc7hFM8Xg+A8b3yliWj&#10;5kCvl0UVp48Yx9K5JHVz/k4bQ3FRGcf6mr+5Wd3kC9cMgRtHPRKJcdhkxWE/TAz2vjkTsZ42oOaO&#10;Fp4z88GRwGlZZgNmYz8bxwD60NGMy9wPw9tjpGnykKnDCDs1pqfLNKc1S7vxt5+rHn+t7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n6wzidABAACiAwAADgAAAAAAAAABACAAAAAeAQAAZHJz&#10;L2Uyb0RvYy54bWxQSwUGAAAAAAYABgBZAQAAYAUAAAAA&#10;">
              <v:fill on="f" focussize="0,0"/>
              <v:stroke on="f"/>
              <v:imagedata o:title=""/>
              <o:lock v:ext="edit" aspectratio="f"/>
              <v:textbox inset="0mm,0mm,0mm,0mm" style="mso-fit-shape-to-text:t;">
                <w:txbxContent>
                  <w:p>
                    <w:pPr>
                      <w:pStyle w:val="4"/>
                      <w:rPr>
                        <w:rFonts w:hint="eastAsia" w:ascii="宋体" w:hAnsi="宋体" w:eastAsia="宋体"/>
                        <w:sz w:val="28"/>
                        <w:lang w:eastAsia="zh-CN"/>
                      </w:rPr>
                    </w:pPr>
                    <w:r>
                      <w:rPr>
                        <w:rFonts w:hint="eastAsia" w:ascii="宋体" w:hAnsi="宋体"/>
                        <w:sz w:val="28"/>
                        <w:lang w:eastAsia="zh-CN"/>
                      </w:rPr>
                      <w:t>—</w:t>
                    </w:r>
                    <w:r>
                      <w:rPr>
                        <w:rFonts w:hint="eastAsia" w:ascii="宋体" w:hAnsi="宋体"/>
                        <w:sz w:val="28"/>
                        <w:lang w:val="en-US"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1</w:t>
                    </w:r>
                    <w:r>
                      <w:rPr>
                        <w:rFonts w:hint="eastAsia" w:ascii="宋体" w:hAnsi="宋体"/>
                        <w:sz w:val="28"/>
                        <w:lang w:eastAsia="zh-CN"/>
                      </w:rPr>
                      <w:fldChar w:fldCharType="end"/>
                    </w:r>
                    <w:r>
                      <w:rPr>
                        <w:rFonts w:hint="eastAsia" w:ascii="宋体" w:hAnsi="宋体"/>
                        <w:sz w:val="28"/>
                        <w:lang w:val="en-US" w:eastAsia="zh-CN"/>
                      </w:rPr>
                      <w:t xml:space="preserve"> </w:t>
                    </w:r>
                    <w:r>
                      <w:rPr>
                        <w:rFonts w:hint="eastAsia" w:ascii="宋体" w:hAnsi="宋体"/>
                        <w:sz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6CFA4B"/>
    <w:multiLevelType w:val="singleLevel"/>
    <w:tmpl w:val="4D6CFA4B"/>
    <w:lvl w:ilvl="0" w:tentative="0">
      <w:start w:val="2"/>
      <w:numFmt w:val="chineseCounting"/>
      <w:suff w:val="nothing"/>
      <w:lvlText w:val="（%1）"/>
      <w:lvlJc w:val="left"/>
      <w:pPr>
        <w:ind w:left="-220"/>
      </w:pPr>
      <w:rPr>
        <w:rFonts w:hint="eastAsia"/>
      </w:rPr>
    </w:lvl>
  </w:abstractNum>
  <w:abstractNum w:abstractNumId="1">
    <w:nsid w:val="60223FB9"/>
    <w:multiLevelType w:val="singleLevel"/>
    <w:tmpl w:val="60223FB9"/>
    <w:lvl w:ilvl="0" w:tentative="0">
      <w:start w:val="8"/>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lYWYzYzAyMTM5OThiNWRlZjI5MDc2M2ZjMmNkNDEifQ=="/>
  </w:docVars>
  <w:rsids>
    <w:rsidRoot w:val="58AD5CA0"/>
    <w:rsid w:val="032849F6"/>
    <w:rsid w:val="05046DA9"/>
    <w:rsid w:val="05997755"/>
    <w:rsid w:val="05BD232C"/>
    <w:rsid w:val="07AF3C7E"/>
    <w:rsid w:val="0894506A"/>
    <w:rsid w:val="0D205F18"/>
    <w:rsid w:val="118E1CCD"/>
    <w:rsid w:val="15B20794"/>
    <w:rsid w:val="186905C6"/>
    <w:rsid w:val="1EB5556E"/>
    <w:rsid w:val="1FF97B56"/>
    <w:rsid w:val="28AC4928"/>
    <w:rsid w:val="29555E90"/>
    <w:rsid w:val="30E80339"/>
    <w:rsid w:val="31AE01EF"/>
    <w:rsid w:val="384D7394"/>
    <w:rsid w:val="3B805BB3"/>
    <w:rsid w:val="3FE72FDD"/>
    <w:rsid w:val="408A3E00"/>
    <w:rsid w:val="437C025A"/>
    <w:rsid w:val="43AA0BD5"/>
    <w:rsid w:val="4507471B"/>
    <w:rsid w:val="47066499"/>
    <w:rsid w:val="47D8312C"/>
    <w:rsid w:val="48FE1C2B"/>
    <w:rsid w:val="49DB36A4"/>
    <w:rsid w:val="4CF4093D"/>
    <w:rsid w:val="4D204222"/>
    <w:rsid w:val="4F582C23"/>
    <w:rsid w:val="4FC8467F"/>
    <w:rsid w:val="556B6B9F"/>
    <w:rsid w:val="573B743E"/>
    <w:rsid w:val="57D07C45"/>
    <w:rsid w:val="58AD5CA0"/>
    <w:rsid w:val="5B2B26DB"/>
    <w:rsid w:val="5B7B1E08"/>
    <w:rsid w:val="5CA423AB"/>
    <w:rsid w:val="5DF00E76"/>
    <w:rsid w:val="5E51362A"/>
    <w:rsid w:val="5F582B49"/>
    <w:rsid w:val="60A76E27"/>
    <w:rsid w:val="62210A6B"/>
    <w:rsid w:val="6886087F"/>
    <w:rsid w:val="68F97CB4"/>
    <w:rsid w:val="690E12F8"/>
    <w:rsid w:val="6A9D08AE"/>
    <w:rsid w:val="6BD31467"/>
    <w:rsid w:val="74496222"/>
    <w:rsid w:val="753A59A8"/>
    <w:rsid w:val="7981428B"/>
    <w:rsid w:val="7A087209"/>
    <w:rsid w:val="7B9C4AB9"/>
    <w:rsid w:val="7ECA37AB"/>
    <w:rsid w:val="7F677BA3"/>
    <w:rsid w:val="7FA013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3">
    <w:name w:val="Body Text"/>
    <w:basedOn w:val="1"/>
    <w:qFormat/>
    <w:uiPriority w:val="0"/>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23</Pages>
  <Words>9796</Words>
  <Characters>11223</Characters>
  <Lines>0</Lines>
  <Paragraphs>0</Paragraphs>
  <TotalTime>27</TotalTime>
  <ScaleCrop>false</ScaleCrop>
  <LinksUpToDate>false</LinksUpToDate>
  <CharactersWithSpaces>11240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2016-11-07T16:42:00Z</dcterms:created>
  <dc:creator>Administrator</dc:creator>
  <cp:lastModifiedBy>admin</cp:lastModifiedBy>
  <dcterms:modified xsi:type="dcterms:W3CDTF">2024-01-05T06:50:02Z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B9F30DD4CA6B4B43BE8B659C1ED307B8</vt:lpwstr>
  </property>
</Properties>
</file>