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spacing w:line="240" w:lineRule="atLeast"/>
        <w:jc w:val="center"/>
        <w:rPr>
          <w:rFonts w:hint="eastAsia" w:ascii="黑体" w:hAnsi="黑体" w:eastAsia="黑体"/>
          <w:bCs/>
          <w:sz w:val="48"/>
          <w:szCs w:val="48"/>
          <w:lang w:eastAsia="zh-CN"/>
        </w:rPr>
      </w:pPr>
      <w:r>
        <w:rPr>
          <w:rFonts w:hint="eastAsia" w:ascii="黑体" w:hAnsi="黑体" w:eastAsia="黑体" w:cs="黑体"/>
          <w:bCs/>
          <w:sz w:val="48"/>
          <w:szCs w:val="48"/>
        </w:rPr>
        <w:t>昆明市盘龙区退役军人事务局</w:t>
      </w:r>
      <w:r>
        <w:rPr>
          <w:rFonts w:hint="eastAsia" w:ascii="黑体" w:hAnsi="黑体" w:eastAsia="黑体"/>
          <w:bCs/>
          <w:sz w:val="48"/>
          <w:szCs w:val="48"/>
          <w:lang w:eastAsia="zh-CN"/>
        </w:rPr>
        <w:t>2020年</w:t>
      </w:r>
    </w:p>
    <w:p>
      <w:pPr>
        <w:jc w:val="center"/>
        <w:rPr>
          <w:rFonts w:ascii="黑体" w:hAnsi="黑体" w:eastAsia="黑体"/>
          <w:bCs/>
          <w:sz w:val="48"/>
          <w:szCs w:val="48"/>
        </w:rPr>
      </w:pPr>
      <w:r>
        <w:rPr>
          <w:rFonts w:hint="eastAsia" w:ascii="黑体" w:hAnsi="黑体" w:eastAsia="黑体" w:cs="黑体"/>
          <w:bCs/>
          <w:sz w:val="48"/>
          <w:szCs w:val="48"/>
        </w:rPr>
        <w:t>部门项目支出绩效自评报告</w:t>
      </w:r>
    </w:p>
    <w:p>
      <w:pPr>
        <w:jc w:val="center"/>
        <w:rPr>
          <w:rFonts w:ascii="黑体" w:hAnsi="黑体" w:eastAsia="黑体"/>
          <w:bCs/>
          <w:sz w:val="48"/>
          <w:szCs w:val="48"/>
        </w:rPr>
      </w:pPr>
      <w:r>
        <w:rPr>
          <w:rFonts w:hint="eastAsia" w:ascii="黑体" w:hAnsi="黑体" w:eastAsia="黑体" w:cs="黑体"/>
          <w:bCs/>
          <w:sz w:val="48"/>
          <w:szCs w:val="48"/>
        </w:rPr>
        <w:t>（</w:t>
      </w:r>
      <w:r>
        <w:rPr>
          <w:rFonts w:hint="eastAsia" w:ascii="黑体" w:hAnsi="黑体" w:eastAsia="黑体" w:cs="黑体"/>
          <w:bCs/>
          <w:sz w:val="48"/>
          <w:szCs w:val="48"/>
          <w:lang w:eastAsia="zh-CN"/>
        </w:rPr>
        <w:t>2020年</w:t>
      </w:r>
      <w:r>
        <w:rPr>
          <w:rFonts w:hint="eastAsia" w:ascii="黑体" w:hAnsi="黑体" w:eastAsia="黑体" w:cs="黑体"/>
          <w:bCs/>
          <w:sz w:val="48"/>
          <w:szCs w:val="48"/>
        </w:rPr>
        <w:t>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w:pict>
          <v:shape id="_x0000_s1031" o:spid="_x0000_s1031" o:spt="32" type="#_x0000_t32" style="position:absolute;left:0pt;margin-left:133.5pt;margin-top:16.65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项目名称：昆明市盘龙区退役军人事务局项目支出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2" o:spid="_x0000_s1032" o:spt="32" type="#_x0000_t32" style="position:absolute;left:0pt;margin-left:133.5pt;margin-top:17.1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33" o:spid="_x0000_s1033" o:spt="32" type="#_x0000_t32" style="position:absolute;left:0pt;margin-left:133.5pt;margin-top:19.95pt;height:0pt;width:272.2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hint="eastAsia" w:ascii="Times New Roman" w:hAnsi="Times New Roman" w:eastAsia="黑体"/>
          <w:b/>
          <w:bCs/>
          <w:sz w:val="28"/>
          <w:szCs w:val="28"/>
        </w:rPr>
        <w:t>202</w:t>
      </w:r>
      <w:r>
        <w:rPr>
          <w:rFonts w:hint="eastAsia" w:ascii="Times New Roman" w:hAnsi="Times New Roman" w:eastAsia="黑体"/>
          <w:b/>
          <w:bCs/>
          <w:sz w:val="28"/>
          <w:szCs w:val="28"/>
          <w:lang w:val="en-US" w:eastAsia="zh-CN"/>
        </w:rPr>
        <w:t>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footerReference r:id="rId6" w:type="first"/>
          <w:footerReference r:id="rId4" w:type="default"/>
          <w:headerReference r:id="rId3" w:type="even"/>
          <w:footerReference r:id="rId5"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tbl>
      <w:tblPr>
        <w:tblStyle w:val="6"/>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靳奎生</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崔良平</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仿宋_GB2312" w:hAnsi="楷体" w:eastAsia="仿宋_GB2312"/>
          <w:szCs w:val="32"/>
        </w:rPr>
      </w:pPr>
      <w:r>
        <w:rPr>
          <w:rFonts w:hint="eastAsia" w:ascii="黑体" w:hAnsi="黑体" w:eastAsia="黑体"/>
          <w:szCs w:val="32"/>
        </w:rPr>
        <w:t>一、</w:t>
      </w:r>
      <w:r>
        <w:rPr>
          <w:rFonts w:hint="eastAsia" w:ascii="仿宋_GB2312" w:hAnsi="楷体" w:eastAsia="仿宋_GB2312"/>
          <w:szCs w:val="32"/>
        </w:rPr>
        <w:t>死亡一次性抚恤金项目2080801                  （4-8页）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二、伤残抚恤专项资金项目2080802                  （9-13页）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三、在乡复员、退伍军人生活补助2080803            （14-18页）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四、城镇义务兵优待金项目2080805                  （19-23页）</w:t>
      </w:r>
      <w:r>
        <w:rPr>
          <w:rFonts w:hint="eastAsia" w:ascii="仿宋_GB2312" w:hAnsi="楷体" w:eastAsia="仿宋_GB2312"/>
          <w:szCs w:val="32"/>
        </w:rPr>
        <w:tab/>
      </w:r>
      <w:r>
        <w:rPr>
          <w:rFonts w:hint="eastAsia" w:ascii="仿宋_GB2312" w:hAnsi="楷体" w:eastAsia="仿宋_GB2312"/>
          <w:szCs w:val="32"/>
        </w:rPr>
        <w:t xml:space="preserve"> </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五、其他用于优抚方面经费项目2080899              （24-28页）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六、退役士兵安置专项经费项目2080901               （29-33页）</w:t>
      </w:r>
    </w:p>
    <w:p>
      <w:pPr>
        <w:spacing w:line="440" w:lineRule="exact"/>
        <w:ind w:firstLine="420" w:firstLineChars="200"/>
        <w:jc w:val="left"/>
        <w:rPr>
          <w:rFonts w:ascii="仿宋_GB2312" w:hAnsi="楷体" w:eastAsia="仿宋_GB2312"/>
          <w:szCs w:val="32"/>
        </w:rPr>
      </w:pPr>
      <w:r>
        <w:rPr>
          <w:rFonts w:hint="eastAsia" w:ascii="仿宋_GB2312" w:hAnsi="楷体" w:eastAsia="仿宋_GB2312"/>
          <w:szCs w:val="32"/>
        </w:rPr>
        <w:t xml:space="preserve">七、军队离退休干部及无军籍职工人员经费项目2080902 （34-39页） </w:t>
      </w: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仿宋_GB2312" w:hAnsi="楷体" w:eastAsia="仿宋_GB2312"/>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死亡一次性抚恤金项目支出绩效自评报告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死亡一次性抚恤金项目。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20</w:t>
      </w:r>
      <w:r>
        <w:rPr>
          <w:rFonts w:hint="eastAsia" w:ascii="仿宋_GB2312" w:hAnsi="楷体" w:eastAsia="仿宋_GB2312"/>
          <w:szCs w:val="32"/>
        </w:rPr>
        <w:t>年死亡一次性抚恤金项目实际到位资金</w:t>
      </w:r>
      <w:r>
        <w:rPr>
          <w:rFonts w:hint="eastAsia" w:ascii="仿宋_GB2312" w:hAnsi="楷体" w:eastAsia="仿宋_GB2312"/>
          <w:szCs w:val="32"/>
          <w:lang w:val="en-US" w:eastAsia="zh-CN"/>
        </w:rPr>
        <w:t>1023.36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123.36</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900</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2020</w:t>
      </w:r>
      <w:r>
        <w:rPr>
          <w:rFonts w:hint="eastAsia" w:ascii="仿宋_GB2312" w:hAnsi="楷体" w:eastAsia="仿宋_GB2312"/>
          <w:szCs w:val="32"/>
        </w:rPr>
        <w:t>年死亡一次性抚恤金项目支出</w:t>
      </w:r>
      <w:r>
        <w:rPr>
          <w:rFonts w:hint="eastAsia" w:ascii="仿宋_GB2312" w:hAnsi="楷体" w:eastAsia="仿宋_GB2312"/>
          <w:szCs w:val="32"/>
          <w:lang w:val="en-US" w:eastAsia="zh-CN"/>
        </w:rPr>
        <w:t>1023.36</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本项目按要求完成当年计划任务，促进社会和谐稳定发展、改善部分群众生活、满足群众需求、产生一定的经济效益，项目评为优秀。20</w:t>
      </w:r>
      <w:r>
        <w:rPr>
          <w:rFonts w:hint="eastAsia" w:ascii="仿宋_GB2312" w:hAnsi="楷体" w:eastAsia="仿宋_GB2312"/>
          <w:szCs w:val="32"/>
          <w:lang w:val="en-US" w:eastAsia="zh-CN"/>
        </w:rPr>
        <w:t>20</w:t>
      </w:r>
      <w:r>
        <w:rPr>
          <w:rFonts w:hint="eastAsia" w:ascii="仿宋_GB2312" w:hAnsi="楷体" w:eastAsia="仿宋_GB2312"/>
          <w:szCs w:val="32"/>
        </w:rPr>
        <w:t>年绩效自评综合得分为91分。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死亡一次性抚恤金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现役军人死亡，根据其死亡性质和死亡时的月工资标准，由县级人民政府民政部门发给其遗属一次性抚恤金，标准：烈士、因公牺牲的为上一年度全国城镇居民人均可支配收入的20倍加本人40个月的工资；病故的为上一年度全国城镇居民人均可支配收入的2倍加本人40个月工资；月工资或者津贴低于排职少尉军官工资标准的，按照排职少尉军官工资标准计算。获得荣誉称号或者立功的烈士、因公牺牲、病故军人按5%-35%增发一次性抚恤金。</w:t>
      </w:r>
    </w:p>
    <w:p>
      <w:pPr>
        <w:pStyle w:val="12"/>
        <w:numPr>
          <w:ilvl w:val="0"/>
          <w:numId w:val="2"/>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20</w:t>
      </w:r>
      <w:r>
        <w:rPr>
          <w:rFonts w:hint="eastAsia" w:ascii="仿宋_GB2312" w:hAnsi="楷体" w:eastAsia="仿宋_GB2312"/>
          <w:szCs w:val="32"/>
        </w:rPr>
        <w:t>年优抚对象抚恤和生活补助足额兑现率为100%，实际发放人数和应该发放人数一致，规范审批，按标准发放，在规定时间发放完成，全年支出</w:t>
      </w:r>
      <w:r>
        <w:rPr>
          <w:rFonts w:hint="eastAsia" w:ascii="仿宋_GB2312" w:hAnsi="楷体" w:eastAsia="仿宋_GB2312"/>
          <w:szCs w:val="32"/>
          <w:lang w:val="en-US" w:eastAsia="zh-CN"/>
        </w:rPr>
        <w:t>1023.36</w:t>
      </w:r>
      <w:r>
        <w:rPr>
          <w:rFonts w:hint="eastAsia" w:ascii="仿宋_GB2312" w:hAnsi="楷体" w:eastAsia="仿宋_GB2312"/>
          <w:szCs w:val="32"/>
        </w:rPr>
        <w:t>万元，优抚对象对优抚工作的满意度90%。</w:t>
      </w: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20</w:t>
      </w:r>
      <w:r>
        <w:rPr>
          <w:rFonts w:hint="eastAsia" w:ascii="仿宋_GB2312" w:hAnsi="楷体" w:eastAsia="仿宋_GB2312"/>
          <w:szCs w:val="32"/>
        </w:rPr>
        <w:t>年死亡一次性抚恤金项目实际到位资金</w:t>
      </w:r>
      <w:r>
        <w:rPr>
          <w:rFonts w:hint="eastAsia" w:ascii="仿宋_GB2312" w:hAnsi="楷体" w:eastAsia="仿宋_GB2312"/>
          <w:szCs w:val="32"/>
          <w:lang w:val="en-US" w:eastAsia="zh-CN"/>
        </w:rPr>
        <w:t>1023.36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123.36</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900</w:t>
      </w:r>
      <w:r>
        <w:rPr>
          <w:rFonts w:hint="eastAsia" w:ascii="仿宋_GB2312" w:hAnsi="楷体" w:eastAsia="仿宋_GB2312"/>
          <w:szCs w:val="32"/>
        </w:rPr>
        <w:t>万元。</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20</w:t>
      </w:r>
      <w:r>
        <w:rPr>
          <w:rFonts w:hint="eastAsia" w:ascii="仿宋_GB2312" w:hAnsi="楷体" w:eastAsia="仿宋_GB2312"/>
          <w:szCs w:val="32"/>
          <w:lang w:val="en-US" w:eastAsia="zh-CN"/>
        </w:rPr>
        <w:t>20</w:t>
      </w:r>
      <w:r>
        <w:rPr>
          <w:rFonts w:hint="eastAsia" w:ascii="仿宋_GB2312" w:hAnsi="楷体" w:eastAsia="仿宋_GB2312"/>
          <w:szCs w:val="32"/>
        </w:rPr>
        <w:t>年死亡一次性抚恤金项目支出</w:t>
      </w:r>
      <w:r>
        <w:rPr>
          <w:rFonts w:hint="eastAsia" w:ascii="仿宋_GB2312" w:hAnsi="楷体" w:eastAsia="仿宋_GB2312"/>
          <w:szCs w:val="32"/>
          <w:lang w:val="en-US" w:eastAsia="zh-CN"/>
        </w:rPr>
        <w:t>1023.36</w:t>
      </w:r>
      <w:r>
        <w:rPr>
          <w:rFonts w:hint="eastAsia" w:ascii="仿宋_GB2312" w:hAnsi="楷体" w:eastAsia="仿宋_GB2312"/>
          <w:szCs w:val="32"/>
        </w:rPr>
        <w:t>万元。</w:t>
      </w:r>
    </w:p>
    <w:tbl>
      <w:tblPr>
        <w:tblStyle w:val="7"/>
        <w:tblW w:w="9455" w:type="dxa"/>
        <w:tblInd w:w="-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1.项目起止时间：20</w:t>
            </w:r>
            <w:r>
              <w:rPr>
                <w:rFonts w:hint="eastAsia" w:ascii="仿宋_GB2312" w:hAnsi="楷体" w:eastAsia="仿宋_GB2312"/>
                <w:szCs w:val="32"/>
                <w:lang w:val="en-US" w:eastAsia="zh-CN"/>
              </w:rPr>
              <w:t>20</w:t>
            </w:r>
            <w:r>
              <w:rPr>
                <w:rFonts w:hint="eastAsia" w:ascii="仿宋_GB2312" w:hAnsi="楷体" w:eastAsia="仿宋_GB2312"/>
                <w:szCs w:val="32"/>
              </w:rPr>
              <w:t>年1月1日-20</w:t>
            </w:r>
            <w:r>
              <w:rPr>
                <w:rFonts w:hint="eastAsia" w:ascii="仿宋_GB2312" w:hAnsi="楷体" w:eastAsia="仿宋_GB2312"/>
                <w:szCs w:val="32"/>
                <w:lang w:val="en-US" w:eastAsia="zh-CN"/>
              </w:rPr>
              <w:t>20</w:t>
            </w:r>
            <w:r>
              <w:rPr>
                <w:rFonts w:hint="eastAsia" w:ascii="仿宋_GB2312" w:hAnsi="楷体" w:eastAsia="仿宋_GB2312"/>
                <w:szCs w:val="32"/>
              </w:rPr>
              <w:t>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4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1023.36</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1023.36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123.36</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123.36</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900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900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4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1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1023.36</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1023.36</w:t>
            </w:r>
          </w:p>
        </w:tc>
      </w:tr>
    </w:tbl>
    <w:p>
      <w:pPr>
        <w:pStyle w:val="12"/>
        <w:spacing w:line="440" w:lineRule="exact"/>
        <w:ind w:left="420" w:leftChars="200"/>
        <w:jc w:val="left"/>
        <w:rPr>
          <w:rFonts w:ascii="仿宋_GB2312" w:hAnsi="楷体" w:eastAsia="仿宋_GB2312"/>
          <w:szCs w:val="32"/>
        </w:rPr>
      </w:pPr>
    </w:p>
    <w:p>
      <w:pPr>
        <w:pStyle w:val="12"/>
        <w:numPr>
          <w:ilvl w:val="0"/>
          <w:numId w:val="2"/>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牺牲、病故军人家属提供的相关资料。计算出应发放的一次性抚恤费后交分管领导审核，主管领导审批，交计划财务科通过银行代发划款到家属提供的个人帐号，做到及时审批、及时发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产出目标：20</w:t>
      </w:r>
      <w:r>
        <w:rPr>
          <w:rFonts w:hint="eastAsia" w:ascii="仿宋_GB2312" w:hAnsi="楷体" w:eastAsia="仿宋_GB2312"/>
          <w:szCs w:val="32"/>
          <w:lang w:val="en-US" w:eastAsia="zh-CN"/>
        </w:rPr>
        <w:t>20</w:t>
      </w:r>
      <w:r>
        <w:rPr>
          <w:rFonts w:hint="eastAsia" w:ascii="仿宋_GB2312" w:hAnsi="楷体" w:eastAsia="仿宋_GB2312"/>
          <w:szCs w:val="32"/>
        </w:rPr>
        <w:t>年优抚对象抚恤和生活补助足额兑现率为100%，实际发放人数和应该发放人数一致，规范审批，按标准发放，在规定时间发放完成。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效果目标：家属得到一定经济补助，维护稳定，促进协调发展，对社会发展有一定可持续影响。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昆明市盘龙区退役军人事务局死亡一次性抚恤金项目支出绩效自评情况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符合条件的牺牲、病故一次性抚恤费，按有关文件及时审批，按标准在规定时间发放完成，完成相关资料归档工作。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优抚对象抚恤和生活补助足额兑现率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1023.36</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家属得到一定经济补助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伤残抚恤专项资金项目支出绩效自评报告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项目单位：优抚科，项目名称：伤残抚恤专项资金项目。根据《军人抚恤优待条例》规定，对残疾军人（伤残人民警察、伤残民兵民工、伤残国家机关工作人员）等级评定为一至十级的，享受伤残抚恤金</w:t>
      </w:r>
      <w:r>
        <w:rPr>
          <w:rFonts w:hint="eastAsia" w:ascii="仿宋_GB2312" w:hAnsi="楷体" w:eastAsia="仿宋_GB2312"/>
          <w:szCs w:val="32"/>
          <w:lang w:eastAsia="zh-CN"/>
        </w:rPr>
        <w:t>。</w:t>
      </w:r>
      <w:r>
        <w:rPr>
          <w:rFonts w:hint="eastAsia" w:ascii="仿宋_GB2312" w:hAnsi="楷体" w:eastAsia="仿宋_GB2312"/>
          <w:szCs w:val="32"/>
        </w:rPr>
        <w:t>残疾军人因病死亡的，对其遗属增发12个月的残疾抚恤金作为丧葬补助费。</w:t>
      </w:r>
    </w:p>
    <w:p>
      <w:pPr>
        <w:pStyle w:val="12"/>
        <w:spacing w:line="440" w:lineRule="exact"/>
        <w:ind w:left="420" w:leftChars="200"/>
        <w:jc w:val="left"/>
        <w:rPr>
          <w:rFonts w:hint="eastAsia" w:ascii="仿宋_GB2312" w:hAnsi="楷体" w:eastAsia="仿宋_GB2312"/>
          <w:szCs w:val="32"/>
          <w:lang w:eastAsia="zh-CN"/>
        </w:rPr>
      </w:pPr>
      <w:r>
        <w:rPr>
          <w:rFonts w:hint="eastAsia" w:ascii="仿宋_GB2312" w:hAnsi="楷体" w:eastAsia="仿宋_GB2312"/>
          <w:szCs w:val="32"/>
          <w:lang w:eastAsia="zh-CN"/>
        </w:rPr>
        <w:t>2020年</w:t>
      </w:r>
      <w:r>
        <w:rPr>
          <w:rFonts w:hint="eastAsia" w:ascii="仿宋_GB2312" w:hAnsi="楷体" w:eastAsia="仿宋_GB2312"/>
          <w:szCs w:val="32"/>
        </w:rPr>
        <w:t>伤残抚恤专项资金项目实际到位资金</w:t>
      </w:r>
      <w:r>
        <w:rPr>
          <w:rFonts w:hint="eastAsia" w:ascii="仿宋_GB2312" w:hAnsi="楷体" w:eastAsia="仿宋_GB2312"/>
          <w:szCs w:val="32"/>
          <w:lang w:val="en-US" w:eastAsia="zh-CN"/>
        </w:rPr>
        <w:t>1882.45</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1782.45</w:t>
      </w:r>
      <w:r>
        <w:rPr>
          <w:rFonts w:hint="eastAsia" w:ascii="仿宋_GB2312" w:hAnsi="楷体" w:eastAsia="仿宋_GB2312"/>
          <w:szCs w:val="32"/>
        </w:rPr>
        <w:t>万元</w:t>
      </w:r>
      <w:r>
        <w:rPr>
          <w:rFonts w:hint="eastAsia" w:ascii="仿宋_GB2312" w:hAnsi="楷体" w:eastAsia="仿宋_GB2312"/>
          <w:szCs w:val="32"/>
          <w:lang w:eastAsia="zh-CN"/>
        </w:rPr>
        <w:t>，区本级</w:t>
      </w:r>
      <w:r>
        <w:rPr>
          <w:rFonts w:hint="eastAsia" w:ascii="仿宋_GB2312" w:hAnsi="楷体" w:eastAsia="仿宋_GB2312"/>
          <w:szCs w:val="32"/>
        </w:rPr>
        <w:t>财政补助</w:t>
      </w:r>
      <w:r>
        <w:rPr>
          <w:rFonts w:hint="eastAsia" w:ascii="仿宋_GB2312" w:hAnsi="楷体" w:eastAsia="仿宋_GB2312"/>
          <w:szCs w:val="32"/>
          <w:lang w:val="en-US" w:eastAsia="zh-CN"/>
        </w:rPr>
        <w:t>100</w:t>
      </w:r>
      <w:r>
        <w:rPr>
          <w:rFonts w:hint="eastAsia" w:ascii="仿宋_GB2312" w:hAnsi="楷体" w:eastAsia="仿宋_GB2312"/>
          <w:szCs w:val="32"/>
        </w:rPr>
        <w:t>万元</w:t>
      </w:r>
      <w:r>
        <w:rPr>
          <w:rFonts w:hint="eastAsia" w:ascii="仿宋_GB2312" w:hAnsi="楷体" w:eastAsia="仿宋_GB2312"/>
          <w:szCs w:val="32"/>
          <w:lang w:eastAsia="zh-CN"/>
        </w:rPr>
        <w:t>。</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伤残抚恤专项资金项目支出</w:t>
      </w:r>
      <w:r>
        <w:rPr>
          <w:rFonts w:hint="eastAsia" w:ascii="仿宋_GB2312" w:hAnsi="楷体" w:eastAsia="仿宋_GB2312"/>
          <w:szCs w:val="32"/>
          <w:lang w:val="en-US" w:eastAsia="zh-CN"/>
        </w:rPr>
        <w:t>1740.37</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伤残抚恤专项资金项目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topLinePunct/>
        <w:spacing w:line="440" w:lineRule="exact"/>
        <w:ind w:left="885" w:firstLine="0" w:firstLineChars="0"/>
        <w:jc w:val="left"/>
        <w:rPr>
          <w:rFonts w:ascii="仿宋_GB2312" w:hAnsi="楷体" w:eastAsia="仿宋_GB2312"/>
          <w:szCs w:val="32"/>
        </w:rPr>
      </w:pPr>
      <w:r>
        <w:rPr>
          <w:rFonts w:hint="eastAsia" w:ascii="仿宋_GB2312" w:hAnsi="楷体" w:eastAsia="仿宋_GB2312"/>
          <w:szCs w:val="32"/>
        </w:rPr>
        <w:t>根据《军人抚恤优待条例》规定，对残疾军人（伤残人民警察、伤残民兵民工、伤残国家机关工作人员）等级评定为一至十级的，享受伤残抚恤金，残疾军人因病死亡的，对其遗属增发12个月的残疾抚恤金作为丧葬补助费。</w:t>
      </w:r>
    </w:p>
    <w:p>
      <w:pPr>
        <w:topLinePunct/>
        <w:spacing w:line="440" w:lineRule="exact"/>
        <w:ind w:firstLine="525" w:firstLineChars="250"/>
        <w:jc w:val="left"/>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伤残抚恤专项资金足额兑现率为100%，实际发放人数和应该发放人数一致，规范审批，按标准发放，在规定时间发放完成，全年支出</w:t>
      </w:r>
      <w:r>
        <w:rPr>
          <w:rFonts w:hint="eastAsia" w:ascii="仿宋_GB2312" w:hAnsi="楷体" w:eastAsia="仿宋_GB2312"/>
          <w:szCs w:val="32"/>
          <w:lang w:val="en-US" w:eastAsia="zh-CN"/>
        </w:rPr>
        <w:t>1740.37</w:t>
      </w:r>
      <w:r>
        <w:rPr>
          <w:rFonts w:hint="eastAsia" w:ascii="仿宋_GB2312" w:hAnsi="楷体" w:eastAsia="仿宋_GB2312"/>
          <w:szCs w:val="32"/>
        </w:rPr>
        <w:t>万元，优抚对象对优抚工作的满意度90%。</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3.资金来源及使用情况。</w:t>
      </w:r>
    </w:p>
    <w:p>
      <w:pPr>
        <w:pStyle w:val="12"/>
        <w:spacing w:line="440" w:lineRule="exact"/>
        <w:ind w:left="420" w:leftChars="200"/>
        <w:jc w:val="left"/>
        <w:rPr>
          <w:rFonts w:hint="eastAsia" w:ascii="仿宋_GB2312" w:hAnsi="楷体" w:eastAsia="仿宋_GB2312"/>
          <w:szCs w:val="32"/>
          <w:lang w:eastAsia="zh-CN"/>
        </w:rPr>
      </w:pPr>
      <w:r>
        <w:rPr>
          <w:rFonts w:hint="eastAsia" w:ascii="仿宋_GB2312" w:hAnsi="楷体" w:eastAsia="仿宋_GB2312"/>
          <w:szCs w:val="32"/>
          <w:lang w:eastAsia="zh-CN"/>
        </w:rPr>
        <w:t>2020年</w:t>
      </w:r>
      <w:r>
        <w:rPr>
          <w:rFonts w:hint="eastAsia" w:ascii="仿宋_GB2312" w:hAnsi="楷体" w:eastAsia="仿宋_GB2312"/>
          <w:szCs w:val="32"/>
        </w:rPr>
        <w:t>伤残抚恤专项资金项目实际到位资金</w:t>
      </w:r>
      <w:r>
        <w:rPr>
          <w:rFonts w:hint="eastAsia" w:ascii="仿宋_GB2312" w:hAnsi="楷体" w:eastAsia="仿宋_GB2312"/>
          <w:szCs w:val="32"/>
          <w:lang w:val="en-US" w:eastAsia="zh-CN"/>
        </w:rPr>
        <w:t>1882.45</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1782.45</w:t>
      </w:r>
      <w:r>
        <w:rPr>
          <w:rFonts w:hint="eastAsia" w:ascii="仿宋_GB2312" w:hAnsi="楷体" w:eastAsia="仿宋_GB2312"/>
          <w:szCs w:val="32"/>
        </w:rPr>
        <w:t>万元</w:t>
      </w:r>
      <w:r>
        <w:rPr>
          <w:rFonts w:hint="eastAsia" w:ascii="仿宋_GB2312" w:hAnsi="楷体" w:eastAsia="仿宋_GB2312"/>
          <w:szCs w:val="32"/>
          <w:lang w:eastAsia="zh-CN"/>
        </w:rPr>
        <w:t>，区本级</w:t>
      </w:r>
      <w:r>
        <w:rPr>
          <w:rFonts w:hint="eastAsia" w:ascii="仿宋_GB2312" w:hAnsi="楷体" w:eastAsia="仿宋_GB2312"/>
          <w:szCs w:val="32"/>
        </w:rPr>
        <w:t>财政补助</w:t>
      </w:r>
      <w:r>
        <w:rPr>
          <w:rFonts w:hint="eastAsia" w:ascii="仿宋_GB2312" w:hAnsi="楷体" w:eastAsia="仿宋_GB2312"/>
          <w:szCs w:val="32"/>
          <w:lang w:val="en-US" w:eastAsia="zh-CN"/>
        </w:rPr>
        <w:t>100</w:t>
      </w:r>
      <w:r>
        <w:rPr>
          <w:rFonts w:hint="eastAsia" w:ascii="仿宋_GB2312" w:hAnsi="楷体" w:eastAsia="仿宋_GB2312"/>
          <w:szCs w:val="32"/>
        </w:rPr>
        <w:t>万元</w:t>
      </w:r>
      <w:r>
        <w:rPr>
          <w:rFonts w:hint="eastAsia" w:ascii="仿宋_GB2312" w:hAnsi="楷体" w:eastAsia="仿宋_GB2312"/>
          <w:szCs w:val="32"/>
          <w:lang w:eastAsia="zh-CN"/>
        </w:rPr>
        <w:t>。</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伤残抚恤专项资金项目支出</w:t>
      </w:r>
      <w:r>
        <w:rPr>
          <w:rFonts w:hint="eastAsia" w:ascii="仿宋_GB2312" w:hAnsi="楷体" w:eastAsia="仿宋_GB2312"/>
          <w:szCs w:val="32"/>
          <w:lang w:val="en-US" w:eastAsia="zh-CN"/>
        </w:rPr>
        <w:t>1740.37</w:t>
      </w:r>
      <w:r>
        <w:rPr>
          <w:rFonts w:hint="eastAsia" w:ascii="仿宋_GB2312" w:hAnsi="楷体" w:eastAsia="仿宋_GB2312"/>
          <w:szCs w:val="32"/>
        </w:rPr>
        <w:t>万元。</w:t>
      </w:r>
    </w:p>
    <w:tbl>
      <w:tblPr>
        <w:tblStyle w:val="7"/>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7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4534"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1882.45</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1882.45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1782.45</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1782.45</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7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7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100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100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02"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23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9571"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218"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10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2218"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死亡一次性抚恤金</w:t>
            </w:r>
          </w:p>
        </w:tc>
        <w:tc>
          <w:tcPr>
            <w:tcW w:w="310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1882.45</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1740.37</w:t>
            </w:r>
          </w:p>
        </w:tc>
      </w:tr>
    </w:tbl>
    <w:p>
      <w:pPr>
        <w:pStyle w:val="12"/>
        <w:spacing w:line="440" w:lineRule="exact"/>
        <w:ind w:left="420" w:leftChars="200"/>
        <w:jc w:val="left"/>
        <w:rPr>
          <w:rFonts w:ascii="仿宋_GB2312" w:hAnsi="楷体" w:eastAsia="仿宋_GB2312"/>
          <w:szCs w:val="32"/>
        </w:rPr>
      </w:pPr>
    </w:p>
    <w:p>
      <w:pPr>
        <w:topLinePunct/>
        <w:spacing w:line="440" w:lineRule="exact"/>
        <w:ind w:left="525"/>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根据相关文件，做好前期准备工作。由优抚科负责审批，审核残疾军人（伤残人民警察、伤残民兵民工、伤残国家机关工作人员）相关资料。按伤残级别应发放的伤残抚恤，编制发放表后交分管领导审核，主管领导审批，交财务科通过银行代发划款到本人提供的个人帐号；审核伤残军人家属提供的相关资料，计算出应领取的抚恤费后交分管领导审核，主管领导审批，交财务科通过银行代发划款到家属提供的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符合条件的伤残抚恤专项资金，按有关文件及时审批，按标准在规定时间发放完成，完成相关资料归档工作。</w:t>
      </w:r>
    </w:p>
    <w:p>
      <w:pPr>
        <w:pStyle w:val="12"/>
        <w:numPr>
          <w:ilvl w:val="0"/>
          <w:numId w:val="3"/>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2020年</w:t>
      </w:r>
      <w:r>
        <w:rPr>
          <w:rFonts w:hint="eastAsia" w:ascii="仿宋_GB2312" w:hAnsi="楷体" w:eastAsia="仿宋_GB2312"/>
          <w:szCs w:val="32"/>
        </w:rPr>
        <w:t>伤残抚恤足额兑现率为100%，实际发放人数和应该发放人数一致，规范审批，按标准发放，在规定时间发放完成。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效果目标：残疾军人（伤残人民警察、伤残民兵民工、伤残国家机关工作人员）得到一定经济补助，维护稳定，促进协调发展，对社会发展有一定可持续影响。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绩效自评综合得分为91分。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昆明市盘龙区退役军人事务伤残抚恤专项资金支出绩效自评情况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符合条件的残疾军人（伤残人民警察、伤残民兵民工、伤残国家机关工作人员）发放伤残抚恤金，按有关文件及时审批，按标准在规定时间发放完成，完成相关资料归档工作。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伤残抚恤金足额兑现率</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1740.37</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 w:val="18"/>
                <w:szCs w:val="18"/>
              </w:rPr>
            </w:pPr>
            <w:r>
              <w:rPr>
                <w:rFonts w:hint="eastAsia" w:ascii="仿宋_GB2312" w:hAnsi="楷体" w:eastAsia="仿宋_GB2312"/>
                <w:sz w:val="18"/>
                <w:szCs w:val="18"/>
              </w:rPr>
              <w:t>伤残军人得到一定经济补助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伤残军人得到一定经济补助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在乡复员、退伍军人生活补助支出绩效自评报告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r>
        <w:rPr>
          <w:rFonts w:hint="eastAsia" w:ascii="黑体" w:eastAsia="黑体"/>
        </w:rPr>
        <w:t>一、项目概况：</w:t>
      </w:r>
      <w:r>
        <w:rPr>
          <w:rFonts w:hint="eastAsia"/>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在乡复员、退伍军人生活补助专项经费项目。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在乡复员、退伍军人生活补助专项经费项目实际到位资金</w:t>
      </w:r>
      <w:r>
        <w:rPr>
          <w:rFonts w:hint="eastAsia" w:ascii="仿宋_GB2312" w:hAnsi="楷体" w:eastAsia="仿宋_GB2312"/>
          <w:szCs w:val="32"/>
          <w:lang w:val="en-US" w:eastAsia="zh-CN"/>
        </w:rPr>
        <w:t>231.78</w:t>
      </w:r>
      <w:r>
        <w:rPr>
          <w:rFonts w:hint="eastAsia" w:ascii="仿宋_GB2312" w:hAnsi="楷体" w:eastAsia="仿宋_GB2312"/>
          <w:szCs w:val="32"/>
        </w:rPr>
        <w:t>万元，其中中央资金</w:t>
      </w:r>
      <w:r>
        <w:rPr>
          <w:rFonts w:hint="eastAsia" w:ascii="仿宋_GB2312" w:hAnsi="楷体" w:eastAsia="仿宋_GB2312"/>
          <w:szCs w:val="32"/>
          <w:lang w:val="en-US" w:eastAsia="zh-CN"/>
        </w:rPr>
        <w:t>231.78</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在乡复员、退伍军人生活补助专项经费支出</w:t>
      </w:r>
      <w:r>
        <w:rPr>
          <w:rFonts w:hint="eastAsia" w:ascii="仿宋_GB2312" w:hAnsi="楷体" w:eastAsia="仿宋_GB2312"/>
          <w:szCs w:val="32"/>
          <w:lang w:val="en-US" w:eastAsia="zh-CN"/>
        </w:rPr>
        <w:t>0.24</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绩效自评综合得分为91分。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正文：在乡复员、退伍军人生活补助目支出绩效自评报告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left="525"/>
        <w:rPr>
          <w:rFonts w:ascii="楷体" w:hAnsi="楷体" w:eastAsia="楷体"/>
          <w:szCs w:val="32"/>
        </w:rPr>
      </w:pPr>
      <w:r>
        <w:rPr>
          <w:rFonts w:hint="eastAsia" w:ascii="楷体" w:hAnsi="楷体" w:eastAsia="楷体"/>
          <w:szCs w:val="32"/>
        </w:rPr>
        <w:t>（一）项目概况。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按规定及时足额给在乡复员、退伍军人发放各项生活补助，以改善在乡复员、退伍军人生活，实际发放人数和应该发放人数一致，规范审批，按标准发放，在规定时间发放完成，全年支出</w:t>
      </w:r>
      <w:r>
        <w:rPr>
          <w:rFonts w:hint="eastAsia" w:ascii="仿宋_GB2312" w:hAnsi="楷体" w:eastAsia="仿宋_GB2312"/>
          <w:szCs w:val="32"/>
          <w:lang w:val="en-US" w:eastAsia="zh-CN"/>
        </w:rPr>
        <w:t>0.24</w:t>
      </w:r>
      <w:r>
        <w:rPr>
          <w:rFonts w:hint="eastAsia" w:ascii="仿宋_GB2312" w:hAnsi="楷体" w:eastAsia="仿宋_GB2312"/>
          <w:szCs w:val="32"/>
        </w:rPr>
        <w:t>万元，群众满意度91%。</w:t>
      </w:r>
    </w:p>
    <w:p>
      <w:pPr>
        <w:topLinePunct/>
        <w:spacing w:line="440" w:lineRule="exact"/>
        <w:ind w:firstLine="315" w:firstLineChars="150"/>
        <w:rPr>
          <w:rFonts w:ascii="仿宋_GB2312" w:hAnsi="楷体" w:eastAsia="仿宋_GB2312"/>
          <w:szCs w:val="32"/>
        </w:rPr>
      </w:pPr>
      <w:r>
        <w:rPr>
          <w:rFonts w:hint="eastAsia" w:ascii="仿宋_GB2312" w:hAnsi="楷体" w:eastAsia="仿宋_GB2312"/>
          <w:szCs w:val="32"/>
        </w:rPr>
        <w:t>3.资金来源及使用情况。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在乡复员、退伍军人生活补助项目实际到位资金</w:t>
      </w:r>
      <w:r>
        <w:rPr>
          <w:rFonts w:hint="eastAsia" w:ascii="仿宋_GB2312" w:hAnsi="楷体" w:eastAsia="仿宋_GB2312"/>
          <w:szCs w:val="32"/>
          <w:lang w:val="en-US" w:eastAsia="zh-CN"/>
        </w:rPr>
        <w:t>231.78</w:t>
      </w:r>
      <w:r>
        <w:rPr>
          <w:rFonts w:hint="eastAsia" w:ascii="仿宋_GB2312" w:hAnsi="楷体" w:eastAsia="仿宋_GB2312"/>
          <w:szCs w:val="32"/>
        </w:rPr>
        <w:t>万元，其中中央资金</w:t>
      </w:r>
      <w:r>
        <w:rPr>
          <w:rFonts w:hint="eastAsia" w:ascii="仿宋_GB2312" w:hAnsi="楷体" w:eastAsia="仿宋_GB2312"/>
          <w:szCs w:val="32"/>
          <w:lang w:val="en-US" w:eastAsia="zh-CN"/>
        </w:rPr>
        <w:t>231.78</w:t>
      </w:r>
      <w:r>
        <w:rPr>
          <w:rFonts w:hint="eastAsia" w:ascii="仿宋_GB2312" w:hAnsi="楷体" w:eastAsia="仿宋_GB2312"/>
          <w:szCs w:val="32"/>
        </w:rPr>
        <w:t>万元。</w:t>
      </w:r>
    </w:p>
    <w:p>
      <w:pPr>
        <w:topLinePunct/>
        <w:spacing w:line="440" w:lineRule="exact"/>
        <w:ind w:left="420" w:leftChars="200" w:firstLine="525" w:firstLineChars="250"/>
        <w:rPr>
          <w:rFonts w:ascii="仿宋_GB2312" w:hAnsi="楷体" w:eastAsia="仿宋_GB2312"/>
          <w:szCs w:val="32"/>
        </w:rPr>
      </w:pP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退役士兵安置专项经费项目支出234.17万元。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hint="default" w:ascii="仿宋_GB2312" w:hAnsi="楷体" w:eastAsia="宋体"/>
                <w:szCs w:val="32"/>
                <w:lang w:val="en-US" w:eastAsia="zh-CN"/>
              </w:rPr>
            </w:pPr>
            <w:r>
              <w:rPr>
                <w:rFonts w:hint="eastAsia" w:ascii="仿宋_GB2312" w:hAnsi="楷体" w:eastAsia="仿宋_GB2312"/>
                <w:szCs w:val="32"/>
              </w:rPr>
              <w:t>预算安排资金（万元）:</w:t>
            </w:r>
            <w:r>
              <w:t xml:space="preserve"> </w:t>
            </w:r>
            <w:r>
              <w:rPr>
                <w:rFonts w:hint="eastAsia" w:ascii="仿宋_GB2312" w:hAnsi="楷体" w:eastAsia="仿宋_GB2312"/>
                <w:szCs w:val="32"/>
                <w:lang w:val="en-US" w:eastAsia="zh-CN"/>
              </w:rPr>
              <w:t>231.78</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231.78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spacing w:line="440" w:lineRule="exact"/>
              <w:ind w:right="420"/>
              <w:rPr>
                <w:rFonts w:hint="default" w:ascii="仿宋_GB2312" w:hAnsi="楷体" w:eastAsia="仿宋_GB2312"/>
                <w:szCs w:val="32"/>
                <w:lang w:val="en-US" w:eastAsia="zh-CN"/>
              </w:rPr>
            </w:pPr>
            <w:r>
              <w:rPr>
                <w:rFonts w:hint="eastAsia" w:ascii="仿宋_GB2312" w:hAnsi="楷体" w:eastAsia="仿宋_GB2312"/>
                <w:szCs w:val="32"/>
                <w:lang w:val="en-US" w:eastAsia="zh-CN"/>
              </w:rPr>
              <w:t>231.78</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righ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退役士兵安置专项经费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231.78</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0.24</w:t>
            </w:r>
          </w:p>
        </w:tc>
      </w:tr>
    </w:tbl>
    <w:p>
      <w:pPr>
        <w:pStyle w:val="12"/>
        <w:spacing w:line="440" w:lineRule="exact"/>
        <w:ind w:left="420" w:leftChars="200"/>
        <w:jc w:val="left"/>
        <w:rPr>
          <w:rFonts w:ascii="仿宋_GB2312" w:hAnsi="楷体" w:eastAsia="仿宋_GB2312"/>
          <w:szCs w:val="32"/>
        </w:rPr>
      </w:pPr>
    </w:p>
    <w:p>
      <w:pPr>
        <w:topLinePunct/>
        <w:spacing w:line="440" w:lineRule="exact"/>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半年由具体分管科室优抚科，审核办事处上报的相关资料，计算出应发放的定期生活补助后交分管领导审核，主管领导审批，城区办事处交财务科划款到银行统一代发，涉农办事处交财务科划款到各办事处发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2020年</w:t>
      </w:r>
      <w:r>
        <w:rPr>
          <w:rFonts w:hint="eastAsia" w:ascii="仿宋_GB2312" w:hAnsi="楷体" w:eastAsia="仿宋_GB2312"/>
          <w:szCs w:val="32"/>
        </w:rPr>
        <w:t>平均每月人数为，在乡复员军人95人、带病回乡退伍军人25、三属人员51人，实际发放人数和应该发放人数一致，规范审批，按标准发放，在规定时间发放完成，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效果目标：在乡复员、退伍军人得到一定经济补助，维护稳定，促进协调发展，对社会发展有一定可持续影响。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绩效自评综合得分为85分。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p>
      <w:pPr>
        <w:topLinePunct/>
        <w:spacing w:line="440" w:lineRule="exact"/>
        <w:ind w:firstLine="525" w:firstLineChars="250"/>
        <w:rPr>
          <w:rFonts w:ascii="仿宋" w:hAnsi="仿宋" w:eastAsia="仿宋"/>
          <w:szCs w:val="32"/>
        </w:rPr>
      </w:pP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昆明市盘龙区退役军人事务局在乡复员、退伍军人生活补助项目支出绩效自评情况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按规定及时足额给在乡复员、退伍军人发放各项生活补助，以改善在乡复员、退伍军人生活。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w:t>
            </w:r>
            <w:r>
              <w:rPr>
                <w:rFonts w:hint="eastAsia" w:ascii="仿宋_GB2312" w:hAnsi="楷体" w:eastAsia="仿宋_GB2312"/>
                <w:szCs w:val="32"/>
              </w:rPr>
              <w:t>在乡复员、退伍军人人数</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实际人数</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实际人数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r>
              <w:rPr>
                <w:rFonts w:ascii="仿宋_GB2312" w:hAnsi="楷体" w:eastAsia="仿宋_GB2312"/>
                <w:szCs w:val="32"/>
              </w:rPr>
              <w:t xml:space="preserve"> </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0.24</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在乡复员、退伍军人得到一定经济补助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服务对象满意度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城镇义务兵优待金项目支出绩效自评报告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项目单位：优抚科，项目名称：城镇义务兵优待金。为了保障国家对军人抚恤优待，激励军人保家卫国的奉献精神，加强国防建设,根据</w:t>
      </w:r>
      <w:r>
        <w:rPr>
          <w:rFonts w:hint="eastAsia" w:ascii="仿宋_GB2312" w:hAnsi="楷体" w:eastAsia="仿宋_GB2312"/>
          <w:szCs w:val="32"/>
          <w:lang w:eastAsia="zh-CN"/>
        </w:rPr>
        <w:t>各级</w:t>
      </w:r>
      <w:r>
        <w:rPr>
          <w:rFonts w:hint="eastAsia" w:ascii="仿宋_GB2312" w:hAnsi="楷体" w:eastAsia="仿宋_GB2312"/>
          <w:szCs w:val="32"/>
        </w:rPr>
        <w:t>文件精神，盘龙区人民政府在</w:t>
      </w:r>
      <w:r>
        <w:rPr>
          <w:rFonts w:hint="eastAsia" w:ascii="仿宋_GB2312" w:hAnsi="楷体" w:eastAsia="仿宋_GB2312"/>
          <w:szCs w:val="32"/>
          <w:lang w:eastAsia="zh-CN"/>
        </w:rPr>
        <w:t>2020年</w:t>
      </w:r>
      <w:r>
        <w:rPr>
          <w:rFonts w:hint="eastAsia" w:ascii="仿宋_GB2312" w:hAnsi="楷体" w:eastAsia="仿宋_GB2312"/>
          <w:szCs w:val="32"/>
        </w:rPr>
        <w:t>度继续执行给辖区现役义务兵家庭发放优待金政策，具体的管理发放工作由盘龙区退役军人事务局负责，并指导全区各街道办事处的义务兵优抚工作。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城镇义务兵优待金项目实际到位资金</w:t>
      </w:r>
      <w:r>
        <w:rPr>
          <w:rFonts w:hint="eastAsia" w:ascii="仿宋_GB2312" w:hAnsi="楷体" w:eastAsia="仿宋_GB2312"/>
          <w:szCs w:val="32"/>
          <w:lang w:val="en-US" w:eastAsia="zh-CN"/>
        </w:rPr>
        <w:t>888.77</w:t>
      </w:r>
      <w:r>
        <w:rPr>
          <w:rFonts w:hint="eastAsia" w:ascii="仿宋_GB2312" w:hAnsi="楷体" w:eastAsia="仿宋_GB2312"/>
          <w:szCs w:val="32"/>
        </w:rPr>
        <w:t>万元，为区本级财政安排资金。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城镇义务兵优待金项目支出</w:t>
      </w:r>
      <w:r>
        <w:rPr>
          <w:rFonts w:hint="eastAsia" w:ascii="仿宋_GB2312" w:hAnsi="楷体" w:eastAsia="仿宋_GB2312"/>
          <w:szCs w:val="32"/>
          <w:lang w:val="en-US" w:eastAsia="zh-CN"/>
        </w:rPr>
        <w:t>888.77</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绩效自评综合得分为93分。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城镇义务兵优待金</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5"/>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为了保障国家对军人抚恤优待，激励军人保家卫国的奉献精神，加强国防建设,根据</w:t>
      </w:r>
      <w:r>
        <w:rPr>
          <w:rFonts w:hint="eastAsia" w:ascii="仿宋_GB2312" w:hAnsi="楷体" w:eastAsia="仿宋_GB2312"/>
          <w:szCs w:val="32"/>
          <w:lang w:eastAsia="zh-CN"/>
        </w:rPr>
        <w:t>各级</w:t>
      </w:r>
      <w:r>
        <w:rPr>
          <w:rFonts w:hint="eastAsia" w:ascii="仿宋_GB2312" w:hAnsi="楷体" w:eastAsia="仿宋_GB2312"/>
          <w:szCs w:val="32"/>
        </w:rPr>
        <w:t>文件精神，盘龙区人民政府在</w:t>
      </w:r>
      <w:r>
        <w:rPr>
          <w:rFonts w:hint="eastAsia" w:ascii="仿宋_GB2312" w:hAnsi="楷体" w:eastAsia="仿宋_GB2312"/>
          <w:szCs w:val="32"/>
          <w:lang w:eastAsia="zh-CN"/>
        </w:rPr>
        <w:t>2020年</w:t>
      </w:r>
      <w:r>
        <w:rPr>
          <w:rFonts w:hint="eastAsia" w:ascii="仿宋_GB2312" w:hAnsi="楷体" w:eastAsia="仿宋_GB2312"/>
          <w:szCs w:val="32"/>
        </w:rPr>
        <w:t>度继续执行给辖区现役义务兵家庭发放优待金政策，具体的管理发放工作由盘龙区退役军人事务局负责，并指导全区各街道办事处的义务兵优抚工作。</w:t>
      </w:r>
    </w:p>
    <w:p>
      <w:pPr>
        <w:pStyle w:val="12"/>
        <w:numPr>
          <w:ilvl w:val="0"/>
          <w:numId w:val="6"/>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享受城镇义务优待兵户数为542户，实际发放人数和应该发放人数一致，精准计算，按标准发放规范审批，按标准发放，及时审批并在7月低发放完成，全年支出</w:t>
      </w:r>
      <w:r>
        <w:rPr>
          <w:rFonts w:hint="eastAsia" w:ascii="仿宋_GB2312" w:hAnsi="楷体" w:eastAsia="仿宋_GB2312"/>
          <w:szCs w:val="32"/>
          <w:lang w:val="en-US" w:eastAsia="zh-CN"/>
        </w:rPr>
        <w:t>888.77</w:t>
      </w:r>
      <w:r>
        <w:rPr>
          <w:rFonts w:hint="eastAsia" w:ascii="仿宋_GB2312" w:hAnsi="楷体" w:eastAsia="仿宋_GB2312"/>
          <w:szCs w:val="32"/>
        </w:rPr>
        <w:t>万元，优抚对象对优抚工作的满意度90%。</w:t>
      </w:r>
    </w:p>
    <w:p>
      <w:pPr>
        <w:pStyle w:val="12"/>
        <w:numPr>
          <w:ilvl w:val="0"/>
          <w:numId w:val="6"/>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786" w:firstLine="0" w:firstLineChars="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城镇义务兵优待金项目实际到位资金</w:t>
      </w:r>
      <w:r>
        <w:rPr>
          <w:rFonts w:hint="eastAsia" w:ascii="仿宋_GB2312" w:hAnsi="楷体" w:eastAsia="仿宋_GB2312"/>
          <w:szCs w:val="32"/>
          <w:lang w:val="en-US" w:eastAsia="zh-CN"/>
        </w:rPr>
        <w:t>888.77</w:t>
      </w:r>
      <w:r>
        <w:rPr>
          <w:rFonts w:hint="eastAsia" w:ascii="仿宋_GB2312" w:hAnsi="楷体" w:eastAsia="仿宋_GB2312"/>
          <w:szCs w:val="32"/>
        </w:rPr>
        <w:t>万元，为区本级财政安排资金。</w:t>
      </w:r>
    </w:p>
    <w:p>
      <w:pPr>
        <w:pStyle w:val="12"/>
        <w:topLinePunct/>
        <w:spacing w:line="440" w:lineRule="exact"/>
        <w:ind w:left="786" w:firstLine="0" w:firstLineChars="0"/>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城镇义务兵优待金项目支出615.65万元。</w:t>
      </w: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hint="default" w:ascii="仿宋_GB2312" w:hAnsi="楷体" w:eastAsia="宋体"/>
                <w:szCs w:val="32"/>
                <w:lang w:val="en-US" w:eastAsia="zh-CN"/>
              </w:rPr>
            </w:pPr>
            <w:r>
              <w:rPr>
                <w:rFonts w:hint="eastAsia" w:ascii="仿宋_GB2312" w:hAnsi="楷体" w:eastAsia="仿宋_GB2312"/>
                <w:szCs w:val="32"/>
              </w:rPr>
              <w:t>预算安排资金（万元）:</w:t>
            </w:r>
            <w:r>
              <w:t xml:space="preserve"> </w:t>
            </w:r>
            <w:r>
              <w:rPr>
                <w:rFonts w:hint="eastAsia" w:ascii="仿宋_GB2312" w:hAnsi="楷体" w:eastAsia="仿宋_GB2312"/>
                <w:szCs w:val="32"/>
                <w:lang w:val="en-US" w:eastAsia="zh-CN"/>
              </w:rPr>
              <w:t>888.77</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实际到位资金（万元）:</w:t>
            </w:r>
            <w:r>
              <w:rPr>
                <w:rFonts w:hint="eastAsia" w:ascii="仿宋_GB2312" w:hAnsi="楷体" w:eastAsia="仿宋_GB2312"/>
                <w:szCs w:val="32"/>
                <w:lang w:val="en-US" w:eastAsia="zh-CN"/>
              </w:rPr>
              <w:t>888.77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888.77</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888.77</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城镇义务兵优待金</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888.77</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888.77</w:t>
            </w:r>
          </w:p>
        </w:tc>
      </w:tr>
    </w:tbl>
    <w:p>
      <w:pPr>
        <w:pStyle w:val="12"/>
        <w:spacing w:line="440" w:lineRule="exact"/>
        <w:ind w:left="420" w:leftChars="200"/>
        <w:jc w:val="left"/>
        <w:rPr>
          <w:rFonts w:ascii="仿宋_GB2312" w:hAnsi="楷体" w:eastAsia="仿宋_GB2312"/>
          <w:szCs w:val="32"/>
        </w:rPr>
      </w:pPr>
    </w:p>
    <w:p>
      <w:pPr>
        <w:pStyle w:val="12"/>
        <w:numPr>
          <w:ilvl w:val="0"/>
          <w:numId w:val="6"/>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由具体分管科室优抚科，审核办事处上报的相关资料，计算出应发放的义务兵优待金后交分管领导审核，主管领导审批，交财务划款各办事处发放，应征入伍服义务兵役高校在校生优待金根据具体情况决定发放方式。</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2020年</w:t>
      </w:r>
      <w:r>
        <w:rPr>
          <w:rFonts w:hint="eastAsia" w:ascii="仿宋_GB2312" w:hAnsi="楷体" w:eastAsia="仿宋_GB2312"/>
          <w:szCs w:val="32"/>
        </w:rPr>
        <w:t>享受城镇义务优待金户数为542户，实际发放人数和应该发放人数一致，精准计算，按标准发放规范审批，按标准发放，及时审批并在7月低发放完成。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效果目标：义务兵家庭得到一定经济补助，维护稳定，促进协调发展，对社会发展有一定可持续影响。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绩效自评综合得分为93分。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昆明市盘龙区退役军人事务局城镇义务兵优待金项目支出绩效自评情况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对义务兵家庭优待金及时、足额、全面地进行发放，有力解决现役军人的后顾之忧。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享受城镇义务优待兵户数</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完成542户</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完成542户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及时审核计算，及时发放，在7月底完成拨</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及时审核计算，及时发放，在7月底完成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888.77</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义务兵家庭得到一定经济补助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城镇义务兵优待金按照上年人数和上年城镇可支配收入来计算本年度预算。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其他用于优抚方面经费项目支出绩效自评报告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项目单位：优抚科，项目名称：其他用于优抚方面的经费。主要负责重点优抚对象临时困难救助、维稳工作、优抚对象春节、“八一”慰问、复员干部“两保”生活补助慰问、复员干部临时困难补助。</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其他用于优抚方面经费项目实际到位资金</w:t>
      </w:r>
      <w:r>
        <w:rPr>
          <w:rFonts w:hint="eastAsia" w:ascii="仿宋_GB2312" w:hAnsi="楷体" w:eastAsia="仿宋_GB2312"/>
          <w:szCs w:val="32"/>
          <w:lang w:val="en-US" w:eastAsia="zh-CN"/>
        </w:rPr>
        <w:t>2713.66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2483.91</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229.75</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其他用于优抚方面经费项目支出</w:t>
      </w:r>
      <w:r>
        <w:rPr>
          <w:rFonts w:hint="eastAsia" w:ascii="仿宋_GB2312" w:hAnsi="楷体" w:eastAsia="仿宋_GB2312"/>
          <w:szCs w:val="32"/>
          <w:lang w:val="en-US" w:eastAsia="zh-CN"/>
        </w:rPr>
        <w:t>2178.87</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绩效自评综合得分为92分。</w:t>
      </w:r>
    </w:p>
    <w:p>
      <w:pPr>
        <w:spacing w:line="440" w:lineRule="exact"/>
        <w:ind w:left="420" w:leftChars="200" w:firstLine="420" w:firstLineChars="200"/>
        <w:jc w:val="left"/>
        <w:rPr>
          <w:rFonts w:ascii="仿宋_GB2312" w:hAnsi="楷体" w:eastAsia="仿宋_GB2312"/>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其他用于优抚方面经费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7"/>
        </w:numPr>
        <w:topLinePunct/>
        <w:spacing w:line="440" w:lineRule="exact"/>
        <w:ind w:firstLineChars="0"/>
        <w:rPr>
          <w:rFonts w:ascii="楷体" w:hAnsi="楷体" w:eastAsia="楷体"/>
          <w:szCs w:val="32"/>
        </w:rPr>
      </w:pPr>
      <w:r>
        <w:rPr>
          <w:rFonts w:hint="eastAsia" w:ascii="楷体" w:hAnsi="楷体" w:eastAsia="楷体"/>
          <w:szCs w:val="32"/>
        </w:rPr>
        <w:t>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 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主要负责重点优抚对象临时困难救助、维稳工作、优抚对象春节、“八一”慰问、复员干部“两保”生活补助慰问、复员干部临时困难补助。</w:t>
      </w:r>
    </w:p>
    <w:p>
      <w:pPr>
        <w:pStyle w:val="12"/>
        <w:numPr>
          <w:ilvl w:val="0"/>
          <w:numId w:val="8"/>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实际发放人数和应该发放人数一致，规范审批，按标准发放，在规定时间发放完成，全年支出</w:t>
      </w:r>
      <w:r>
        <w:rPr>
          <w:rFonts w:hint="eastAsia" w:ascii="仿宋_GB2312" w:hAnsi="楷体" w:eastAsia="仿宋_GB2312"/>
          <w:szCs w:val="32"/>
          <w:lang w:val="en-US" w:eastAsia="zh-CN"/>
        </w:rPr>
        <w:t>2178.87</w:t>
      </w:r>
      <w:r>
        <w:rPr>
          <w:rFonts w:hint="eastAsia" w:ascii="仿宋_GB2312" w:hAnsi="楷体" w:eastAsia="仿宋_GB2312"/>
          <w:szCs w:val="32"/>
        </w:rPr>
        <w:t>万元，优抚对象对优抚工作的满意度90%。</w:t>
      </w: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其他用于优抚方面经费项目实际到位资金</w:t>
      </w:r>
      <w:r>
        <w:rPr>
          <w:rFonts w:hint="eastAsia" w:ascii="仿宋_GB2312" w:hAnsi="楷体" w:eastAsia="仿宋_GB2312"/>
          <w:szCs w:val="32"/>
          <w:lang w:val="en-US" w:eastAsia="zh-CN"/>
        </w:rPr>
        <w:t>2713.66</w:t>
      </w:r>
      <w:r>
        <w:rPr>
          <w:rFonts w:hint="eastAsia" w:ascii="仿宋_GB2312" w:hAnsi="楷体" w:eastAsia="仿宋_GB2312"/>
          <w:szCs w:val="32"/>
        </w:rPr>
        <w:t>万元，其中中央财政补助</w:t>
      </w:r>
      <w:r>
        <w:rPr>
          <w:rFonts w:hint="eastAsia" w:ascii="仿宋_GB2312" w:hAnsi="楷体" w:eastAsia="仿宋_GB2312"/>
          <w:szCs w:val="32"/>
          <w:lang w:val="en-US" w:eastAsia="zh-CN"/>
        </w:rPr>
        <w:t>2483.91</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229.75</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其他用于优抚方面经费项目支出</w:t>
      </w:r>
      <w:r>
        <w:rPr>
          <w:rFonts w:hint="eastAsia" w:ascii="仿宋_GB2312" w:hAnsi="楷体" w:eastAsia="仿宋_GB2312"/>
          <w:szCs w:val="32"/>
          <w:lang w:val="en-US" w:eastAsia="zh-CN"/>
        </w:rPr>
        <w:t>2178.87</w:t>
      </w:r>
      <w:r>
        <w:rPr>
          <w:rFonts w:hint="eastAsia" w:ascii="仿宋_GB2312" w:hAnsi="楷体" w:eastAsia="仿宋_GB2312"/>
          <w:szCs w:val="32"/>
        </w:rPr>
        <w:t>万元。</w:t>
      </w:r>
    </w:p>
    <w:p>
      <w:pPr>
        <w:topLinePunct/>
        <w:spacing w:line="440" w:lineRule="exact"/>
        <w:ind w:left="420" w:leftChars="200" w:firstLine="525" w:firstLineChars="250"/>
        <w:rPr>
          <w:rFonts w:ascii="仿宋_GB2312" w:hAnsi="楷体" w:eastAsia="仿宋_GB2312"/>
          <w:szCs w:val="32"/>
        </w:rPr>
      </w:pPr>
    </w:p>
    <w:p>
      <w:pPr>
        <w:topLinePunct/>
        <w:spacing w:line="440" w:lineRule="exact"/>
        <w:ind w:left="420" w:leftChars="200" w:firstLine="525" w:firstLineChars="250"/>
        <w:rPr>
          <w:rFonts w:ascii="仿宋_GB2312" w:hAnsi="楷体" w:eastAsia="仿宋_GB2312"/>
          <w:szCs w:val="32"/>
        </w:rPr>
      </w:pP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2713.66</w:t>
            </w:r>
          </w:p>
        </w:tc>
        <w:tc>
          <w:tcPr>
            <w:tcW w:w="5037" w:type="dxa"/>
            <w:gridSpan w:val="5"/>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实际到位资金（万元）:</w:t>
            </w:r>
            <w:r>
              <w:rPr>
                <w:rFonts w:hint="eastAsia" w:ascii="仿宋_GB2312" w:hAnsi="楷体" w:eastAsia="仿宋_GB2312"/>
                <w:szCs w:val="32"/>
                <w:lang w:val="en-US" w:eastAsia="zh-CN"/>
              </w:rPr>
              <w:t>2713.66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2483.91</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lang w:val="en-US" w:eastAsia="zh-CN"/>
              </w:rPr>
              <w:t>2483.91</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ind w:firstLine="420" w:firstLine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ind w:firstLine="420" w:firstLine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229.75</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lang w:val="en-US" w:eastAsia="zh-CN"/>
              </w:rPr>
              <w:t>229.75</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其他用于优抚方面经费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2713.66</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2178.87</w:t>
            </w:r>
          </w:p>
        </w:tc>
      </w:tr>
    </w:tbl>
    <w:p>
      <w:pPr>
        <w:pStyle w:val="12"/>
        <w:spacing w:line="440" w:lineRule="exact"/>
        <w:ind w:left="420" w:leftChars="200"/>
        <w:jc w:val="left"/>
        <w:rPr>
          <w:rFonts w:ascii="仿宋_GB2312" w:hAnsi="楷体" w:eastAsia="仿宋_GB2312"/>
          <w:szCs w:val="32"/>
        </w:rPr>
      </w:pPr>
    </w:p>
    <w:p>
      <w:pPr>
        <w:pStyle w:val="12"/>
        <w:numPr>
          <w:ilvl w:val="0"/>
          <w:numId w:val="8"/>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半年由具体分管科室优抚科，审核办事处上报的相关资料，计算出应发放的定期生活补助后交分管领导审核，主管领导审批。军队复员干部生活困难补助金到银行统一代发，60周岁以上农村籍退役士兵老年生活补助金、参战参核退役人员生活补助金发放交财务划款到各办事处发放，军队复员干部缴纳医保、社保保险费交财务划款。</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p>
      <w:pPr>
        <w:pStyle w:val="12"/>
        <w:numPr>
          <w:ilvl w:val="0"/>
          <w:numId w:val="9"/>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w:t>
      </w:r>
      <w:r>
        <w:rPr>
          <w:rFonts w:hint="eastAsia" w:ascii="仿宋_GB2312" w:hAnsi="楷体" w:eastAsia="仿宋_GB2312"/>
          <w:szCs w:val="32"/>
          <w:lang w:eastAsia="zh-CN"/>
        </w:rPr>
        <w:t>2020年</w:t>
      </w:r>
      <w:r>
        <w:rPr>
          <w:rFonts w:hint="eastAsia" w:ascii="仿宋_GB2312" w:hAnsi="楷体" w:eastAsia="仿宋_GB2312"/>
          <w:szCs w:val="32"/>
        </w:rPr>
        <w:t>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效果目标：优抚对象得到一定经济补助，维护稳定，促进协调发展，对社会发展有一定可持续影响。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绩效自评综合得分为92分。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1005"/>
        <w:gridCol w:w="420"/>
        <w:gridCol w:w="91"/>
        <w:gridCol w:w="944"/>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昆明市盘龙区退役军人事务局其他用于优抚方面经费项目支出绩效自评情况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306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审批规范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left w:val="single" w:color="000000" w:sz="4" w:space="0"/>
              <w:right w:val="single" w:color="000000" w:sz="4" w:space="0"/>
            </w:tcBorders>
            <w:vAlign w:val="center"/>
          </w:tcPr>
          <w:p>
            <w:pPr>
              <w:widowControl/>
              <w:jc w:val="center"/>
              <w:rPr>
                <w:rFonts w:ascii="仿宋_GB2312" w:hAnsi="楷体" w:eastAsia="仿宋_GB2312"/>
                <w:szCs w:val="32"/>
              </w:rPr>
            </w:pPr>
            <w:r>
              <w:rPr>
                <w:rFonts w:hint="eastAsia" w:ascii="仿宋_GB2312" w:hAnsi="楷体" w:eastAsia="仿宋_GB2312"/>
                <w:szCs w:val="32"/>
              </w:rPr>
              <w:t>数量指标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2178.87</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955" w:type="dxa"/>
            <w:gridSpan w:val="5"/>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282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优抚对象对优抚工作的满意度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退役士兵安置项目支出绩效自评报告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项目单位：安置科，项目名称：退役士兵安置专项经费项目。贯彻执行</w:t>
      </w:r>
      <w:r>
        <w:rPr>
          <w:rFonts w:hint="eastAsia" w:ascii="仿宋_GB2312" w:hAnsi="楷体" w:eastAsia="仿宋_GB2312"/>
          <w:szCs w:val="32"/>
          <w:lang w:eastAsia="zh-CN"/>
        </w:rPr>
        <w:t>各级文件精神</w:t>
      </w:r>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退役士兵安置专项经费项目实际到位资金</w:t>
      </w:r>
      <w:r>
        <w:rPr>
          <w:rFonts w:hint="eastAsia" w:ascii="仿宋_GB2312" w:hAnsi="楷体" w:eastAsia="仿宋_GB2312"/>
          <w:szCs w:val="32"/>
          <w:lang w:val="en-US" w:eastAsia="zh-CN"/>
        </w:rPr>
        <w:t>360.71</w:t>
      </w:r>
      <w:r>
        <w:rPr>
          <w:rFonts w:hint="eastAsia" w:ascii="仿宋_GB2312" w:hAnsi="楷体" w:eastAsia="仿宋_GB2312"/>
          <w:szCs w:val="32"/>
        </w:rPr>
        <w:t>万元，其中省级财政补助</w:t>
      </w:r>
      <w:r>
        <w:rPr>
          <w:rFonts w:hint="eastAsia" w:ascii="仿宋_GB2312" w:hAnsi="楷体" w:eastAsia="仿宋_GB2312"/>
          <w:szCs w:val="32"/>
          <w:lang w:val="en-US" w:eastAsia="zh-CN"/>
        </w:rPr>
        <w:t>265.13</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95.57</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退役士兵安置专项经费项目支出</w:t>
      </w:r>
      <w:r>
        <w:rPr>
          <w:rFonts w:hint="eastAsia" w:ascii="仿宋_GB2312" w:hAnsi="楷体" w:eastAsia="仿宋_GB2312"/>
          <w:szCs w:val="32"/>
          <w:lang w:val="en-US" w:eastAsia="zh-CN"/>
        </w:rPr>
        <w:t>348.41</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绩效自评综合得分为85分。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退役士兵安置专项经费项目</w:t>
      </w:r>
      <w:r>
        <w:rPr>
          <w:rFonts w:hint="eastAsia" w:ascii="黑体" w:hAnsi="黑体" w:eastAsia="黑体"/>
          <w:szCs w:val="32"/>
        </w:rPr>
        <w:t>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left="525"/>
        <w:rPr>
          <w:rFonts w:ascii="楷体" w:hAnsi="楷体" w:eastAsia="楷体"/>
          <w:szCs w:val="32"/>
        </w:rPr>
      </w:pPr>
      <w:r>
        <w:rPr>
          <w:rFonts w:hint="eastAsia" w:ascii="楷体" w:hAnsi="楷体" w:eastAsia="楷体"/>
          <w:szCs w:val="32"/>
        </w:rPr>
        <w:t>（一）项目概况。</w:t>
      </w:r>
    </w:p>
    <w:p>
      <w:pPr>
        <w:topLinePunct/>
        <w:spacing w:line="440" w:lineRule="exact"/>
        <w:ind w:left="525"/>
        <w:rPr>
          <w:rFonts w:ascii="仿宋_GB2312" w:hAnsi="楷体" w:eastAsia="仿宋_GB2312"/>
          <w:szCs w:val="32"/>
        </w:rPr>
      </w:pPr>
      <w:r>
        <w:rPr>
          <w:rFonts w:hint="eastAsia" w:ascii="仿宋_GB2312" w:hAnsi="楷体" w:eastAsia="仿宋_GB2312"/>
          <w:szCs w:val="32"/>
        </w:rPr>
        <w:t>1.立项背景及目的。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贯彻执行贯彻执行</w:t>
      </w:r>
      <w:r>
        <w:rPr>
          <w:rFonts w:hint="eastAsia" w:ascii="仿宋_GB2312" w:hAnsi="楷体" w:eastAsia="仿宋_GB2312"/>
          <w:szCs w:val="32"/>
          <w:lang w:eastAsia="zh-CN"/>
        </w:rPr>
        <w:t>各级文件精神</w:t>
      </w:r>
      <w:r>
        <w:rPr>
          <w:rFonts w:hint="eastAsia" w:ascii="仿宋_GB2312" w:hAnsi="楷体" w:eastAsia="仿宋_GB2312"/>
          <w:szCs w:val="32"/>
        </w:rPr>
        <w:t>，保障好退役士兵待分配期间生活补助、调整提高退役士兵一次性自谋职业补助金、加强退役士兵职业教育和技能培训，按规定及时足额发放各项补助，提高退役士兵生活补助、一次性经济补助</w:t>
      </w:r>
      <w:bookmarkStart w:id="0" w:name="_GoBack"/>
      <w:bookmarkEnd w:id="0"/>
      <w:r>
        <w:rPr>
          <w:rFonts w:hint="eastAsia" w:ascii="仿宋_GB2312" w:hAnsi="楷体" w:eastAsia="仿宋_GB2312"/>
          <w:szCs w:val="32"/>
        </w:rPr>
        <w:t>、一次性自谋职业补助金。</w:t>
      </w:r>
    </w:p>
    <w:p>
      <w:pPr>
        <w:topLinePunct/>
        <w:spacing w:line="440" w:lineRule="exact"/>
        <w:ind w:firstLine="420" w:firstLineChars="200"/>
        <w:rPr>
          <w:rFonts w:ascii="仿宋_GB2312" w:hAnsi="楷体" w:eastAsia="仿宋_GB2312"/>
          <w:szCs w:val="32"/>
        </w:rPr>
      </w:pPr>
      <w:r>
        <w:rPr>
          <w:rFonts w:hint="eastAsia" w:ascii="仿宋_GB2312" w:hAnsi="楷体" w:eastAsia="仿宋_GB2312"/>
          <w:szCs w:val="32"/>
        </w:rPr>
        <w:t>2.项目实施情况。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按照上级的安置计划完成本年度退役士兵安置，实际发放人数和应该发放人数一致，规范审批，按标准发放，在规定时间发放完成，全年支出</w:t>
      </w:r>
      <w:r>
        <w:rPr>
          <w:rFonts w:hint="eastAsia" w:ascii="仿宋_GB2312" w:hAnsi="楷体" w:eastAsia="仿宋_GB2312"/>
          <w:szCs w:val="32"/>
          <w:lang w:val="en-US" w:eastAsia="zh-CN"/>
        </w:rPr>
        <w:t>348.41</w:t>
      </w:r>
      <w:r>
        <w:rPr>
          <w:rFonts w:hint="eastAsia" w:ascii="仿宋_GB2312" w:hAnsi="楷体" w:eastAsia="仿宋_GB2312"/>
          <w:szCs w:val="32"/>
        </w:rPr>
        <w:t>万元，退役安置满意度85%。</w:t>
      </w:r>
    </w:p>
    <w:p>
      <w:pPr>
        <w:numPr>
          <w:ilvl w:val="0"/>
          <w:numId w:val="9"/>
        </w:numPr>
        <w:topLinePunct/>
        <w:spacing w:line="440" w:lineRule="exact"/>
        <w:ind w:left="885" w:leftChars="0" w:hanging="360" w:firstLineChars="0"/>
        <w:rPr>
          <w:rFonts w:hint="eastAsia"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退役士兵安置专项经费项目实际到位资金</w:t>
      </w:r>
      <w:r>
        <w:rPr>
          <w:rFonts w:hint="eastAsia" w:ascii="仿宋_GB2312" w:hAnsi="楷体" w:eastAsia="仿宋_GB2312"/>
          <w:szCs w:val="32"/>
          <w:lang w:val="en-US" w:eastAsia="zh-CN"/>
        </w:rPr>
        <w:t>360.71</w:t>
      </w:r>
      <w:r>
        <w:rPr>
          <w:rFonts w:hint="eastAsia" w:ascii="仿宋_GB2312" w:hAnsi="楷体" w:eastAsia="仿宋_GB2312"/>
          <w:szCs w:val="32"/>
        </w:rPr>
        <w:t>万元，其中省级财政补助</w:t>
      </w:r>
      <w:r>
        <w:rPr>
          <w:rFonts w:hint="eastAsia" w:ascii="仿宋_GB2312" w:hAnsi="楷体" w:eastAsia="仿宋_GB2312"/>
          <w:szCs w:val="32"/>
          <w:lang w:val="en-US" w:eastAsia="zh-CN"/>
        </w:rPr>
        <w:t>265.13</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95.57</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退役士兵安置专项经费项目支出</w:t>
      </w:r>
      <w:r>
        <w:rPr>
          <w:rFonts w:hint="eastAsia" w:ascii="仿宋_GB2312" w:hAnsi="楷体" w:eastAsia="仿宋_GB2312"/>
          <w:szCs w:val="32"/>
          <w:lang w:val="en-US" w:eastAsia="zh-CN"/>
        </w:rPr>
        <w:t>348.41</w:t>
      </w:r>
      <w:r>
        <w:rPr>
          <w:rFonts w:hint="eastAsia" w:ascii="仿宋_GB2312" w:hAnsi="楷体" w:eastAsia="仿宋_GB2312"/>
          <w:szCs w:val="32"/>
        </w:rPr>
        <w:t>万元。</w:t>
      </w:r>
    </w:p>
    <w:p>
      <w:pPr>
        <w:numPr>
          <w:ilvl w:val="0"/>
          <w:numId w:val="0"/>
        </w:numPr>
        <w:topLinePunct/>
        <w:spacing w:line="440" w:lineRule="exact"/>
        <w:ind w:left="525" w:leftChars="0"/>
        <w:rPr>
          <w:rFonts w:hint="eastAsia" w:ascii="仿宋_GB2312" w:hAnsi="楷体" w:eastAsia="仿宋_GB2312"/>
          <w:szCs w:val="32"/>
        </w:rPr>
      </w:pPr>
    </w:p>
    <w:tbl>
      <w:tblPr>
        <w:tblStyle w:val="7"/>
        <w:tblW w:w="968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26"/>
        <w:gridCol w:w="248"/>
        <w:gridCol w:w="536"/>
        <w:gridCol w:w="1841"/>
        <w:gridCol w:w="177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51" w:type="dxa"/>
            <w:gridSpan w:val="4"/>
            <w:noWrap/>
          </w:tcPr>
          <w:p>
            <w:pPr>
              <w:pStyle w:val="12"/>
              <w:spacing w:line="440" w:lineRule="exact"/>
              <w:ind w:left="420" w:leftChars="200"/>
              <w:jc w:val="left"/>
              <w:rPr>
                <w:rFonts w:hint="default" w:ascii="仿宋_GB2312" w:hAnsi="楷体" w:eastAsia="宋体"/>
                <w:szCs w:val="32"/>
                <w:lang w:val="en-US" w:eastAsia="zh-CN"/>
              </w:rPr>
            </w:pPr>
            <w:r>
              <w:rPr>
                <w:rFonts w:hint="eastAsia" w:ascii="仿宋_GB2312" w:hAnsi="楷体" w:eastAsia="仿宋_GB2312"/>
                <w:szCs w:val="32"/>
              </w:rPr>
              <w:t>预算安排资金（万元）:</w:t>
            </w:r>
            <w:r>
              <w:t xml:space="preserve"> </w:t>
            </w:r>
            <w:r>
              <w:rPr>
                <w:rFonts w:hint="eastAsia" w:ascii="仿宋_GB2312" w:hAnsi="楷体" w:eastAsia="仿宋_GB2312"/>
                <w:szCs w:val="32"/>
                <w:lang w:val="en-US" w:eastAsia="zh-CN"/>
              </w:rPr>
              <w:t>360.71</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360.71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265.13</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265.13</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righ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95.57</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95.57</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69"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688"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385"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退役士兵安置专项经费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360.71</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348.41</w:t>
            </w:r>
          </w:p>
        </w:tc>
      </w:tr>
    </w:tbl>
    <w:p>
      <w:pPr>
        <w:pStyle w:val="12"/>
        <w:spacing w:line="440" w:lineRule="exact"/>
        <w:ind w:left="420" w:leftChars="200"/>
        <w:jc w:val="left"/>
        <w:rPr>
          <w:rFonts w:ascii="仿宋_GB2312" w:hAnsi="楷体" w:eastAsia="仿宋_GB2312"/>
          <w:szCs w:val="32"/>
        </w:rPr>
      </w:pPr>
    </w:p>
    <w:p>
      <w:pPr>
        <w:topLinePunct/>
        <w:spacing w:line="440" w:lineRule="exact"/>
        <w:rPr>
          <w:rFonts w:ascii="仿宋_GB2312" w:hAnsi="楷体" w:eastAsia="仿宋_GB2312"/>
          <w:szCs w:val="32"/>
        </w:rPr>
      </w:pPr>
      <w:r>
        <w:rPr>
          <w:rFonts w:hint="eastAsia" w:ascii="仿宋_GB2312" w:hAnsi="楷体" w:eastAsia="仿宋_GB2312"/>
          <w:szCs w:val="32"/>
        </w:rPr>
        <w:t>4.组织及管理情况。包括项目组织情况、项目实施流程、资金拨付流程。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每月由具体分管科室安置科，审核应发放退役士兵相关资料，编制出发放的退役士兵生活费和退役士兵一次性经济补助表格，后交分管领导审核，主管领导审批，交财务划款到银行统一代发至个人帐号。</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p>
      <w:pPr>
        <w:pStyle w:val="12"/>
        <w:numPr>
          <w:ilvl w:val="0"/>
          <w:numId w:val="4"/>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产出目标：按照上级的安置计划完成本年度退役士兵安置，实际发放人数和应该发放人数一致，规范审批，按标准发放，在规定时间发放完成，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效果目标：退役士兵得到一定经济补助，维护稳定，促进协调发展，对社会发展有一定可持续影响。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绩效自评综合得分为85分。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145"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145"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昆明市盘龙区退役军人事务局退役士兵安置专项经费项目支出绩效自评情况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c>
          <w:tcPr>
            <w:tcW w:w="4031"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按规定及时足额发放各项补助，提高退役士兵生活补助、一次性经济补助、一次性自谋职业补助金。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21"/>
              </w:rPr>
            </w:pPr>
            <w:r>
              <w:rPr>
                <w:rFonts w:hint="eastAsia" w:ascii="仿宋_GB2312" w:hAnsi="楷体" w:eastAsia="仿宋_GB2312"/>
                <w:szCs w:val="21"/>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退役士兵安置情况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c>
          <w:tcPr>
            <w:tcW w:w="1261"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r>
              <w:rPr>
                <w:rFonts w:ascii="仿宋_GB2312" w:hAnsi="楷体" w:eastAsia="仿宋_GB2312"/>
                <w:szCs w:val="32"/>
              </w:rPr>
              <w:t xml:space="preserve"> </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及时审核并在规定时间发放完成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348.41</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退役士兵得到一定经济补助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c>
          <w:tcPr>
            <w:tcW w:w="1261"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200"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421"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也存在在预算执行过程中绩效目标实施主体和实施时间、明确各级管理者和实施者在成本控制、进度、结果上的责任、项目实施中可能存在的难点或风险以及配套的应对措施考虑不够全面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针对以上问题，提出相应整改措施具体为，一是不断完善监管制度；二是加强预算编制的计划性。在编制预算前应加强与业务部门的沟通，了解分析单位的具体情况以及上一年度的实际执行情况，据此科学合理地安排本年度预算资金。</w:t>
      </w:r>
    </w:p>
    <w:p/>
    <w:p/>
    <w:p/>
    <w:p/>
    <w:p/>
    <w:p/>
    <w:p/>
    <w:p/>
    <w:p/>
    <w:p/>
    <w:p/>
    <w:p/>
    <w:p/>
    <w:p/>
    <w:p/>
    <w:p/>
    <w:p/>
    <w:p/>
    <w:p/>
    <w:p/>
    <w:p/>
    <w:p/>
    <w:p/>
    <w:p/>
    <w:p/>
    <w:p/>
    <w:p/>
    <w:p/>
    <w:p/>
    <w:p/>
    <w:p>
      <w:pPr>
        <w:spacing w:line="440" w:lineRule="exact"/>
        <w:jc w:val="center"/>
        <w:rPr>
          <w:rFonts w:ascii="方正小标宋_GBK" w:eastAsia="方正小标宋_GBK"/>
          <w:sz w:val="36"/>
          <w:szCs w:val="36"/>
        </w:rPr>
      </w:pPr>
      <w:r>
        <w:rPr>
          <w:rFonts w:hint="eastAsia" w:ascii="方正小标宋_GBK" w:eastAsia="方正小标宋_GBK"/>
          <w:sz w:val="36"/>
          <w:szCs w:val="36"/>
        </w:rPr>
        <w:t>军队离退休干部及无军籍职工人员经费项目支出绩效自评报告</w:t>
      </w:r>
    </w:p>
    <w:p>
      <w:pPr>
        <w:spacing w:line="440" w:lineRule="exact"/>
        <w:ind w:firstLine="420" w:firstLineChars="200"/>
        <w:jc w:val="left"/>
        <w:rPr>
          <w:rFonts w:ascii="黑体" w:hAnsi="黑体" w:eastAsia="黑体"/>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spacing w:line="440" w:lineRule="exact"/>
        <w:ind w:left="284"/>
        <w:jc w:val="left"/>
        <w:rPr>
          <w:rFonts w:ascii="仿宋_GB2312" w:hAnsi="黑体" w:eastAsia="仿宋_GB2312"/>
          <w:szCs w:val="32"/>
        </w:rPr>
      </w:pPr>
      <w:r>
        <w:rPr>
          <w:rFonts w:hint="eastAsia" w:ascii="黑体" w:hAnsi="黑体" w:eastAsia="黑体"/>
          <w:szCs w:val="32"/>
        </w:rPr>
        <w:t>一、项目概况：</w:t>
      </w:r>
      <w:r>
        <w:rPr>
          <w:rFonts w:hint="eastAsia" w:ascii="仿宋_GB2312" w:hAnsi="黑体" w:eastAsia="仿宋_GB2312"/>
          <w:szCs w:val="32"/>
        </w:rPr>
        <w:t>含项目立项背景及目的，预算收支情况。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项目单位：安置科，项目名称：军队离退休干部及无军籍职工人员经费项目。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军队离退休干部及无军籍职工人员经费项目实际到位资金</w:t>
      </w:r>
      <w:r>
        <w:rPr>
          <w:rFonts w:hint="eastAsia" w:ascii="仿宋_GB2312" w:hAnsi="楷体" w:eastAsia="仿宋_GB2312"/>
          <w:szCs w:val="32"/>
          <w:lang w:val="en-US" w:eastAsia="zh-CN"/>
        </w:rPr>
        <w:t>17216.79</w:t>
      </w:r>
      <w:r>
        <w:rPr>
          <w:rFonts w:hint="eastAsia" w:ascii="仿宋_GB2312" w:hAnsi="楷体" w:eastAsia="仿宋_GB2312"/>
          <w:szCs w:val="32"/>
        </w:rPr>
        <w:t>万元，其中</w:t>
      </w:r>
      <w:r>
        <w:rPr>
          <w:rFonts w:hint="eastAsia" w:ascii="仿宋_GB2312" w:hAnsi="楷体" w:eastAsia="仿宋_GB2312"/>
          <w:szCs w:val="32"/>
          <w:lang w:eastAsia="zh-CN"/>
        </w:rPr>
        <w:t>中央及</w:t>
      </w:r>
      <w:r>
        <w:rPr>
          <w:rFonts w:hint="eastAsia" w:ascii="仿宋_GB2312" w:hAnsi="楷体" w:eastAsia="仿宋_GB2312"/>
          <w:szCs w:val="32"/>
        </w:rPr>
        <w:t>省级财政补助</w:t>
      </w:r>
      <w:r>
        <w:rPr>
          <w:rFonts w:hint="eastAsia" w:ascii="仿宋_GB2312" w:hAnsi="楷体" w:eastAsia="仿宋_GB2312"/>
          <w:szCs w:val="32"/>
          <w:lang w:val="en-US" w:eastAsia="zh-CN"/>
        </w:rPr>
        <w:t>13227.17</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3330</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军队离退休干部及无军籍职工人员经费项目支出</w:t>
      </w:r>
      <w:r>
        <w:rPr>
          <w:rFonts w:hint="eastAsia" w:ascii="仿宋_GB2312" w:hAnsi="楷体" w:eastAsia="仿宋_GB2312"/>
          <w:szCs w:val="32"/>
          <w:lang w:val="en-US" w:eastAsia="zh-CN"/>
        </w:rPr>
        <w:t>16184.74</w:t>
      </w:r>
      <w:r>
        <w:rPr>
          <w:rFonts w:hint="eastAsia" w:ascii="仿宋_GB2312" w:hAnsi="楷体" w:eastAsia="仿宋_GB2312"/>
          <w:szCs w:val="32"/>
        </w:rPr>
        <w:t>万元。</w:t>
      </w:r>
    </w:p>
    <w:p>
      <w:pPr>
        <w:spacing w:line="440" w:lineRule="exact"/>
        <w:ind w:left="284"/>
        <w:jc w:val="left"/>
        <w:rPr>
          <w:rFonts w:ascii="黑体" w:hAnsi="黑体" w:eastAsia="黑体"/>
          <w:szCs w:val="32"/>
        </w:rPr>
      </w:pPr>
      <w:r>
        <w:rPr>
          <w:rFonts w:hint="eastAsia" w:ascii="黑体" w:hAnsi="黑体" w:eastAsia="黑体"/>
          <w:szCs w:val="32"/>
        </w:rPr>
        <w:t>二、评价结论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绩效自评综合得分为92分。</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正文：</w:t>
      </w:r>
      <w:r>
        <w:rPr>
          <w:rFonts w:hint="eastAsia" w:ascii="仿宋_GB2312" w:hAnsi="楷体" w:eastAsia="仿宋_GB2312"/>
          <w:szCs w:val="32"/>
        </w:rPr>
        <w:t>军队离退休干部及无军籍职工人员经费</w:t>
      </w:r>
      <w:r>
        <w:rPr>
          <w:rFonts w:hint="eastAsia" w:ascii="黑体" w:hAnsi="黑体" w:eastAsia="黑体"/>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pStyle w:val="12"/>
        <w:numPr>
          <w:ilvl w:val="0"/>
          <w:numId w:val="10"/>
        </w:numPr>
        <w:topLinePunct/>
        <w:spacing w:line="440" w:lineRule="exact"/>
        <w:ind w:firstLineChars="0"/>
        <w:rPr>
          <w:rFonts w:ascii="楷体" w:hAnsi="楷体" w:eastAsia="楷体"/>
          <w:szCs w:val="32"/>
        </w:rPr>
      </w:pPr>
      <w:r>
        <w:rPr>
          <w:rFonts w:hint="eastAsia" w:ascii="楷体" w:hAnsi="楷体" w:eastAsia="楷体"/>
          <w:szCs w:val="32"/>
        </w:rPr>
        <w:t>项目概况。</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立项背景及目的。</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落实移交政府管理的军队离退休干部的“政治待遇、生活待遇”和移交政府管理的军队无军籍退休职工的生活保障，认真贯彻落实国务院、中央军委、总政治部、财政部、民政部相关文件精神，落实军休干部“两个待遇”，军队无军籍退休职工的生活保障。</w:t>
      </w:r>
    </w:p>
    <w:p>
      <w:pPr>
        <w:pStyle w:val="12"/>
        <w:numPr>
          <w:ilvl w:val="0"/>
          <w:numId w:val="11"/>
        </w:numPr>
        <w:topLinePunct/>
        <w:spacing w:line="440" w:lineRule="exact"/>
        <w:ind w:firstLineChars="0"/>
        <w:rPr>
          <w:rFonts w:ascii="仿宋_GB2312" w:hAnsi="楷体" w:eastAsia="仿宋_GB2312"/>
          <w:szCs w:val="32"/>
        </w:rPr>
      </w:pPr>
      <w:r>
        <w:rPr>
          <w:rFonts w:hint="eastAsia" w:ascii="仿宋_GB2312" w:hAnsi="楷体" w:eastAsia="仿宋_GB2312"/>
          <w:szCs w:val="32"/>
        </w:rPr>
        <w:t>项目实施情况。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按照上级的安置计划完成军队移交政府离退休人员安置，实际发放人数和应该发放人数一致，规范审批，按标准发放，在规定时间发放完成，全年支出</w:t>
      </w:r>
      <w:r>
        <w:rPr>
          <w:rFonts w:hint="eastAsia" w:ascii="仿宋_GB2312" w:hAnsi="楷体" w:eastAsia="仿宋_GB2312"/>
          <w:szCs w:val="32"/>
          <w:lang w:val="en-US" w:eastAsia="zh-CN"/>
        </w:rPr>
        <w:t>16184.74</w:t>
      </w:r>
      <w:r>
        <w:rPr>
          <w:rFonts w:hint="eastAsia" w:ascii="仿宋_GB2312" w:hAnsi="楷体" w:eastAsia="仿宋_GB2312"/>
          <w:szCs w:val="32"/>
        </w:rPr>
        <w:t>万元，退役安置满意度95%。</w:t>
      </w: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资金来源及使用情况。</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val="en-US" w:eastAsia="zh-CN"/>
        </w:rPr>
        <w:t xml:space="preserve">   </w:t>
      </w:r>
      <w:r>
        <w:rPr>
          <w:rFonts w:hint="eastAsia" w:ascii="仿宋_GB2312" w:hAnsi="楷体" w:eastAsia="仿宋_GB2312"/>
          <w:szCs w:val="32"/>
          <w:lang w:eastAsia="zh-CN"/>
        </w:rPr>
        <w:t>2020年</w:t>
      </w:r>
      <w:r>
        <w:rPr>
          <w:rFonts w:hint="eastAsia" w:ascii="仿宋_GB2312" w:hAnsi="楷体" w:eastAsia="仿宋_GB2312"/>
          <w:szCs w:val="32"/>
        </w:rPr>
        <w:t>军队离退休干部及无军籍职工人员经费项目实际到位资金</w:t>
      </w:r>
      <w:r>
        <w:rPr>
          <w:rFonts w:hint="eastAsia" w:ascii="仿宋_GB2312" w:hAnsi="楷体" w:eastAsia="仿宋_GB2312"/>
          <w:szCs w:val="32"/>
          <w:lang w:val="en-US" w:eastAsia="zh-CN"/>
        </w:rPr>
        <w:t>17216.79</w:t>
      </w:r>
      <w:r>
        <w:rPr>
          <w:rFonts w:hint="eastAsia" w:ascii="仿宋_GB2312" w:hAnsi="楷体" w:eastAsia="仿宋_GB2312"/>
          <w:szCs w:val="32"/>
        </w:rPr>
        <w:t>万元，其中</w:t>
      </w:r>
      <w:r>
        <w:rPr>
          <w:rFonts w:hint="eastAsia" w:ascii="仿宋_GB2312" w:hAnsi="楷体" w:eastAsia="仿宋_GB2312"/>
          <w:szCs w:val="32"/>
          <w:lang w:eastAsia="zh-CN"/>
        </w:rPr>
        <w:t>中央</w:t>
      </w:r>
      <w:r>
        <w:rPr>
          <w:rFonts w:hint="eastAsia" w:ascii="仿宋_GB2312" w:hAnsi="楷体" w:eastAsia="仿宋_GB2312"/>
          <w:szCs w:val="32"/>
        </w:rPr>
        <w:t>财政补助</w:t>
      </w:r>
      <w:r>
        <w:rPr>
          <w:rFonts w:hint="eastAsia" w:ascii="仿宋_GB2312" w:hAnsi="楷体" w:eastAsia="仿宋_GB2312"/>
          <w:szCs w:val="32"/>
          <w:lang w:val="en-US" w:eastAsia="zh-CN"/>
        </w:rPr>
        <w:t>13227.17</w:t>
      </w:r>
      <w:r>
        <w:rPr>
          <w:rFonts w:hint="eastAsia" w:ascii="仿宋_GB2312" w:hAnsi="楷体" w:eastAsia="仿宋_GB2312"/>
          <w:szCs w:val="32"/>
        </w:rPr>
        <w:t>万元；区本级财政安排</w:t>
      </w:r>
      <w:r>
        <w:rPr>
          <w:rFonts w:hint="eastAsia" w:ascii="仿宋_GB2312" w:hAnsi="楷体" w:eastAsia="仿宋_GB2312"/>
          <w:szCs w:val="32"/>
          <w:lang w:val="en-US" w:eastAsia="zh-CN"/>
        </w:rPr>
        <w:t>3330</w:t>
      </w:r>
      <w:r>
        <w:rPr>
          <w:rFonts w:hint="eastAsia" w:ascii="仿宋_GB2312" w:hAnsi="楷体" w:eastAsia="仿宋_GB2312"/>
          <w:szCs w:val="32"/>
        </w:rPr>
        <w:t>万元。</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lang w:eastAsia="zh-CN"/>
        </w:rPr>
        <w:t>2020年</w:t>
      </w:r>
      <w:r>
        <w:rPr>
          <w:rFonts w:hint="eastAsia" w:ascii="仿宋_GB2312" w:hAnsi="楷体" w:eastAsia="仿宋_GB2312"/>
          <w:szCs w:val="32"/>
        </w:rPr>
        <w:t>军队离退休干部及无军籍职工人员经费项目支出</w:t>
      </w:r>
      <w:r>
        <w:rPr>
          <w:rFonts w:hint="eastAsia" w:ascii="仿宋_GB2312" w:hAnsi="楷体" w:eastAsia="仿宋_GB2312"/>
          <w:szCs w:val="32"/>
          <w:lang w:val="en-US" w:eastAsia="zh-CN"/>
        </w:rPr>
        <w:t>16184.74</w:t>
      </w:r>
      <w:r>
        <w:rPr>
          <w:rFonts w:hint="eastAsia" w:ascii="仿宋_GB2312" w:hAnsi="楷体" w:eastAsia="仿宋_GB2312"/>
          <w:szCs w:val="32"/>
        </w:rPr>
        <w:t>万元。</w:t>
      </w:r>
    </w:p>
    <w:tbl>
      <w:tblPr>
        <w:tblStyle w:val="7"/>
        <w:tblW w:w="985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916"/>
        <w:gridCol w:w="840"/>
        <w:gridCol w:w="1476"/>
        <w:gridCol w:w="248"/>
        <w:gridCol w:w="536"/>
        <w:gridCol w:w="1841"/>
        <w:gridCol w:w="189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1.项目起止时间：</w:t>
            </w:r>
            <w:r>
              <w:rPr>
                <w:rFonts w:hint="eastAsia" w:ascii="仿宋_GB2312" w:hAnsi="楷体" w:eastAsia="仿宋_GB2312"/>
                <w:szCs w:val="32"/>
                <w:lang w:eastAsia="zh-CN"/>
              </w:rPr>
              <w:t>2020年</w:t>
            </w:r>
            <w:r>
              <w:rPr>
                <w:rFonts w:hint="eastAsia" w:ascii="仿宋_GB2312" w:hAnsi="楷体" w:eastAsia="仿宋_GB2312"/>
                <w:szCs w:val="32"/>
              </w:rPr>
              <w:t>1月1日-</w:t>
            </w:r>
            <w:r>
              <w:rPr>
                <w:rFonts w:hint="eastAsia" w:ascii="仿宋_GB2312" w:hAnsi="楷体" w:eastAsia="仿宋_GB2312"/>
                <w:szCs w:val="32"/>
                <w:lang w:eastAsia="zh-CN"/>
              </w:rPr>
              <w:t>2020年</w:t>
            </w:r>
            <w:r>
              <w:rPr>
                <w:rFonts w:hint="eastAsia" w:ascii="仿宋_GB2312" w:hAnsi="楷体" w:eastAsia="仿宋_GB2312"/>
                <w:szCs w:val="32"/>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818"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预算安排资金（万元）:</w:t>
            </w:r>
            <w:r>
              <w:rPr>
                <w:rFonts w:hint="eastAsia" w:ascii="仿宋_GB2312" w:hAnsi="楷体" w:eastAsia="仿宋_GB2312"/>
                <w:szCs w:val="32"/>
                <w:lang w:val="en-US" w:eastAsia="zh-CN"/>
              </w:rPr>
              <w:t>17216.79</w:t>
            </w:r>
          </w:p>
        </w:tc>
        <w:tc>
          <w:tcPr>
            <w:tcW w:w="5037" w:type="dxa"/>
            <w:gridSpan w:val="5"/>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rPr>
              <w:t xml:space="preserve">实际到位资金（万元）: </w:t>
            </w:r>
            <w:r>
              <w:rPr>
                <w:rFonts w:hint="eastAsia" w:ascii="仿宋_GB2312" w:hAnsi="楷体" w:eastAsia="仿宋_GB2312"/>
                <w:szCs w:val="32"/>
                <w:lang w:val="en-US" w:eastAsia="zh-CN"/>
              </w:rPr>
              <w:t>17216.79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其中：中央财政</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13227.17</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firstLine="0" w:firstLineChars="0"/>
              <w:jc w:val="left"/>
              <w:rPr>
                <w:rFonts w:ascii="仿宋_GB2312" w:hAnsi="楷体" w:eastAsia="仿宋_GB2312"/>
                <w:szCs w:val="32"/>
              </w:rPr>
            </w:pPr>
            <w:r>
              <w:rPr>
                <w:rFonts w:hint="eastAsia" w:ascii="仿宋_GB2312" w:hAnsi="楷体" w:eastAsia="仿宋_GB2312"/>
                <w:szCs w:val="32"/>
              </w:rPr>
              <w:t>其中：中央财政</w:t>
            </w:r>
          </w:p>
        </w:tc>
        <w:tc>
          <w:tcPr>
            <w:tcW w:w="1776" w:type="dxa"/>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13227.17</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426" w:type="dxa"/>
            <w:noWrap/>
          </w:tcPr>
          <w:p>
            <w:pPr>
              <w:spacing w:line="440" w:lineRule="exact"/>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省级财政</w:t>
            </w:r>
          </w:p>
        </w:tc>
        <w:tc>
          <w:tcPr>
            <w:tcW w:w="1776" w:type="dxa"/>
            <w:noWrap/>
          </w:tcPr>
          <w:p>
            <w:pPr>
              <w:spacing w:line="440" w:lineRule="exact"/>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426" w:type="dxa"/>
            <w:noWrap/>
          </w:tcPr>
          <w:p>
            <w:pPr>
              <w:pStyle w:val="12"/>
              <w:spacing w:line="440" w:lineRule="exact"/>
              <w:ind w:left="420" w:leftChars="200" w:firstLine="0" w:firstLineChars="0"/>
              <w:jc w:val="left"/>
              <w:rPr>
                <w:rFonts w:ascii="仿宋_GB2312" w:hAnsi="楷体" w:eastAsia="仿宋_GB2312"/>
                <w:szCs w:val="32"/>
              </w:rPr>
            </w:pP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市级财政</w:t>
            </w:r>
          </w:p>
        </w:tc>
        <w:tc>
          <w:tcPr>
            <w:tcW w:w="1776" w:type="dxa"/>
            <w:noWrap/>
          </w:tcPr>
          <w:p>
            <w:pPr>
              <w:pStyle w:val="12"/>
              <w:spacing w:line="440" w:lineRule="exact"/>
              <w:ind w:left="420" w:leftChars="200" w:firstLine="0" w:firstLineChars="0"/>
              <w:jc w:val="left"/>
              <w:rPr>
                <w:rFonts w:ascii="仿宋_GB2312" w:hAnsi="楷体" w:eastAsia="仿宋_GB2312"/>
                <w:szCs w:val="32"/>
              </w:rPr>
            </w:pP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2756"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42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3330</w:t>
            </w:r>
          </w:p>
        </w:tc>
        <w:tc>
          <w:tcPr>
            <w:tcW w:w="248" w:type="dxa"/>
            <w:noWrap/>
          </w:tcPr>
          <w:p>
            <w:pPr>
              <w:pStyle w:val="12"/>
              <w:spacing w:line="440" w:lineRule="exact"/>
              <w:ind w:left="420" w:leftChars="200"/>
              <w:jc w:val="left"/>
              <w:rPr>
                <w:rFonts w:ascii="仿宋_GB2312" w:hAnsi="楷体" w:eastAsia="仿宋_GB2312"/>
                <w:szCs w:val="32"/>
              </w:rPr>
            </w:pPr>
          </w:p>
        </w:tc>
        <w:tc>
          <w:tcPr>
            <w:tcW w:w="2377"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本级配套</w:t>
            </w:r>
          </w:p>
        </w:tc>
        <w:tc>
          <w:tcPr>
            <w:tcW w:w="1776" w:type="dxa"/>
            <w:noWrap/>
          </w:tcPr>
          <w:p>
            <w:pPr>
              <w:pStyle w:val="12"/>
              <w:spacing w:line="440" w:lineRule="exact"/>
              <w:ind w:left="420" w:leftChars="200" w:firstLine="0" w:firstLineChars="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3330</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c>
          <w:tcPr>
            <w:tcW w:w="4182"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248" w:type="dxa"/>
            <w:noWrap/>
          </w:tcPr>
          <w:p>
            <w:pPr>
              <w:pStyle w:val="12"/>
              <w:spacing w:line="440" w:lineRule="exact"/>
              <w:ind w:left="420" w:leftChars="200"/>
              <w:jc w:val="left"/>
              <w:rPr>
                <w:rFonts w:ascii="仿宋_GB2312" w:hAnsi="楷体" w:eastAsia="仿宋_GB2312"/>
                <w:szCs w:val="32"/>
              </w:rPr>
            </w:pPr>
          </w:p>
        </w:tc>
        <w:tc>
          <w:tcPr>
            <w:tcW w:w="41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xml:space="preserve">      部门自筹及其他</w:t>
            </w:r>
          </w:p>
        </w:tc>
        <w:tc>
          <w:tcPr>
            <w:tcW w:w="636" w:type="dxa"/>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9855" w:type="dxa"/>
            <w:gridSpan w:val="9"/>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（二）项目支出明细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支出内容</w:t>
            </w:r>
          </w:p>
        </w:tc>
        <w:tc>
          <w:tcPr>
            <w:tcW w:w="3050" w:type="dxa"/>
            <w:gridSpan w:val="4"/>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预算支出数</w:t>
            </w:r>
          </w:p>
        </w:tc>
        <w:tc>
          <w:tcPr>
            <w:tcW w:w="4253" w:type="dxa"/>
            <w:gridSpan w:val="3"/>
            <w:noWrap/>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实际支出数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552" w:type="dxa"/>
            <w:gridSpan w:val="2"/>
            <w:noWrap/>
          </w:tcPr>
          <w:p>
            <w:pPr>
              <w:spacing w:line="440" w:lineRule="exact"/>
              <w:jc w:val="left"/>
              <w:rPr>
                <w:rFonts w:ascii="仿宋_GB2312" w:hAnsi="楷体" w:eastAsia="仿宋_GB2312"/>
                <w:szCs w:val="32"/>
              </w:rPr>
            </w:pPr>
            <w:r>
              <w:rPr>
                <w:rFonts w:hint="eastAsia" w:ascii="仿宋_GB2312" w:hAnsi="楷体" w:eastAsia="仿宋_GB2312"/>
                <w:szCs w:val="32"/>
              </w:rPr>
              <w:t>军队离退休干部及无军籍职工人员经费</w:t>
            </w:r>
          </w:p>
        </w:tc>
        <w:tc>
          <w:tcPr>
            <w:tcW w:w="3050" w:type="dxa"/>
            <w:gridSpan w:val="4"/>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17216.79</w:t>
            </w:r>
          </w:p>
        </w:tc>
        <w:tc>
          <w:tcPr>
            <w:tcW w:w="4253" w:type="dxa"/>
            <w:gridSpan w:val="3"/>
            <w:noWrap/>
          </w:tcPr>
          <w:p>
            <w:pPr>
              <w:pStyle w:val="12"/>
              <w:spacing w:line="440" w:lineRule="exact"/>
              <w:ind w:left="420" w:leftChars="200"/>
              <w:jc w:val="left"/>
              <w:rPr>
                <w:rFonts w:hint="default" w:ascii="仿宋_GB2312" w:hAnsi="楷体" w:eastAsia="仿宋_GB2312"/>
                <w:szCs w:val="32"/>
                <w:lang w:val="en-US" w:eastAsia="zh-CN"/>
              </w:rPr>
            </w:pPr>
            <w:r>
              <w:rPr>
                <w:rFonts w:hint="eastAsia" w:ascii="仿宋_GB2312" w:hAnsi="楷体" w:eastAsia="仿宋_GB2312"/>
                <w:szCs w:val="32"/>
                <w:lang w:val="en-US" w:eastAsia="zh-CN"/>
              </w:rPr>
              <w:t>16184.74</w:t>
            </w:r>
          </w:p>
        </w:tc>
      </w:tr>
    </w:tbl>
    <w:p>
      <w:pPr>
        <w:pStyle w:val="12"/>
        <w:spacing w:line="440" w:lineRule="exact"/>
        <w:ind w:left="420" w:leftChars="200"/>
        <w:jc w:val="left"/>
        <w:rPr>
          <w:rFonts w:ascii="仿宋_GB2312" w:hAnsi="楷体" w:eastAsia="仿宋_GB2312"/>
          <w:szCs w:val="32"/>
        </w:rPr>
      </w:pPr>
    </w:p>
    <w:p>
      <w:pPr>
        <w:pStyle w:val="12"/>
        <w:numPr>
          <w:ilvl w:val="0"/>
          <w:numId w:val="11"/>
        </w:numPr>
        <w:topLinePunct/>
        <w:spacing w:line="440" w:lineRule="exact"/>
        <w:ind w:left="786" w:firstLineChars="0"/>
        <w:rPr>
          <w:rFonts w:ascii="仿宋_GB2312" w:hAnsi="楷体" w:eastAsia="仿宋_GB2312"/>
          <w:szCs w:val="32"/>
        </w:rPr>
      </w:pPr>
      <w:r>
        <w:rPr>
          <w:rFonts w:hint="eastAsia" w:ascii="仿宋_GB2312" w:hAnsi="楷体" w:eastAsia="仿宋_GB2312"/>
          <w:szCs w:val="32"/>
        </w:rPr>
        <w:t>组织及管理情况。包括项目组织情况、项目实施流程、资金拨付流程。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每月由具体分管科室安置科，审核应发放离退休工资的军休干部、无军籍职工相关资料，编制出发放的离退休工资表后交分管领导审核，主管领导审批，交计划财务科划款到银行统一代发；病故抚恤由安置科审核病故老干部家属提供的相关资料，计算出应发放的抚恤费后交分管领导审核，主管领导审批，交财务通过银行代发划款到家属提供的个人帐号。其他军休安置工作按年度计划开展。</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  总目标。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p>
      <w:pPr>
        <w:pStyle w:val="12"/>
        <w:numPr>
          <w:ilvl w:val="0"/>
          <w:numId w:val="12"/>
        </w:numPr>
        <w:topLinePunct/>
        <w:spacing w:line="440" w:lineRule="exact"/>
        <w:ind w:firstLineChars="0"/>
        <w:rPr>
          <w:rFonts w:ascii="仿宋_GB2312" w:hAnsi="楷体" w:eastAsia="仿宋_GB2312"/>
          <w:szCs w:val="32"/>
        </w:rPr>
      </w:pPr>
      <w:r>
        <w:rPr>
          <w:rFonts w:hint="eastAsia" w:ascii="仿宋_GB2312" w:hAnsi="楷体" w:eastAsia="仿宋_GB2312"/>
          <w:szCs w:val="32"/>
        </w:rPr>
        <w:t>年度目标。包括产出目标、效果目标。</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产出目标：按照上级的安置计划完成军队移交政府离退休人员安置，实际发放人数和应该发放人数一致，规范审批，按标准发放，在规定时间发放完成。</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效果目标：军休干部得到一定经济补助，维护稳定，促进协调发展，对社会发展有一定可持续影响。</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（一）绩效评价目的。</w:t>
      </w:r>
    </w:p>
    <w:p>
      <w:pPr>
        <w:topLinePunct/>
        <w:spacing w:line="440" w:lineRule="exact"/>
        <w:ind w:left="420" w:leftChars="200" w:firstLine="525" w:firstLineChars="250"/>
        <w:rPr>
          <w:rFonts w:ascii="仿宋_GB2312" w:hAnsi="楷体" w:eastAsia="仿宋_GB2312"/>
          <w:szCs w:val="32"/>
        </w:rPr>
      </w:pP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left="420" w:leftChars="200" w:firstLine="420" w:firstLineChars="200"/>
        <w:rPr>
          <w:rFonts w:ascii="仿宋_GB2312" w:hAnsi="楷体" w:eastAsia="仿宋_GB2312"/>
          <w:szCs w:val="32"/>
        </w:rPr>
      </w:pPr>
      <w:r>
        <w:rPr>
          <w:rFonts w:hint="eastAsia" w:ascii="仿宋_GB2312" w:hAnsi="楷体" w:eastAsia="仿宋_GB2312"/>
          <w:szCs w:val="32"/>
        </w:rPr>
        <w:t>根据相关文件，做好前期准备工作。成立绩效评价工作小组，负责绩效评价工作的组织领导和具体实施。评价小组采取座谈会等方式听取情况，检查部门项目支出有关账目，收集项目支出相关资料，并根据各部门报送的绩效自评材料进行分析，形成评价结论。</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科学规范、公开公正、绩效相关等原则。</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2.绩效评价方法。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采取座谈会、数据采集和社会调查等方式。</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楷体" w:hAnsi="楷体" w:eastAsia="楷体"/>
          <w:szCs w:val="32"/>
        </w:rPr>
      </w:pPr>
      <w:r>
        <w:rPr>
          <w:rFonts w:hint="eastAsia" w:ascii="楷体" w:hAnsi="楷体" w:eastAsia="楷体"/>
          <w:szCs w:val="32"/>
        </w:rPr>
        <w:t>（五）本次绩效评价的局限性。</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无</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本项目按要求完成当年计划任务，促进社会和谐稳定发展、改善部分群众生活、满足群众需求、产生一定的经济效益，项目评为优秀。</w:t>
      </w:r>
      <w:r>
        <w:rPr>
          <w:rFonts w:hint="eastAsia" w:ascii="仿宋_GB2312" w:hAnsi="楷体" w:eastAsia="仿宋_GB2312"/>
          <w:szCs w:val="32"/>
          <w:lang w:eastAsia="zh-CN"/>
        </w:rPr>
        <w:t>2020年</w:t>
      </w:r>
      <w:r>
        <w:rPr>
          <w:rFonts w:hint="eastAsia" w:ascii="仿宋_GB2312" w:hAnsi="楷体" w:eastAsia="仿宋_GB2312"/>
          <w:szCs w:val="32"/>
        </w:rPr>
        <w:t>绩效自评综合得分为96分。</w:t>
      </w:r>
    </w:p>
    <w:p>
      <w:pPr>
        <w:topLinePunct/>
        <w:spacing w:line="440" w:lineRule="exact"/>
        <w:ind w:firstLine="525" w:firstLineChars="250"/>
        <w:rPr>
          <w:rFonts w:ascii="仿宋" w:hAnsi="仿宋" w:eastAsia="仿宋"/>
          <w:szCs w:val="32"/>
        </w:rPr>
      </w:pPr>
      <w:r>
        <w:rPr>
          <w:rFonts w:hint="eastAsia" w:ascii="楷体" w:hAnsi="楷体" w:eastAsia="楷体"/>
          <w:szCs w:val="32"/>
        </w:rPr>
        <w:t>（二）具体绩效分析。</w:t>
      </w:r>
      <w:r>
        <w:rPr>
          <w:rFonts w:hint="eastAsia" w:ascii="仿宋" w:hAnsi="仿宋" w:eastAsia="仿宋"/>
          <w:szCs w:val="32"/>
        </w:rPr>
        <w:t>对照绩效评价指标体系逐项进行分析、评价并打分。</w:t>
      </w:r>
    </w:p>
    <w:tbl>
      <w:tblPr>
        <w:tblStyle w:val="6"/>
        <w:tblW w:w="1052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29"/>
        <w:gridCol w:w="105"/>
        <w:gridCol w:w="334"/>
        <w:gridCol w:w="825"/>
        <w:gridCol w:w="180"/>
        <w:gridCol w:w="420"/>
        <w:gridCol w:w="1035"/>
        <w:gridCol w:w="270"/>
        <w:gridCol w:w="144"/>
        <w:gridCol w:w="1320"/>
        <w:gridCol w:w="148"/>
        <w:gridCol w:w="420"/>
        <w:gridCol w:w="738"/>
        <w:gridCol w:w="240"/>
        <w:gridCol w:w="360"/>
        <w:gridCol w:w="240"/>
        <w:gridCol w:w="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20" w:type="dxa"/>
            <w:gridSpan w:val="20"/>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昆明市盘龙区退役军人事务局军队离退休干部及无军籍职工人员经费项目支出绩效自评情况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项目支出绩效定性目标及实施计划完成情况</w:t>
            </w: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预期目标</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4277"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c>
          <w:tcPr>
            <w:tcW w:w="440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2"/>
              <w:spacing w:line="440" w:lineRule="exact"/>
              <w:ind w:left="420" w:leftChars="200"/>
              <w:jc w:val="left"/>
              <w:rPr>
                <w:rFonts w:ascii="仿宋_GB2312" w:hAnsi="楷体" w:eastAsia="仿宋_GB2312"/>
                <w:szCs w:val="32"/>
              </w:rPr>
            </w:pPr>
            <w:r>
              <w:rPr>
                <w:rFonts w:hint="eastAsia" w:ascii="仿宋_GB2312" w:hAnsi="楷体" w:eastAsia="仿宋_GB2312"/>
                <w:szCs w:val="32"/>
              </w:rPr>
              <w:t>按相关文件规定，落实军休干部“两个待遇”，按时按标准发放军队离退休干部、无军籍职工离退休工资，组织好有关活动。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项目支出绩效定量目标及实施计划完成情况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评价内容</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绩效内容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绩效目标值</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产出目标</w:t>
            </w:r>
          </w:p>
          <w:p>
            <w:pPr>
              <w:widowControl/>
              <w:spacing w:before="100" w:beforeAutospacing="1" w:after="100" w:afterAutospacing="1" w:line="320" w:lineRule="exact"/>
              <w:jc w:val="center"/>
              <w:textAlignment w:val="center"/>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质量指标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申请审核审批的规范性；是否按标准发放</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规范审批，按标准发放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数量指标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1.</w:t>
            </w:r>
            <w:r>
              <w:rPr>
                <w:rFonts w:hint="eastAsia"/>
              </w:rPr>
              <w:t xml:space="preserve"> 军队移交政府离退休人员安置情况</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tcPr>
          <w:p>
            <w:r>
              <w:rPr>
                <w:rFonts w:hint="eastAsia" w:ascii="仿宋_GB2312" w:hAnsi="楷体" w:eastAsia="仿宋_GB2312"/>
                <w:szCs w:val="32"/>
              </w:rPr>
              <w:t>按照上级的安置计划完成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p>
          <w:p>
            <w:pPr>
              <w:widowControl/>
              <w:spacing w:before="100" w:beforeAutospacing="1" w:after="100" w:afterAutospacing="1"/>
              <w:textAlignment w:val="center"/>
              <w:rPr>
                <w:rFonts w:ascii="仿宋_GB2312" w:hAnsi="楷体" w:eastAsia="仿宋_GB2312"/>
                <w:szCs w:val="32"/>
              </w:rPr>
            </w:pPr>
            <w:r>
              <w:rPr>
                <w:rFonts w:hint="eastAsia" w:ascii="仿宋_GB2312" w:hAnsi="楷体" w:eastAsia="仿宋_GB2312"/>
                <w:szCs w:val="32"/>
              </w:rPr>
              <w:t>2实际发放人数和应该发放人数是否一致</w:t>
            </w:r>
          </w:p>
        </w:tc>
        <w:tc>
          <w:tcPr>
            <w:tcW w:w="1158" w:type="dxa"/>
            <w:gridSpan w:val="2"/>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c>
          <w:tcPr>
            <w:tcW w:w="1636" w:type="dxa"/>
            <w:gridSpan w:val="4"/>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tcPr>
          <w:p>
            <w:r>
              <w:rPr>
                <w:rFonts w:hint="eastAsia" w:ascii="仿宋_GB2312" w:hAnsi="楷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时效指标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是否及时审批并在规定时间发放完成</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及时审批并在规定时间发放完成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shd w:val="clear" w:color="auto" w:fill="auto"/>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成本指标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专项经费</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按规定完成</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已完成</w:t>
            </w:r>
            <w:r>
              <w:rPr>
                <w:rFonts w:hint="eastAsia" w:ascii="仿宋_GB2312" w:hAnsi="楷体" w:eastAsia="仿宋_GB2312"/>
                <w:szCs w:val="32"/>
                <w:lang w:val="en-US" w:eastAsia="zh-CN"/>
              </w:rPr>
              <w:t>16184.74</w:t>
            </w:r>
            <w:r>
              <w:rPr>
                <w:rFonts w:hint="eastAsia" w:ascii="仿宋_GB2312" w:hAnsi="楷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效益目标</w:t>
            </w:r>
          </w:p>
          <w:p>
            <w:pPr>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（预期实现的效益）</w:t>
            </w: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维护稳定，促进协调发展稳定</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维护稳定，促进协调发展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经济效益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军休干部得到一定经济补助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生态效益</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此项目不涉及生态效益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可持续影响指标</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对社会发展有一定可持续影响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楷体" w:eastAsia="仿宋_GB2312"/>
                <w:szCs w:val="32"/>
              </w:rPr>
            </w:pPr>
          </w:p>
        </w:tc>
        <w:tc>
          <w:tcPr>
            <w:tcW w:w="1108" w:type="dxa"/>
            <w:gridSpan w:val="2"/>
            <w:vMerge w:val="continue"/>
            <w:tcBorders>
              <w:left w:val="single" w:color="000000" w:sz="4" w:space="0"/>
              <w:right w:val="single" w:color="000000" w:sz="4" w:space="0"/>
            </w:tcBorders>
            <w:vAlign w:val="center"/>
          </w:tcPr>
          <w:p>
            <w:pPr>
              <w:widowControl/>
              <w:jc w:val="left"/>
              <w:rPr>
                <w:rFonts w:ascii="仿宋_GB2312" w:hAnsi="楷体" w:eastAsia="仿宋_GB2312"/>
                <w:szCs w:val="32"/>
              </w:rPr>
            </w:pPr>
          </w:p>
        </w:tc>
        <w:tc>
          <w:tcPr>
            <w:tcW w:w="1264" w:type="dxa"/>
            <w:gridSpan w:val="3"/>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社会公众或服务对象满意度</w:t>
            </w:r>
          </w:p>
        </w:tc>
        <w:tc>
          <w:tcPr>
            <w:tcW w:w="3517"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退役安置满意度</w:t>
            </w:r>
          </w:p>
        </w:tc>
        <w:tc>
          <w:tcPr>
            <w:tcW w:w="1158"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c>
          <w:tcPr>
            <w:tcW w:w="163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楷体" w:eastAsia="仿宋_GB2312"/>
                <w:szCs w:val="32"/>
              </w:rPr>
            </w:pPr>
            <w:r>
              <w:rPr>
                <w:rFonts w:hint="eastAsia" w:ascii="仿宋_GB2312" w:hAnsi="楷体" w:eastAsia="仿宋_GB2312"/>
                <w:szCs w:val="32"/>
              </w:rPr>
              <w:t>满意度达95%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绩效自评综合得分</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评价等次</w:t>
            </w:r>
          </w:p>
        </w:tc>
        <w:tc>
          <w:tcPr>
            <w:tcW w:w="757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楷体" w:eastAsia="仿宋_GB2312"/>
                <w:szCs w:val="32"/>
              </w:rPr>
            </w:pPr>
            <w:r>
              <w:rPr>
                <w:rFonts w:hint="eastAsia" w:ascii="仿宋_GB2312" w:hAnsi="楷体" w:eastAsia="仿宋_GB2312"/>
                <w:szCs w:val="32"/>
              </w:rPr>
              <w:t>优秀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694" w:type="dxa"/>
            <w:tcBorders>
              <w:top w:val="nil"/>
              <w:left w:val="nil"/>
              <w:bottom w:val="nil"/>
              <w:right w:val="nil"/>
            </w:tcBorders>
            <w:vAlign w:val="center"/>
          </w:tcPr>
          <w:p>
            <w:pPr>
              <w:widowControl/>
              <w:jc w:val="left"/>
              <w:rPr>
                <w:rFonts w:ascii="Arial" w:hAnsi="Arial" w:cs="Arial"/>
                <w:kern w:val="0"/>
                <w:sz w:val="1"/>
                <w:szCs w:val="18"/>
              </w:rPr>
            </w:pPr>
          </w:p>
        </w:tc>
        <w:tc>
          <w:tcPr>
            <w:tcW w:w="143" w:type="dxa"/>
            <w:tcBorders>
              <w:top w:val="nil"/>
              <w:left w:val="nil"/>
              <w:bottom w:val="nil"/>
              <w:right w:val="nil"/>
            </w:tcBorders>
            <w:vAlign w:val="center"/>
          </w:tcPr>
          <w:p>
            <w:pPr>
              <w:widowControl/>
              <w:jc w:val="left"/>
              <w:rPr>
                <w:rFonts w:ascii="Arial" w:hAnsi="Arial" w:cs="Arial"/>
                <w:kern w:val="0"/>
                <w:sz w:val="1"/>
                <w:szCs w:val="18"/>
              </w:rPr>
            </w:pPr>
          </w:p>
        </w:tc>
        <w:tc>
          <w:tcPr>
            <w:tcW w:w="479" w:type="dxa"/>
            <w:tcBorders>
              <w:top w:val="nil"/>
              <w:left w:val="nil"/>
              <w:bottom w:val="nil"/>
              <w:right w:val="nil"/>
            </w:tcBorders>
            <w:vAlign w:val="center"/>
          </w:tcPr>
          <w:p>
            <w:pPr>
              <w:widowControl/>
              <w:jc w:val="left"/>
              <w:rPr>
                <w:rFonts w:ascii="Arial" w:hAnsi="Arial" w:cs="Arial"/>
                <w:kern w:val="0"/>
                <w:sz w:val="1"/>
                <w:szCs w:val="18"/>
              </w:rPr>
            </w:pPr>
          </w:p>
        </w:tc>
        <w:tc>
          <w:tcPr>
            <w:tcW w:w="734"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334" w:type="dxa"/>
            <w:tcBorders>
              <w:top w:val="nil"/>
              <w:left w:val="nil"/>
              <w:bottom w:val="nil"/>
              <w:right w:val="nil"/>
            </w:tcBorders>
            <w:vAlign w:val="center"/>
          </w:tcPr>
          <w:p>
            <w:pPr>
              <w:widowControl/>
              <w:jc w:val="left"/>
              <w:rPr>
                <w:rFonts w:ascii="Arial" w:hAnsi="Arial" w:cs="Arial"/>
                <w:kern w:val="0"/>
                <w:sz w:val="1"/>
                <w:szCs w:val="18"/>
              </w:rPr>
            </w:pPr>
          </w:p>
        </w:tc>
        <w:tc>
          <w:tcPr>
            <w:tcW w:w="1005" w:type="dxa"/>
            <w:gridSpan w:val="2"/>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1035" w:type="dxa"/>
            <w:tcBorders>
              <w:top w:val="nil"/>
              <w:left w:val="nil"/>
              <w:bottom w:val="nil"/>
              <w:right w:val="nil"/>
            </w:tcBorders>
            <w:vAlign w:val="center"/>
          </w:tcPr>
          <w:p>
            <w:pPr>
              <w:widowControl/>
              <w:jc w:val="left"/>
              <w:rPr>
                <w:rFonts w:ascii="Arial" w:hAnsi="Arial" w:cs="Arial"/>
                <w:kern w:val="0"/>
                <w:sz w:val="1"/>
                <w:szCs w:val="18"/>
              </w:rPr>
            </w:pPr>
          </w:p>
        </w:tc>
        <w:tc>
          <w:tcPr>
            <w:tcW w:w="270" w:type="dxa"/>
            <w:tcBorders>
              <w:top w:val="nil"/>
              <w:left w:val="nil"/>
              <w:bottom w:val="nil"/>
              <w:right w:val="nil"/>
            </w:tcBorders>
            <w:vAlign w:val="center"/>
          </w:tcPr>
          <w:p>
            <w:pPr>
              <w:widowControl/>
              <w:jc w:val="left"/>
              <w:rPr>
                <w:rFonts w:ascii="Arial" w:hAnsi="Arial" w:cs="Arial"/>
                <w:kern w:val="0"/>
                <w:sz w:val="1"/>
                <w:szCs w:val="18"/>
              </w:rPr>
            </w:pPr>
          </w:p>
        </w:tc>
        <w:tc>
          <w:tcPr>
            <w:tcW w:w="144" w:type="dxa"/>
            <w:tcBorders>
              <w:top w:val="nil"/>
              <w:left w:val="nil"/>
              <w:bottom w:val="nil"/>
              <w:right w:val="nil"/>
            </w:tcBorders>
            <w:vAlign w:val="center"/>
          </w:tcPr>
          <w:p>
            <w:pPr>
              <w:widowControl/>
              <w:jc w:val="left"/>
              <w:rPr>
                <w:rFonts w:ascii="Arial" w:hAnsi="Arial" w:cs="Arial"/>
                <w:kern w:val="0"/>
                <w:sz w:val="1"/>
                <w:szCs w:val="18"/>
              </w:rPr>
            </w:pPr>
          </w:p>
        </w:tc>
        <w:tc>
          <w:tcPr>
            <w:tcW w:w="1320" w:type="dxa"/>
            <w:tcBorders>
              <w:top w:val="nil"/>
              <w:left w:val="nil"/>
              <w:bottom w:val="nil"/>
              <w:right w:val="nil"/>
            </w:tcBorders>
            <w:vAlign w:val="center"/>
          </w:tcPr>
          <w:p>
            <w:pPr>
              <w:widowControl/>
              <w:jc w:val="left"/>
              <w:rPr>
                <w:rFonts w:ascii="Arial" w:hAnsi="Arial" w:cs="Arial"/>
                <w:kern w:val="0"/>
                <w:sz w:val="1"/>
                <w:szCs w:val="18"/>
              </w:rPr>
            </w:pPr>
          </w:p>
        </w:tc>
        <w:tc>
          <w:tcPr>
            <w:tcW w:w="148" w:type="dxa"/>
            <w:tcBorders>
              <w:top w:val="nil"/>
              <w:left w:val="nil"/>
              <w:bottom w:val="nil"/>
              <w:right w:val="nil"/>
            </w:tcBorders>
            <w:vAlign w:val="center"/>
          </w:tcPr>
          <w:p>
            <w:pPr>
              <w:widowControl/>
              <w:jc w:val="left"/>
              <w:rPr>
                <w:rFonts w:ascii="Arial" w:hAnsi="Arial" w:cs="Arial"/>
                <w:kern w:val="0"/>
                <w:sz w:val="1"/>
                <w:szCs w:val="18"/>
              </w:rPr>
            </w:pPr>
          </w:p>
        </w:tc>
        <w:tc>
          <w:tcPr>
            <w:tcW w:w="420" w:type="dxa"/>
            <w:tcBorders>
              <w:top w:val="nil"/>
              <w:left w:val="nil"/>
              <w:bottom w:val="nil"/>
              <w:right w:val="nil"/>
            </w:tcBorders>
            <w:vAlign w:val="center"/>
          </w:tcPr>
          <w:p>
            <w:pPr>
              <w:widowControl/>
              <w:jc w:val="left"/>
              <w:rPr>
                <w:rFonts w:ascii="Arial" w:hAnsi="Arial" w:cs="Arial"/>
                <w:kern w:val="0"/>
                <w:sz w:val="1"/>
                <w:szCs w:val="18"/>
              </w:rPr>
            </w:pPr>
          </w:p>
        </w:tc>
        <w:tc>
          <w:tcPr>
            <w:tcW w:w="738"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360" w:type="dxa"/>
            <w:tcBorders>
              <w:top w:val="nil"/>
              <w:left w:val="nil"/>
              <w:bottom w:val="nil"/>
              <w:right w:val="nil"/>
            </w:tcBorders>
            <w:vAlign w:val="center"/>
          </w:tcPr>
          <w:p>
            <w:pPr>
              <w:widowControl/>
              <w:jc w:val="left"/>
              <w:rPr>
                <w:rFonts w:ascii="Arial" w:hAnsi="Arial" w:cs="Arial"/>
                <w:kern w:val="0"/>
                <w:sz w:val="1"/>
                <w:szCs w:val="18"/>
              </w:rPr>
            </w:pPr>
          </w:p>
        </w:tc>
        <w:tc>
          <w:tcPr>
            <w:tcW w:w="240" w:type="dxa"/>
            <w:tcBorders>
              <w:top w:val="nil"/>
              <w:left w:val="nil"/>
              <w:bottom w:val="nil"/>
              <w:right w:val="nil"/>
            </w:tcBorders>
            <w:vAlign w:val="center"/>
          </w:tcPr>
          <w:p>
            <w:pPr>
              <w:widowControl/>
              <w:jc w:val="left"/>
              <w:rPr>
                <w:rFonts w:ascii="Arial" w:hAnsi="Arial" w:cs="Arial"/>
                <w:kern w:val="0"/>
                <w:sz w:val="1"/>
                <w:szCs w:val="18"/>
              </w:rPr>
            </w:pPr>
          </w:p>
        </w:tc>
        <w:tc>
          <w:tcPr>
            <w:tcW w:w="796" w:type="dxa"/>
            <w:tcBorders>
              <w:top w:val="nil"/>
              <w:left w:val="nil"/>
              <w:bottom w:val="nil"/>
              <w:right w:val="nil"/>
            </w:tcBorders>
            <w:vAlign w:val="center"/>
          </w:tcPr>
          <w:p>
            <w:pPr>
              <w:widowControl/>
              <w:jc w:val="left"/>
              <w:rPr>
                <w:rFonts w:ascii="Arial" w:hAnsi="Arial" w:cs="Arial"/>
                <w:kern w:val="0"/>
                <w:sz w:val="1"/>
                <w:szCs w:val="18"/>
              </w:rPr>
            </w:pPr>
          </w:p>
        </w:tc>
      </w:tr>
    </w:tbl>
    <w:p>
      <w:pPr>
        <w:topLinePunct/>
        <w:spacing w:line="440" w:lineRule="exact"/>
        <w:jc w:val="left"/>
        <w:rPr>
          <w:rFonts w:ascii="仿宋" w:hAnsi="仿宋" w:eastAsia="仿宋"/>
          <w:szCs w:val="32"/>
        </w:rPr>
      </w:pPr>
    </w:p>
    <w:p>
      <w:pPr>
        <w:topLinePunct/>
        <w:spacing w:line="440" w:lineRule="exact"/>
        <w:ind w:firstLine="525" w:firstLineChars="250"/>
        <w:rPr>
          <w:rFonts w:ascii="黑体" w:hAnsi="黑体" w:eastAsia="黑体"/>
          <w:szCs w:val="32"/>
        </w:rPr>
      </w:pPr>
      <w:r>
        <w:rPr>
          <w:rFonts w:hint="eastAsia" w:ascii="黑体" w:hAnsi="黑体" w:eastAsia="黑体"/>
          <w:szCs w:val="32"/>
        </w:rPr>
        <w:t>四、主要经验及做法、存在的问题和建议</w:t>
      </w:r>
    </w:p>
    <w:p>
      <w:pPr>
        <w:topLinePunct/>
        <w:spacing w:line="440" w:lineRule="exact"/>
        <w:ind w:firstLine="525" w:firstLineChars="250"/>
        <w:rPr>
          <w:rFonts w:ascii="楷体" w:hAnsi="楷体" w:eastAsia="楷体"/>
          <w:szCs w:val="32"/>
        </w:rPr>
      </w:pPr>
      <w:r>
        <w:rPr>
          <w:rFonts w:hint="eastAsia" w:ascii="楷体" w:hAnsi="楷体" w:eastAsia="楷体"/>
          <w:szCs w:val="32"/>
        </w:rPr>
        <w:t>（一）主要经验及做法；</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自出涉及的经济科目规定，根据财务管理办法的相关制度执行。</w:t>
      </w:r>
    </w:p>
    <w:p>
      <w:pPr>
        <w:topLinePunct/>
        <w:spacing w:line="440" w:lineRule="exact"/>
        <w:ind w:firstLine="525" w:firstLineChars="250"/>
        <w:rPr>
          <w:rFonts w:ascii="楷体" w:hAnsi="楷体" w:eastAsia="楷体"/>
          <w:szCs w:val="32"/>
        </w:rPr>
      </w:pPr>
      <w:r>
        <w:rPr>
          <w:rFonts w:hint="eastAsia" w:ascii="楷体" w:hAnsi="楷体" w:eastAsia="楷体"/>
          <w:szCs w:val="32"/>
        </w:rPr>
        <w:t>（二）存在的问题；</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440" w:lineRule="exact"/>
        <w:ind w:firstLine="525" w:firstLineChars="250"/>
        <w:rPr>
          <w:rFonts w:ascii="楷体" w:hAnsi="楷体" w:eastAsia="楷体"/>
          <w:szCs w:val="32"/>
        </w:rPr>
      </w:pPr>
      <w:r>
        <w:rPr>
          <w:rFonts w:hint="eastAsia" w:ascii="楷体" w:hAnsi="楷体" w:eastAsia="楷体"/>
          <w:szCs w:val="32"/>
        </w:rPr>
        <w:t>（三）建议和改进措施。</w:t>
      </w:r>
    </w:p>
    <w:p>
      <w:pPr>
        <w:spacing w:line="440" w:lineRule="exact"/>
        <w:ind w:left="420" w:leftChars="200" w:firstLine="420" w:firstLineChars="200"/>
        <w:jc w:val="left"/>
        <w:rPr>
          <w:rFonts w:ascii="仿宋_GB2312" w:hAnsi="楷体" w:eastAsia="仿宋_GB2312"/>
          <w:szCs w:val="32"/>
        </w:rPr>
      </w:pPr>
      <w:r>
        <w:rPr>
          <w:rFonts w:hint="eastAsia" w:ascii="仿宋_GB2312" w:hAnsi="楷体" w:eastAsia="仿宋_GB2312"/>
          <w:szCs w:val="32"/>
        </w:rPr>
        <w:t>今后工作中各专项资金使用科室应当高度重视绩效评价结果的应用工作，充分发挥绩效评价以评促管效能，积极探索和建立一套与预算管理相结合、多渠道应用评价结果的有效机制，努力提高绩效意识和财政资金使用效益。我单位将健全预算执行进度和考核机制，加强与上级部门、本级财政的沟通，达到上级经费下拨与本级资金使用同步的效果，以便更好的提高资金使用效率。</w:t>
      </w:r>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600"/>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3599"/>
      <w:docPartObj>
        <w:docPartGallery w:val="autotext"/>
      </w:docPartObj>
    </w:sdtPr>
    <w:sdtContent>
      <w:p>
        <w:pPr>
          <w:pStyle w:val="4"/>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F1F07"/>
    <w:multiLevelType w:val="multilevel"/>
    <w:tmpl w:val="074F1F07"/>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
    <w:nsid w:val="1F7E5366"/>
    <w:multiLevelType w:val="multilevel"/>
    <w:tmpl w:val="1F7E536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2">
    <w:nsid w:val="22666389"/>
    <w:multiLevelType w:val="multilevel"/>
    <w:tmpl w:val="22666389"/>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3">
    <w:nsid w:val="2C561413"/>
    <w:multiLevelType w:val="multilevel"/>
    <w:tmpl w:val="2C561413"/>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4">
    <w:nsid w:val="307002DF"/>
    <w:multiLevelType w:val="multilevel"/>
    <w:tmpl w:val="307002D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5">
    <w:nsid w:val="350A7782"/>
    <w:multiLevelType w:val="multilevel"/>
    <w:tmpl w:val="350A778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6">
    <w:nsid w:val="4AC709A2"/>
    <w:multiLevelType w:val="multilevel"/>
    <w:tmpl w:val="4AC709A2"/>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7">
    <w:nsid w:val="4DE7557F"/>
    <w:multiLevelType w:val="multilevel"/>
    <w:tmpl w:val="4DE7557F"/>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8">
    <w:nsid w:val="578C6578"/>
    <w:multiLevelType w:val="multilevel"/>
    <w:tmpl w:val="578C6578"/>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9">
    <w:nsid w:val="5AB22222"/>
    <w:multiLevelType w:val="multilevel"/>
    <w:tmpl w:val="5AB22222"/>
    <w:lvl w:ilvl="0" w:tentative="0">
      <w:start w:val="1"/>
      <w:numFmt w:val="japaneseCounting"/>
      <w:lvlText w:val="（%1）"/>
      <w:lvlJc w:val="left"/>
      <w:pPr>
        <w:ind w:left="1245" w:hanging="7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0">
    <w:nsid w:val="5DB947ED"/>
    <w:multiLevelType w:val="multilevel"/>
    <w:tmpl w:val="5DB947ED"/>
    <w:lvl w:ilvl="0" w:tentative="0">
      <w:start w:val="2"/>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1">
    <w:nsid w:val="64182D56"/>
    <w:multiLevelType w:val="multilevel"/>
    <w:tmpl w:val="64182D56"/>
    <w:lvl w:ilvl="0" w:tentative="0">
      <w:start w:val="1"/>
      <w:numFmt w:val="decimal"/>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num w:numId="1">
    <w:abstractNumId w:val="3"/>
  </w:num>
  <w:num w:numId="2">
    <w:abstractNumId w:val="11"/>
  </w:num>
  <w:num w:numId="3">
    <w:abstractNumId w:val="10"/>
  </w:num>
  <w:num w:numId="4">
    <w:abstractNumId w:val="6"/>
  </w:num>
  <w:num w:numId="5">
    <w:abstractNumId w:val="8"/>
  </w:num>
  <w:num w:numId="6">
    <w:abstractNumId w:val="0"/>
  </w:num>
  <w:num w:numId="7">
    <w:abstractNumId w:val="9"/>
  </w:num>
  <w:num w:numId="8">
    <w:abstractNumId w:val="2"/>
  </w:num>
  <w:num w:numId="9">
    <w:abstractNumId w:val="7"/>
  </w:num>
  <w:num w:numId="10">
    <w:abstractNumId w:val="5"/>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RjMjMzNzRjZGYzY2MyYmQ2MmMwYWJlZDUwNzJiY2UifQ=="/>
  </w:docVars>
  <w:rsids>
    <w:rsidRoot w:val="00E75FBF"/>
    <w:rsid w:val="0001296C"/>
    <w:rsid w:val="00013238"/>
    <w:rsid w:val="00014F47"/>
    <w:rsid w:val="000433BC"/>
    <w:rsid w:val="000616C3"/>
    <w:rsid w:val="000934C2"/>
    <w:rsid w:val="000D5F1B"/>
    <w:rsid w:val="000E1DD0"/>
    <w:rsid w:val="000E5CF1"/>
    <w:rsid w:val="000F74EA"/>
    <w:rsid w:val="001046EB"/>
    <w:rsid w:val="001047C2"/>
    <w:rsid w:val="001117F2"/>
    <w:rsid w:val="0012083D"/>
    <w:rsid w:val="001352A8"/>
    <w:rsid w:val="001353F8"/>
    <w:rsid w:val="001365CE"/>
    <w:rsid w:val="001460E3"/>
    <w:rsid w:val="00153E1A"/>
    <w:rsid w:val="00171127"/>
    <w:rsid w:val="00172873"/>
    <w:rsid w:val="00180BDD"/>
    <w:rsid w:val="001B7D4F"/>
    <w:rsid w:val="001C21E2"/>
    <w:rsid w:val="001C4FDC"/>
    <w:rsid w:val="001D56D4"/>
    <w:rsid w:val="00216DC2"/>
    <w:rsid w:val="00237564"/>
    <w:rsid w:val="00250018"/>
    <w:rsid w:val="00251F35"/>
    <w:rsid w:val="00252E89"/>
    <w:rsid w:val="00270B7E"/>
    <w:rsid w:val="002C0FB5"/>
    <w:rsid w:val="002C3491"/>
    <w:rsid w:val="002D6CC4"/>
    <w:rsid w:val="002F6F37"/>
    <w:rsid w:val="0030575A"/>
    <w:rsid w:val="00305A8E"/>
    <w:rsid w:val="003430F1"/>
    <w:rsid w:val="00371395"/>
    <w:rsid w:val="0038043F"/>
    <w:rsid w:val="00385400"/>
    <w:rsid w:val="003A7DAF"/>
    <w:rsid w:val="003C62A2"/>
    <w:rsid w:val="003D4274"/>
    <w:rsid w:val="003E61AC"/>
    <w:rsid w:val="003E71B7"/>
    <w:rsid w:val="003F2320"/>
    <w:rsid w:val="003F3306"/>
    <w:rsid w:val="0040689A"/>
    <w:rsid w:val="00450AC6"/>
    <w:rsid w:val="0045202E"/>
    <w:rsid w:val="00455AE4"/>
    <w:rsid w:val="004E4478"/>
    <w:rsid w:val="004F1F2A"/>
    <w:rsid w:val="00527924"/>
    <w:rsid w:val="0054343E"/>
    <w:rsid w:val="00574A21"/>
    <w:rsid w:val="0059205D"/>
    <w:rsid w:val="005B112A"/>
    <w:rsid w:val="005C1F6A"/>
    <w:rsid w:val="005F0B82"/>
    <w:rsid w:val="00605037"/>
    <w:rsid w:val="00614686"/>
    <w:rsid w:val="006160DF"/>
    <w:rsid w:val="00622DD9"/>
    <w:rsid w:val="006244D6"/>
    <w:rsid w:val="00625B16"/>
    <w:rsid w:val="00626DAC"/>
    <w:rsid w:val="00644206"/>
    <w:rsid w:val="00653947"/>
    <w:rsid w:val="00664FE7"/>
    <w:rsid w:val="00682432"/>
    <w:rsid w:val="0069244D"/>
    <w:rsid w:val="006A42E6"/>
    <w:rsid w:val="006A5CD7"/>
    <w:rsid w:val="006B60D8"/>
    <w:rsid w:val="006B70D0"/>
    <w:rsid w:val="006D4849"/>
    <w:rsid w:val="006F3877"/>
    <w:rsid w:val="006F3B94"/>
    <w:rsid w:val="00722C29"/>
    <w:rsid w:val="007561E9"/>
    <w:rsid w:val="00770AD2"/>
    <w:rsid w:val="007744FC"/>
    <w:rsid w:val="00781300"/>
    <w:rsid w:val="00790A8F"/>
    <w:rsid w:val="007A33DA"/>
    <w:rsid w:val="007A61F9"/>
    <w:rsid w:val="007A7D45"/>
    <w:rsid w:val="007E2E1C"/>
    <w:rsid w:val="007F2E05"/>
    <w:rsid w:val="00807B10"/>
    <w:rsid w:val="00833DCC"/>
    <w:rsid w:val="008408F9"/>
    <w:rsid w:val="008678E5"/>
    <w:rsid w:val="00877B38"/>
    <w:rsid w:val="00890169"/>
    <w:rsid w:val="008932FD"/>
    <w:rsid w:val="008A0866"/>
    <w:rsid w:val="008A2821"/>
    <w:rsid w:val="008A397D"/>
    <w:rsid w:val="008C2191"/>
    <w:rsid w:val="008D2809"/>
    <w:rsid w:val="008E6635"/>
    <w:rsid w:val="0092609D"/>
    <w:rsid w:val="00940553"/>
    <w:rsid w:val="00963F22"/>
    <w:rsid w:val="00966669"/>
    <w:rsid w:val="00974173"/>
    <w:rsid w:val="00990BCA"/>
    <w:rsid w:val="009A06A0"/>
    <w:rsid w:val="009C597F"/>
    <w:rsid w:val="009C68C0"/>
    <w:rsid w:val="009E1044"/>
    <w:rsid w:val="009F7A0F"/>
    <w:rsid w:val="00A13C6A"/>
    <w:rsid w:val="00A156D2"/>
    <w:rsid w:val="00A217D2"/>
    <w:rsid w:val="00A30AFB"/>
    <w:rsid w:val="00A31335"/>
    <w:rsid w:val="00A45EA0"/>
    <w:rsid w:val="00A80F74"/>
    <w:rsid w:val="00AB7B4E"/>
    <w:rsid w:val="00AD7BDB"/>
    <w:rsid w:val="00AF1DA7"/>
    <w:rsid w:val="00B1122A"/>
    <w:rsid w:val="00B11E90"/>
    <w:rsid w:val="00B25615"/>
    <w:rsid w:val="00B52A7C"/>
    <w:rsid w:val="00B543BB"/>
    <w:rsid w:val="00B636F7"/>
    <w:rsid w:val="00B76208"/>
    <w:rsid w:val="00B83F4C"/>
    <w:rsid w:val="00B974F9"/>
    <w:rsid w:val="00BA1DB4"/>
    <w:rsid w:val="00BC09D6"/>
    <w:rsid w:val="00BC7BC9"/>
    <w:rsid w:val="00BE526E"/>
    <w:rsid w:val="00BF3500"/>
    <w:rsid w:val="00C05A8C"/>
    <w:rsid w:val="00C20C53"/>
    <w:rsid w:val="00C22ABC"/>
    <w:rsid w:val="00C23003"/>
    <w:rsid w:val="00C27AA9"/>
    <w:rsid w:val="00C37C08"/>
    <w:rsid w:val="00C54DAB"/>
    <w:rsid w:val="00C7265D"/>
    <w:rsid w:val="00C76413"/>
    <w:rsid w:val="00C93FF3"/>
    <w:rsid w:val="00CC47E3"/>
    <w:rsid w:val="00CC79E1"/>
    <w:rsid w:val="00CD3EA1"/>
    <w:rsid w:val="00CD3FC9"/>
    <w:rsid w:val="00D818A1"/>
    <w:rsid w:val="00D82F22"/>
    <w:rsid w:val="00DA1456"/>
    <w:rsid w:val="00DA6860"/>
    <w:rsid w:val="00DB6D90"/>
    <w:rsid w:val="00DE35BA"/>
    <w:rsid w:val="00DF7771"/>
    <w:rsid w:val="00E02338"/>
    <w:rsid w:val="00E22949"/>
    <w:rsid w:val="00E257FE"/>
    <w:rsid w:val="00E378D9"/>
    <w:rsid w:val="00E43B2A"/>
    <w:rsid w:val="00E5793B"/>
    <w:rsid w:val="00E6386D"/>
    <w:rsid w:val="00E75FBF"/>
    <w:rsid w:val="00E92C41"/>
    <w:rsid w:val="00EB7C2A"/>
    <w:rsid w:val="00ED5EE1"/>
    <w:rsid w:val="00EE2C45"/>
    <w:rsid w:val="00EF2551"/>
    <w:rsid w:val="00EF279F"/>
    <w:rsid w:val="00F032A9"/>
    <w:rsid w:val="00F1117F"/>
    <w:rsid w:val="00F46DDB"/>
    <w:rsid w:val="00F47DB5"/>
    <w:rsid w:val="00F64CDE"/>
    <w:rsid w:val="00F658FF"/>
    <w:rsid w:val="00F70286"/>
    <w:rsid w:val="00F75F82"/>
    <w:rsid w:val="00FA427C"/>
    <w:rsid w:val="00FD2E4E"/>
    <w:rsid w:val="00FD4711"/>
    <w:rsid w:val="00FE7384"/>
    <w:rsid w:val="00FF243C"/>
    <w:rsid w:val="032F6DFA"/>
    <w:rsid w:val="09054FD7"/>
    <w:rsid w:val="0C4843B9"/>
    <w:rsid w:val="195D7611"/>
    <w:rsid w:val="1B381551"/>
    <w:rsid w:val="2B7763EC"/>
    <w:rsid w:val="32EB5ED2"/>
    <w:rsid w:val="33D31C5B"/>
    <w:rsid w:val="38E84194"/>
    <w:rsid w:val="3B1B732E"/>
    <w:rsid w:val="500A3AFB"/>
    <w:rsid w:val="51B35E3D"/>
    <w:rsid w:val="51EB03E2"/>
    <w:rsid w:val="55452A78"/>
    <w:rsid w:val="569B6402"/>
    <w:rsid w:val="5817795A"/>
    <w:rsid w:val="6892159F"/>
    <w:rsid w:val="70F24A67"/>
    <w:rsid w:val="7278000C"/>
    <w:rsid w:val="748B203E"/>
    <w:rsid w:val="751F0039"/>
    <w:rsid w:val="7A961523"/>
    <w:rsid w:val="7B083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31"/>
        <o:r id="V:Rule2" type="connector" idref="#_x0000_s1032"/>
        <o:r id="V:Rule3" type="connector" idref="#_x0000_s103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8"/>
    <w:link w:val="2"/>
    <w:qFormat/>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rFonts w:ascii="Calibri" w:hAnsi="Calibri" w:eastAsia="宋体" w:cs="Times New Roman"/>
      <w:sz w:val="18"/>
      <w:szCs w:val="18"/>
    </w:rPr>
  </w:style>
  <w:style w:type="paragraph" w:customStyle="1" w:styleId="14">
    <w:name w:val="列出段落1"/>
    <w:basedOn w:val="1"/>
    <w:qFormat/>
    <w:uiPriority w:val="0"/>
    <w:pPr>
      <w:ind w:firstLine="420" w:firstLineChars="200"/>
    </w:pPr>
    <w:rPr>
      <w:rFonts w:cs="Calibri"/>
      <w:szCs w:val="21"/>
    </w:rPr>
  </w:style>
  <w:style w:type="character" w:customStyle="1" w:styleId="15">
    <w:name w:val="页眉 Char"/>
    <w:basedOn w:val="8"/>
    <w:link w:val="5"/>
    <w:semiHidden/>
    <w:qFormat/>
    <w:uiPriority w:val="99"/>
    <w:rPr>
      <w:rFonts w:ascii="Calibri" w:hAnsi="Calibri" w:eastAsia="宋体" w:cs="Times New Roman"/>
      <w:sz w:val="18"/>
      <w:szCs w:val="18"/>
    </w:rPr>
  </w:style>
  <w:style w:type="character" w:customStyle="1" w:styleId="16">
    <w:name w:val="页脚 Char"/>
    <w:basedOn w:val="8"/>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3449</Words>
  <Characters>19663</Characters>
  <Lines>163</Lines>
  <Paragraphs>46</Paragraphs>
  <TotalTime>1</TotalTime>
  <ScaleCrop>false</ScaleCrop>
  <LinksUpToDate>false</LinksUpToDate>
  <CharactersWithSpaces>23066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dcterms:modified xsi:type="dcterms:W3CDTF">2024-01-08T10:45:36Z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6C35827285774611BCB712095F6CEFC1_12</vt:lpwstr>
  </property>
</Properties>
</file>