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昆明市盘龙区退役军人事务局</w:t>
      </w:r>
      <w:r>
        <w:rPr>
          <w:rFonts w:ascii="黑体" w:hAnsi="黑体" w:eastAsia="黑体"/>
          <w:bCs/>
          <w:sz w:val="52"/>
          <w:szCs w:val="52"/>
        </w:rPr>
        <w:t>20</w:t>
      </w:r>
      <w:r>
        <w:rPr>
          <w:rFonts w:hint="eastAsia" w:ascii="黑体" w:hAnsi="黑体" w:eastAsia="黑体"/>
          <w:bCs/>
          <w:sz w:val="52"/>
          <w:szCs w:val="52"/>
        </w:rPr>
        <w:t>19年</w:t>
      </w: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800" w:lineRule="exact"/>
        <w:ind w:left="1260" w:leftChars="600"/>
        <w:rPr>
          <w:rFonts w:ascii="Times New Roman" w:hAnsi="Times New Roman" w:eastAsia="黑体"/>
          <w:b/>
          <w:bCs/>
          <w:sz w:val="28"/>
          <w:szCs w:val="28"/>
        </w:rPr>
      </w:pPr>
      <w:r>
        <w:rPr>
          <w:rFonts w:hint="eastAsia" w:ascii="Times New Roman" w:hAnsi="Times New Roman" w:eastAsia="黑体" w:cs="黑体"/>
          <w:b/>
          <w:bCs/>
          <w:sz w:val="28"/>
          <w:szCs w:val="28"/>
        </w:rPr>
        <w:t>项目名称：昆明市盘龙区退役军人事务局整体支出</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7" o:spid="_x0000_s1027" o:spt="32" type="#_x0000_t32" style="position:absolute;left:0pt;margin-left:133.5pt;margin-top:39.2pt;height:0pt;width:272.25pt;z-index:251660288;mso-width-relative:page;mso-height-relative:page;" o:connectortype="straight" filled="f" coordsize="21600,21600">
            <v:path arrowok="t"/>
            <v:fill on="f" focussize="0,0"/>
            <v:stroke/>
            <v:imagedata o:title=""/>
            <o:lock v:ext="edit"/>
          </v:shape>
        </w:pict>
      </w:r>
      <w:r>
        <w:rPr>
          <w:rFonts w:ascii="Times New Roman" w:hAnsi="Times New Roman" w:eastAsia="黑体" w:cs="黑体"/>
          <w:b/>
          <w:bCs/>
          <w:sz w:val="28"/>
          <w:szCs w:val="28"/>
        </w:rPr>
        <w:pict>
          <v:shape id="_x0000_s1026" o:spid="_x0000_s1026" o:spt="32" type="#_x0000_t32" style="position:absolute;left:0pt;margin-left:133.5pt;margin-top:0.2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8" o:spid="_x0000_s1028" o:spt="32" type="#_x0000_t32" style="position:absolute;left:0pt;margin-left:133.5pt;margin-top:39.4pt;height:0pt;width:272.25pt;z-index:25166131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adjustRightInd w:val="0"/>
        <w:snapToGrid w:val="0"/>
        <w:spacing w:line="800" w:lineRule="exact"/>
        <w:ind w:left="1260" w:leftChars="600"/>
        <w:rPr>
          <w:rFonts w:ascii="Times New Roman" w:hAnsi="Times New Roman" w:eastAsia="黑体"/>
          <w:b/>
          <w:bCs/>
          <w:sz w:val="28"/>
          <w:szCs w:val="28"/>
        </w:rPr>
      </w:pPr>
    </w:p>
    <w:p>
      <w:pPr>
        <w:spacing w:line="800" w:lineRule="exact"/>
        <w:ind w:left="1218" w:leftChars="580"/>
        <w:rPr>
          <w:rFonts w:ascii="Times New Roman" w:hAnsi="Times New Roman" w:eastAsia="黑体"/>
          <w:b/>
          <w:bCs/>
          <w:sz w:val="28"/>
          <w:szCs w:val="28"/>
        </w:rPr>
      </w:pPr>
    </w:p>
    <w:p>
      <w:pPr>
        <w:spacing w:line="800" w:lineRule="exact"/>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630" w:leftChars="3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鹿传奇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邵建兵</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center"/>
        <w:rPr>
          <w:rFonts w:ascii="方正小标宋_GBK" w:hAnsi="黑体" w:eastAsia="方正小标宋_GBK"/>
          <w:szCs w:val="32"/>
        </w:rPr>
      </w:pPr>
    </w:p>
    <w:p>
      <w:pPr>
        <w:widowControl/>
        <w:spacing w:line="600" w:lineRule="exact"/>
        <w:ind w:right="-58"/>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昆明市盘龙区退役军人事务局2019年部门整体支出绩效自评报告</w:t>
      </w:r>
    </w:p>
    <w:p>
      <w:pPr>
        <w:widowControl/>
        <w:shd w:val="clear" w:color="auto" w:fill="FFFFFF"/>
        <w:spacing w:line="560" w:lineRule="exact"/>
        <w:ind w:firstLine="630"/>
        <w:rPr>
          <w:rFonts w:ascii="黑体" w:hAnsi="黑体" w:eastAsia="黑体"/>
          <w:color w:val="000000"/>
          <w:kern w:val="0"/>
          <w:sz w:val="32"/>
          <w:szCs w:val="32"/>
        </w:rPr>
      </w:pPr>
    </w:p>
    <w:p>
      <w:pPr>
        <w:topLinePunct/>
        <w:spacing w:line="520" w:lineRule="exact"/>
        <w:ind w:firstLine="800" w:firstLineChars="250"/>
        <w:rPr>
          <w:rFonts w:ascii="仿宋" w:hAnsi="仿宋" w:eastAsia="仿宋"/>
          <w:sz w:val="32"/>
          <w:szCs w:val="32"/>
        </w:rPr>
      </w:pPr>
      <w:r>
        <w:rPr>
          <w:rFonts w:ascii="仿宋" w:hAnsi="仿宋" w:eastAsia="仿宋"/>
          <w:sz w:val="32"/>
          <w:szCs w:val="32"/>
        </w:rPr>
        <w:t>一、部门概况</w:t>
      </w:r>
    </w:p>
    <w:p>
      <w:pPr>
        <w:spacing w:line="560" w:lineRule="exact"/>
        <w:ind w:firstLine="643" w:firstLineChars="200"/>
        <w:rPr>
          <w:rFonts w:ascii="仿宋" w:hAnsi="仿宋" w:eastAsia="仿宋"/>
          <w:b/>
          <w:color w:val="000000"/>
          <w:kern w:val="0"/>
          <w:sz w:val="32"/>
          <w:szCs w:val="32"/>
        </w:rPr>
      </w:pPr>
      <w:r>
        <w:rPr>
          <w:rFonts w:hint="eastAsia" w:ascii="仿宋" w:hAnsi="仿宋" w:eastAsia="仿宋"/>
          <w:b/>
          <w:sz w:val="32"/>
          <w:szCs w:val="32"/>
        </w:rPr>
        <w:t>（一）部门机构设置、编制。</w:t>
      </w:r>
    </w:p>
    <w:p>
      <w:pPr>
        <w:spacing w:line="560" w:lineRule="exact"/>
        <w:ind w:firstLine="800" w:firstLineChars="250"/>
        <w:rPr>
          <w:rFonts w:ascii="仿宋" w:hAnsi="仿宋" w:eastAsia="仿宋"/>
          <w:sz w:val="32"/>
          <w:szCs w:val="32"/>
        </w:rPr>
      </w:pPr>
      <w:r>
        <w:rPr>
          <w:rFonts w:ascii="仿宋" w:hAnsi="仿宋" w:eastAsia="仿宋"/>
          <w:sz w:val="32"/>
          <w:szCs w:val="32"/>
        </w:rPr>
        <w:t>我局是</w:t>
      </w:r>
      <w:r>
        <w:rPr>
          <w:rFonts w:hint="eastAsia" w:ascii="仿宋" w:hAnsi="仿宋" w:eastAsia="仿宋"/>
          <w:sz w:val="32"/>
          <w:szCs w:val="32"/>
        </w:rPr>
        <w:t>政府组成部门，正科级行政单位</w:t>
      </w:r>
      <w:r>
        <w:rPr>
          <w:rFonts w:ascii="仿宋" w:hAnsi="仿宋" w:eastAsia="仿宋"/>
          <w:sz w:val="32"/>
          <w:szCs w:val="32"/>
        </w:rPr>
        <w:t>，执行行政单位会计制度，行政编制</w:t>
      </w:r>
      <w:r>
        <w:rPr>
          <w:rFonts w:hint="eastAsia" w:ascii="仿宋" w:hAnsi="仿宋" w:eastAsia="仿宋"/>
          <w:sz w:val="32"/>
          <w:szCs w:val="32"/>
        </w:rPr>
        <w:t>7</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工勤编制</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单位编制58</w:t>
      </w:r>
      <w:r>
        <w:rPr>
          <w:rFonts w:ascii="仿宋" w:hAnsi="仿宋" w:eastAsia="仿宋"/>
          <w:sz w:val="32"/>
          <w:szCs w:val="32"/>
        </w:rPr>
        <w:t>人。年末实有行政在职人员</w:t>
      </w:r>
      <w:r>
        <w:rPr>
          <w:rFonts w:hint="eastAsia" w:ascii="仿宋" w:hAnsi="仿宋" w:eastAsia="仿宋"/>
          <w:sz w:val="32"/>
          <w:szCs w:val="32"/>
        </w:rPr>
        <w:t>9</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人员31</w:t>
      </w:r>
      <w:r>
        <w:rPr>
          <w:rFonts w:ascii="仿宋" w:hAnsi="仿宋" w:eastAsia="仿宋"/>
          <w:sz w:val="32"/>
          <w:szCs w:val="32"/>
        </w:rPr>
        <w:t>人；代管地方退休人员</w:t>
      </w:r>
      <w:r>
        <w:rPr>
          <w:rFonts w:hint="eastAsia" w:ascii="仿宋" w:hAnsi="仿宋" w:eastAsia="仿宋"/>
          <w:sz w:val="32"/>
          <w:szCs w:val="32"/>
        </w:rPr>
        <w:t>10</w:t>
      </w:r>
      <w:r>
        <w:rPr>
          <w:rFonts w:ascii="仿宋" w:hAnsi="仿宋" w:eastAsia="仿宋"/>
          <w:sz w:val="32"/>
          <w:szCs w:val="32"/>
        </w:rPr>
        <w:t>人。</w:t>
      </w:r>
    </w:p>
    <w:p>
      <w:pPr>
        <w:spacing w:line="560" w:lineRule="exact"/>
        <w:ind w:firstLine="640" w:firstLineChars="200"/>
        <w:rPr>
          <w:rFonts w:ascii="仿宋" w:hAnsi="仿宋" w:eastAsia="仿宋"/>
          <w:sz w:val="32"/>
          <w:szCs w:val="32"/>
        </w:rPr>
      </w:pPr>
      <w:r>
        <w:rPr>
          <w:rFonts w:ascii="仿宋" w:hAnsi="仿宋" w:eastAsia="仿宋"/>
          <w:sz w:val="32"/>
          <w:szCs w:val="32"/>
        </w:rPr>
        <w:t>下属事业单位</w:t>
      </w:r>
      <w:r>
        <w:rPr>
          <w:rFonts w:hint="eastAsia" w:ascii="仿宋" w:hAnsi="仿宋" w:eastAsia="仿宋"/>
          <w:sz w:val="32"/>
          <w:szCs w:val="32"/>
        </w:rPr>
        <w:t>4</w:t>
      </w:r>
      <w:r>
        <w:rPr>
          <w:rFonts w:ascii="仿宋" w:hAnsi="仿宋" w:eastAsia="仿宋"/>
          <w:sz w:val="32"/>
          <w:szCs w:val="32"/>
        </w:rPr>
        <w:t>个，其中：独立核算</w:t>
      </w:r>
      <w:r>
        <w:rPr>
          <w:rFonts w:hint="eastAsia" w:ascii="仿宋" w:hAnsi="仿宋" w:eastAsia="仿宋"/>
          <w:sz w:val="32"/>
          <w:szCs w:val="32"/>
        </w:rPr>
        <w:t>2</w:t>
      </w:r>
      <w:r>
        <w:rPr>
          <w:rFonts w:ascii="仿宋" w:hAnsi="仿宋" w:eastAsia="仿宋"/>
          <w:sz w:val="32"/>
          <w:szCs w:val="32"/>
        </w:rPr>
        <w:t>个，非独立核算</w:t>
      </w:r>
      <w:r>
        <w:rPr>
          <w:rFonts w:hint="eastAsia" w:ascii="仿宋" w:hAnsi="仿宋" w:eastAsia="仿宋"/>
          <w:sz w:val="32"/>
          <w:szCs w:val="32"/>
        </w:rPr>
        <w:t>2</w:t>
      </w:r>
      <w:r>
        <w:rPr>
          <w:rFonts w:ascii="仿宋" w:hAnsi="仿宋" w:eastAsia="仿宋"/>
          <w:sz w:val="32"/>
          <w:szCs w:val="32"/>
        </w:rPr>
        <w:t>个，纳入退役军人事务局201</w:t>
      </w:r>
      <w:r>
        <w:rPr>
          <w:rFonts w:hint="eastAsia" w:ascii="仿宋" w:hAnsi="仿宋" w:eastAsia="仿宋"/>
          <w:sz w:val="32"/>
          <w:szCs w:val="32"/>
        </w:rPr>
        <w:t>9</w:t>
      </w:r>
      <w:r>
        <w:rPr>
          <w:rFonts w:ascii="仿宋" w:hAnsi="仿宋" w:eastAsia="仿宋"/>
          <w:sz w:val="32"/>
          <w:szCs w:val="32"/>
        </w:rPr>
        <w:t>年度部门决算编报的单位共3个，行政单位1个，其他事业单位2个。</w:t>
      </w:r>
    </w:p>
    <w:p>
      <w:pPr>
        <w:spacing w:line="400" w:lineRule="exact"/>
        <w:ind w:firstLine="643" w:firstLineChars="200"/>
        <w:jc w:val="left"/>
        <w:rPr>
          <w:rFonts w:ascii="仿宋" w:hAnsi="仿宋" w:eastAsia="仿宋"/>
          <w:b/>
          <w:sz w:val="32"/>
          <w:szCs w:val="32"/>
        </w:rPr>
      </w:pPr>
      <w:r>
        <w:rPr>
          <w:rFonts w:hint="eastAsia" w:ascii="仿宋" w:hAnsi="仿宋" w:eastAsia="仿宋"/>
          <w:b/>
          <w:sz w:val="32"/>
          <w:szCs w:val="32"/>
        </w:rPr>
        <w:t>（二）部门职能。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1.宣传贯彻落实退役军人思想政治、管理保障和安置优抚等工作政策法规，拟订盘龙区相关工作机制、制度办法并组织实施。褒扬彰显退役军人为党、国家和人民牺牲奉献的精神风范和价值导向。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负责烈士及退役军人荣誉奖励、军人公墓管理维护、纪念活动等工作，审核拟列入盘龙区级烈士纪念设施名录，申报拟列入市级以上重点保护单位的烈士纪念建筑物名录，总结表彰和宣扬退役军人、退役军人工作单位和个人先进典型事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3.负责军队转业干部、复员干部、离休退休干部、退役士兵和无军籍退休退职职工的接收安置工作和自主择业、就业退役军人服务管理工作。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4.组织指导全区退役军人技能教育培训工作，协调扶持退役军人和随军随调家属就业创业。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5.组织协调落实移交地方的离休退休军人、符合条件的其他退役军人和无军籍退休退职职工的住房保障工作，以及退役军人医疗保障、社会保险等待遇保障工作。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6.组织指导全区伤病残退役军人服务管理和抚恤工作，承担不适宜继续服役的伤病残军人相关服务工作。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8.监督检查退役军人相关法律法规和政策措施的落实，组织开展退役军人权益维护和有关人员的帮扶援助工作。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9.完成盘龙区委、盘龙区政府交办的其他任务，配合部队完成退役军人其他相关工作。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10.职能转变。加强全区退役军人思想政治工作和服务保障体系建设，建立健全集中统一、职责清晰的退役军人管理保障体制，协调各方力量更好为军人军属服务，维护军人军属合法权益，制定切实可行的解困稳定政策。加强社会宣传，褒扬彰显退役军人为党、国家和人民牺牲奉献的精神风范和价值导向，更好地为增强部队战斗力和凝聚力做好组织保障，让军人成为全社会尊崇的职业让军人成为全社会尊崇的职业。</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（三）部门工作完成情况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切实做好计划安置军转干部、自主择业军队转业干部管理服务、退役士兵安置、复员干部管理、企业军转干部解困稳定工作，我局移交安置工作稳步推进。</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健全完善退役军人服务体系建设，坚持把退役军人机构组建和服务体系建设作为推进退役军人事务的基础性工程来抓。</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提高退役军人服务保障质量，创新服务方式，区退役军人事务局与区司法局合作，成立云南省首家退役军人公共法律服务站，为退役军人维权提供专业服务；与区劳动就业局合作，成立云南省首家退役军人就业创业服务站，为退役军人提供精准的就业创业帮扶；组织全区退役军人参加全省退役军人及现役军人家属专场招聘会；组织退役士兵开展就业创业培训会；组织自主就业、自谋职业退役士兵参加职业教育培训。</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 xml:space="preserve">（四）部门管理制度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1.开展专项工作管理制度建设，制定相关管理办法，具体有：《盘龙区退役军人事务局财务管理制度》、《盘龙区退役军人事务局经费使用审批制度（试行）》、《盘龙区退役军人事务局采购管理制度》等。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结合单位实际制定符合本单位的预算绩效管理办法，积极参加有关部门组织的预算绩效评价相关培训，按规定上报项目绩效目标及相关内容。项目预期绩效目标清晰明确、依据充分，符合法律法规和区委、区政府的相关规定。</w:t>
      </w:r>
      <w:r>
        <w:rPr>
          <w:rFonts w:ascii="仿宋" w:hAnsi="仿宋" w:eastAsia="仿宋"/>
          <w:sz w:val="32"/>
          <w:szCs w:val="32"/>
        </w:rPr>
        <w:t>严格执行财务计划、预算开支标准和范围，分清资金渠道，合理使用资金。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3.经费支出具体方式：</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通过银行发放退役补助金和抚恤金及军队离退休干部工资，由具体分管科室负责审核相关人员个人信息，按具体应发放的经费，编制发放表后交分管领导审核，主管领导审批，交银行代发划款到本人提供的个人帐号。</w:t>
      </w:r>
    </w:p>
    <w:p>
      <w:pPr>
        <w:spacing w:line="560" w:lineRule="exact"/>
        <w:ind w:firstLine="480" w:firstLineChars="150"/>
        <w:rPr>
          <w:rFonts w:ascii="仿宋" w:hAnsi="仿宋" w:eastAsia="仿宋"/>
          <w:sz w:val="32"/>
          <w:szCs w:val="32"/>
        </w:rPr>
      </w:pPr>
      <w:r>
        <w:rPr>
          <w:rFonts w:hint="eastAsia" w:ascii="仿宋" w:hAnsi="仿宋" w:eastAsia="仿宋"/>
          <w:sz w:val="32"/>
          <w:szCs w:val="32"/>
        </w:rPr>
        <w:t>（五）部门资金来源及使用情况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1.基本支出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介绍基本支出的主要用途、范围以及资金的管理情况，尤其是“三公”经费的使用和管理情况。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2019年我部门基本支出为</w:t>
      </w:r>
      <w:r>
        <w:rPr>
          <w:rFonts w:ascii="仿宋" w:hAnsi="仿宋" w:eastAsia="仿宋"/>
          <w:sz w:val="32"/>
          <w:szCs w:val="32"/>
        </w:rPr>
        <w:t xml:space="preserve">173.18 </w:t>
      </w:r>
      <w:r>
        <w:rPr>
          <w:rFonts w:hint="eastAsia" w:ascii="仿宋" w:hAnsi="仿宋" w:eastAsia="仿宋"/>
          <w:sz w:val="32"/>
          <w:szCs w:val="32"/>
        </w:rPr>
        <w:t>万元，包括基本工资，津贴补贴等工资福利支出为</w:t>
      </w:r>
      <w:r>
        <w:rPr>
          <w:rFonts w:ascii="仿宋" w:hAnsi="仿宋" w:eastAsia="仿宋"/>
          <w:sz w:val="32"/>
          <w:szCs w:val="32"/>
        </w:rPr>
        <w:t xml:space="preserve">138.27 </w:t>
      </w:r>
      <w:r>
        <w:rPr>
          <w:rFonts w:hint="eastAsia" w:ascii="仿宋" w:hAnsi="仿宋" w:eastAsia="仿宋"/>
          <w:sz w:val="32"/>
          <w:szCs w:val="32"/>
        </w:rPr>
        <w:t>万元，占基本支出的80%；办公经费、印刷费、水电费、汽燃费、办公设备购置等日常公用经费（商品和服务支出）基本支出为</w:t>
      </w:r>
      <w:r>
        <w:rPr>
          <w:rFonts w:ascii="仿宋" w:hAnsi="仿宋" w:eastAsia="仿宋"/>
          <w:sz w:val="32"/>
          <w:szCs w:val="32"/>
        </w:rPr>
        <w:t xml:space="preserve">34.91 </w:t>
      </w:r>
      <w:r>
        <w:rPr>
          <w:rFonts w:hint="eastAsia" w:ascii="仿宋" w:hAnsi="仿宋" w:eastAsia="仿宋"/>
          <w:sz w:val="32"/>
          <w:szCs w:val="32"/>
        </w:rPr>
        <w:t>万元，占基本支出的20%。</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“三公”经费使用及管理情况：年初没有作预算，全年也没有支出。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2.项目支出</w:t>
      </w:r>
      <w:r>
        <w:rPr>
          <w:rFonts w:ascii="仿宋" w:hAnsi="仿宋" w:eastAsia="仿宋"/>
          <w:sz w:val="32"/>
          <w:szCs w:val="32"/>
        </w:rPr>
        <w:tab/>
      </w:r>
    </w:p>
    <w:p>
      <w:pPr>
        <w:ind w:firstLine="480" w:firstLineChars="150"/>
        <w:rPr>
          <w:rFonts w:ascii="仿宋" w:hAnsi="仿宋" w:eastAsia="仿宋"/>
          <w:sz w:val="32"/>
          <w:szCs w:val="32"/>
        </w:rPr>
      </w:pPr>
      <w:r>
        <w:rPr>
          <w:rFonts w:hint="eastAsia" w:ascii="仿宋" w:hAnsi="仿宋" w:eastAsia="仿宋"/>
          <w:sz w:val="32"/>
          <w:szCs w:val="32"/>
        </w:rPr>
        <w:t>（1）项目资金（包括财政资金、自筹资金等）安排落实、总投入等情况分析。2019年我部门收入总计</w:t>
      </w:r>
      <w:r>
        <w:rPr>
          <w:rFonts w:ascii="仿宋" w:hAnsi="仿宋" w:eastAsia="仿宋"/>
          <w:sz w:val="32"/>
          <w:szCs w:val="32"/>
        </w:rPr>
        <w:t xml:space="preserve">18,320.66 </w:t>
      </w:r>
      <w:r>
        <w:rPr>
          <w:rFonts w:hint="eastAsia" w:ascii="仿宋" w:hAnsi="仿宋" w:eastAsia="仿宋"/>
          <w:sz w:val="32"/>
          <w:szCs w:val="32"/>
        </w:rPr>
        <w:t>万元，其中：一般公共预算财政拨款收入</w:t>
      </w:r>
      <w:r>
        <w:rPr>
          <w:rFonts w:ascii="仿宋" w:hAnsi="仿宋" w:eastAsia="仿宋"/>
          <w:sz w:val="32"/>
          <w:szCs w:val="32"/>
        </w:rPr>
        <w:t xml:space="preserve">13,746.53 </w:t>
      </w:r>
      <w:r>
        <w:rPr>
          <w:rFonts w:hint="eastAsia" w:ascii="仿宋" w:hAnsi="仿宋" w:eastAsia="仿宋"/>
          <w:sz w:val="32"/>
          <w:szCs w:val="32"/>
        </w:rPr>
        <w:t>万元，占项目资金收入的75.5%。非同级财政拨款收入为</w:t>
      </w:r>
      <w:r>
        <w:rPr>
          <w:rFonts w:ascii="仿宋" w:hAnsi="仿宋" w:eastAsia="仿宋"/>
          <w:sz w:val="32"/>
          <w:szCs w:val="32"/>
        </w:rPr>
        <w:t>4,</w:t>
      </w:r>
      <w:r>
        <w:rPr>
          <w:rFonts w:hint="eastAsia" w:ascii="仿宋" w:hAnsi="仿宋" w:eastAsia="仿宋"/>
          <w:sz w:val="32"/>
          <w:szCs w:val="32"/>
        </w:rPr>
        <w:t>5</w:t>
      </w:r>
      <w:r>
        <w:rPr>
          <w:rFonts w:ascii="仿宋" w:hAnsi="仿宋" w:eastAsia="仿宋"/>
          <w:sz w:val="32"/>
          <w:szCs w:val="32"/>
        </w:rPr>
        <w:t>74</w:t>
      </w:r>
      <w:r>
        <w:rPr>
          <w:rFonts w:hint="eastAsia" w:ascii="仿宋" w:hAnsi="仿宋" w:eastAsia="仿宋"/>
          <w:sz w:val="32"/>
          <w:szCs w:val="32"/>
        </w:rPr>
        <w:t>.</w:t>
      </w:r>
      <w:r>
        <w:rPr>
          <w:rFonts w:ascii="仿宋" w:hAnsi="仿宋" w:eastAsia="仿宋"/>
          <w:sz w:val="32"/>
          <w:szCs w:val="32"/>
        </w:rPr>
        <w:t>13</w:t>
      </w:r>
      <w:r>
        <w:rPr>
          <w:rFonts w:hint="eastAsia" w:ascii="仿宋" w:hAnsi="仿宋" w:eastAsia="仿宋"/>
          <w:sz w:val="32"/>
          <w:szCs w:val="32"/>
        </w:rPr>
        <w:t>万元，占项目资金收入的24.5%。</w:t>
      </w:r>
    </w:p>
    <w:p>
      <w:pPr>
        <w:spacing w:line="560" w:lineRule="exact"/>
        <w:ind w:firstLine="480" w:firstLineChars="150"/>
        <w:rPr>
          <w:rFonts w:ascii="仿宋" w:hAnsi="仿宋" w:eastAsia="仿宋"/>
          <w:sz w:val="32"/>
          <w:szCs w:val="32"/>
        </w:rPr>
      </w:pPr>
      <w:r>
        <w:rPr>
          <w:rFonts w:hint="eastAsia" w:ascii="仿宋" w:hAnsi="仿宋" w:eastAsia="仿宋"/>
          <w:sz w:val="32"/>
          <w:szCs w:val="32"/>
        </w:rPr>
        <w:t>（2）项目资金实际使用情况分析。</w:t>
      </w:r>
    </w:p>
    <w:p>
      <w:pPr>
        <w:rPr>
          <w:rFonts w:ascii="仿宋_GB2312" w:hAnsi="Times New Roman" w:eastAsia="仿宋_GB2312"/>
          <w:sz w:val="32"/>
          <w:szCs w:val="32"/>
        </w:rPr>
      </w:pPr>
      <w:r>
        <w:rPr>
          <w:rFonts w:hint="eastAsia" w:ascii="仿宋" w:hAnsi="仿宋" w:eastAsia="仿宋"/>
          <w:sz w:val="32"/>
          <w:szCs w:val="32"/>
        </w:rPr>
        <w:t>项目总支出为</w:t>
      </w:r>
      <w:r>
        <w:rPr>
          <w:rFonts w:ascii="仿宋" w:hAnsi="仿宋" w:eastAsia="仿宋"/>
          <w:sz w:val="32"/>
          <w:szCs w:val="32"/>
        </w:rPr>
        <w:t xml:space="preserve">16,822.03 </w:t>
      </w:r>
      <w:r>
        <w:rPr>
          <w:rFonts w:hint="eastAsia" w:ascii="仿宋" w:hAnsi="仿宋" w:eastAsia="仿宋"/>
          <w:sz w:val="32"/>
          <w:szCs w:val="32"/>
        </w:rPr>
        <w:t>万元，其中，死亡一次性抚恤金707.58万元；伤残抚恤专项资金1,207.46 万元；在乡复员、退伍军人生活补助专项经费</w:t>
      </w:r>
      <w:r>
        <w:rPr>
          <w:rFonts w:ascii="仿宋" w:hAnsi="仿宋" w:eastAsia="仿宋"/>
          <w:sz w:val="32"/>
          <w:szCs w:val="32"/>
        </w:rPr>
        <w:t>234.17</w:t>
      </w:r>
      <w:r>
        <w:rPr>
          <w:rFonts w:hint="eastAsia" w:ascii="仿宋" w:hAnsi="仿宋" w:eastAsia="仿宋"/>
          <w:sz w:val="32"/>
          <w:szCs w:val="32"/>
        </w:rPr>
        <w:t>万元；城镇义务兵优待金615.65 万元；其他用于优抚方面的经费1,700.42万元；退役士兵安置专项经费220.05万元；军队离退休干部及无军籍职工人员经费11,050.72万元；其他支出类经费912.8万元，主要包括自主择业干部经费、军休机构经费及其他经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（六）政府采购情况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2019年采购计划金额为23.97万元，采购预算（财政资金）为23.97万元，为采购全局办公家具和打印复印设备支出。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（七）固定资产情况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2019年昆明市盘龙区退役军人事务局新增固定资产23.97万元，固定资产折旧0.24万元，年末固定资产余额23.72万元。</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二、绩效目标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（一）部门总目标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计划开展重点工作有：统筹做好“军人之家”建设工作；组织对退役军人和其他优抚对象信息采集；为退役军人、现役军人家属、烈属悬挂光荣牌；切实做好计划安置军转干部、自主择业军队转业干部管理服务、退役士兵安置、复员干部管理、企业军转干部解困稳定工作；贯彻落实双拥优抚安置政策。</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（二）部门项目具体计划目标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死亡一次性抚恤金项目。现役军人死亡，根据其死亡性质和死亡时的月工资标准，由县级人民政府民政部门发给其遗属一次性抚恤金，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伤残抚恤专项资金项目。根据《军人抚恤优待条例》规定，对残疾军人（伤残人民警察、伤残民兵民工、伤残国家机关工作人员）等级评定为一至十级的，享受伤残抚恤金，残疾军人因病死亡的，对其遗属增发12个月的残疾抚恤金作为丧葬补助费。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乡复员、退伍军人生活补助专项经费项目。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按规定及时足额给在乡复员、退伍军人发放各项生活补助，以改善在乡复员、退伍军人生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城镇义务兵优待金：对义务兵家庭优待金及时、足额、全面地进行发放，有力解决现役军人的后顾之忧，促进社会和谐稳定发展、改善部分群众生活、满足群众需求、产生一定的经济效益。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其他用于优抚方面的经费。主要负责重点优抚对象临时困难救助、维稳工作、优抚对象春节、“八一”慰问、复员干部“两保”生活补助慰问、复员干部临时困难补助。优抚对象得到一定经济补助，构建和谐社会促进社会稳定,对社会发展有一定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退役士兵安置专项经费项目。贯彻执行</w:t>
      </w:r>
      <w:r>
        <w:rPr>
          <w:rFonts w:hint="eastAsia" w:ascii="仿宋" w:hAnsi="仿宋" w:eastAsia="仿宋"/>
          <w:sz w:val="32"/>
          <w:szCs w:val="32"/>
          <w:lang w:eastAsia="zh-CN"/>
        </w:rPr>
        <w:t>各级文件精神</w:t>
      </w:r>
      <w:r>
        <w:rPr>
          <w:rFonts w:hint="eastAsia" w:ascii="仿宋" w:hAnsi="仿宋" w:eastAsia="仿宋"/>
          <w:sz w:val="3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spacing w:line="560" w:lineRule="exact"/>
        <w:ind w:firstLine="640" w:firstLineChars="200"/>
        <w:rPr>
          <w:rFonts w:ascii="楷体" w:hAnsi="楷体" w:eastAsia="楷体"/>
          <w:szCs w:val="32"/>
        </w:rPr>
      </w:pPr>
      <w:r>
        <w:rPr>
          <w:rFonts w:hint="eastAsia" w:ascii="仿宋" w:hAnsi="仿宋" w:eastAsia="仿宋"/>
          <w:sz w:val="32"/>
          <w:szCs w:val="32"/>
        </w:rPr>
        <w:t>军队离退休干部及无军籍职工人员经费：按相关文件规定，落实军休干部“两个待遇”，按时按标准发放军队离退休干部、无军籍职工离退休工资，组织好有关活动。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盘龙区军队离退休服务管理站经费：按时发放工作人员经费，为军休干部、无军籍退休职工做好服务管理工作。按规定报批。</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拥军优属经费：开展双拥活动，进一步提高双拥工作整体水平，加深军民鱼水情，继续保持和发扬双拥优良传统，构建和谐社会促进社会稳定，对社会发展有一定可持续影响。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三、评价思路和过程</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（一）评价思路：确认当年度部门整体支出的绩效目标→梳理部门内部管理制度及存量资源→分析确定当年度部门整体支出的评价重点→构建绩效评价指标体系。</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1.目标设定：绩效目标合理明确，目标依据是否充分，是否符合客观实际。</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2.预算执行：预算完成率，单位本年度预算完成数与预算数的比率。“三公经费”控制率，单位本年度“三公经费”实际支出数与上年支出数的比率。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3.预算管理：管理制度健全性，单位为加强预算管理、规范财务行为而制定的管理制度是否健全完整。预算信息公开，单位是否按照政府信息公开的有关规定公开相关预决算信息。</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4.资产管理：固定资产利用率，单位实际在用固定资产总额与所有固定资产总额的比率。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5.职责履行：实际完成率，单位履行职责而实际完成工作数与计划工作数的比率。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6.履职效率：社会效益，部门履行职责对社会发展所带来的直接和间接影响。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（二）评价目的</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通过收集昆明市盘龙区退役军人事务局基本情况、预算制定与明细、部门中长期规划目标及组织架构等信息，分析昆明市盘龙区退役军人事务局资源配置的合理性及中长期规划目标完成与履职情况，总结经验做法，找出预算绩效管理中的薄弱环节，提出改进建议，提高财政资金的使用效益。</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绩效考核自评作为行政单位进行现代化管理的重要手段，不仅在一定程度上大大的提高了财政资金的行运效率，还进一步加强了政府对财政资金的宏观管理。</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根据《盘龙区区级部门预算绩效自评管理暂行办法》及相关文件依据。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（四）评价对象及评价时段</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评价2019年昆明市盘龙区退役军人事务局整体绩效</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四、评价结论和绩效分析</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（一）评价结论</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1.评价结果。本年度绩效自评综合得分为92分，评价等次为优秀。</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2.主要绩效。</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（二）具体绩效分析（见附表）。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五、主要经验做法</w:t>
      </w:r>
    </w:p>
    <w:p>
      <w:pPr>
        <w:topLinePunct/>
        <w:spacing w:line="560" w:lineRule="exact"/>
        <w:ind w:firstLine="800" w:firstLineChars="250"/>
        <w:rPr>
          <w:rFonts w:ascii="仿宋" w:hAnsi="仿宋" w:eastAsia="仿宋"/>
          <w:sz w:val="32"/>
          <w:szCs w:val="32"/>
        </w:rPr>
      </w:pPr>
      <w:r>
        <w:rPr>
          <w:rFonts w:ascii="仿宋" w:hAnsi="仿宋" w:eastAsia="仿宋"/>
          <w:sz w:val="3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六、存在的问题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七、改进措施及建议</w:t>
      </w:r>
    </w:p>
    <w:p>
      <w:pPr>
        <w:topLinePunct/>
        <w:spacing w:line="560" w:lineRule="exact"/>
        <w:ind w:firstLine="800" w:firstLineChars="250"/>
        <w:rPr>
          <w:rFonts w:hint="eastAsia" w:ascii="仿宋" w:hAnsi="仿宋" w:eastAsia="仿宋"/>
          <w:sz w:val="32"/>
          <w:szCs w:val="32"/>
        </w:rPr>
      </w:pPr>
      <w:r>
        <w:rPr>
          <w:rFonts w:hint="eastAsia" w:ascii="仿宋" w:hAnsi="仿宋" w:eastAsia="仿宋"/>
          <w:sz w:val="32"/>
          <w:szCs w:val="32"/>
        </w:rPr>
        <w:t>今后我单位将健全预算执行进度和考核机制，加强与上级部门、本级财政的沟通，达到上级经费下拨与本级资金使用同步的效果，以便更好的提高资金使用效率。</w:t>
      </w:r>
    </w:p>
    <w:p>
      <w:pPr>
        <w:topLinePunct/>
        <w:spacing w:line="560" w:lineRule="exact"/>
        <w:rPr>
          <w:rFonts w:hint="eastAsia" w:ascii="仿宋" w:hAnsi="仿宋" w:eastAsia="仿宋"/>
          <w:sz w:val="32"/>
          <w:szCs w:val="32"/>
        </w:rPr>
      </w:pPr>
    </w:p>
    <w:p>
      <w:pPr>
        <w:topLinePunct/>
        <w:spacing w:line="560" w:lineRule="exact"/>
        <w:rPr>
          <w:rFonts w:ascii="仿宋" w:hAnsi="仿宋" w:eastAsia="仿宋"/>
          <w:sz w:val="32"/>
          <w:szCs w:val="32"/>
        </w:rPr>
      </w:pPr>
      <w:r>
        <w:rPr>
          <w:rFonts w:hint="eastAsia" w:ascii="仿宋" w:hAnsi="仿宋" w:eastAsia="仿宋"/>
          <w:sz w:val="32"/>
          <w:szCs w:val="32"/>
        </w:rPr>
        <w:t>附表:具体绩效分析</w:t>
      </w:r>
    </w:p>
    <w:tbl>
      <w:tblPr>
        <w:tblStyle w:val="5"/>
        <w:tblW w:w="1057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仿宋_GB2312" w:eastAsia="仿宋_GB2312" w:cs="仿宋_GB2312"/>
                <w:b/>
                <w:color w:val="000000"/>
                <w:kern w:val="0"/>
                <w:sz w:val="24"/>
              </w:rPr>
            </w:pPr>
            <w:r>
              <w:rPr>
                <w:rFonts w:hint="eastAsia" w:ascii="黑体" w:hAnsi="黑体" w:eastAsia="黑体" w:cs="黑体"/>
                <w:b/>
                <w:color w:val="000000"/>
                <w:kern w:val="0"/>
                <w:sz w:val="24"/>
              </w:rPr>
              <w:t>一、部门（单位）基本概况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联系人</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杨晓勇</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联络电话</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63635909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人员编制</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66</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实有人数</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职能职责概述</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rPr>
                <w:rFonts w:ascii="仿宋_GB2312" w:hAnsi="黑体" w:eastAsia="仿宋_GB2312"/>
                <w:szCs w:val="32"/>
              </w:rPr>
            </w:pPr>
            <w:r>
              <w:rPr>
                <w:rFonts w:hint="eastAsia" w:ascii="仿宋_GB2312" w:hAnsi="黑体" w:eastAsia="仿宋_GB2312"/>
                <w:szCs w:val="32"/>
              </w:rPr>
              <w:t>宣传贯彻落实退役军人思想政治、管理保障和安置优抚等工作政策法规；负责烈士及退役军人荣誉奖励；负责军队转业干部、复员干部、离休退休干部、退役士兵和无军籍退休退职职工的接收安置工作和自主择业、就业退役军人服务管理工作；组织指导全区退役军人技能教育培训工作，协调扶持退役军人和随军随调家属就业创业；组织指导全区拥军优属工作；组织指导全区伤病残退役军人服务管理和抚恤工作；加强全区退役军人思想政治工作和服务保障体系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年度主要</w:t>
            </w:r>
          </w:p>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工作内容</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textAlignment w:val="center"/>
              <w:rPr>
                <w:rFonts w:ascii="仿宋_GB2312" w:hAnsi="黑体" w:eastAsia="仿宋_GB2312"/>
                <w:szCs w:val="32"/>
              </w:rPr>
            </w:pPr>
            <w:r>
              <w:rPr>
                <w:rFonts w:hint="eastAsia" w:ascii="仿宋_GB2312" w:hAnsi="黑体" w:eastAsia="仿宋_GB2312"/>
                <w:szCs w:val="32"/>
              </w:rPr>
              <w:t>认真贯彻落实</w:t>
            </w:r>
            <w:r>
              <w:rPr>
                <w:rFonts w:hint="eastAsia" w:ascii="仿宋_GB2312" w:hAnsi="黑体" w:eastAsia="仿宋_GB2312"/>
                <w:szCs w:val="32"/>
                <w:lang w:eastAsia="zh-CN"/>
              </w:rPr>
              <w:t>各级文件精神</w:t>
            </w:r>
            <w:r>
              <w:rPr>
                <w:rFonts w:hint="eastAsia" w:ascii="仿宋_GB2312" w:hAnsi="黑体" w:eastAsia="仿宋_GB2312"/>
                <w:szCs w:val="32"/>
              </w:rPr>
              <w:t>，积极开展双拥、优抚、安置工作。按时足额发放优抚对象抚恤补助资金、义务兵家属优待金、退役士兵一次性补助金及军休干部的离退休生活费；为重点优抚对象解决“生活、住房、医疗”等方面的实际困难和问题；加强困难退役军人帮扶援助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年度部门（单位）总运行情况及取得的成绩</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ind w:firstLine="420" w:firstLineChars="200"/>
              <w:jc w:val="left"/>
              <w:textAlignment w:val="center"/>
              <w:rPr>
                <w:rFonts w:ascii="仿宋_GB2312" w:hAnsi="黑体" w:eastAsia="仿宋_GB2312"/>
                <w:szCs w:val="32"/>
              </w:rPr>
            </w:pPr>
            <w:r>
              <w:rPr>
                <w:rFonts w:hint="eastAsia" w:ascii="仿宋_GB2312" w:hAnsi="黑体" w:eastAsia="仿宋_GB2312"/>
                <w:szCs w:val="32"/>
              </w:rPr>
              <w:t>2019年在区委、区政府的高度重视下，我局深刻领会机构改革精神、准确把握职能定位，切实把贯彻落实退役军人思想政治、权益维护、移交安置、就业创业、服务管理、拥军优抚、褒扬纪念、解难帮困等工作做好做实，全面提升退役军人管理服务保障水平，切实维护军人军属合法权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二、部门（单位）收支情况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年度收入情况（万元）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机构名称</w:t>
            </w:r>
          </w:p>
        </w:tc>
        <w:tc>
          <w:tcPr>
            <w:tcW w:w="1222" w:type="dxa"/>
            <w:gridSpan w:val="3"/>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收入合计</w:t>
            </w:r>
          </w:p>
        </w:tc>
        <w:tc>
          <w:tcPr>
            <w:tcW w:w="7654" w:type="dxa"/>
            <w:gridSpan w:val="17"/>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222" w:type="dxa"/>
            <w:gridSpan w:val="3"/>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上年结转</w:t>
            </w: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公共财政拨款</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政府基金拨款</w:t>
            </w: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纳入专户管理的非税收入拨款</w:t>
            </w: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局机关及二级机构汇总</w:t>
            </w:r>
          </w:p>
        </w:tc>
        <w:tc>
          <w:tcPr>
            <w:tcW w:w="122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ascii="Arial" w:hAnsi="Arial" w:cs="Arial"/>
                <w:color w:val="000000"/>
                <w:sz w:val="20"/>
                <w:szCs w:val="20"/>
              </w:rPr>
              <w:t xml:space="preserve">18,320.66 </w:t>
            </w: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ascii="Arial" w:hAnsi="Arial" w:cs="Arial"/>
                <w:color w:val="000000"/>
                <w:sz w:val="20"/>
                <w:szCs w:val="20"/>
              </w:rPr>
              <w:t xml:space="preserve">13,746.53 </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ascii="Arial" w:hAnsi="Arial" w:cs="Arial"/>
                <w:color w:val="000000"/>
                <w:sz w:val="20"/>
                <w:szCs w:val="20"/>
              </w:rPr>
              <w:t xml:space="preserve">4,574.13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1.局机关</w:t>
            </w:r>
          </w:p>
        </w:tc>
        <w:tc>
          <w:tcPr>
            <w:tcW w:w="122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r>
              <w:rPr>
                <w:rFonts w:ascii="Arial" w:hAnsi="Arial" w:cs="Arial"/>
                <w:color w:val="000000"/>
                <w:sz w:val="20"/>
                <w:szCs w:val="20"/>
              </w:rPr>
              <w:t>18,320.66</w:t>
            </w: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r>
              <w:rPr>
                <w:rFonts w:ascii="Arial" w:hAnsi="Arial" w:cs="Arial"/>
                <w:color w:val="000000"/>
                <w:sz w:val="20"/>
                <w:szCs w:val="20"/>
              </w:rPr>
              <w:t>13,746.53</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r>
              <w:rPr>
                <w:rFonts w:ascii="Arial" w:hAnsi="Arial" w:cs="Arial"/>
                <w:color w:val="000000"/>
                <w:sz w:val="20"/>
                <w:szCs w:val="20"/>
              </w:rPr>
              <w:t>4,574.13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昆明市盘龙区退役军人事务局年度支出和结余情况（万元）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napToGrid w:val="0"/>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支出合计</w:t>
            </w:r>
          </w:p>
        </w:tc>
        <w:tc>
          <w:tcPr>
            <w:tcW w:w="6528" w:type="dxa"/>
            <w:gridSpan w:val="13"/>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992"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基本支出</w:t>
            </w:r>
          </w:p>
        </w:tc>
        <w:tc>
          <w:tcPr>
            <w:tcW w:w="3630"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1559"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项目支出</w:t>
            </w: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人员支出</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公用支出</w:t>
            </w:r>
          </w:p>
        </w:tc>
        <w:tc>
          <w:tcPr>
            <w:tcW w:w="1559"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16,822.03 </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173.18 </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138.27 </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34.91 </w:t>
            </w:r>
          </w:p>
        </w:tc>
        <w:tc>
          <w:tcPr>
            <w:tcW w:w="1559"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16,648.85 </w:t>
            </w:r>
          </w:p>
        </w:tc>
        <w:tc>
          <w:tcPr>
            <w:tcW w:w="99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1,498.63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1.局机关</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16,822.03</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173.18</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138.27</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34.91</w:t>
            </w:r>
          </w:p>
        </w:tc>
        <w:tc>
          <w:tcPr>
            <w:tcW w:w="1559"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16,648.85</w:t>
            </w:r>
          </w:p>
        </w:tc>
        <w:tc>
          <w:tcPr>
            <w:tcW w:w="99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ascii="Arial" w:hAnsi="Arial" w:cs="Arial"/>
                <w:color w:val="000000"/>
                <w:sz w:val="20"/>
                <w:szCs w:val="20"/>
              </w:rPr>
              <w:t>1,498.63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三公经费</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7520" w:type="dxa"/>
            <w:gridSpan w:val="1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公务接待费</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公务用车运维费</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公务用车购置费</w:t>
            </w: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因公出国费</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会议费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1、局机关</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固定资产</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6674" w:type="dxa"/>
            <w:gridSpan w:val="14"/>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846" w:type="dxa"/>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在用固定资产</w:t>
            </w:r>
          </w:p>
        </w:tc>
        <w:tc>
          <w:tcPr>
            <w:tcW w:w="3466" w:type="dxa"/>
            <w:gridSpan w:val="9"/>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出租固定资产</w:t>
            </w:r>
          </w:p>
        </w:tc>
        <w:tc>
          <w:tcPr>
            <w:tcW w:w="846" w:type="dxa"/>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23.72 </w:t>
            </w: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23.72 </w:t>
            </w:r>
          </w:p>
        </w:tc>
        <w:tc>
          <w:tcPr>
            <w:tcW w:w="346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1、局机关</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23.72 </w:t>
            </w: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23.72 </w:t>
            </w:r>
          </w:p>
        </w:tc>
        <w:tc>
          <w:tcPr>
            <w:tcW w:w="346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三、部门（单位）整体支出绩效自评情况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整体支出绩效定性目标及实施计划完成情况</w:t>
            </w: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预期目标</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计划开展创新重点工作有：统筹做好“军人之家”建设工作；组织对退役军人和其他优抚对象信息采集；为退役军人、现役军人家属、烈属悬挂光荣牌；切实做好计划安置军转干部、自主择业军队转业干部管理服务、退役士兵安置、复员干部管理、企业军转干部解困稳定工作；贯彻落实双拥优抚安置政策</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统筹做好“军人之家”建设工作；组织对退役军人和其他优抚对象信息采集；为退役军人、现役军人家属、烈属悬挂光荣牌；切实做好计划安置军转干部、自主择业军队转业干部管理服务、退役士兵安置、复员干部管理、企业军转干部解困稳定工作；贯彻落实双拥优抚安置政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评价内容</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绩效内容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绩效目标值</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产出目标</w:t>
            </w:r>
          </w:p>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质量指标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1.按文件规定审核审批各项经费；按标准发放、下拨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2.检查申请、审批资料，申请人员符合条件，申请、审批程序规范</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3.相关手续、单据、资料齐全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按要求准备齐全</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按要求准备齐全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数量指标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1.按年度计划完成拥军优属、优待抚恤工作、退役安置工作、军队离退休干部及无军籍离退休生活费用发放、日常工作基本运行等工作</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按相关文件及规定的要求完成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按相关文件及规定的要求完成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2.各类退役军人及服务对象实际发放补贴人数和应该发放</w:t>
            </w:r>
            <w:bookmarkStart w:id="0" w:name="_GoBack"/>
            <w:bookmarkEnd w:id="0"/>
            <w:r>
              <w:rPr>
                <w:rFonts w:hint="eastAsia" w:ascii="仿宋_GB2312" w:hAnsi="黑体" w:eastAsia="仿宋_GB2312"/>
                <w:szCs w:val="32"/>
              </w:rPr>
              <w:t>人数一致</w:t>
            </w:r>
          </w:p>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时效指标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1.合理预算，安排好各项经费的计划，资金及时到位</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2.及时审批并在规定时间发放完成</w:t>
            </w: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成本指标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死亡一次性抚恤金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707.58</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伤残抚恤专项资金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1,207.46</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在乡复员、退伍军人生活补助专项经费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234.17</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城镇义务兵优待金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615.65</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其他用于优抚方面的经费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1,700.42</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退役士兵安置专项经费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220.05</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楷体" w:eastAsia="仿宋_GB2312"/>
                <w:sz w:val="18"/>
                <w:szCs w:val="18"/>
              </w:rPr>
              <w:t>军队离退休干部及无军籍职工人员经费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11,050.72</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其他支出类经费</w:t>
            </w:r>
            <w:r>
              <w:rPr>
                <w:rFonts w:hint="eastAsia" w:ascii="仿宋_GB2312" w:hAnsi="黑体" w:eastAsia="仿宋_GB2312"/>
                <w:szCs w:val="32"/>
              </w:rPr>
              <w:tab/>
            </w: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912.8</w:t>
            </w:r>
            <w:r>
              <w:rPr>
                <w:rFonts w:ascii="Arial" w:hAnsi="Arial" w:cs="Arial"/>
                <w:color w:val="000000"/>
                <w:sz w:val="20"/>
                <w:szCs w:val="20"/>
              </w:rPr>
              <w:t xml:space="preserve"> </w:t>
            </w:r>
            <w:r>
              <w:rPr>
                <w:rFonts w:hint="eastAsia" w:ascii="Arial" w:hAnsi="Arial" w:cs="Arial"/>
                <w:color w:val="000000"/>
                <w:sz w:val="20"/>
                <w:szCs w:val="20"/>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效益目标</w:t>
            </w:r>
          </w:p>
          <w:p>
            <w:pPr>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（预期实现的效益）</w:t>
            </w:r>
          </w:p>
        </w:tc>
        <w:tc>
          <w:tcPr>
            <w:tcW w:w="1264" w:type="dxa"/>
            <w:gridSpan w:val="2"/>
            <w:vMerge w:val="restart"/>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1.维护社会稳定、和谐，促进社会协调发展</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2各类退役服务对象的基本生活得到改善</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经济效益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优抚对象领取定期生活补助、慰问费，达到一定经济效益。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黑体" w:eastAsia="仿宋_GB2312"/>
                <w:sz w:val="18"/>
                <w:szCs w:val="18"/>
              </w:rPr>
              <w:t>有一定经济效益，促进社会经济发展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有一定经济效益，促进社会经济发展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困难群众领取定期生活补助、医疗救助，达到一定经济效益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社会公众或服务对象满意度</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通过问卷调查，90%以上的服务对象对相关服务认可和满意</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绩效自评综合得分</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评价等次</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优秀</w:t>
            </w:r>
          </w:p>
        </w:tc>
      </w:tr>
    </w:tbl>
    <w:p>
      <w:pPr>
        <w:widowControl/>
        <w:shd w:val="clear" w:color="auto" w:fill="FFFFFF"/>
        <w:spacing w:line="560" w:lineRule="exact"/>
        <w:ind w:firstLine="630"/>
        <w:rPr>
          <w:rFonts w:ascii="黑体" w:hAnsi="黑体" w:eastAsia="黑体"/>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 PAGE   \* MERGEFORMAT </w:instrText>
    </w:r>
    <w:r>
      <w:fldChar w:fldCharType="separate"/>
    </w:r>
    <w:r>
      <w:rPr>
        <w:lang w:val="zh-CN"/>
      </w:rPr>
      <w:t>2</w:t>
    </w:r>
    <w:r>
      <w:rPr>
        <w:lang w:val="zh-CN"/>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RjMjMzNzRjZGYzY2MyYmQ2MmMwYWJlZDUwNzJiY2UifQ=="/>
  </w:docVars>
  <w:rsids>
    <w:rsidRoot w:val="00FE0573"/>
    <w:rsid w:val="00000E8A"/>
    <w:rsid w:val="00016CB7"/>
    <w:rsid w:val="00027A8A"/>
    <w:rsid w:val="00034C17"/>
    <w:rsid w:val="000429A0"/>
    <w:rsid w:val="000500E7"/>
    <w:rsid w:val="00051925"/>
    <w:rsid w:val="00051F3A"/>
    <w:rsid w:val="00073969"/>
    <w:rsid w:val="00097E2F"/>
    <w:rsid w:val="000D1D0B"/>
    <w:rsid w:val="000F135C"/>
    <w:rsid w:val="00112971"/>
    <w:rsid w:val="001157E8"/>
    <w:rsid w:val="00127CDD"/>
    <w:rsid w:val="00131FE7"/>
    <w:rsid w:val="00132DAC"/>
    <w:rsid w:val="00197C15"/>
    <w:rsid w:val="001B1B26"/>
    <w:rsid w:val="001C4C86"/>
    <w:rsid w:val="001E1487"/>
    <w:rsid w:val="001F4F8D"/>
    <w:rsid w:val="002272DD"/>
    <w:rsid w:val="00231EB3"/>
    <w:rsid w:val="002350D6"/>
    <w:rsid w:val="0024173E"/>
    <w:rsid w:val="00241AD6"/>
    <w:rsid w:val="00247DC8"/>
    <w:rsid w:val="0026675A"/>
    <w:rsid w:val="002753A0"/>
    <w:rsid w:val="00295D28"/>
    <w:rsid w:val="002A0BB0"/>
    <w:rsid w:val="002A2415"/>
    <w:rsid w:val="002A3EB7"/>
    <w:rsid w:val="002B63D7"/>
    <w:rsid w:val="002C0286"/>
    <w:rsid w:val="002C044C"/>
    <w:rsid w:val="002C5346"/>
    <w:rsid w:val="002D533F"/>
    <w:rsid w:val="002E0A5F"/>
    <w:rsid w:val="002F4132"/>
    <w:rsid w:val="00323D37"/>
    <w:rsid w:val="00332A09"/>
    <w:rsid w:val="00337828"/>
    <w:rsid w:val="00341023"/>
    <w:rsid w:val="003427AB"/>
    <w:rsid w:val="003430F1"/>
    <w:rsid w:val="00352553"/>
    <w:rsid w:val="00354D50"/>
    <w:rsid w:val="003757FC"/>
    <w:rsid w:val="00380B3D"/>
    <w:rsid w:val="0038326F"/>
    <w:rsid w:val="003A6E4A"/>
    <w:rsid w:val="003B37C0"/>
    <w:rsid w:val="003C29FC"/>
    <w:rsid w:val="003E379E"/>
    <w:rsid w:val="003E447D"/>
    <w:rsid w:val="00401765"/>
    <w:rsid w:val="00407586"/>
    <w:rsid w:val="00410A4B"/>
    <w:rsid w:val="004277B4"/>
    <w:rsid w:val="004328F7"/>
    <w:rsid w:val="00434093"/>
    <w:rsid w:val="00450F21"/>
    <w:rsid w:val="00452670"/>
    <w:rsid w:val="004739FE"/>
    <w:rsid w:val="004770D0"/>
    <w:rsid w:val="00492C9C"/>
    <w:rsid w:val="004975F0"/>
    <w:rsid w:val="004A4333"/>
    <w:rsid w:val="004B0E24"/>
    <w:rsid w:val="004B26DF"/>
    <w:rsid w:val="004D01E9"/>
    <w:rsid w:val="004F67A5"/>
    <w:rsid w:val="00512B44"/>
    <w:rsid w:val="005147A7"/>
    <w:rsid w:val="00515213"/>
    <w:rsid w:val="00532CB0"/>
    <w:rsid w:val="0055701A"/>
    <w:rsid w:val="00561AB5"/>
    <w:rsid w:val="00573A2B"/>
    <w:rsid w:val="00596029"/>
    <w:rsid w:val="005A3C58"/>
    <w:rsid w:val="005A765C"/>
    <w:rsid w:val="00600FA0"/>
    <w:rsid w:val="00604AE9"/>
    <w:rsid w:val="00606124"/>
    <w:rsid w:val="006258FB"/>
    <w:rsid w:val="00640DDC"/>
    <w:rsid w:val="00650DBA"/>
    <w:rsid w:val="006705F5"/>
    <w:rsid w:val="00671155"/>
    <w:rsid w:val="00673EB9"/>
    <w:rsid w:val="0068799A"/>
    <w:rsid w:val="006A2299"/>
    <w:rsid w:val="006C5E28"/>
    <w:rsid w:val="00716348"/>
    <w:rsid w:val="007241B6"/>
    <w:rsid w:val="00735723"/>
    <w:rsid w:val="00741A82"/>
    <w:rsid w:val="007445F5"/>
    <w:rsid w:val="00753ED5"/>
    <w:rsid w:val="00780776"/>
    <w:rsid w:val="007911F4"/>
    <w:rsid w:val="00800D6F"/>
    <w:rsid w:val="00836B8C"/>
    <w:rsid w:val="00837F91"/>
    <w:rsid w:val="00847E33"/>
    <w:rsid w:val="00853A44"/>
    <w:rsid w:val="00857CB8"/>
    <w:rsid w:val="00880389"/>
    <w:rsid w:val="00895839"/>
    <w:rsid w:val="00895CD4"/>
    <w:rsid w:val="008B7C0C"/>
    <w:rsid w:val="008D3219"/>
    <w:rsid w:val="008F2CD6"/>
    <w:rsid w:val="009155A2"/>
    <w:rsid w:val="00916DE7"/>
    <w:rsid w:val="009249D6"/>
    <w:rsid w:val="00936A8B"/>
    <w:rsid w:val="009449A8"/>
    <w:rsid w:val="009475FE"/>
    <w:rsid w:val="00955A31"/>
    <w:rsid w:val="00967FF4"/>
    <w:rsid w:val="00973807"/>
    <w:rsid w:val="00975148"/>
    <w:rsid w:val="00977D14"/>
    <w:rsid w:val="009A25EF"/>
    <w:rsid w:val="009B5B4A"/>
    <w:rsid w:val="009C78B1"/>
    <w:rsid w:val="009F6BC3"/>
    <w:rsid w:val="00A04A14"/>
    <w:rsid w:val="00A13A38"/>
    <w:rsid w:val="00A17A34"/>
    <w:rsid w:val="00A20EC3"/>
    <w:rsid w:val="00A2238A"/>
    <w:rsid w:val="00A27606"/>
    <w:rsid w:val="00A3374C"/>
    <w:rsid w:val="00A36051"/>
    <w:rsid w:val="00A679A3"/>
    <w:rsid w:val="00A873F0"/>
    <w:rsid w:val="00A96A4C"/>
    <w:rsid w:val="00A97D55"/>
    <w:rsid w:val="00AA0060"/>
    <w:rsid w:val="00AC3429"/>
    <w:rsid w:val="00AC6535"/>
    <w:rsid w:val="00AD7822"/>
    <w:rsid w:val="00AF2F4D"/>
    <w:rsid w:val="00AF3B61"/>
    <w:rsid w:val="00B03221"/>
    <w:rsid w:val="00B0548F"/>
    <w:rsid w:val="00B239BD"/>
    <w:rsid w:val="00B3176F"/>
    <w:rsid w:val="00B502DF"/>
    <w:rsid w:val="00B713F6"/>
    <w:rsid w:val="00B83055"/>
    <w:rsid w:val="00B860FA"/>
    <w:rsid w:val="00BD2506"/>
    <w:rsid w:val="00BF3E19"/>
    <w:rsid w:val="00C26907"/>
    <w:rsid w:val="00C43898"/>
    <w:rsid w:val="00C44535"/>
    <w:rsid w:val="00C57324"/>
    <w:rsid w:val="00C740F0"/>
    <w:rsid w:val="00C96372"/>
    <w:rsid w:val="00CA6B48"/>
    <w:rsid w:val="00CB32F5"/>
    <w:rsid w:val="00CB497C"/>
    <w:rsid w:val="00CB524F"/>
    <w:rsid w:val="00CC4EEC"/>
    <w:rsid w:val="00CD7087"/>
    <w:rsid w:val="00CE48F0"/>
    <w:rsid w:val="00D06DAB"/>
    <w:rsid w:val="00D06F84"/>
    <w:rsid w:val="00D16548"/>
    <w:rsid w:val="00D26DFB"/>
    <w:rsid w:val="00D3066A"/>
    <w:rsid w:val="00D62889"/>
    <w:rsid w:val="00D644AF"/>
    <w:rsid w:val="00D71344"/>
    <w:rsid w:val="00DD7300"/>
    <w:rsid w:val="00DE4446"/>
    <w:rsid w:val="00DE73B0"/>
    <w:rsid w:val="00DF0188"/>
    <w:rsid w:val="00DF0361"/>
    <w:rsid w:val="00DF17D4"/>
    <w:rsid w:val="00DF20BE"/>
    <w:rsid w:val="00DF4550"/>
    <w:rsid w:val="00E22072"/>
    <w:rsid w:val="00E35196"/>
    <w:rsid w:val="00E3785A"/>
    <w:rsid w:val="00E50C8B"/>
    <w:rsid w:val="00E6413C"/>
    <w:rsid w:val="00E65A5B"/>
    <w:rsid w:val="00EA0186"/>
    <w:rsid w:val="00EC0627"/>
    <w:rsid w:val="00ED3375"/>
    <w:rsid w:val="00ED50FA"/>
    <w:rsid w:val="00EE7D95"/>
    <w:rsid w:val="00F00C70"/>
    <w:rsid w:val="00F13068"/>
    <w:rsid w:val="00F2756D"/>
    <w:rsid w:val="00F30BD9"/>
    <w:rsid w:val="00F3350C"/>
    <w:rsid w:val="00F35F03"/>
    <w:rsid w:val="00F81E08"/>
    <w:rsid w:val="00F835BE"/>
    <w:rsid w:val="00FD4DEC"/>
    <w:rsid w:val="00FD6DFA"/>
    <w:rsid w:val="00FE0573"/>
    <w:rsid w:val="00FF7294"/>
    <w:rsid w:val="302D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页眉 Char"/>
    <w:basedOn w:val="6"/>
    <w:link w:val="4"/>
    <w:uiPriority w:val="99"/>
    <w:rPr>
      <w:rFonts w:ascii="Calibri" w:hAnsi="Calibri" w:eastAsia="宋体" w:cs="Times New Roman"/>
      <w:kern w:val="0"/>
      <w:sz w:val="18"/>
      <w:szCs w:val="18"/>
    </w:rPr>
  </w:style>
  <w:style w:type="character" w:customStyle="1" w:styleId="8">
    <w:name w:val="页脚 Char"/>
    <w:basedOn w:val="6"/>
    <w:link w:val="3"/>
    <w:uiPriority w:val="99"/>
    <w:rPr>
      <w:rFonts w:ascii="Calibri" w:hAnsi="Calibri" w:eastAsia="宋体" w:cs="Times New Roman"/>
      <w:kern w:val="0"/>
      <w:sz w:val="18"/>
      <w:szCs w:val="18"/>
    </w:rPr>
  </w:style>
  <w:style w:type="paragraph" w:customStyle="1" w:styleId="9">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paragraph" w:customStyle="1" w:styleId="13">
    <w:name w:val="列出段落1"/>
    <w:basedOn w:val="1"/>
    <w:uiPriority w:val="0"/>
    <w:pPr>
      <w:ind w:firstLine="420" w:firstLineChars="200"/>
    </w:pPr>
    <w:rPr>
      <w:rFonts w:cs="Calibri"/>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3BD57-F640-4C21-A039-72366D50F25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1165</Words>
  <Characters>6646</Characters>
  <Lines>55</Lines>
  <Paragraphs>15</Paragraphs>
  <TotalTime>877</TotalTime>
  <ScaleCrop>false</ScaleCrop>
  <LinksUpToDate>false</LinksUpToDate>
  <CharactersWithSpaces>7796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cp:lastPrinted>2019-05-09T08:21:00Z</cp:lastPrinted>
  <dcterms:modified xsi:type="dcterms:W3CDTF">2024-01-08T11:33:05Z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9713EF5535D544D89D06EBDC0D2C3E4C_12</vt:lpwstr>
  </property>
</Properties>
</file>