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spacing w:line="240" w:lineRule="atLeast"/>
        <w:jc w:val="center"/>
        <w:rPr>
          <w:rFonts w:ascii="黑体" w:hAnsi="黑体" w:eastAsia="黑体"/>
          <w:bCs/>
          <w:sz w:val="48"/>
          <w:szCs w:val="48"/>
        </w:rPr>
      </w:pPr>
      <w:r>
        <w:rPr>
          <w:rFonts w:hint="eastAsia" w:ascii="黑体" w:hAnsi="黑体" w:eastAsia="黑体" w:cs="黑体"/>
          <w:bCs/>
          <w:sz w:val="48"/>
          <w:szCs w:val="48"/>
        </w:rPr>
        <w:t>昆明市盘龙区退役军人事务局</w:t>
      </w:r>
      <w:r>
        <w:rPr>
          <w:rFonts w:ascii="黑体" w:hAnsi="黑体" w:eastAsia="黑体"/>
          <w:bCs/>
          <w:sz w:val="48"/>
          <w:szCs w:val="48"/>
        </w:rPr>
        <w:t>2019</w:t>
      </w:r>
      <w:r>
        <w:rPr>
          <w:rFonts w:hint="eastAsia" w:ascii="黑体" w:hAnsi="黑体" w:eastAsia="黑体"/>
          <w:bCs/>
          <w:sz w:val="48"/>
          <w:szCs w:val="48"/>
        </w:rPr>
        <w:t>年</w:t>
      </w:r>
    </w:p>
    <w:p>
      <w:pPr>
        <w:jc w:val="center"/>
        <w:rPr>
          <w:rFonts w:ascii="黑体" w:hAnsi="黑体" w:eastAsia="黑体"/>
          <w:bCs/>
          <w:sz w:val="48"/>
          <w:szCs w:val="48"/>
        </w:rPr>
      </w:pPr>
      <w:r>
        <w:rPr>
          <w:rFonts w:hint="eastAsia" w:ascii="黑体" w:hAnsi="黑体" w:eastAsia="黑体" w:cs="黑体"/>
          <w:bCs/>
          <w:sz w:val="48"/>
          <w:szCs w:val="48"/>
        </w:rPr>
        <w:t>部门项目支出绩效自评报告</w:t>
      </w:r>
    </w:p>
    <w:p>
      <w:pPr>
        <w:jc w:val="center"/>
        <w:rPr>
          <w:rFonts w:ascii="黑体" w:hAnsi="黑体" w:eastAsia="黑体"/>
          <w:bCs/>
          <w:sz w:val="48"/>
          <w:szCs w:val="48"/>
        </w:rPr>
      </w:pPr>
      <w:r>
        <w:rPr>
          <w:rFonts w:hint="eastAsia" w:ascii="黑体" w:hAnsi="黑体" w:eastAsia="黑体" w:cs="黑体"/>
          <w:bCs/>
          <w:sz w:val="48"/>
          <w:szCs w:val="48"/>
        </w:rPr>
        <w:t>（2019年度）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1031" o:spid="_x0000_s1031" o:spt="32" type="#_x0000_t32" style="position:absolute;left:0pt;margin-left:133.5pt;margin-top:16.65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项目名称：昆明市盘龙区退役军人事务局项目支出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2" o:spid="_x0000_s1032" o:spt="32" type="#_x0000_t32" style="position:absolute;left:0pt;margin-left:133.5pt;margin-top:17.1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3" o:spid="_x0000_s1033" o:spt="32" type="#_x0000_t32" style="position:absolute;left:0pt;margin-left:133.5pt;margin-top:19.9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hint="eastAsia" w:ascii="Times New Roman" w:hAnsi="Times New Roman" w:eastAsia="黑体"/>
          <w:b/>
          <w:bCs/>
          <w:sz w:val="28"/>
          <w:szCs w:val="28"/>
        </w:rPr>
        <w:t>2020</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tbl>
      <w:tblPr>
        <w:tblStyle w:val="6"/>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鹿传奇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邵建兵</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仿宋_GB2312" w:hAnsi="楷体" w:eastAsia="仿宋_GB2312"/>
          <w:szCs w:val="32"/>
        </w:rPr>
      </w:pPr>
      <w:r>
        <w:rPr>
          <w:rFonts w:hint="eastAsia" w:ascii="黑体" w:hAnsi="黑体" w:eastAsia="黑体"/>
          <w:szCs w:val="32"/>
        </w:rPr>
        <w:t>一、</w:t>
      </w:r>
      <w:r>
        <w:rPr>
          <w:rFonts w:hint="eastAsia" w:ascii="仿宋_GB2312" w:hAnsi="楷体" w:eastAsia="仿宋_GB2312"/>
          <w:szCs w:val="32"/>
        </w:rPr>
        <w:t>死亡一次性抚恤金项目2080801                  （4-8页）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二、伤残抚恤专项资金项目2080802                  （9-13页）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三、在乡复员、退伍军人生活补助2080803            （14-18页）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四、城镇义务兵优待金项目2080805                  （19-23页）</w:t>
      </w:r>
      <w:r>
        <w:rPr>
          <w:rFonts w:hint="eastAsia" w:ascii="仿宋_GB2312" w:hAnsi="楷体" w:eastAsia="仿宋_GB2312"/>
          <w:szCs w:val="32"/>
        </w:rPr>
        <w:tab/>
      </w:r>
      <w:r>
        <w:rPr>
          <w:rFonts w:hint="eastAsia" w:ascii="仿宋_GB2312" w:hAnsi="楷体" w:eastAsia="仿宋_GB2312"/>
          <w:szCs w:val="32"/>
        </w:rPr>
        <w:t xml:space="preserve"> </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五、其他用于优抚方面经费项目2080899              （24-28页）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六、退役士兵安置专项经费项目2080901               （29-33页）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 xml:space="preserve">七、军队离退休干部及无军籍职工人员经费项目2080902 （34-39页） </w:t>
      </w: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死亡一次性抚恤金项目支出绩效自评报告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死亡一次性抚恤金项目。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2019年死亡一次性抚恤金项目实际到位资金723.48万元，其中中央财政补助106.68万元，省级财政补助1.10万元，区本级财政安排615.70万元。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2019年死亡一次性抚恤金项目支出707.58万元。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死亡一次性抚恤金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2019年优抚对象抚恤和生活补助足额兑现率为100%，实际发放人数和应该发放人数一致，规范审批，按标准发放，在规定时间发放完成，全年支出707.58万元，优抚对象对优抚工作的满意度90%。</w:t>
      </w: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2019年死亡一次性抚恤金项目实际到位资金723.48万元，其中中央财政补助106.68万元，省级财政补助1.10万元，区本级财政安排615.70万元。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2019年死亡一次性抚恤金项目支出707.58万元。</w:t>
      </w:r>
    </w:p>
    <w:tbl>
      <w:tblPr>
        <w:tblStyle w:val="7"/>
        <w:tblW w:w="9455" w:type="dxa"/>
        <w:tblInd w:w="-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418"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 723.48</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723.48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106.68</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106.68</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1.10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1.10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615.70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615.70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707.58</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707.58</w:t>
            </w:r>
          </w:p>
        </w:tc>
      </w:tr>
    </w:tbl>
    <w:p>
      <w:pPr>
        <w:pStyle w:val="12"/>
        <w:spacing w:line="440" w:lineRule="exact"/>
        <w:ind w:left="420" w:leftChars="200"/>
        <w:jc w:val="left"/>
        <w:rPr>
          <w:rFonts w:ascii="仿宋_GB2312" w:hAnsi="楷体" w:eastAsia="仿宋_GB2312"/>
          <w:szCs w:val="32"/>
        </w:rPr>
      </w:pP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牺牲、病故军人家属提供的相关资料。计算出应发放的一次性抚恤费后交分管领导审核，主管领导审批，交计划财务科通过银行代发划款到家属提供的个人帐号，做到及时审批、及时发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产出目标：2019年优抚对象抚恤和生活补助足额兑现率为100%，实际发放人数和应该发放人数一致，规范审批，按标准发放，在规定时间发放完成。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效果目标：家属得到一定经济补助，维护稳定，促进协调发展，对社会发展有一定可持续影响。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昆明市盘龙区退役军人事务局死亡一次性抚恤金项目支出绩效自评情况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优抚对象抚恤和生活补助足额兑现率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已完成707.58万元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伤残抚恤专项资金项目支出绩效自评报告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伤残抚恤专项资金项目。根据规定，对残疾军人（伤残人民警察、伤残民兵民工、伤残国家机关工作人员）等级评定为一至十级的，享受伤残抚恤金，残疾军人因病死亡的，对其遗属增发12个月的残疾抚恤金作为丧葬补助费。</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2019年伤残抚恤专项资金项目实际到位资金1,511.96万元，其中中央财政补助1,511.96万元。</w:t>
      </w:r>
      <w:r>
        <w:rPr>
          <w:rFonts w:ascii="仿宋_GB2312" w:hAnsi="楷体" w:eastAsia="仿宋_GB2312"/>
          <w:szCs w:val="32"/>
        </w:rPr>
        <w:t xml:space="preserve"> </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2019年伤残抚恤专项资金项目支出1,207.46万元。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伤残抚恤专项资金项目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topLinePunct/>
        <w:spacing w:line="440" w:lineRule="exact"/>
        <w:ind w:left="885" w:firstLine="0" w:firstLineChars="0"/>
        <w:jc w:val="left"/>
        <w:rPr>
          <w:rFonts w:ascii="仿宋_GB2312" w:hAnsi="楷体" w:eastAsia="仿宋_GB2312"/>
          <w:szCs w:val="32"/>
        </w:rPr>
      </w:pPr>
      <w:r>
        <w:rPr>
          <w:rFonts w:hint="eastAsia" w:ascii="仿宋_GB2312" w:hAnsi="楷体" w:eastAsia="仿宋_GB2312"/>
          <w:szCs w:val="32"/>
        </w:rPr>
        <w:t>根据规定，对残疾军人（伤残人民警察、伤残民兵民工、伤残国家机关工作人员）等级评定为一至十级的，享受伤残抚恤金，残疾军人因病死亡的，对其遗属增发12个月的残疾抚恤金作为丧葬补助费。</w:t>
      </w:r>
    </w:p>
    <w:p>
      <w:pPr>
        <w:topLinePunct/>
        <w:spacing w:line="440" w:lineRule="exact"/>
        <w:ind w:firstLine="525" w:firstLineChars="250"/>
        <w:jc w:val="left"/>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2019年伤残抚恤专项资金足额兑现率为100%，实际发放人数和应该发放人数一致，规范审批，按标准发放，在规定时间发放完成，全年支出1,207.46万元，优抚对象对优抚工作的满意度90%。</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3.资金来源及使用情况。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2019年伤残抚恤专项资金项目实际到位资金1,511.96万元，其中中央财政补助1,511.96万元。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2019年伤残抚恤专项资金项目支出1,207.46万元。</w:t>
      </w:r>
    </w:p>
    <w:tbl>
      <w:tblPr>
        <w:tblStyle w:val="7"/>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7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 w:hRule="atLeast"/>
          <w:jc w:val="center"/>
        </w:trPr>
        <w:tc>
          <w:tcPr>
            <w:tcW w:w="4534"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 1,511.96</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1,511.96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1,511.96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1,511.96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7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7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7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23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2218"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10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2218"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10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1,207.46</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1,207.46</w:t>
            </w:r>
          </w:p>
        </w:tc>
      </w:tr>
    </w:tbl>
    <w:p>
      <w:pPr>
        <w:pStyle w:val="12"/>
        <w:spacing w:line="440" w:lineRule="exact"/>
        <w:ind w:left="420" w:leftChars="200"/>
        <w:jc w:val="left"/>
        <w:rPr>
          <w:rFonts w:ascii="仿宋_GB2312" w:hAnsi="楷体" w:eastAsia="仿宋_GB2312"/>
          <w:szCs w:val="32"/>
        </w:rPr>
      </w:pPr>
    </w:p>
    <w:p>
      <w:pPr>
        <w:topLinePunct/>
        <w:spacing w:line="440" w:lineRule="exact"/>
        <w:ind w:left="525"/>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残疾军人（伤残人民警察、伤残民兵民工、伤残国家机关工作人员）相关资料。按伤残级别应发放的伤残抚恤，编制发放表后交分管领导审核，主管领导审批，交财务科通过银行代发划款到本人提供的个人帐号；审核伤残军人家属提供的相关资料，计算出应领取的抚恤费后交分管领导审核，主管领导审批，交财务科通过银行代发划款到家属提供的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符合条件的伤残抚恤专项资金，按有关文件及时审批，按标准在规定时间发放完成，完成相关资料归档工作。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产出目标：2019年伤残抚恤足额兑现率为100%，实际发放人数和应该发放人数一致，规范审批，按标准发放，在规定时间发放完成。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效果目标：残疾军人（伤残人民警察、伤残民兵民工、伤残国家机关工作人员）得到一定经济补助，维护稳定，促进协调发展，对社会发展有一定可持续影响。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昆明市盘龙区退役军人事务伤残抚恤专项资金支出绩效自评情况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伤残抚恤金足额兑现率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已完成1,207.46万元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伤残军人得到一定经济补助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在乡复员、退伍军人生活补助支出绩效自评报告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r>
        <w:rPr>
          <w:rFonts w:hint="eastAsia" w:ascii="黑体" w:eastAsia="黑体"/>
        </w:rPr>
        <w:t>一、项目概况：</w:t>
      </w:r>
      <w:r>
        <w:rPr>
          <w:rFonts w:hint="eastAsia"/>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在乡复员、退伍军人生活补助专项经费项目。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2019年在乡复员、退伍军人生活补助专项经费项目实际到位资金234.17万元，其中中央资金17.92万元；省级财政补助0.55万元；市级财政安排119.63万元；区本级财政安排96.07万元。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2019年在乡复员、退伍军人生活补助专项经费支出234.17万元。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正文：在乡复员、退伍军人生活补助目支出绩效自评报告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left="525"/>
        <w:rPr>
          <w:rFonts w:ascii="楷体" w:hAnsi="楷体" w:eastAsia="楷体"/>
          <w:szCs w:val="32"/>
        </w:rPr>
      </w:pPr>
      <w:r>
        <w:rPr>
          <w:rFonts w:hint="eastAsia" w:ascii="楷体" w:hAnsi="楷体" w:eastAsia="楷体"/>
          <w:szCs w:val="32"/>
        </w:rPr>
        <w:t>（一）项目概况。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实际发放人数和应该发放人数一致，规范审批，按标准发放，在规定时间发放完成，全年支出234.17万元，群众满意度91%。</w:t>
      </w:r>
    </w:p>
    <w:p>
      <w:pPr>
        <w:topLinePunct/>
        <w:spacing w:line="440" w:lineRule="exact"/>
        <w:ind w:firstLine="315" w:firstLineChars="150"/>
        <w:rPr>
          <w:rFonts w:ascii="仿宋_GB2312" w:hAnsi="楷体" w:eastAsia="仿宋_GB2312"/>
          <w:szCs w:val="32"/>
        </w:rPr>
      </w:pPr>
      <w:r>
        <w:rPr>
          <w:rFonts w:hint="eastAsia" w:ascii="仿宋_GB2312" w:hAnsi="楷体" w:eastAsia="仿宋_GB2312"/>
          <w:szCs w:val="32"/>
        </w:rPr>
        <w:t>3.资金来源及使用情况。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2019年在乡复员、退伍军人生活补助项目实际到位资金234.17万元，其中中央资金17.92万元；省级财政补助0.55万元；市级财政安排119.63万元；区本级财政安排96.07万元。</w:t>
      </w: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rPr>
        <w:t>2019年退役士兵安置专项经费项目支出234.17万元。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w:t>
            </w:r>
            <w:r>
              <w:t xml:space="preserve"> </w:t>
            </w:r>
            <w:r>
              <w:rPr>
                <w:rFonts w:hint="eastAsia" w:ascii="仿宋_GB2312" w:hAnsi="楷体" w:eastAsia="仿宋_GB2312"/>
                <w:szCs w:val="32"/>
              </w:rPr>
              <w:t>234.17</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234.17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spacing w:line="440" w:lineRule="exact"/>
              <w:ind w:right="420"/>
              <w:rPr>
                <w:rFonts w:ascii="仿宋_GB2312" w:hAnsi="楷体" w:eastAsia="仿宋_GB2312"/>
                <w:szCs w:val="32"/>
              </w:rPr>
            </w:pPr>
            <w:r>
              <w:rPr>
                <w:rFonts w:hint="eastAsia" w:ascii="仿宋_GB2312" w:hAnsi="楷体" w:eastAsia="仿宋_GB2312"/>
                <w:szCs w:val="32"/>
              </w:rPr>
              <w:t>17.92</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17.92</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0.55</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0.55</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119.63</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right"/>
              <w:rPr>
                <w:rFonts w:ascii="仿宋_GB2312" w:hAnsi="楷体" w:eastAsia="仿宋_GB2312"/>
                <w:szCs w:val="32"/>
              </w:rPr>
            </w:pPr>
            <w:r>
              <w:rPr>
                <w:rFonts w:hint="eastAsia" w:ascii="仿宋_GB2312" w:hAnsi="楷体" w:eastAsia="仿宋_GB2312"/>
                <w:szCs w:val="32"/>
              </w:rPr>
              <w:t>119.63</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96.07</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96.07</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退役士兵安置专项经费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234.17</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234.17</w:t>
            </w:r>
          </w:p>
        </w:tc>
      </w:tr>
    </w:tbl>
    <w:p>
      <w:pPr>
        <w:pStyle w:val="12"/>
        <w:spacing w:line="440" w:lineRule="exact"/>
        <w:ind w:left="420" w:leftChars="200"/>
        <w:jc w:val="left"/>
        <w:rPr>
          <w:rFonts w:ascii="仿宋_GB2312" w:hAnsi="楷体" w:eastAsia="仿宋_GB2312"/>
          <w:szCs w:val="32"/>
        </w:rPr>
      </w:pPr>
    </w:p>
    <w:p>
      <w:pPr>
        <w:topLinePunct/>
        <w:spacing w:line="440" w:lineRule="exact"/>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半年由具体分管科室优抚科，审核办事处上报的相关资料，计算出应发放的定期生活补助后交分管领导审核，主管领导审批，城区办事处交财务科划款到银行统一代发，涉农办事处交财务科划款到各办事处发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产出目标：2019年平均每月人数为，在乡复员军人95人、带病回乡退伍军人25、三属人员51人，实际发放人数和应该发放人数一致，规范审批，按标准发放，在规定时间发放完成，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效果目标：在乡复员、退伍军人得到一定经济补助，维护稳定，促进协调发展，对社会发展有一定可持续影响。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本项目按要求完成当年计划任务，促进社会和谐稳定发展、改善部分群众生活、满足群众需求、产生一定的经济效益，项目评为优秀。2019年绩效自评综合得分为85分。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p>
      <w:pPr>
        <w:topLinePunct/>
        <w:spacing w:line="440" w:lineRule="exact"/>
        <w:ind w:firstLine="525" w:firstLineChars="250"/>
        <w:rPr>
          <w:rFonts w:ascii="仿宋" w:hAnsi="仿宋" w:eastAsia="仿宋"/>
          <w:szCs w:val="32"/>
        </w:rPr>
      </w:pP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昆明市盘龙区退役军人事务局在乡复员、退伍军人生活补助项目支出绩效自评情况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w:t>
            </w:r>
            <w:r>
              <w:rPr>
                <w:rFonts w:hint="eastAsia" w:ascii="仿宋_GB2312" w:hAnsi="楷体" w:eastAsia="仿宋_GB2312"/>
                <w:szCs w:val="32"/>
              </w:rPr>
              <w:t>在乡复员、退伍军人人数</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实际人数</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实际人数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r>
              <w:rPr>
                <w:rFonts w:ascii="仿宋_GB2312" w:hAnsi="楷体" w:eastAsia="仿宋_GB2312"/>
                <w:szCs w:val="32"/>
              </w:rPr>
              <w:t xml:space="preserve"> </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已完成234.17万元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服务对象满意度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城镇义务兵优待金项目支出绩效自评报告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项目单位：优抚科，项目名称：城镇义务兵优待金。为了保障国家对军人抚恤优待，激励军人保家卫国的奉献精神，加强国防建设,根据</w:t>
      </w:r>
      <w:r>
        <w:rPr>
          <w:rFonts w:hint="eastAsia" w:ascii="仿宋_GB2312" w:hAnsi="楷体" w:eastAsia="仿宋_GB2312"/>
          <w:szCs w:val="32"/>
          <w:lang w:eastAsia="zh-CN"/>
        </w:rPr>
        <w:t>相关</w:t>
      </w:r>
      <w:r>
        <w:rPr>
          <w:rFonts w:hint="eastAsia" w:ascii="仿宋_GB2312" w:hAnsi="楷体" w:eastAsia="仿宋_GB2312"/>
          <w:szCs w:val="32"/>
        </w:rPr>
        <w:t>文件精神，盘龙区人民政府在2019年度继续执行给辖区现役义务兵家庭发放优待金政策，具体的管理发放工作由盘龙区退役军人事务局负责，并指导全区各街道办事处的义务兵优抚工作。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2019年城镇义务兵优待金项目实际到位资金654万元，为区本级财政安排资金。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2019年城镇义务兵优待金项目支出615.65万元。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本项目按要求完成当年计划任务，促进社会和谐稳定发展、改善部分群众生活、满足群众需求、产生一定的经济效益，项目评为优秀。2019年绩效自评综合得分为93分。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城镇义务兵优待金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5"/>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为了保障国家对军人抚恤优待，激励军人保家卫国的奉献精神，加强国防建设,根据</w:t>
      </w:r>
      <w:r>
        <w:rPr>
          <w:rFonts w:hint="eastAsia" w:ascii="仿宋_GB2312" w:hAnsi="楷体" w:eastAsia="仿宋_GB2312"/>
          <w:szCs w:val="32"/>
          <w:lang w:eastAsia="zh-CN"/>
        </w:rPr>
        <w:t>相关</w:t>
      </w:r>
      <w:r>
        <w:rPr>
          <w:rFonts w:hint="eastAsia" w:ascii="仿宋_GB2312" w:hAnsi="楷体" w:eastAsia="仿宋_GB2312"/>
          <w:szCs w:val="32"/>
        </w:rPr>
        <w:t>文件精神，盘龙区人民政府在2019年度继续执行给辖区现役义务兵家庭发放优待金政策，具体的管理发放工作由盘龙区退役军人事务局负责，并指导全区各街道办事处的义务兵优抚工作。</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2019年享受城镇义务优待兵户数为542户，实际发放人数和应该发放人数一致，精准计算，按标准发放规范审批，按标准发放，及时审批并在7月低发放完成，全年支出615.65万元，优抚对象对优抚工作的满意度90%。</w:t>
      </w:r>
    </w:p>
    <w:p>
      <w:pPr>
        <w:pStyle w:val="12"/>
        <w:numPr>
          <w:ilvl w:val="0"/>
          <w:numId w:val="6"/>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786" w:firstLine="0" w:firstLineChars="0"/>
        <w:jc w:val="left"/>
        <w:rPr>
          <w:rFonts w:ascii="仿宋_GB2312" w:hAnsi="楷体" w:eastAsia="仿宋_GB2312"/>
          <w:szCs w:val="32"/>
        </w:rPr>
      </w:pPr>
      <w:r>
        <w:rPr>
          <w:rFonts w:hint="eastAsia" w:ascii="仿宋_GB2312" w:hAnsi="楷体" w:eastAsia="仿宋_GB2312"/>
          <w:szCs w:val="32"/>
        </w:rPr>
        <w:t>2019年城镇义务兵优待金项目实际到位资金654万元，为区本级财政安排资金。</w:t>
      </w: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rPr>
        <w:t>2019年城镇义务兵优待金项目支出615.65万元。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w:t>
            </w:r>
            <w:r>
              <w:t xml:space="preserve"> </w:t>
            </w:r>
            <w:r>
              <w:rPr>
                <w:rFonts w:hint="eastAsia" w:ascii="仿宋_GB2312" w:hAnsi="楷体" w:eastAsia="仿宋_GB2312"/>
                <w:szCs w:val="32"/>
              </w:rPr>
              <w:t>654</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实际到位资金（万元）:654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654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654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城镇义务兵优待金</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615.65</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615.65</w:t>
            </w:r>
          </w:p>
        </w:tc>
      </w:tr>
    </w:tbl>
    <w:p>
      <w:pPr>
        <w:pStyle w:val="12"/>
        <w:spacing w:line="440" w:lineRule="exact"/>
        <w:ind w:left="420" w:leftChars="200"/>
        <w:jc w:val="left"/>
        <w:rPr>
          <w:rFonts w:ascii="仿宋_GB2312" w:hAnsi="楷体" w:eastAsia="仿宋_GB2312"/>
          <w:szCs w:val="32"/>
        </w:rPr>
      </w:pPr>
    </w:p>
    <w:p>
      <w:pPr>
        <w:pStyle w:val="12"/>
        <w:numPr>
          <w:ilvl w:val="0"/>
          <w:numId w:val="6"/>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由具体分管科室优抚科，审核办事处上报的相关资料，计算出应发放的义务兵优待金后交分管领导审核，主管领导审批，交财务划款各办事处发放，应征入伍服义务兵役高校在校生优待金根据具体情况决定发放方式。</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产出目标：2019年享受城镇义务优待金户数为542户，实际发放人数和应该发放人数一致，精准计算，按标准发放规范审批，按标准发放，及时审批并在7月低发放完成。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效果目标：义务兵家庭得到一定经济补助，维护稳定，促进协调发展，对社会发展有一定可持续影响。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本项目按要求完成当年计划任务，促进社会和谐稳定发展、改善部分群众生活、满足群众需求、产生一定的经济效益，项目评为优秀。2019年绩效自评综合得分为93分。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昆明市盘龙区退役军人事务局城镇义务兵优待金项目支出绩效自评情况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享受城镇义务优待兵户数</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完成542户</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完成542户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及时审核计算，及时发放，在7月底完成拨</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已完成615.14万元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城镇义务兵优待金按照上年人数和上年城镇可支配收入来计算本年度预算。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其他用于优抚方面经费项目支出绩效自评报告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项目单位：优抚科，项目名称：其他用于优抚方面的经费。主要负责重点优抚对象临时困难救助、维稳工作、优抚对象春节、“八一”慰问、复员干部“两保”生活补助慰问、复员干部临时困难补助。</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2019年其他用于优抚方面经费项目实际到位资金1,700.42万元，其中中央财政补助890.76万元，省级财政补助305.19万元，市级财政安排501.04万元，区本级财政安排3.44万元。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2019年其他用于优抚方面经费项目支出1,700.42万元。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本项目按要求完成当年计划任务，促进社会和谐稳定发展、改善部分群众生活、满足群众需求、产生一定的经济效益，项目评为优秀。2019年绩效自评综合得分为92分。</w:t>
      </w:r>
    </w:p>
    <w:p>
      <w:pPr>
        <w:spacing w:line="440" w:lineRule="exact"/>
        <w:ind w:left="420" w:leftChars="200" w:firstLine="420" w:firstLineChars="200"/>
        <w:jc w:val="left"/>
        <w:rPr>
          <w:rFonts w:ascii="仿宋_GB2312" w:hAnsi="楷体" w:eastAsia="仿宋_GB2312"/>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其他用于优抚方面经费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7"/>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 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主要负责重点优抚对象临时困难救助、维稳工作、优抚对象春节、“八一”慰问、复员干部“两保”生活补助慰问、复员干部临时困难补助。</w:t>
      </w:r>
    </w:p>
    <w:p>
      <w:pPr>
        <w:pStyle w:val="12"/>
        <w:numPr>
          <w:ilvl w:val="0"/>
          <w:numId w:val="8"/>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2019年实际发放人数和应该发放人数一致，规范审批，按标准发放，在规定时间发放完成，全年支出1,700.42万元，优抚对象对优抚工作的满意度90%。</w:t>
      </w: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2019年其他用于优抚方面经费项目实际到位资金1,700.42万元，其中中央财政补助890.76万元，省级财政补助305.19万元，市级财政安排501.04万元，区本级财政安排3.44万元。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2019年其他用于优抚方面经费项目支出1,700.42万元。</w:t>
      </w: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 2387.37</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2387.37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890.76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890.76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305.19</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305.19</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501.04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501.04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3.44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3.44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其他用于优抚方面经费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1,700.42</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1,700.42</w:t>
            </w:r>
          </w:p>
        </w:tc>
      </w:tr>
    </w:tbl>
    <w:p>
      <w:pPr>
        <w:pStyle w:val="12"/>
        <w:spacing w:line="440" w:lineRule="exact"/>
        <w:ind w:left="420" w:leftChars="200"/>
        <w:jc w:val="left"/>
        <w:rPr>
          <w:rFonts w:ascii="仿宋_GB2312" w:hAnsi="楷体" w:eastAsia="仿宋_GB2312"/>
          <w:szCs w:val="32"/>
        </w:rPr>
      </w:pP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半年由具体分管科室优抚科，审核办事处上报的相关资料，计算出应发放的定期生活补助后交分管领导审核，主管领导审批。军队复员干部生活困难补助金到银行统一代发，60周岁以上农村籍退役士兵老年生活补助金、参战参核退役人员生活补助金发放交财务划款到各办事处发放，军队复员干部缴纳医保、社保保险费交财务划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p>
      <w:pPr>
        <w:pStyle w:val="12"/>
        <w:numPr>
          <w:ilvl w:val="0"/>
          <w:numId w:val="9"/>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产出目标：2019年实际发放人数和应该发放人数一致，规范审批，按标准发放，在规定时间发放完成。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效果目标：优抚对象得到一定经济补助，维护稳定，促进协调发展，对社会发展有一定可持续影响。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本项目按要求完成当年计划任务，促进社会和谐稳定发展、改善部分群众生活、满足群众需求、产生一定的经济效益，项目评为优秀。2019年绩效自评综合得分为92分。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昆明市盘龙区退役军人事务局其他用于优抚方面经费项目支出绩效自评情况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已完成1,700.42万元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退役士兵安置项目支出绩效自评报告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项目单位：安置科，项目名称：退役士兵安置专项经费项目。贯彻执行</w:t>
      </w:r>
      <w:r>
        <w:rPr>
          <w:rFonts w:hint="eastAsia" w:ascii="仿宋_GB2312" w:hAnsi="楷体" w:eastAsia="仿宋_GB2312"/>
          <w:szCs w:val="32"/>
          <w:lang w:eastAsia="zh-CN"/>
        </w:rPr>
        <w:t>各级文件精神</w:t>
      </w:r>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2019年退役士兵安置专项经费项目实际到位资金338.86万元，其中省级财政补助98.54万元；市级财政安排102.89万元；区本级财政安排137.43万元。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2019年退役士兵安置专项经费项目支出220.05万元。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本项目按要求完成当年计划任务，促进社会和谐稳定发展、改善部分群众生活、满足群众需求、产生一定的经济效益，项目评为优秀。2019年绩效自评综合得分为85分。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退役士兵安置专项经费项目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left="525"/>
        <w:rPr>
          <w:rFonts w:ascii="楷体" w:hAnsi="楷体" w:eastAsia="楷体"/>
          <w:szCs w:val="32"/>
        </w:rPr>
      </w:pPr>
      <w:r>
        <w:rPr>
          <w:rFonts w:hint="eastAsia" w:ascii="楷体" w:hAnsi="楷体" w:eastAsia="楷体"/>
          <w:szCs w:val="32"/>
        </w:rPr>
        <w:t>（一）项目概况。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贯彻执行</w:t>
      </w:r>
      <w:r>
        <w:rPr>
          <w:rFonts w:hint="eastAsia" w:ascii="仿宋_GB2312" w:hAnsi="楷体" w:eastAsia="仿宋_GB2312"/>
          <w:szCs w:val="32"/>
          <w:lang w:eastAsia="zh-CN"/>
        </w:rPr>
        <w:t>各级文件精神</w:t>
      </w:r>
      <w:bookmarkStart w:id="0" w:name="_GoBack"/>
      <w:bookmarkEnd w:id="0"/>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按照上级的安置计划完成本年度退役士兵安置，实际发放人数和应该发放人数一致，规范审批，按标准发放，在规定时间发放完成，全年支出220.05万元，退役安置满意度85%。</w:t>
      </w:r>
    </w:p>
    <w:p>
      <w:pPr>
        <w:topLinePunct/>
        <w:spacing w:line="440" w:lineRule="exact"/>
        <w:ind w:firstLine="315" w:firstLineChars="150"/>
        <w:rPr>
          <w:rFonts w:ascii="仿宋_GB2312" w:hAnsi="楷体" w:eastAsia="仿宋_GB2312"/>
          <w:szCs w:val="32"/>
        </w:rPr>
      </w:pPr>
      <w:r>
        <w:rPr>
          <w:rFonts w:hint="eastAsia" w:ascii="仿宋_GB2312" w:hAnsi="楷体" w:eastAsia="仿宋_GB2312"/>
          <w:szCs w:val="32"/>
        </w:rPr>
        <w:t>3.资金来源及使用情况。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2019年退役士兵安置专项经费项目实际到位资金338.86万元，其中省级财政补助98.54万元；市级财政安排102.89万元；区本级财政安排137.43万元。</w:t>
      </w: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rPr>
        <w:t>2019年退役士兵安置专项经费项目支出220.05万元。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w:t>
            </w:r>
            <w:r>
              <w:t xml:space="preserve"> </w:t>
            </w:r>
            <w:r>
              <w:rPr>
                <w:rFonts w:hint="eastAsia" w:ascii="仿宋_GB2312" w:hAnsi="楷体" w:eastAsia="仿宋_GB2312"/>
                <w:szCs w:val="32"/>
              </w:rPr>
              <w:t>338.86</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338.86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98.54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98.54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102.89</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right"/>
              <w:rPr>
                <w:rFonts w:ascii="仿宋_GB2312" w:hAnsi="楷体" w:eastAsia="仿宋_GB2312"/>
                <w:szCs w:val="32"/>
              </w:rPr>
            </w:pPr>
            <w:r>
              <w:rPr>
                <w:rFonts w:hint="eastAsia" w:ascii="仿宋_GB2312" w:hAnsi="楷体" w:eastAsia="仿宋_GB2312"/>
                <w:szCs w:val="32"/>
              </w:rPr>
              <w:t>102.89</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137.43</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137.43</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退役士兵安置专项经费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220.05</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220.05</w:t>
            </w:r>
          </w:p>
        </w:tc>
      </w:tr>
    </w:tbl>
    <w:p>
      <w:pPr>
        <w:pStyle w:val="12"/>
        <w:spacing w:line="440" w:lineRule="exact"/>
        <w:ind w:left="420" w:leftChars="200"/>
        <w:jc w:val="left"/>
        <w:rPr>
          <w:rFonts w:ascii="仿宋_GB2312" w:hAnsi="楷体" w:eastAsia="仿宋_GB2312"/>
          <w:szCs w:val="32"/>
        </w:rPr>
      </w:pPr>
    </w:p>
    <w:p>
      <w:pPr>
        <w:topLinePunct/>
        <w:spacing w:line="440" w:lineRule="exact"/>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每月由具体分管科室安置科，审核应发放退役士兵相关资料，编制出发放的退役士兵生活费和退役士兵一次性经济补助表格，后交分管领导审核，主管领导审批，交财务划款到银行统一代发至个人帐号。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产出目标：按照上级的安置计划完成本年度退役士兵安置，实际发放人数和应该发放人数一致，规范审批，按标准发放，在规定时间发放完成，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效果目标：退役士兵得到一定经济补助，维护稳定，促进协调发展，对社会发展有一定可持续影响。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本项目按要求完成当年计划任务，促进社会和谐稳定发展、改善部分群众生活、满足群众需求、产生一定的经济效益，项目评为优秀。2019年绩效自评综合得分为85分。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昆明市盘龙区退役军人事务局退役士兵安置专项经费项目支出绩效自评情况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退役士兵安置情况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r>
              <w:rPr>
                <w:rFonts w:ascii="仿宋_GB2312" w:hAnsi="楷体" w:eastAsia="仿宋_GB2312"/>
                <w:szCs w:val="32"/>
              </w:rPr>
              <w:t xml:space="preserve"> </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已完成220.05万元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军队离退休干部及无军籍职工人员经费项目支出绩效自评报告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军队离退休干部及无军籍职工人员经费项目。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2019年军队离退休干部及无军籍职工人员经费项目实际到位资金12,444.17万元，其中省级财政补助11,083.34万元；市级财政安排370.31万元；区本级财政安排990.52万元。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2019年军队离退休干部及无军籍职工人员经费项目支出11,050.72万元。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本项目按要求完成当年计划任务，促进社会和谐稳定发展、改善部分群众生活、满足群众需求、产生一定的经济效益，项目评为优秀。2019年绩效自评综合得分为92分。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军队离退休干部及无军籍职工人员经费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0"/>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按照上级的安置计划完成军队移交政府离退休人员安置，实际发放人数和应该发放人数一致，规范审批，按标准发放，在规定时间发放完成，全年支出11,050.72万元，退役安置满意度95%。</w:t>
      </w: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2019年军队离退休干部及无军籍职工人员经费项目实际到位资金12,444.17万元，其中省级财政补助11,083.34万元；市级财政安排370.31万元；区本级财政安排990.52万元。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2019年军队离退休干部及无军籍职工人员经费项目支出11,050.72万元。</w:t>
      </w: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1.项目起止时间：2019年1月1日-2019年12月31日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 12,444.17</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12,444.17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jc w:val="left"/>
              <w:rPr>
                <w:rFonts w:ascii="仿宋_GB2312" w:hAnsi="楷体" w:eastAsia="仿宋_GB2312"/>
                <w:szCs w:val="32"/>
              </w:rPr>
            </w:pPr>
            <w:r>
              <w:rPr>
                <w:rFonts w:hint="eastAsia" w:ascii="仿宋_GB2312" w:hAnsi="楷体" w:eastAsia="仿宋_GB2312"/>
                <w:szCs w:val="32"/>
              </w:rPr>
              <w:t>11,083.34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jc w:val="left"/>
              <w:rPr>
                <w:rFonts w:ascii="仿宋_GB2312" w:hAnsi="楷体" w:eastAsia="仿宋_GB2312"/>
                <w:szCs w:val="32"/>
              </w:rPr>
            </w:pPr>
            <w:r>
              <w:rPr>
                <w:rFonts w:hint="eastAsia" w:ascii="仿宋_GB2312" w:hAnsi="楷体" w:eastAsia="仿宋_GB2312"/>
                <w:szCs w:val="32"/>
              </w:rPr>
              <w:t>11,083.34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370.31</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370.31</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990.52</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990.52</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军队离退休干部及无军籍职工人员经费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11,050.72</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11,050.72</w:t>
            </w:r>
          </w:p>
        </w:tc>
      </w:tr>
    </w:tbl>
    <w:p>
      <w:pPr>
        <w:pStyle w:val="12"/>
        <w:spacing w:line="440" w:lineRule="exact"/>
        <w:ind w:left="420" w:leftChars="200"/>
        <w:jc w:val="left"/>
        <w:rPr>
          <w:rFonts w:ascii="仿宋_GB2312" w:hAnsi="楷体" w:eastAsia="仿宋_GB2312"/>
          <w:szCs w:val="32"/>
        </w:rPr>
      </w:pP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离退休工资的军休干部、无军籍职工相关资料，编制出发放的离退休工资表后交分管领导审核，主管领导审批，交计划财务科划款到银行统一代发；病故抚恤由安置科审核病故老干部家属提供的相关资料，计算出应发放的抚恤费后交分管领导审核，主管领导审批，交财务通过银行代发划款到家属提供的个人帐号。其他军休安置工作按年度计划开展。</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p>
      <w:pPr>
        <w:pStyle w:val="12"/>
        <w:numPr>
          <w:ilvl w:val="0"/>
          <w:numId w:val="12"/>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产出目标：按照上级的安置计划完成军队移交政府离退休人员安置，实际发放人数和应该发放人数一致，规范审批，按标准发放，在规定时间发放完成。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效果目标：军休干部得到一定经济补助，维护稳定，促进协调发展，对社会发展有一定可持续影响。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本项目按要求完成当年计划任务，促进社会和谐稳定发展、改善部分群众生活、满足群众需求、产生一定的经济效益，项目评为优秀。2019年绩效自评综合得分为96分。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昆明市盘龙区退役军人事务局军队离退休干部及无军籍职工人员经费项目支出绩效自评情况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军队移交政府离退休人员安置情况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已完成11,050.72万元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
    <w:p/>
    <w:p/>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600"/>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599"/>
      <w:docPartObj>
        <w:docPartGallery w:val="AutoText"/>
      </w:docPartObj>
    </w:sdtPr>
    <w:sdtContent>
      <w:p>
        <w:pPr>
          <w:pStyle w:val="4"/>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F1F07"/>
    <w:multiLevelType w:val="multilevel"/>
    <w:tmpl w:val="074F1F07"/>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
    <w:nsid w:val="1F7E5366"/>
    <w:multiLevelType w:val="multilevel"/>
    <w:tmpl w:val="1F7E536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2">
    <w:nsid w:val="22666389"/>
    <w:multiLevelType w:val="multilevel"/>
    <w:tmpl w:val="22666389"/>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3">
    <w:nsid w:val="2C561413"/>
    <w:multiLevelType w:val="multilevel"/>
    <w:tmpl w:val="2C561413"/>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4">
    <w:nsid w:val="307002DF"/>
    <w:multiLevelType w:val="multilevel"/>
    <w:tmpl w:val="307002D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5">
    <w:nsid w:val="350A7782"/>
    <w:multiLevelType w:val="multilevel"/>
    <w:tmpl w:val="350A778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6">
    <w:nsid w:val="4AC709A2"/>
    <w:multiLevelType w:val="multilevel"/>
    <w:tmpl w:val="4AC709A2"/>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7">
    <w:nsid w:val="4DE7557F"/>
    <w:multiLevelType w:val="multilevel"/>
    <w:tmpl w:val="4DE7557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8">
    <w:nsid w:val="578C6578"/>
    <w:multiLevelType w:val="multilevel"/>
    <w:tmpl w:val="578C6578"/>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9">
    <w:nsid w:val="5AB22222"/>
    <w:multiLevelType w:val="multilevel"/>
    <w:tmpl w:val="5AB2222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0">
    <w:nsid w:val="5DB947ED"/>
    <w:multiLevelType w:val="multilevel"/>
    <w:tmpl w:val="5DB947ED"/>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1">
    <w:nsid w:val="64182D56"/>
    <w:multiLevelType w:val="multilevel"/>
    <w:tmpl w:val="64182D5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num w:numId="1">
    <w:abstractNumId w:val="3"/>
  </w:num>
  <w:num w:numId="2">
    <w:abstractNumId w:val="11"/>
  </w:num>
  <w:num w:numId="3">
    <w:abstractNumId w:val="10"/>
  </w:num>
  <w:num w:numId="4">
    <w:abstractNumId w:val="6"/>
  </w:num>
  <w:num w:numId="5">
    <w:abstractNumId w:val="8"/>
  </w:num>
  <w:num w:numId="6">
    <w:abstractNumId w:val="0"/>
  </w:num>
  <w:num w:numId="7">
    <w:abstractNumId w:val="9"/>
  </w:num>
  <w:num w:numId="8">
    <w:abstractNumId w:val="2"/>
  </w:num>
  <w:num w:numId="9">
    <w:abstractNumId w:val="7"/>
  </w:num>
  <w:num w:numId="10">
    <w:abstractNumId w:val="5"/>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RjMjMzNzRjZGYzY2MyYmQ2MmMwYWJlZDUwNzJiY2UifQ=="/>
  </w:docVars>
  <w:rsids>
    <w:rsidRoot w:val="00E75FBF"/>
    <w:rsid w:val="0001296C"/>
    <w:rsid w:val="00013238"/>
    <w:rsid w:val="00014F47"/>
    <w:rsid w:val="000433BC"/>
    <w:rsid w:val="000616C3"/>
    <w:rsid w:val="000934C2"/>
    <w:rsid w:val="000D5F1B"/>
    <w:rsid w:val="000E1DD0"/>
    <w:rsid w:val="000E5CF1"/>
    <w:rsid w:val="000F74EA"/>
    <w:rsid w:val="001046EB"/>
    <w:rsid w:val="001047C2"/>
    <w:rsid w:val="001117F2"/>
    <w:rsid w:val="0012083D"/>
    <w:rsid w:val="001352A8"/>
    <w:rsid w:val="001353F8"/>
    <w:rsid w:val="001365CE"/>
    <w:rsid w:val="001460E3"/>
    <w:rsid w:val="00153E1A"/>
    <w:rsid w:val="00171127"/>
    <w:rsid w:val="00172873"/>
    <w:rsid w:val="00180BDD"/>
    <w:rsid w:val="001B7D4F"/>
    <w:rsid w:val="001C21E2"/>
    <w:rsid w:val="001C4FDC"/>
    <w:rsid w:val="001D56D4"/>
    <w:rsid w:val="00216DC2"/>
    <w:rsid w:val="00237564"/>
    <w:rsid w:val="00250018"/>
    <w:rsid w:val="00251F35"/>
    <w:rsid w:val="00252E89"/>
    <w:rsid w:val="00270B7E"/>
    <w:rsid w:val="002C0FB5"/>
    <w:rsid w:val="002C3491"/>
    <w:rsid w:val="002D6CC4"/>
    <w:rsid w:val="002F6F37"/>
    <w:rsid w:val="0030575A"/>
    <w:rsid w:val="00305A8E"/>
    <w:rsid w:val="003430F1"/>
    <w:rsid w:val="00371395"/>
    <w:rsid w:val="0038043F"/>
    <w:rsid w:val="00385400"/>
    <w:rsid w:val="003A7DAF"/>
    <w:rsid w:val="003C62A2"/>
    <w:rsid w:val="003D4274"/>
    <w:rsid w:val="003E61AC"/>
    <w:rsid w:val="003E71B7"/>
    <w:rsid w:val="003F2320"/>
    <w:rsid w:val="003F3306"/>
    <w:rsid w:val="0040689A"/>
    <w:rsid w:val="00450AC6"/>
    <w:rsid w:val="0045202E"/>
    <w:rsid w:val="00455AE4"/>
    <w:rsid w:val="004E4478"/>
    <w:rsid w:val="004F1F2A"/>
    <w:rsid w:val="00527924"/>
    <w:rsid w:val="0054343E"/>
    <w:rsid w:val="00574A21"/>
    <w:rsid w:val="0059205D"/>
    <w:rsid w:val="005B112A"/>
    <w:rsid w:val="005C1F6A"/>
    <w:rsid w:val="005F0B82"/>
    <w:rsid w:val="00605037"/>
    <w:rsid w:val="00614686"/>
    <w:rsid w:val="006160DF"/>
    <w:rsid w:val="00622DD9"/>
    <w:rsid w:val="006244D6"/>
    <w:rsid w:val="00625B16"/>
    <w:rsid w:val="00626DAC"/>
    <w:rsid w:val="00644206"/>
    <w:rsid w:val="00653947"/>
    <w:rsid w:val="00664FE7"/>
    <w:rsid w:val="00682432"/>
    <w:rsid w:val="0069244D"/>
    <w:rsid w:val="006A42E6"/>
    <w:rsid w:val="006A5CD7"/>
    <w:rsid w:val="006B60D8"/>
    <w:rsid w:val="006B70D0"/>
    <w:rsid w:val="006D4849"/>
    <w:rsid w:val="006F3877"/>
    <w:rsid w:val="006F3B94"/>
    <w:rsid w:val="00722C29"/>
    <w:rsid w:val="007561E9"/>
    <w:rsid w:val="00770AD2"/>
    <w:rsid w:val="007744FC"/>
    <w:rsid w:val="00781300"/>
    <w:rsid w:val="00790A8F"/>
    <w:rsid w:val="007A33DA"/>
    <w:rsid w:val="007A61F9"/>
    <w:rsid w:val="007A7D45"/>
    <w:rsid w:val="007E2E1C"/>
    <w:rsid w:val="007F2E05"/>
    <w:rsid w:val="00807B10"/>
    <w:rsid w:val="00833DCC"/>
    <w:rsid w:val="008408F9"/>
    <w:rsid w:val="008678E5"/>
    <w:rsid w:val="00877B38"/>
    <w:rsid w:val="00890169"/>
    <w:rsid w:val="008932FD"/>
    <w:rsid w:val="008A0866"/>
    <w:rsid w:val="008A2821"/>
    <w:rsid w:val="008A397D"/>
    <w:rsid w:val="008C2191"/>
    <w:rsid w:val="008D2809"/>
    <w:rsid w:val="008E6635"/>
    <w:rsid w:val="0092609D"/>
    <w:rsid w:val="00940553"/>
    <w:rsid w:val="00963F22"/>
    <w:rsid w:val="00966669"/>
    <w:rsid w:val="00974173"/>
    <w:rsid w:val="00990BCA"/>
    <w:rsid w:val="009A06A0"/>
    <w:rsid w:val="009C597F"/>
    <w:rsid w:val="009C68C0"/>
    <w:rsid w:val="009E1044"/>
    <w:rsid w:val="009F7A0F"/>
    <w:rsid w:val="00A13C6A"/>
    <w:rsid w:val="00A156D2"/>
    <w:rsid w:val="00A217D2"/>
    <w:rsid w:val="00A30AFB"/>
    <w:rsid w:val="00A31335"/>
    <w:rsid w:val="00A45EA0"/>
    <w:rsid w:val="00A80F74"/>
    <w:rsid w:val="00AB7B4E"/>
    <w:rsid w:val="00AD7BDB"/>
    <w:rsid w:val="00AF1DA7"/>
    <w:rsid w:val="00B1122A"/>
    <w:rsid w:val="00B11E90"/>
    <w:rsid w:val="00B25615"/>
    <w:rsid w:val="00B52A7C"/>
    <w:rsid w:val="00B543BB"/>
    <w:rsid w:val="00B636F7"/>
    <w:rsid w:val="00B76208"/>
    <w:rsid w:val="00B83F4C"/>
    <w:rsid w:val="00B974F9"/>
    <w:rsid w:val="00BA1DB4"/>
    <w:rsid w:val="00BC09D6"/>
    <w:rsid w:val="00BC7BC9"/>
    <w:rsid w:val="00BE526E"/>
    <w:rsid w:val="00BF3500"/>
    <w:rsid w:val="00C05A8C"/>
    <w:rsid w:val="00C20C53"/>
    <w:rsid w:val="00C22ABC"/>
    <w:rsid w:val="00C23003"/>
    <w:rsid w:val="00C27AA9"/>
    <w:rsid w:val="00C37C08"/>
    <w:rsid w:val="00C54DAB"/>
    <w:rsid w:val="00C7265D"/>
    <w:rsid w:val="00C76413"/>
    <w:rsid w:val="00C93FF3"/>
    <w:rsid w:val="00CC47E3"/>
    <w:rsid w:val="00CC79E1"/>
    <w:rsid w:val="00CD3EA1"/>
    <w:rsid w:val="00CD3FC9"/>
    <w:rsid w:val="00D818A1"/>
    <w:rsid w:val="00D82F22"/>
    <w:rsid w:val="00DA1456"/>
    <w:rsid w:val="00DA6860"/>
    <w:rsid w:val="00DB6D90"/>
    <w:rsid w:val="00DE35BA"/>
    <w:rsid w:val="00DF7771"/>
    <w:rsid w:val="00E02338"/>
    <w:rsid w:val="00E22949"/>
    <w:rsid w:val="00E257FE"/>
    <w:rsid w:val="00E378D9"/>
    <w:rsid w:val="00E43B2A"/>
    <w:rsid w:val="00E5793B"/>
    <w:rsid w:val="00E6386D"/>
    <w:rsid w:val="00E75FBF"/>
    <w:rsid w:val="00E92C41"/>
    <w:rsid w:val="00EB7C2A"/>
    <w:rsid w:val="00ED5EE1"/>
    <w:rsid w:val="00EE2C45"/>
    <w:rsid w:val="00EF2551"/>
    <w:rsid w:val="00EF279F"/>
    <w:rsid w:val="00F032A9"/>
    <w:rsid w:val="00F1117F"/>
    <w:rsid w:val="00F46DDB"/>
    <w:rsid w:val="00F47DB5"/>
    <w:rsid w:val="00F64CDE"/>
    <w:rsid w:val="00F658FF"/>
    <w:rsid w:val="00F70286"/>
    <w:rsid w:val="00F75F82"/>
    <w:rsid w:val="00FA427C"/>
    <w:rsid w:val="00FD2E4E"/>
    <w:rsid w:val="00FD4711"/>
    <w:rsid w:val="00FE7384"/>
    <w:rsid w:val="00FF243C"/>
    <w:rsid w:val="36467313"/>
    <w:rsid w:val="442B06E1"/>
    <w:rsid w:val="76FF6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31"/>
        <o:r id="V:Rule2" type="connector" idref="#_x0000_s1032"/>
        <o:r id="V:Rule3" type="connector" idref="#_x0000_s103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8"/>
    <w:link w:val="2"/>
    <w:qFormat/>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rFonts w:ascii="Calibri" w:hAnsi="Calibri" w:eastAsia="宋体" w:cs="Times New Roman"/>
      <w:sz w:val="18"/>
      <w:szCs w:val="18"/>
    </w:rPr>
  </w:style>
  <w:style w:type="paragraph" w:customStyle="1" w:styleId="14">
    <w:name w:val="列出段落1"/>
    <w:basedOn w:val="1"/>
    <w:qFormat/>
    <w:uiPriority w:val="0"/>
    <w:pPr>
      <w:ind w:firstLine="420" w:firstLineChars="200"/>
    </w:pPr>
    <w:rPr>
      <w:rFonts w:cs="Calibri"/>
      <w:szCs w:val="21"/>
    </w:rPr>
  </w:style>
  <w:style w:type="character" w:customStyle="1" w:styleId="15">
    <w:name w:val="页眉 Char"/>
    <w:basedOn w:val="8"/>
    <w:link w:val="5"/>
    <w:semiHidden/>
    <w:qFormat/>
    <w:uiPriority w:val="99"/>
    <w:rPr>
      <w:rFonts w:ascii="Calibri" w:hAnsi="Calibri" w:eastAsia="宋体" w:cs="Times New Roman"/>
      <w:sz w:val="18"/>
      <w:szCs w:val="18"/>
    </w:rPr>
  </w:style>
  <w:style w:type="character" w:customStyle="1" w:styleId="16">
    <w:name w:val="页脚 Char"/>
    <w:basedOn w:val="8"/>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3449</Words>
  <Characters>19663</Characters>
  <Lines>163</Lines>
  <Paragraphs>46</Paragraphs>
  <TotalTime>1</TotalTime>
  <ScaleCrop>false</ScaleCrop>
  <LinksUpToDate>false</LinksUpToDate>
  <CharactersWithSpaces>23066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dcterms:modified xsi:type="dcterms:W3CDTF">2024-01-08T11:42:26Z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059B3EDB77894C97A9E07A284ADA4C80_12</vt:lpwstr>
  </property>
</Properties>
</file>