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</w:pPr>
      <w:bookmarkStart w:id="0" w:name="_GoBack"/>
      <w:bookmarkEnd w:id="0"/>
      <w:r>
        <w:rPr>
          <w:rFonts w:hint="eastAsia" w:ascii="黑体" w:hAnsi="宋体" w:eastAsia="黑体" w:cs="黑体"/>
          <w:sz w:val="31"/>
          <w:szCs w:val="31"/>
        </w:rPr>
        <w:t>附件2</w:t>
      </w:r>
    </w:p>
    <w:p>
      <w:pPr>
        <w:pStyle w:val="2"/>
        <w:keepNext w:val="0"/>
        <w:keepLines w:val="0"/>
        <w:widowControl/>
        <w:suppressLineNumbers w:val="0"/>
        <w:ind w:left="0" w:firstLine="885"/>
        <w:jc w:val="center"/>
      </w:pPr>
      <w:r>
        <w:rPr>
          <w:rFonts w:hint="default" w:ascii="方正小标宋简体" w:hAnsi="方正小标宋简体" w:eastAsia="方正小标宋简体" w:cs="方正小标宋简体"/>
          <w:sz w:val="43"/>
          <w:szCs w:val="43"/>
        </w:rPr>
        <w:t>昆明市盘龙区博物馆2023年部门预算编制说明</w:t>
      </w:r>
    </w:p>
    <w:p>
      <w:pPr>
        <w:pStyle w:val="2"/>
        <w:keepNext w:val="0"/>
        <w:keepLines w:val="0"/>
        <w:widowControl/>
        <w:suppressLineNumbers w:val="0"/>
        <w:ind w:left="0" w:firstLine="645"/>
      </w:pPr>
      <w:r>
        <w:rPr>
          <w:rFonts w:hint="eastAsia" w:ascii="黑体" w:hAnsi="宋体" w:eastAsia="黑体" w:cs="黑体"/>
          <w:sz w:val="31"/>
          <w:szCs w:val="31"/>
        </w:rPr>
        <w:t>一、基本职能及主要工作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ascii="楷体_GB2312" w:eastAsia="楷体_GB2312" w:cs="楷体_GB2312"/>
          <w:sz w:val="36"/>
          <w:szCs w:val="36"/>
        </w:rPr>
        <w:t>（一）部门主要职责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楷体_GB2312" w:eastAsia="楷体_GB2312" w:cs="楷体_GB2312"/>
          <w:sz w:val="36"/>
          <w:szCs w:val="36"/>
        </w:rPr>
        <w:t>盘龙区博物馆负责盘龙区辖区内各级文物保护单位日常保护、安全巡查及修缮事宜，确保各级各类文物安全；同时负责指导辖区内博物馆事业健康发展工作。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楷体_GB2312" w:eastAsia="楷体_GB2312" w:cs="楷体_GB2312"/>
          <w:sz w:val="36"/>
          <w:szCs w:val="36"/>
        </w:rPr>
        <w:t>（二）机构设置情况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楷体_GB2312" w:eastAsia="楷体_GB2312" w:cs="楷体_GB2312"/>
          <w:sz w:val="36"/>
          <w:szCs w:val="36"/>
        </w:rPr>
        <w:t>我部门共设置4个内设机构，包括：综合办公室、文物保护与发展规划办公室、藏品管理与历史研究办公室、陈列展示中心；我部门无所属单位。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楷体_GB2312" w:eastAsia="楷体_GB2312" w:cs="楷体_GB2312"/>
          <w:sz w:val="36"/>
          <w:szCs w:val="36"/>
        </w:rPr>
        <w:t>（三）重点工作概述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楷体_GB2312" w:eastAsia="楷体_GB2312" w:cs="楷体_GB2312"/>
          <w:sz w:val="36"/>
          <w:szCs w:val="36"/>
        </w:rPr>
        <w:t>  盘龙区辖区内47项等级文物修缮及日常保护工作；盘龙区龙泉宝云片区博物馆群落建设工作。</w:t>
      </w:r>
    </w:p>
    <w:p>
      <w:pPr>
        <w:pStyle w:val="2"/>
        <w:keepNext w:val="0"/>
        <w:keepLines w:val="0"/>
        <w:widowControl/>
        <w:suppressLineNumbers w:val="0"/>
        <w:ind w:left="0" w:firstLine="645"/>
      </w:pPr>
      <w:r>
        <w:rPr>
          <w:rFonts w:hint="eastAsia" w:ascii="黑体" w:hAnsi="宋体" w:eastAsia="黑体" w:cs="黑体"/>
          <w:sz w:val="31"/>
          <w:szCs w:val="31"/>
        </w:rPr>
        <w:t>二、预算单位基本情况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仿宋_GB2312" w:eastAsia="仿宋_GB2312" w:cs="仿宋_GB2312"/>
          <w:sz w:val="36"/>
          <w:szCs w:val="36"/>
        </w:rPr>
        <w:t>我部门编制2023年部门预算单位共1个。其中：财政全额供给单位1个。财政全额供给单位中事业单位1个。截止2022年12月统计，部门基本情况如下：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仿宋_GB2312" w:eastAsia="仿宋_GB2312" w:cs="仿宋_GB2312"/>
          <w:sz w:val="36"/>
          <w:szCs w:val="36"/>
        </w:rPr>
        <w:t>在职人员编制10人，其中：事业编制10人。在职实有8人，其中：财政全额保障8人。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仿宋_GB2312" w:eastAsia="仿宋_GB2312" w:cs="仿宋_GB2312"/>
          <w:sz w:val="36"/>
          <w:szCs w:val="36"/>
        </w:rPr>
        <w:t>离退休人员2人，其中：退休2人。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仿宋_GB2312" w:eastAsia="仿宋_GB2312" w:cs="仿宋_GB2312"/>
          <w:sz w:val="36"/>
          <w:szCs w:val="36"/>
        </w:rPr>
        <w:t>车辆编制1辆，实有车辆1辆。</w:t>
      </w:r>
    </w:p>
    <w:p>
      <w:pPr>
        <w:pStyle w:val="2"/>
        <w:keepNext w:val="0"/>
        <w:keepLines w:val="0"/>
        <w:widowControl/>
        <w:suppressLineNumbers w:val="0"/>
        <w:ind w:left="0" w:firstLine="645"/>
      </w:pPr>
      <w:r>
        <w:rPr>
          <w:rFonts w:hint="eastAsia" w:ascii="黑体" w:hAnsi="宋体" w:eastAsia="黑体" w:cs="黑体"/>
          <w:sz w:val="31"/>
          <w:szCs w:val="31"/>
        </w:rPr>
        <w:t>三、预算单位收入情况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仿宋_GB2312" w:eastAsia="仿宋_GB2312" w:cs="仿宋_GB2312"/>
          <w:sz w:val="36"/>
          <w:szCs w:val="36"/>
        </w:rPr>
        <w:t>（一）部门财务收入情况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仿宋_GB2312" w:eastAsia="仿宋_GB2312" w:cs="仿宋_GB2312"/>
          <w:sz w:val="36"/>
          <w:szCs w:val="36"/>
        </w:rPr>
        <w:t>2023年部门财务总收入 184.27万元，其中：一般公共预算184.27万元，政府性基金0.00万元，国有资本经营收益0.00万元，财政专户管理资金收入0.00万元，事业收入0.00万元，事业单位经营收入0.00万元，上级补助收入0.00万元，附属单位上缴收入0.00万元，其他收入0.00万元。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仿宋_GB2312" w:eastAsia="仿宋_GB2312" w:cs="仿宋_GB2312"/>
          <w:sz w:val="36"/>
          <w:szCs w:val="36"/>
        </w:rPr>
        <w:t>较上年增加44.44万元，主要原因为2022年新增人员及养老保险、住房公积金等社会保险缴费基数上调，造成增量。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仿宋_GB2312" w:eastAsia="仿宋_GB2312" w:cs="仿宋_GB2312"/>
          <w:sz w:val="36"/>
          <w:szCs w:val="36"/>
        </w:rPr>
        <w:t>（二）财政拨款收入情况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仿宋_GB2312" w:eastAsia="仿宋_GB2312" w:cs="仿宋_GB2312"/>
          <w:sz w:val="36"/>
          <w:szCs w:val="36"/>
        </w:rPr>
        <w:t>2023年部门财政拨款收入 184.27万元，其中:本年收入184.27万元，上年结转收入0.00万元。本年收入中，一般公共预算财政拨款184.27万元，政府性基金预算财政拨款0.00万元，国有资本经营收益财政拨款0.00万元。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仿宋_GB2312" w:eastAsia="仿宋_GB2312" w:cs="仿宋_GB2312"/>
          <w:sz w:val="36"/>
          <w:szCs w:val="36"/>
        </w:rPr>
        <w:t>较上年增加44.44万元，主要原因为2022年新增人员及养老保险、住房公积金等社会保险缴费基数上调，造成增量。</w:t>
      </w:r>
    </w:p>
    <w:p>
      <w:pPr>
        <w:pStyle w:val="2"/>
        <w:keepNext w:val="0"/>
        <w:keepLines w:val="0"/>
        <w:widowControl/>
        <w:suppressLineNumbers w:val="0"/>
        <w:ind w:left="0" w:firstLine="645"/>
      </w:pPr>
      <w:r>
        <w:rPr>
          <w:rFonts w:hint="eastAsia" w:ascii="黑体" w:hAnsi="宋体" w:eastAsia="黑体" w:cs="黑体"/>
          <w:sz w:val="31"/>
          <w:szCs w:val="31"/>
        </w:rPr>
        <w:t>四、预算单位支出情况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仿宋_GB2312" w:eastAsia="仿宋_GB2312" w:cs="仿宋_GB2312"/>
          <w:sz w:val="36"/>
          <w:szCs w:val="36"/>
        </w:rPr>
        <w:t>2023年部门预算总支出184.27万元。财政拨款安排支出184.27万元，其中：基本支出144.87万元，较上年增加44.44万元，主要原因是主要原因为2022年新增人员及养老保险、住房公积金等社会保险缴费基数上调，造成增量；项目支出39.40万元，与上年持平。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仿宋_GB2312" w:eastAsia="仿宋_GB2312" w:cs="仿宋_GB2312"/>
          <w:sz w:val="36"/>
          <w:szCs w:val="36"/>
        </w:rPr>
        <w:t>财政拨款安排支出按功能科目分类情况如下：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仿宋_GB2312" w:eastAsia="仿宋_GB2312" w:cs="仿宋_GB2312"/>
          <w:sz w:val="36"/>
          <w:szCs w:val="36"/>
        </w:rPr>
        <w:t>1、2070204文物保护126.38万元，主要用于辖区内文物保护工作；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仿宋_GB2312" w:eastAsia="仿宋_GB2312" w:cs="仿宋_GB2312"/>
          <w:sz w:val="36"/>
          <w:szCs w:val="36"/>
        </w:rPr>
        <w:t xml:space="preserve">2、2080505机关事业单位基本养老保险缴费支出14.12万元，主要用于机关事业单位基本养老保险缴费支出； 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仿宋_GB2312" w:eastAsia="仿宋_GB2312" w:cs="仿宋_GB2312"/>
          <w:sz w:val="36"/>
          <w:szCs w:val="36"/>
        </w:rPr>
        <w:t xml:space="preserve">3、2101101行政单位医疗0.09万元，主要用于行政单位医疗； 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仿宋_GB2312" w:eastAsia="仿宋_GB2312" w:cs="仿宋_GB2312"/>
          <w:sz w:val="36"/>
          <w:szCs w:val="36"/>
        </w:rPr>
        <w:t>4、2101102事业单位医疗7.86万元，主要用于事业单位医疗缴费；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仿宋_GB2312" w:eastAsia="仿宋_GB2312" w:cs="仿宋_GB2312"/>
          <w:sz w:val="36"/>
          <w:szCs w:val="36"/>
        </w:rPr>
        <w:t xml:space="preserve">5、2101103公务员医疗补助5.11万元，主要用于公务员医疗补助； 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仿宋_GB2312" w:eastAsia="仿宋_GB2312" w:cs="仿宋_GB2312"/>
          <w:sz w:val="36"/>
          <w:szCs w:val="36"/>
        </w:rPr>
        <w:t>6、2101199其他行政事业单位医疗支出0.56万元，主要用于其他行政事业单位医疗支出；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仿宋_GB2312" w:eastAsia="仿宋_GB2312" w:cs="仿宋_GB2312"/>
          <w:sz w:val="36"/>
          <w:szCs w:val="36"/>
        </w:rPr>
        <w:t>7、2210201住房公积金10.15万元，主要用于缴纳职工住房公积金；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仿宋_GB2312" w:eastAsia="仿宋_GB2312" w:cs="仿宋_GB2312"/>
          <w:sz w:val="36"/>
          <w:szCs w:val="36"/>
        </w:rPr>
        <w:t>8、2070205博物馆经费20万元，主要用于辖区内博物馆事业发展工作。</w:t>
      </w:r>
    </w:p>
    <w:p>
      <w:pPr>
        <w:pStyle w:val="2"/>
        <w:keepNext w:val="0"/>
        <w:keepLines w:val="0"/>
        <w:widowControl/>
        <w:suppressLineNumbers w:val="0"/>
        <w:ind w:left="0" w:firstLine="645"/>
      </w:pPr>
      <w:r>
        <w:rPr>
          <w:rFonts w:hint="eastAsia" w:ascii="黑体" w:hAnsi="宋体" w:eastAsia="黑体" w:cs="黑体"/>
          <w:sz w:val="31"/>
          <w:szCs w:val="31"/>
        </w:rPr>
        <w:t>五、省对下专项转移支付情况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仿宋_GB2312" w:eastAsia="仿宋_GB2312" w:cs="仿宋_GB2312"/>
          <w:sz w:val="36"/>
          <w:szCs w:val="36"/>
        </w:rPr>
        <w:t>我单位无区级对下专项转移支付。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仿宋_GB2312" w:eastAsia="仿宋_GB2312" w:cs="仿宋_GB2312"/>
          <w:sz w:val="36"/>
          <w:szCs w:val="36"/>
        </w:rPr>
        <w:t>（一）与中央配套事项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仿宋_GB2312" w:eastAsia="仿宋_GB2312" w:cs="仿宋_GB2312"/>
          <w:sz w:val="36"/>
          <w:szCs w:val="36"/>
        </w:rPr>
        <w:t>我单位无与中央配套事项。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仿宋_GB2312" w:eastAsia="仿宋_GB2312" w:cs="仿宋_GB2312"/>
          <w:sz w:val="36"/>
          <w:szCs w:val="36"/>
        </w:rPr>
        <w:t>（二）与省级配套事项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仿宋_GB2312" w:eastAsia="仿宋_GB2312" w:cs="仿宋_GB2312"/>
          <w:sz w:val="36"/>
          <w:szCs w:val="36"/>
        </w:rPr>
        <w:t>我单位无与省级配套事项。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仿宋_GB2312" w:eastAsia="仿宋_GB2312" w:cs="仿宋_GB2312"/>
          <w:sz w:val="36"/>
          <w:szCs w:val="36"/>
        </w:rPr>
        <w:t>（三）按既定政策标准测算补助事项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仿宋_GB2312" w:eastAsia="仿宋_GB2312" w:cs="仿宋_GB2312"/>
          <w:sz w:val="36"/>
          <w:szCs w:val="36"/>
        </w:rPr>
        <w:t>我单位无按既定政策标准测算补助事项。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仿宋_GB2312" w:eastAsia="仿宋_GB2312" w:cs="仿宋_GB2312"/>
          <w:sz w:val="36"/>
          <w:szCs w:val="36"/>
        </w:rPr>
        <w:t>（四）经济社会事业发展事项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仿宋_GB2312" w:eastAsia="仿宋_GB2312" w:cs="仿宋_GB2312"/>
          <w:sz w:val="36"/>
          <w:szCs w:val="36"/>
        </w:rPr>
        <w:t>我单位无经济社会事业发展事项。</w:t>
      </w:r>
    </w:p>
    <w:p>
      <w:pPr>
        <w:pStyle w:val="2"/>
        <w:keepNext w:val="0"/>
        <w:keepLines w:val="0"/>
        <w:widowControl/>
        <w:suppressLineNumbers w:val="0"/>
        <w:ind w:left="0" w:firstLine="645"/>
      </w:pPr>
      <w:r>
        <w:rPr>
          <w:rFonts w:hint="eastAsia" w:ascii="黑体" w:hAnsi="宋体" w:eastAsia="黑体" w:cs="黑体"/>
          <w:sz w:val="31"/>
          <w:szCs w:val="31"/>
        </w:rPr>
        <w:t>六、政府采购预算情况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仿宋_GB2312" w:eastAsia="仿宋_GB2312" w:cs="仿宋_GB2312"/>
          <w:sz w:val="36"/>
          <w:szCs w:val="36"/>
        </w:rPr>
        <w:t>无。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仿宋_GB2312" w:eastAsia="仿宋_GB2312" w:cs="仿宋_GB2312"/>
          <w:sz w:val="36"/>
          <w:szCs w:val="36"/>
        </w:rPr>
        <w:t>根据《中华人民共和国政府采购法》的有关规定，编制了政府采购预算，共涉及采购项目0个，政府采购预算总额0.00万元，其中：政府采购货物预算0.00万元、政府采购服务预算0.00万元、政府采购工程预算0.00万元。</w:t>
      </w:r>
    </w:p>
    <w:p>
      <w:pPr>
        <w:pStyle w:val="2"/>
        <w:keepNext w:val="0"/>
        <w:keepLines w:val="0"/>
        <w:widowControl/>
        <w:suppressLineNumbers w:val="0"/>
        <w:ind w:left="0" w:firstLine="645"/>
      </w:pPr>
      <w:r>
        <w:rPr>
          <w:rFonts w:hint="eastAsia" w:ascii="黑体" w:hAnsi="宋体" w:eastAsia="黑体" w:cs="黑体"/>
          <w:sz w:val="31"/>
          <w:szCs w:val="31"/>
        </w:rPr>
        <w:t>七、部门“三公”经费增减变化情况及原因说明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仿宋_GB2312" w:eastAsia="仿宋_GB2312" w:cs="仿宋_GB2312"/>
          <w:sz w:val="36"/>
          <w:szCs w:val="36"/>
        </w:rPr>
        <w:t>盘龙区博物馆2023年一般公共预算财政拨款“三公”经费预算合计4.32万元，与上年持平，具体变动情况如下：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仿宋_GB2312" w:eastAsia="仿宋_GB2312" w:cs="仿宋_GB2312"/>
          <w:sz w:val="36"/>
          <w:szCs w:val="36"/>
        </w:rPr>
        <w:t>（一）因公出国（境）费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仿宋_GB2312" w:eastAsia="仿宋_GB2312" w:cs="仿宋_GB2312"/>
          <w:sz w:val="36"/>
          <w:szCs w:val="36"/>
        </w:rPr>
        <w:t>盘龙区博物馆2022年因公出国（境）费预算为0.00万元，较上年增加0.00万元，增长0%，共计安排因公出国（境）团组0个，因公出国（境）0人次。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仿宋_GB2312" w:eastAsia="仿宋_GB2312" w:cs="仿宋_GB2312"/>
          <w:sz w:val="36"/>
          <w:szCs w:val="36"/>
        </w:rPr>
        <w:t>增减变化原因：与上年度预算数相比无变动，上年度与本年度均未安排因公出国（境）。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仿宋_GB2312" w:eastAsia="仿宋_GB2312" w:cs="仿宋_GB2312"/>
          <w:sz w:val="36"/>
          <w:szCs w:val="36"/>
        </w:rPr>
        <w:t>（二）公务接待费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仿宋_GB2312" w:eastAsia="仿宋_GB2312" w:cs="仿宋_GB2312"/>
          <w:sz w:val="36"/>
          <w:szCs w:val="36"/>
        </w:rPr>
        <w:t>盘龙区博物馆2023年公务接待费预算为0.48万元，较上年增加0.00万元，增长0.00%，拟安排国内公务接待批次为5次，预计接待50人次（含陪餐人员）。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仿宋_GB2312" w:eastAsia="仿宋_GB2312" w:cs="仿宋_GB2312"/>
          <w:sz w:val="36"/>
          <w:szCs w:val="36"/>
        </w:rPr>
        <w:t>增减变化原因：与上年度预算数相比无变动，上年度与本年度均为0.48万元。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仿宋_GB2312" w:eastAsia="仿宋_GB2312" w:cs="仿宋_GB2312"/>
          <w:sz w:val="36"/>
          <w:szCs w:val="36"/>
        </w:rPr>
        <w:t>（三）公务用车购置及运行维护费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仿宋_GB2312" w:eastAsia="仿宋_GB2312" w:cs="仿宋_GB2312"/>
          <w:sz w:val="36"/>
          <w:szCs w:val="36"/>
        </w:rPr>
        <w:t>盘龙区博物馆年公务用车购置及运行维护费为3.84万元，较上年增加0.20万元，增长5.50%。其中：公务用车购置费0.00万元，较上年增加0.00万元，增长0.00%；公务用车运行维护费3.84万元，较上年增加0.20万元，增长5.50%。共计购置公务用车0辆，年末公务用车保有量为1辆。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仿宋_GB2312" w:eastAsia="仿宋_GB2312" w:cs="仿宋_GB2312"/>
          <w:sz w:val="36"/>
          <w:szCs w:val="36"/>
        </w:rPr>
        <w:t>增减变化原因：较上年度增加0.2万元，主要原因为人数增加影响定额标准。</w:t>
      </w:r>
    </w:p>
    <w:p>
      <w:pPr>
        <w:pStyle w:val="2"/>
        <w:keepNext w:val="0"/>
        <w:keepLines w:val="0"/>
        <w:widowControl/>
        <w:suppressLineNumbers w:val="0"/>
        <w:ind w:left="0" w:firstLine="645"/>
      </w:pPr>
      <w:r>
        <w:rPr>
          <w:rFonts w:hint="eastAsia" w:ascii="黑体" w:hAnsi="宋体" w:eastAsia="黑体" w:cs="黑体"/>
          <w:sz w:val="31"/>
          <w:szCs w:val="31"/>
        </w:rPr>
        <w:t>八、重点项目预算绩效目标情况</w:t>
      </w:r>
    </w:p>
    <w:p>
      <w:pPr>
        <w:pStyle w:val="2"/>
        <w:keepNext w:val="0"/>
        <w:keepLines w:val="0"/>
        <w:widowControl/>
        <w:suppressLineNumbers w:val="0"/>
        <w:ind w:left="0" w:firstLine="690"/>
      </w:pPr>
      <w:r>
        <w:rPr>
          <w:rFonts w:hint="default" w:ascii="仿宋_GB2312" w:eastAsia="仿宋_GB2312" w:cs="仿宋_GB2312"/>
          <w:spacing w:val="15"/>
          <w:sz w:val="31"/>
          <w:szCs w:val="31"/>
        </w:rPr>
        <w:t>无。</w:t>
      </w:r>
    </w:p>
    <w:p>
      <w:pPr>
        <w:pStyle w:val="2"/>
        <w:keepNext w:val="0"/>
        <w:keepLines w:val="0"/>
        <w:widowControl/>
        <w:suppressLineNumbers w:val="0"/>
        <w:ind w:left="0" w:firstLine="645"/>
      </w:pPr>
      <w:r>
        <w:rPr>
          <w:rFonts w:hint="eastAsia" w:ascii="黑体" w:hAnsi="宋体" w:eastAsia="黑体" w:cs="黑体"/>
          <w:sz w:val="31"/>
          <w:szCs w:val="31"/>
        </w:rPr>
        <w:t>九、其他公开信息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仿宋_GB2312" w:eastAsia="仿宋_GB2312" w:cs="仿宋_GB2312"/>
          <w:sz w:val="36"/>
          <w:szCs w:val="36"/>
        </w:rPr>
        <w:t>（一）专业名词解释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仿宋_GB2312" w:eastAsia="仿宋_GB2312" w:cs="仿宋_GB2312"/>
          <w:sz w:val="36"/>
          <w:szCs w:val="36"/>
        </w:rPr>
        <w:t>1、“三公”经费：“三公”经费包括因公出国（境）费、公务用车购置及运行费和公务接待费。（1）因公出国（境）费，指单位工作人员公务出国（境）的住宿费、旅费、伙食补助费、杂费、培训费等支出。（2）公务用车购置及运行费，指单位公务用车购置费及租用费、燃料费、维修费、过路过桥费、保险费、安全奖励费用等支出，公务用车指用于履行公务的机动车辆，包括领导干部专车、一般公务用车和执法执勤用车。（3）公务接待费，指单位按规定开支的各类公务接待（含外宾接待）支出。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仿宋_GB2312" w:eastAsia="仿宋_GB2312" w:cs="仿宋_GB2312"/>
          <w:sz w:val="36"/>
          <w:szCs w:val="36"/>
        </w:rPr>
        <w:t>2、经济科目：是指政府支出按经济性质和具体用途所作的一种分类科目，具体设类、款两级。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仿宋_GB2312" w:eastAsia="仿宋_GB2312" w:cs="仿宋_GB2312"/>
          <w:sz w:val="36"/>
          <w:szCs w:val="36"/>
        </w:rPr>
        <w:t>3、功能科目：是指政府支出按其主要职能活动所作的一种分类科目，主要反映政府活动的不同功能和政策目标，具体设类、款、项三级。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仿宋_GB2312" w:eastAsia="仿宋_GB2312" w:cs="仿宋_GB2312"/>
          <w:sz w:val="36"/>
          <w:szCs w:val="36"/>
        </w:rPr>
        <w:t>4、一般公共预算：是对以税收为主体的财政收入，安排用于保障和改善民生、推动经济社会发展、维护国家安全、维持国家机构正常运转等方面的收支预算。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仿宋_GB2312" w:eastAsia="仿宋_GB2312" w:cs="仿宋_GB2312"/>
          <w:sz w:val="36"/>
          <w:szCs w:val="36"/>
        </w:rPr>
        <w:t>5、基本支出预算：是部门为保障其机构正常运转、行使单位职能、完成日常工作任务而编制的年度基本支出计划，内容包括人员经费支出和日常公用经费支出两部分。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仿宋_GB2312" w:eastAsia="仿宋_GB2312" w:cs="仿宋_GB2312"/>
          <w:sz w:val="36"/>
          <w:szCs w:val="36"/>
        </w:rPr>
        <w:t>6、项目支出预算：是部门为完成其特定的行政工作任务或事业发展目标，在基本支出预算之外编制的年度项目支出计划。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仿宋_GB2312" w:eastAsia="仿宋_GB2312" w:cs="仿宋_GB2312"/>
          <w:sz w:val="36"/>
          <w:szCs w:val="36"/>
        </w:rPr>
        <w:t>（二）机关运行经费安排变化情况及原因说明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仿宋_GB2312" w:eastAsia="仿宋_GB2312" w:cs="仿宋_GB2312"/>
          <w:sz w:val="36"/>
          <w:szCs w:val="36"/>
        </w:rPr>
        <w:t>盘龙区博物馆2023年</w:t>
      </w:r>
      <w:r>
        <w:rPr>
          <w:rFonts w:hint="eastAsia" w:ascii="仿宋_GB2312" w:eastAsia="仿宋_GB2312" w:cs="仿宋_GB2312"/>
          <w:sz w:val="36"/>
          <w:szCs w:val="36"/>
          <w:lang w:val="en-US" w:eastAsia="zh-CN"/>
        </w:rPr>
        <w:t>公用经费</w:t>
      </w:r>
      <w:r>
        <w:rPr>
          <w:rFonts w:hint="default" w:ascii="仿宋_GB2312" w:eastAsia="仿宋_GB2312" w:cs="仿宋_GB2312"/>
          <w:sz w:val="36"/>
          <w:szCs w:val="36"/>
        </w:rPr>
        <w:t>安排13.67万元，与上年对比增加3.48万元，主要原因为人员增加导致相应配套经费增加。</w:t>
      </w:r>
    </w:p>
    <w:p>
      <w:pPr>
        <w:pStyle w:val="2"/>
        <w:keepNext w:val="0"/>
        <w:keepLines w:val="0"/>
        <w:widowControl/>
        <w:suppressLineNumbers w:val="0"/>
        <w:ind w:left="0" w:firstLine="720"/>
      </w:pPr>
      <w:r>
        <w:rPr>
          <w:rFonts w:hint="default" w:ascii="仿宋_GB2312" w:eastAsia="仿宋_GB2312" w:cs="仿宋_GB2312"/>
          <w:sz w:val="36"/>
          <w:szCs w:val="36"/>
        </w:rPr>
        <w:t>（三）国有资产占有使用情况</w:t>
      </w:r>
    </w:p>
    <w:p>
      <w:pPr>
        <w:pStyle w:val="2"/>
        <w:keepNext w:val="0"/>
        <w:keepLines w:val="0"/>
        <w:widowControl/>
        <w:suppressLineNumbers w:val="0"/>
      </w:pPr>
      <w:r>
        <w:rPr>
          <w:rFonts w:hint="default" w:ascii="仿宋_GB2312" w:eastAsia="仿宋_GB2312" w:cs="仿宋_GB2312"/>
          <w:sz w:val="36"/>
          <w:szCs w:val="36"/>
        </w:rPr>
        <w:t>截至2022年12月31日，盘龙区博物馆资产总额248.40万元，其中，流动资产246.49万元，固定资产1.54万元，对外投资及有价证券0.00万元，在建工程0.00万元，无形资产0.00万元，其他资产0.00万元。与上年相比，本年资产总额减少42.10万元，其中固定资产减少0.73万元，为计提固定资产折旧，导致非流动资产减少；支付晋氏宅院展陈项目经费及上缴存量资金减少银行存款41.37万元。处置房屋建筑物0.00平方米，账面原值0.00万元；处置车辆0辆，账面原值0.00万元；报废报损资产0项，账面原值0.00万元，实现资产处置收入0.00万元；资产使用收入0.00万元，其中出租资产0平方米，资产出租收入0.00万元。鉴于截至2022年12月31日的国有资产占有使用精准数据，需在完成2022年决算编制后才能汇总，此处公开为2023年1月资产月报数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wY2EzNzE0ZDkwNzIzMGI0MjFmYTczNmU1MzU0MDYifQ=="/>
  </w:docVars>
  <w:rsids>
    <w:rsidRoot w:val="00000000"/>
    <w:rsid w:val="063F7EE1"/>
    <w:rsid w:val="735E0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2024-01-09T01:45:00Z</dcterms:created>
  <dc:creator>Administrator</dc:creator>
  <cp:lastModifiedBy>瞳</cp:lastModifiedBy>
  <dcterms:modified xsi:type="dcterms:W3CDTF">2024-01-09T02:23:47Z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A19FE8A06D154CC5AD8E8AECAD2F3D5F_12</vt:lpwstr>
  </property>
</Properties>
</file>