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方正小标宋_GBK" w:eastAsia="方正小标宋_GBK"/>
          <w:sz w:val="32"/>
          <w:szCs w:val="32"/>
        </w:rPr>
      </w:pPr>
      <w:r>
        <w:rPr>
          <w:rFonts w:hint="eastAsia" w:ascii="方正小标宋_GBK" w:eastAsia="方正小标宋_GBK"/>
          <w:sz w:val="32"/>
          <w:szCs w:val="32"/>
        </w:rPr>
        <w:t>附件1：部门整体支出绩效评价共性指标体系框架</w:t>
      </w:r>
    </w:p>
    <w:tbl>
      <w:tblPr>
        <w:tblStyle w:val="6"/>
        <w:tblW w:w="10065" w:type="dxa"/>
        <w:tblInd w:w="-459" w:type="dxa"/>
        <w:tblLayout w:type="fixed"/>
        <w:tblCellMar>
          <w:top w:w="0" w:type="dxa"/>
          <w:left w:w="108" w:type="dxa"/>
          <w:bottom w:w="0" w:type="dxa"/>
          <w:right w:w="108" w:type="dxa"/>
        </w:tblCellMar>
      </w:tblPr>
      <w:tblGrid>
        <w:gridCol w:w="579"/>
        <w:gridCol w:w="981"/>
        <w:gridCol w:w="1559"/>
        <w:gridCol w:w="689"/>
        <w:gridCol w:w="2050"/>
        <w:gridCol w:w="2846"/>
        <w:gridCol w:w="1361"/>
      </w:tblGrid>
      <w:tr>
        <w:tblPrEx>
          <w:tblCellMar>
            <w:top w:w="0" w:type="dxa"/>
            <w:left w:w="108" w:type="dxa"/>
            <w:bottom w:w="0" w:type="dxa"/>
            <w:right w:w="108" w:type="dxa"/>
          </w:tblCellMar>
        </w:tblPrEx>
        <w:trPr>
          <w:trHeight w:val="270" w:hRule="atLeast"/>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一级指标</w:t>
            </w:r>
          </w:p>
        </w:tc>
        <w:tc>
          <w:tcPr>
            <w:tcW w:w="98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155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68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05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28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指标评分细则</w:t>
            </w:r>
          </w:p>
        </w:tc>
        <w:tc>
          <w:tcPr>
            <w:tcW w:w="136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CellMar>
            <w:top w:w="0" w:type="dxa"/>
            <w:left w:w="108" w:type="dxa"/>
            <w:bottom w:w="0" w:type="dxa"/>
            <w:right w:w="108" w:type="dxa"/>
          </w:tblCellMar>
        </w:tblPrEx>
        <w:trPr>
          <w:trHeight w:val="1575" w:hRule="atLeast"/>
        </w:trPr>
        <w:tc>
          <w:tcPr>
            <w:tcW w:w="579"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A部门决策（35分）</w:t>
            </w:r>
          </w:p>
        </w:tc>
        <w:tc>
          <w:tcPr>
            <w:tcW w:w="981" w:type="dxa"/>
            <w:vMerge w:val="restart"/>
            <w:tcBorders>
              <w:top w:val="nil"/>
              <w:left w:val="single" w:color="auto" w:sz="4" w:space="0"/>
              <w:bottom w:val="single" w:color="000000" w:sz="4" w:space="0"/>
              <w:right w:val="single" w:color="auto" w:sz="4" w:space="0"/>
            </w:tcBorders>
            <w:shd w:val="clear" w:color="auto" w:fill="auto"/>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A1部门目标（12分）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A11部门中长期规划目标的明确性与合理性（2分）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部门中长期规划目标的设定情况；中长期规划目标应设定明确，应与政府中长期规划目标相适应，且应与部门职能相适应。</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①设定了部门中长期规划目标，得0.5分；②设定的部门中长期规划目标明确，得0.5分；③能够适应</w:t>
            </w:r>
            <w:r>
              <w:rPr>
                <w:rFonts w:hint="eastAsia" w:ascii="宋体" w:hAnsi="宋体" w:cs="宋体"/>
                <w:color w:val="000000"/>
                <w:kern w:val="0"/>
                <w:sz w:val="18"/>
                <w:szCs w:val="18"/>
                <w:lang w:eastAsia="zh-CN"/>
              </w:rPr>
              <w:t>盘龙区社会与经济发展需要</w:t>
            </w:r>
            <w:r>
              <w:rPr>
                <w:rFonts w:hint="eastAsia" w:ascii="宋体" w:hAnsi="宋体" w:cs="宋体"/>
                <w:color w:val="000000"/>
                <w:kern w:val="0"/>
                <w:sz w:val="18"/>
                <w:szCs w:val="18"/>
              </w:rPr>
              <w:t>，得0.5分；④能够与部门职能相适应，得0.5分。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部门中长期规划目标、区政府相关规划、部门“三定”方案、部门职能文件。</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A12年度工作目标的明确性与合理性（2分）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部门年度工作目标的设定是否明确合理</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①部门年度工作目标明确设定，得1分；②年度工作目标与部门中长期规划目标一致，得1分。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年度工作目标与部门中长期规划文件</w:t>
            </w:r>
          </w:p>
        </w:tc>
      </w:tr>
      <w:tr>
        <w:tblPrEx>
          <w:tblCellMar>
            <w:top w:w="0" w:type="dxa"/>
            <w:left w:w="108" w:type="dxa"/>
            <w:bottom w:w="0" w:type="dxa"/>
            <w:right w:w="108" w:type="dxa"/>
          </w:tblCellMar>
        </w:tblPrEx>
        <w:trPr>
          <w:trHeight w:val="123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A13年度工作计划与年度工作目标的一致性（2分）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部门年度工作计划是否与部门年度工作目标相一致。</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将部门详细工作计划与年度工作目标对应匹配，视匹配情况酌情得0-2分。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年度工作计划与年度工作目标文件</w:t>
            </w:r>
          </w:p>
        </w:tc>
      </w:tr>
      <w:tr>
        <w:tblPrEx>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A14绩效目标合理性（3分）</w:t>
            </w:r>
          </w:p>
        </w:tc>
        <w:tc>
          <w:tcPr>
            <w:tcW w:w="68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3</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用以反映和考核部门整体绩效目标与部门职能、年度工作目标的一致性。</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①符合部门制定的中长期实施规划计1分；②符合部门“三定”方案确定的职责计1分；③与部门年度工作目标、任务相一致计1分。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部门中长期规划、部门“三定”方案、年度重点工作任务与工作计划</w:t>
            </w:r>
          </w:p>
        </w:tc>
      </w:tr>
      <w:tr>
        <w:tblPrEx>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A15绩效指标明确性（3分）</w:t>
            </w:r>
          </w:p>
        </w:tc>
        <w:tc>
          <w:tcPr>
            <w:tcW w:w="68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3</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整体绩效目标所设定的绩效指标是否依据部门工作目标和工作任务进行细化、量化，绩效指标是否可衡量。</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①将部门整体的绩效目标细化分解为具体的工作任务计1分；②通过清晰、可衡量的指标值予以体现计0.5分。③与部门年度的任务数或计划数相对应计0.5分；④与本年度部门预算资金相匹配计1分。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部门年度重点工作任务与工作计划。</w:t>
            </w:r>
          </w:p>
        </w:tc>
      </w:tr>
      <w:tr>
        <w:tblPrEx>
          <w:tblCellMar>
            <w:top w:w="0" w:type="dxa"/>
            <w:left w:w="108" w:type="dxa"/>
            <w:bottom w:w="0" w:type="dxa"/>
            <w:right w:w="108" w:type="dxa"/>
          </w:tblCellMar>
        </w:tblPrEx>
        <w:trPr>
          <w:trHeight w:val="10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A2部门职能（10分）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A21部门职能的明确性与科学性（1分）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考察部门职能界定是否明确科学，是否有相关文件。</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①职能明确、设定依据充分，得1分；②有“三定”文件，但职能描述不明确，得0.5分;③没有职能设定的文件依据且职能不清，得0分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部门职能描述、“三定”文件</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A22年度工作目标与部门职能的适应性（4分）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部门所设定的具体目标是否与部门职能相适应。</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将部门详细工作目标与部门职能对应匹配，视匹配情况酌情得0-4分。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部门年度工作目标、部门职能</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A23年度具体工作与部门职能的匹配性（4分）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部门年度各类具体工作是否与部门职能相匹配。</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将部门年度具体工作与部门职能对应匹配，视匹配情况酌情得0-4分。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部门年度各项具体工作，部门职能</w:t>
            </w:r>
          </w:p>
        </w:tc>
      </w:tr>
      <w:tr>
        <w:tblPrEx>
          <w:tblCellMar>
            <w:top w:w="0" w:type="dxa"/>
            <w:left w:w="108" w:type="dxa"/>
            <w:bottom w:w="0" w:type="dxa"/>
            <w:right w:w="108" w:type="dxa"/>
          </w:tblCellMar>
        </w:tblPrEx>
        <w:trPr>
          <w:trHeight w:val="11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A24部门内设科室及下属单位职责的明确性（1分）</w:t>
            </w:r>
          </w:p>
        </w:tc>
        <w:tc>
          <w:tcPr>
            <w:tcW w:w="689" w:type="dxa"/>
            <w:tcBorders>
              <w:top w:val="single" w:color="auto" w:sz="4" w:space="0"/>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部门内设科室及下属单位具体职责是否明确</w:t>
            </w:r>
          </w:p>
        </w:tc>
        <w:tc>
          <w:tcPr>
            <w:tcW w:w="2846"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①有职责文件制度规定部门各科室及下属单位具体职责，得0.5分；②具体职责明确，得0.5分。</w:t>
            </w:r>
          </w:p>
        </w:tc>
        <w:tc>
          <w:tcPr>
            <w:tcW w:w="1361" w:type="dxa"/>
            <w:tcBorders>
              <w:top w:val="single" w:color="auto" w:sz="4" w:space="0"/>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内设科室及下属单位职责文件</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A3资源配置（13分）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A31基本支出预算合理性（2分）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用以反映部门年度基本支出预算是否根据人员经费、公用经费标准进行合理编制。</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①如实核定人员基数，得1分；②根据基本预算标准进行编制，得1分。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部门基本支出预算标准、基本支出预算</w:t>
            </w:r>
          </w:p>
        </w:tc>
      </w:tr>
      <w:tr>
        <w:tblPrEx>
          <w:tblCellMar>
            <w:top w:w="0" w:type="dxa"/>
            <w:left w:w="108" w:type="dxa"/>
            <w:bottom w:w="0" w:type="dxa"/>
            <w:right w:w="108" w:type="dxa"/>
          </w:tblCellMar>
        </w:tblPrEx>
        <w:trPr>
          <w:trHeight w:val="135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A32项目支出预算合理性（4分）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用以反映部门年度项目支出预算程序、预算依据、适用范围的合理性。</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①预算程序合理，得1分；②预算依据充分，得2分；③符合资金使用范围，得1分。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部门项目支出预算编制详细资料，访谈、文件梳理等、其他资料</w:t>
            </w:r>
          </w:p>
        </w:tc>
      </w:tr>
      <w:tr>
        <w:tblPrEx>
          <w:tblCellMar>
            <w:top w:w="0" w:type="dxa"/>
            <w:left w:w="108" w:type="dxa"/>
            <w:bottom w:w="0" w:type="dxa"/>
            <w:right w:w="108" w:type="dxa"/>
          </w:tblCellMar>
        </w:tblPrEx>
        <w:trPr>
          <w:trHeight w:val="67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A33人力资源投入合理性（2分）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用以反映部门核定人员的编制与部门工作内容的合理性</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通过问卷及访谈调研,分析人员的工作量和工作时长，视匹配情况得0-2分。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人员编制文件、调研</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A34办公资源投入合理性（2分）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用以反映部门现有办公资源能否满足部门日常工作需求。</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①办公资源经费保障充足，得1分；②办公资源配置合理，得1分。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部门办公资源配置情况、调研等资料</w:t>
            </w:r>
          </w:p>
        </w:tc>
      </w:tr>
      <w:tr>
        <w:tblPrEx>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A35重点项目资源分配合理性（3分）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3</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部门本年度预算安排的重点项目支出与部门项目总支出的比率，用以反映和考核部门对履行主要职责或完成重点任务的保障程度。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根据重点项目资源分配，对重点项目完成实施的保障程度进行评分。能够保障重点项目顺利实施、全面完成当年工作目标任务的得满分，每有一项重点项目因资金不足无法完成，按权重（3分）的1/3扣分，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重点项目相关资料</w:t>
            </w:r>
          </w:p>
        </w:tc>
      </w:tr>
      <w:tr>
        <w:tblPrEx>
          <w:tblCellMar>
            <w:top w:w="0" w:type="dxa"/>
            <w:left w:w="108" w:type="dxa"/>
            <w:bottom w:w="0" w:type="dxa"/>
            <w:right w:w="108" w:type="dxa"/>
          </w:tblCellMar>
        </w:tblPrEx>
        <w:trPr>
          <w:trHeight w:val="1635" w:hRule="atLeast"/>
        </w:trPr>
        <w:tc>
          <w:tcPr>
            <w:tcW w:w="579"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B部门管理（20分）</w:t>
            </w: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B1预算管理（7分）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B11基本支出预算执行率（1分）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部门基本支出本年度决算数与预算数的比率，用以反映和考核部门基本支出预算执行程度。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预算执行率=部门基本支出决算/部门基本支出预算×100%。决算数：部门本年度基本支出实际支出资金数。预算数：财政部门批复的本年度部门基本支出预算数以及当年批复的调整数。预算完成率≥95%得满分，未达到的每低于1%扣0.1分，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基本支出预算批复，预算调整批复、预算编制等其他资料</w:t>
            </w:r>
          </w:p>
        </w:tc>
      </w:tr>
      <w:tr>
        <w:tblPrEx>
          <w:tblCellMar>
            <w:top w:w="0" w:type="dxa"/>
            <w:left w:w="108" w:type="dxa"/>
            <w:bottom w:w="0" w:type="dxa"/>
            <w:right w:w="108" w:type="dxa"/>
          </w:tblCellMar>
        </w:tblPrEx>
        <w:trPr>
          <w:trHeight w:val="18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B12项目支出预算执行率（4分）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部门项目支出本年度决算数与预算数的比率，用以反映和考核部门项目支出预算执行程度。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预算执行率=部门项目支出决算/部门项目支出预算×100%。决算数：部门（单位）本年度项目支出实际支出资金数。预算数：财政部门批复的本年度部门（单位）项目支出预算数以及当年批复的调整数。预算完成率≥95%得满分，每低于1%扣0.2分，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项目支出预算批复，预算调整批复、预算编制等其他资料</w:t>
            </w:r>
          </w:p>
        </w:tc>
      </w:tr>
      <w:tr>
        <w:tblPrEx>
          <w:tblCellMar>
            <w:top w:w="0" w:type="dxa"/>
            <w:left w:w="108" w:type="dxa"/>
            <w:bottom w:w="0" w:type="dxa"/>
            <w:right w:w="108" w:type="dxa"/>
          </w:tblCellMar>
        </w:tblPrEx>
        <w:trPr>
          <w:trHeight w:val="18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B13“三公经费”控制率（1分）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部门本年度“三公”经费预算数与上年度“三公”经费预算数的变动比率，用以反映和考核部门（单位）对控制行政成本的努力程度。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三公”经费控制率=（本年度“三公”经费总额/上年度“三公”经费总额）×100%。“三公”经费：年度预算安排的因公出国（境）费、公务用车购置及运行费和公务接待费。三公经费控制率≤100%得满分，≥120%得0分，区间内按权重进行扣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三公经费使用情况</w:t>
            </w:r>
          </w:p>
        </w:tc>
      </w:tr>
      <w:tr>
        <w:tblPrEx>
          <w:tblCellMar>
            <w:top w:w="0" w:type="dxa"/>
            <w:left w:w="108" w:type="dxa"/>
            <w:bottom w:w="0" w:type="dxa"/>
            <w:right w:w="108" w:type="dxa"/>
          </w:tblCellMar>
        </w:tblPrEx>
        <w:trPr>
          <w:trHeight w:val="85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B14预算调整情况（1分）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用以反映预算单位是否根据年中预算实际执行情况及时合规进行预算调整。</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①根据年中预算执行情况及时申请预算调整，得0.5分；②按规定程序进行预算调整，得0.5分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预算调整相关资料</w:t>
            </w:r>
          </w:p>
        </w:tc>
      </w:tr>
      <w:tr>
        <w:tblPrEx>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B2财务管理（6分）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B21财务管理制度健全性及执行情况（1分）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部门为加强预算管理、规范财务行为而制定的财务管理制度是否健全完整。用以反映和考核部门预算管理制度对完成主要职责或促进事业发展的保障情况。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①是否已制定预算资金管理办法、内部财务管理制度、会计核算制度等管理制度，0.25分；②相关管理制度是否合法、合规、完整，0.25分；③相关管理制度是否得到有效执行，0.5分。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财务管理相关制度及执行情况调研</w:t>
            </w:r>
          </w:p>
        </w:tc>
      </w:tr>
      <w:tr>
        <w:tblPrEx>
          <w:tblCellMar>
            <w:top w:w="0" w:type="dxa"/>
            <w:left w:w="108" w:type="dxa"/>
            <w:bottom w:w="0" w:type="dxa"/>
            <w:right w:w="108" w:type="dxa"/>
          </w:tblCellMar>
        </w:tblPrEx>
        <w:trPr>
          <w:trHeight w:val="220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B22资金使用合规性（4分）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部门使用预算资金是否符合相关财务管理制度的规定，用以反映和考核部门预算资金的规范运行情况。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符合国家财经法规和财务管理制度规定以及有关专项资金管理办法的规定,1分；②资金的拨付有完整的审批程序和手续，1分；③项目的重大开支经过专题论证，1分；④符合部门预算批复的用途，1分；⑤是否存在截留、挤占、挪用、虚列支出等情况，一旦存在该指标不得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资金支出相关凭证、流程梳理等</w:t>
            </w:r>
          </w:p>
        </w:tc>
      </w:tr>
      <w:tr>
        <w:tblPrEx>
          <w:tblCellMar>
            <w:top w:w="0" w:type="dxa"/>
            <w:left w:w="108" w:type="dxa"/>
            <w:bottom w:w="0" w:type="dxa"/>
            <w:right w:w="108" w:type="dxa"/>
          </w:tblCellMar>
        </w:tblPrEx>
        <w:trPr>
          <w:trHeight w:val="11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B23财务监控的有效性（1分）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用以反映部门财务监控监督工作的有效性，包括监控、监督措施的制定及执行等方面。</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①制定明确的财务监控监督措施，得0.5分；②监控、监督措施执行有效，得0.5分；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财务监控监督相关办法及条款，实际执行情况资料</w:t>
            </w:r>
          </w:p>
        </w:tc>
      </w:tr>
      <w:tr>
        <w:tblPrEx>
          <w:tblCellMar>
            <w:top w:w="0" w:type="dxa"/>
            <w:left w:w="108" w:type="dxa"/>
            <w:bottom w:w="0" w:type="dxa"/>
            <w:right w:w="108" w:type="dxa"/>
          </w:tblCellMar>
        </w:tblPrEx>
        <w:trPr>
          <w:trHeight w:val="157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B3人力资源管理（2分）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B31在职人员控制率（1分）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部门本年度实际在职人员数与编制数的比率，用以反映和考核部门对人员成本的控制程度。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在职人员控制率=（在职人员数/编制数）×100%。在职人员数：部门（单位）实际在职人数，以财政部门确定的部门决算编制口径为准。编制数：机构编制部门核定批复的部门人员编制数。在职人员控制率≤100%得满分，有超出不得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部门编制数、在职人数、年内变化情况</w:t>
            </w:r>
          </w:p>
        </w:tc>
      </w:tr>
      <w:tr>
        <w:tblPrEx>
          <w:tblCellMar>
            <w:top w:w="0" w:type="dxa"/>
            <w:left w:w="108" w:type="dxa"/>
            <w:bottom w:w="0" w:type="dxa"/>
            <w:right w:w="108" w:type="dxa"/>
          </w:tblCellMar>
        </w:tblPrEx>
        <w:trPr>
          <w:trHeight w:val="124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B32人力资源管理执行情况（1分）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考察部门人力资源管理的健全性及执行规范性，包括在编、派遣、临时员工的管理，包括招聘、培训、工资发放及考核等。</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①有具体的人力资源管理制度文件或参照文件，得0.5分；②严格按照相关文件对各类型人员进行管理和考核，得0.5分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人力资源管理相关文件及实施情况</w:t>
            </w:r>
          </w:p>
        </w:tc>
      </w:tr>
      <w:tr>
        <w:tblPrEx>
          <w:tblCellMar>
            <w:top w:w="0" w:type="dxa"/>
            <w:left w:w="108" w:type="dxa"/>
            <w:bottom w:w="0" w:type="dxa"/>
            <w:right w:w="108" w:type="dxa"/>
          </w:tblCellMar>
        </w:tblPrEx>
        <w:trPr>
          <w:trHeight w:val="166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B4资产管理（2分）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B41资产管理制度健全性及执行情况（1分）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部门为加强资产管理、规范资产使用而制定的资产管理制度是否健全完整，用以反映和考核部门资产管理制度对完成主要职责或促进事业发展的保障情况。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①是否已制定或具有固定资产管理办法、资产使用办法等管理制度，得0.25分；②相关管理制度是否合法、合规、完整，得0.25分；③相关管理制度是否得到有效执行，得0.5分。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资产管理相关办法</w:t>
            </w:r>
          </w:p>
        </w:tc>
      </w:tr>
      <w:tr>
        <w:tblPrEx>
          <w:tblCellMar>
            <w:top w:w="0" w:type="dxa"/>
            <w:left w:w="108" w:type="dxa"/>
            <w:bottom w:w="0" w:type="dxa"/>
            <w:right w:w="108" w:type="dxa"/>
          </w:tblCellMar>
        </w:tblPrEx>
        <w:trPr>
          <w:trHeight w:val="126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B42固定资产在用率（1分）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部门实际在用固定资产总额与所有固定资产总额的比率，用以反映和考核部门固定资产使用效率及程度。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固定资产在用率=（实际在用固定资产总额/所有固定资产总额）×100%。固定资产在用率达到95%以上得满分.每降低1%扣权重分（1分）的5%，扣完为止。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固定资产卡片、固定资产使用信息等</w:t>
            </w:r>
          </w:p>
        </w:tc>
      </w:tr>
      <w:tr>
        <w:tblPrEx>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B5业务管理（3分）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B51业务管理制度健全性及执行情况（1分）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部门为加强业务管理、规范业务执行而制定的管理制度是否健全完整，用以反映和考核部门业务管理制度对完成主要职责或促进事业发展的保障情况。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①已制定或具有业务管理、项目管理等管理制度，得0.25分；②相关管理制度合法、合规、完整，得0.25分；③相关管理制度得到有效执行，得0.5分。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业务管理相关办法及执行情况资料</w:t>
            </w:r>
          </w:p>
        </w:tc>
      </w:tr>
      <w:tr>
        <w:tblPrEx>
          <w:tblCellMar>
            <w:top w:w="0" w:type="dxa"/>
            <w:left w:w="108" w:type="dxa"/>
            <w:bottom w:w="0" w:type="dxa"/>
            <w:right w:w="108" w:type="dxa"/>
          </w:tblCellMar>
        </w:tblPrEx>
        <w:trPr>
          <w:trHeight w:val="79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B52政府采购规范性（1分）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考察政府采购项目的采购程序、采购方式的规范性</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①政府采购方式、程序都规范，得满分；②采购方式、程序中每有一点不规范，扣0.5分，扣完为止。</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政府采购相关资料</w:t>
            </w:r>
          </w:p>
        </w:tc>
      </w:tr>
      <w:tr>
        <w:tblPrEx>
          <w:tblCellMar>
            <w:top w:w="0" w:type="dxa"/>
            <w:left w:w="108" w:type="dxa"/>
            <w:bottom w:w="0" w:type="dxa"/>
            <w:right w:w="108" w:type="dxa"/>
          </w:tblCellMar>
        </w:tblPrEx>
        <w:trPr>
          <w:trHeight w:val="79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B53监督考核情况（1分）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考察部门是否对各所属单位或项目实施主体进行工作监督和定期考核。</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有定期指导记录、考核结果，得1分，缺少项视情况酌情进行扣分。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监督考核记录等</w:t>
            </w:r>
          </w:p>
        </w:tc>
      </w:tr>
      <w:tr>
        <w:tblPrEx>
          <w:tblCellMar>
            <w:top w:w="0" w:type="dxa"/>
            <w:left w:w="108" w:type="dxa"/>
            <w:bottom w:w="0" w:type="dxa"/>
            <w:right w:w="108" w:type="dxa"/>
          </w:tblCellMar>
        </w:tblPrEx>
        <w:trPr>
          <w:trHeight w:val="1215" w:hRule="atLeast"/>
        </w:trPr>
        <w:tc>
          <w:tcPr>
            <w:tcW w:w="579"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C部门绩效（45分）</w:t>
            </w: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C1部门产出（18分）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C11重点项目完成情况（6分）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6</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考察医疗保障重点项目的完成情况。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重点项目全部完成为满分，每一项不达标扣权重分（6分）的20%；三项不达标则为零分。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重点项目指标及完成情况</w:t>
            </w:r>
          </w:p>
        </w:tc>
      </w:tr>
      <w:tr>
        <w:tblPrEx>
          <w:tblCellMar>
            <w:top w:w="0" w:type="dxa"/>
            <w:left w:w="108" w:type="dxa"/>
            <w:bottom w:w="0" w:type="dxa"/>
            <w:right w:w="108" w:type="dxa"/>
          </w:tblCellMar>
        </w:tblPrEx>
        <w:trPr>
          <w:trHeight w:val="81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C12医疗保障计划完成情况（5分）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考察医疗保障工作的完成情况。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考察医疗保障工作是否完成</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医疗保障项目计划及实施资料</w:t>
            </w:r>
          </w:p>
        </w:tc>
      </w:tr>
      <w:tr>
        <w:tblPrEx>
          <w:tblCellMar>
            <w:top w:w="0" w:type="dxa"/>
            <w:left w:w="108" w:type="dxa"/>
            <w:bottom w:w="0" w:type="dxa"/>
            <w:right w:w="108" w:type="dxa"/>
          </w:tblCellMar>
        </w:tblPrEx>
        <w:trPr>
          <w:trHeight w:val="102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C13政府采购项目完成率（2分）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考察政府采购项目的实施情况。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考察政府采购项目的实施情况</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单位未涉及该块内容完成率不达标的情况</w:t>
            </w:r>
          </w:p>
        </w:tc>
      </w:tr>
      <w:tr>
        <w:tblPrEx>
          <w:tblCellMar>
            <w:top w:w="0" w:type="dxa"/>
            <w:left w:w="108" w:type="dxa"/>
            <w:bottom w:w="0" w:type="dxa"/>
            <w:right w:w="108" w:type="dxa"/>
          </w:tblCellMar>
        </w:tblPrEx>
        <w:trPr>
          <w:trHeight w:val="190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C14考核任务完成率（5分）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5</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达到考核标准的实际工作数与计划工作数的比率,用以反映和考核部门履职质量目标的实现程度。</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核完成率=（考核达标实际工作数/计划工作数）×100%。考核达标实际工作数：一定时期（年度或规划期）内部门实际完成工作数中达到上级部门（或同级政府）目标要求（绩效标准值）的工作任务数量。考核完成率达到100%得满分，未达到按权重进行扣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部门考核任务实际完成情况</w:t>
            </w:r>
          </w:p>
        </w:tc>
      </w:tr>
      <w:tr>
        <w:tblPrEx>
          <w:tblCellMar>
            <w:top w:w="0" w:type="dxa"/>
            <w:left w:w="108" w:type="dxa"/>
            <w:bottom w:w="0" w:type="dxa"/>
            <w:right w:w="108" w:type="dxa"/>
          </w:tblCellMar>
        </w:tblPrEx>
        <w:trPr>
          <w:trHeight w:val="145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C2部门效果（21分）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C15投诉信访降低率（3分）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考察部门通过各项工作使服务对象投诉信访降低情况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①投诉信访降低率=（本年度投诉信访数-上年度投诉信访数）/本年度投诉信访数×100%，投诉信访降低率≤0得满分，超过按权重进行扣分；②每有一项部门有责投诉扣0.5分。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服务对象投诉信访情况</w:t>
            </w:r>
          </w:p>
        </w:tc>
      </w:tr>
      <w:tr>
        <w:tblPrEx>
          <w:tblCellMar>
            <w:top w:w="0" w:type="dxa"/>
            <w:left w:w="108" w:type="dxa"/>
            <w:bottom w:w="0" w:type="dxa"/>
            <w:right w:w="108" w:type="dxa"/>
          </w:tblCellMar>
        </w:tblPrEx>
        <w:trPr>
          <w:trHeight w:val="76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kern w:val="0"/>
                <w:sz w:val="18"/>
                <w:szCs w:val="18"/>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C16医疗保障覆盖率（6分）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考察医疗保障项目的覆盖情况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考察医疗保障项目的覆盖程度，酌情得0-6分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医疗保障项目覆盖率</w:t>
            </w:r>
          </w:p>
        </w:tc>
      </w:tr>
      <w:tr>
        <w:tblPrEx>
          <w:tblCellMar>
            <w:top w:w="0" w:type="dxa"/>
            <w:left w:w="108" w:type="dxa"/>
            <w:bottom w:w="0" w:type="dxa"/>
            <w:right w:w="108" w:type="dxa"/>
          </w:tblCellMar>
        </w:tblPrEx>
        <w:trPr>
          <w:trHeight w:val="102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kern w:val="0"/>
                <w:sz w:val="18"/>
                <w:szCs w:val="18"/>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C17政策宣传知晓率（4分）</w:t>
            </w:r>
          </w:p>
        </w:tc>
        <w:tc>
          <w:tcPr>
            <w:tcW w:w="689" w:type="dxa"/>
            <w:tcBorders>
              <w:top w:val="nil"/>
              <w:left w:val="nil"/>
              <w:bottom w:val="single" w:color="auto" w:sz="4" w:space="0"/>
              <w:right w:val="single" w:color="auto" w:sz="4" w:space="0"/>
            </w:tcBorders>
            <w:shd w:val="clear" w:color="auto" w:fill="auto"/>
            <w:vAlign w:val="center"/>
          </w:tcPr>
          <w:p>
            <w:pPr>
              <w:widowControl/>
              <w:rPr>
                <w:rFonts w:hint="eastAsia" w:ascii="宋体" w:hAnsi="宋体" w:eastAsia="宋体" w:cs="宋体"/>
                <w:color w:val="000000" w:themeColor="text1"/>
                <w:kern w:val="0"/>
                <w:sz w:val="18"/>
                <w:szCs w:val="18"/>
                <w:lang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考察医疗政策宣传的力度和范围</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考察参保人对医疗保障政策的知晓程度，知晓率≥80%得满分；知晓率＜80%；按权重*知晓率评分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调研问卷</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kern w:val="0"/>
                <w:sz w:val="18"/>
                <w:szCs w:val="18"/>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C18医疗保障系统相关人员满意度（4分）</w:t>
            </w:r>
          </w:p>
        </w:tc>
        <w:tc>
          <w:tcPr>
            <w:tcW w:w="689" w:type="dxa"/>
            <w:tcBorders>
              <w:top w:val="nil"/>
              <w:left w:val="nil"/>
              <w:bottom w:val="single" w:color="auto" w:sz="4" w:space="0"/>
              <w:right w:val="single" w:color="auto" w:sz="4" w:space="0"/>
            </w:tcBorders>
            <w:shd w:val="clear" w:color="auto" w:fill="auto"/>
            <w:vAlign w:val="center"/>
          </w:tcPr>
          <w:p>
            <w:pPr>
              <w:widowControl/>
              <w:rPr>
                <w:rFonts w:hint="eastAsia" w:ascii="宋体" w:hAnsi="宋体" w:eastAsia="宋体" w:cs="宋体"/>
                <w:color w:val="000000" w:themeColor="text1"/>
                <w:kern w:val="0"/>
                <w:sz w:val="18"/>
                <w:szCs w:val="18"/>
                <w:lang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医疗保障系统相关人员对部门的满意情况。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根据满意度线性统计取加权平均分值。满意度达到85%，得满分；满意度低于85%，每降低1%，扣权重分5%。</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问卷调查、访谈</w:t>
            </w:r>
          </w:p>
        </w:tc>
      </w:tr>
      <w:tr>
        <w:tblPrEx>
          <w:tblCellMar>
            <w:top w:w="0" w:type="dxa"/>
            <w:left w:w="108" w:type="dxa"/>
            <w:bottom w:w="0" w:type="dxa"/>
            <w:right w:w="108" w:type="dxa"/>
          </w:tblCellMar>
        </w:tblPrEx>
        <w:trPr>
          <w:trHeight w:val="91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kern w:val="0"/>
                <w:sz w:val="18"/>
                <w:szCs w:val="18"/>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C19辖区内参保人满意度（4分）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辖区内参保人对区医疗保障局工作的满意情况。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根据满意度线性统计取加权平均分值。满意度达到85%，得满分；满意度低于85%，每降低1%，扣权重分5%。</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问卷调查、访谈</w:t>
            </w:r>
          </w:p>
        </w:tc>
      </w:tr>
      <w:tr>
        <w:tblPrEx>
          <w:tblCellMar>
            <w:top w:w="0" w:type="dxa"/>
            <w:left w:w="108" w:type="dxa"/>
            <w:bottom w:w="0" w:type="dxa"/>
            <w:right w:w="108" w:type="dxa"/>
          </w:tblCellMar>
        </w:tblPrEx>
        <w:trPr>
          <w:trHeight w:val="73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C3部门可持续发展（6分）</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C20队伍建设情况（2分）</w:t>
            </w:r>
          </w:p>
        </w:tc>
        <w:tc>
          <w:tcPr>
            <w:tcW w:w="689" w:type="dxa"/>
            <w:tcBorders>
              <w:top w:val="nil"/>
              <w:left w:val="nil"/>
              <w:bottom w:val="single" w:color="auto" w:sz="4" w:space="0"/>
              <w:right w:val="single" w:color="auto" w:sz="4" w:space="0"/>
            </w:tcBorders>
            <w:shd w:val="clear" w:color="auto" w:fill="auto"/>
            <w:vAlign w:val="center"/>
          </w:tcPr>
          <w:p>
            <w:pPr>
              <w:widowControl/>
              <w:rPr>
                <w:rFonts w:hint="eastAsia" w:ascii="宋体" w:hAnsi="宋体" w:eastAsia="宋体" w:cs="宋体"/>
                <w:color w:val="000000" w:themeColor="text1"/>
                <w:kern w:val="0"/>
                <w:sz w:val="18"/>
                <w:szCs w:val="18"/>
                <w:lang w:eastAsia="zh-CN"/>
                <w14:textFill>
                  <w14:solidFill>
                    <w14:schemeClr w14:val="tx1"/>
                  </w14:solidFill>
                </w14:textFill>
              </w:rPr>
            </w:pPr>
            <w:r>
              <w:rPr>
                <w:rFonts w:hint="eastAsia" w:ascii="宋体" w:hAnsi="宋体" w:cs="宋体"/>
                <w:color w:val="000000" w:themeColor="text1"/>
                <w:kern w:val="0"/>
                <w:sz w:val="18"/>
                <w:szCs w:val="18"/>
                <w:lang w:val="en-US" w:eastAsia="zh-CN"/>
                <w14:textFill>
                  <w14:solidFill>
                    <w14:schemeClr w14:val="tx1"/>
                  </w14:solidFill>
                </w14:textFill>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考察部门管理人员是否定期接受培训，熟悉政策、提高业务能力。</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部门全体人员每年至少接受一次业务或政策等培训，酌情得0-2分。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培训记录、培训效果调研</w:t>
            </w:r>
          </w:p>
        </w:tc>
      </w:tr>
      <w:tr>
        <w:tblPrEx>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kern w:val="0"/>
                <w:sz w:val="18"/>
                <w:szCs w:val="18"/>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C21信息共享、公开情况（2分）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部门是否按照政府信息公开有关规定公开相关预决算信息、绩效信息及其他信息，是否信息共享，用以反映和考核部门信息公开透明及信息共享情况。</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①按规定内容公开预决算信息、绩效信息及其他信息，得0.5分；②按规定时限公开预决算信息、绩效信息及其他信息，得0.5分。③各</w:t>
            </w:r>
            <w:r>
              <w:rPr>
                <w:rFonts w:hint="eastAsia" w:ascii="宋体" w:hAnsi="宋体" w:cs="宋体"/>
                <w:color w:val="000000"/>
                <w:kern w:val="0"/>
                <w:sz w:val="18"/>
                <w:szCs w:val="18"/>
                <w:lang w:eastAsia="zh-CN"/>
              </w:rPr>
              <w:t>科</w:t>
            </w:r>
            <w:r>
              <w:rPr>
                <w:rFonts w:hint="eastAsia" w:ascii="宋体" w:hAnsi="宋体" w:cs="宋体"/>
                <w:color w:val="000000"/>
                <w:kern w:val="0"/>
                <w:sz w:val="18"/>
                <w:szCs w:val="18"/>
              </w:rPr>
              <w:t>室、下属单位等信息共享，得1分。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信息公开、信息共享情况</w:t>
            </w:r>
          </w:p>
        </w:tc>
      </w:tr>
      <w:tr>
        <w:tblPrEx>
          <w:tblCellMar>
            <w:top w:w="0" w:type="dxa"/>
            <w:left w:w="108" w:type="dxa"/>
            <w:bottom w:w="0" w:type="dxa"/>
            <w:right w:w="108" w:type="dxa"/>
          </w:tblCellMar>
        </w:tblPrEx>
        <w:trPr>
          <w:trHeight w:val="166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kern w:val="0"/>
                <w:sz w:val="18"/>
                <w:szCs w:val="18"/>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C22长效管理创新情况（2分）</w:t>
            </w:r>
          </w:p>
        </w:tc>
        <w:tc>
          <w:tcPr>
            <w:tcW w:w="68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考察部门是否在鼓励处室改进管理、提高效率方面建立了新举措，比如人员绩效考核机制、信息化建设、数据库管理等，是部门工作长期可持续发展的保障。</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管理创新机制和措施明确，且有相应工作及产出。酌情得0-2分。</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color w:val="000000"/>
                <w:kern w:val="0"/>
                <w:sz w:val="18"/>
                <w:szCs w:val="18"/>
              </w:rPr>
            </w:pPr>
            <w:r>
              <w:rPr>
                <w:rFonts w:hint="eastAsia" w:ascii="宋体" w:hAnsi="宋体" w:cs="宋体"/>
                <w:color w:val="000000"/>
                <w:kern w:val="0"/>
                <w:sz w:val="18"/>
                <w:szCs w:val="18"/>
              </w:rPr>
              <w:t>管理创新情况</w:t>
            </w:r>
          </w:p>
        </w:tc>
      </w:tr>
      <w:tr>
        <w:tblPrEx>
          <w:tblCellMar>
            <w:top w:w="0" w:type="dxa"/>
            <w:left w:w="108" w:type="dxa"/>
            <w:bottom w:w="0" w:type="dxa"/>
            <w:right w:w="108" w:type="dxa"/>
          </w:tblCellMar>
        </w:tblPrEx>
        <w:trPr>
          <w:trHeight w:val="270" w:hRule="atLeast"/>
        </w:trPr>
        <w:tc>
          <w:tcPr>
            <w:tcW w:w="579" w:type="dxa"/>
            <w:tcBorders>
              <w:top w:val="nil"/>
              <w:left w:val="single" w:color="auto" w:sz="4" w:space="0"/>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81"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559"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689" w:type="dxa"/>
            <w:tcBorders>
              <w:top w:val="nil"/>
              <w:left w:val="nil"/>
              <w:bottom w:val="single" w:color="auto" w:sz="4" w:space="0"/>
              <w:right w:val="single" w:color="auto" w:sz="4" w:space="0"/>
            </w:tcBorders>
            <w:shd w:val="clear" w:color="auto" w:fill="auto"/>
            <w:vAlign w:val="center"/>
          </w:tcPr>
          <w:p>
            <w:pPr>
              <w:widowControl/>
              <w:rPr>
                <w:rFonts w:hint="eastAsia" w:ascii="宋体" w:hAnsi="宋体" w:eastAsia="宋体" w:cs="宋体"/>
                <w:b/>
                <w:bCs/>
                <w:color w:val="000000"/>
                <w:kern w:val="0"/>
                <w:sz w:val="18"/>
                <w:szCs w:val="18"/>
                <w:lang w:val="en-US" w:eastAsia="zh-CN"/>
              </w:rPr>
            </w:pPr>
            <w:r>
              <w:rPr>
                <w:rFonts w:ascii="宋体" w:hAnsi="宋体" w:cs="宋体"/>
                <w:b/>
                <w:bCs/>
                <w:color w:val="000000"/>
                <w:kern w:val="0"/>
                <w:sz w:val="18"/>
                <w:szCs w:val="18"/>
              </w:rPr>
              <w:fldChar w:fldCharType="begin"/>
            </w:r>
            <w:r>
              <w:rPr>
                <w:rFonts w:ascii="宋体" w:hAnsi="宋体" w:cs="宋体"/>
                <w:b/>
                <w:bCs/>
                <w:color w:val="000000"/>
                <w:kern w:val="0"/>
                <w:sz w:val="18"/>
                <w:szCs w:val="18"/>
              </w:rPr>
              <w:instrText xml:space="preserve"> =SUM(ABOVE) </w:instrText>
            </w:r>
            <w:r>
              <w:rPr>
                <w:rFonts w:ascii="宋体" w:hAnsi="宋体" w:cs="宋体"/>
                <w:b/>
                <w:bCs/>
                <w:color w:val="000000"/>
                <w:kern w:val="0"/>
                <w:sz w:val="18"/>
                <w:szCs w:val="18"/>
              </w:rPr>
              <w:fldChar w:fldCharType="separate"/>
            </w:r>
            <w:r>
              <w:rPr>
                <w:rFonts w:ascii="宋体" w:hAnsi="宋体" w:cs="宋体"/>
                <w:b/>
                <w:bCs/>
                <w:color w:val="000000"/>
                <w:kern w:val="0"/>
                <w:sz w:val="18"/>
                <w:szCs w:val="18"/>
              </w:rPr>
              <w:t>9</w:t>
            </w:r>
            <w:r>
              <w:rPr>
                <w:rFonts w:hint="eastAsia" w:ascii="宋体" w:hAnsi="宋体" w:cs="宋体"/>
                <w:b/>
                <w:bCs/>
                <w:color w:val="000000"/>
                <w:kern w:val="0"/>
                <w:sz w:val="18"/>
                <w:szCs w:val="18"/>
                <w:lang w:val="en-US" w:eastAsia="zh-CN"/>
              </w:rPr>
              <w:t>9</w:t>
            </w:r>
            <w:r>
              <w:rPr>
                <w:rFonts w:ascii="宋体" w:hAnsi="宋体" w:cs="宋体"/>
                <w:b/>
                <w:bCs/>
                <w:color w:val="000000"/>
                <w:kern w:val="0"/>
                <w:sz w:val="18"/>
                <w:szCs w:val="18"/>
              </w:rPr>
              <w:fldChar w:fldCharType="end"/>
            </w:r>
          </w:p>
        </w:tc>
        <w:tc>
          <w:tcPr>
            <w:tcW w:w="2050"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2846"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361" w:type="dxa"/>
            <w:tcBorders>
              <w:top w:val="nil"/>
              <w:left w:val="nil"/>
              <w:bottom w:val="single" w:color="auto" w:sz="4" w:space="0"/>
              <w:right w:val="single" w:color="auto" w:sz="4" w:space="0"/>
            </w:tcBorders>
            <w:shd w:val="clear" w:color="auto" w:fill="auto"/>
          </w:tcPr>
          <w:p>
            <w:pPr>
              <w:widowControl/>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Pr>
        <w:jc w:val="left"/>
        <w:rPr>
          <w:rFonts w:ascii="方正小标宋_GBK" w:eastAsia="方正小标宋_GBK"/>
          <w:sz w:val="32"/>
          <w:szCs w:val="32"/>
        </w:rPr>
      </w:pPr>
    </w:p>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昆明市盘龙区医疗保障局2019年部门整体支出绩效自评报告</w:t>
      </w:r>
    </w:p>
    <w:p>
      <w:pPr>
        <w:jc w:val="center"/>
        <w:rPr>
          <w:rFonts w:ascii="黑体" w:hAnsi="黑体" w:eastAsia="黑体"/>
          <w:bCs/>
          <w:sz w:val="52"/>
          <w:szCs w:val="52"/>
        </w:rPr>
      </w:pPr>
      <w:r>
        <w:rPr>
          <w:rFonts w:hint="eastAsia" w:ascii="黑体" w:hAnsi="黑体" w:eastAsia="黑体" w:cs="黑体"/>
          <w:bCs/>
          <w:sz w:val="52"/>
          <w:szCs w:val="52"/>
        </w:rPr>
        <w:t>（2019年度）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heme="minorEastAsia" w:hAnsiTheme="minorEastAsia" w:eastAsiaTheme="minorEastAsia" w:cstheme="minorEastAsia"/>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9525" t="5715" r="9525" b="13335"/>
                <wp:wrapNone/>
                <wp:docPr id="3" name="AutoShape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AutoShape 2"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pepcoNcAAAAJAQAADwAAAAAAAAABACAA&#10;AAAiAAAAZHJzL2Rvd25yZXYueG1sUEsBAhQAFAAAAAgAh07iQG0eV23VAQAAsgMAAA4AAAAAAAAA&#10;AQAgAAAAJgEAAGRycy9lMm9Eb2MueG1sUEsFBgAAAAAGAAYAWQEAAG0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 xml:space="preserve">部门名称（公章）： </w:t>
      </w:r>
      <w:r>
        <w:rPr>
          <w:rFonts w:hint="eastAsia" w:asciiTheme="minorEastAsia" w:hAnsiTheme="minorEastAsia" w:eastAsiaTheme="minorEastAsia" w:cstheme="minorEastAsia"/>
          <w:b/>
          <w:bCs/>
          <w:sz w:val="28"/>
          <w:szCs w:val="28"/>
        </w:rPr>
        <w:t>昆明市盘龙区医疗保障局</w:t>
      </w:r>
    </w:p>
    <w:p>
      <w:pPr>
        <w:adjustRightInd w:val="0"/>
        <w:snapToGrid w:val="0"/>
        <w:spacing w:line="360" w:lineRule="auto"/>
        <w:ind w:left="1260" w:leftChars="600"/>
        <w:rPr>
          <w:rFonts w:ascii="Times New Roman" w:hAnsi="Times New Roman" w:eastAsia="黑体" w:cs="黑体"/>
          <w:b/>
          <w:bCs/>
          <w:sz w:val="28"/>
          <w:szCs w:val="28"/>
        </w:rPr>
      </w:pPr>
      <w:r>
        <w:rPr>
          <w:rFonts w:hint="eastAsia" w:ascii="Times New Roman" w:hAnsi="Times New Roman" w:eastAsia="黑体" w:cs="黑体"/>
          <w:b/>
          <w:bCs/>
          <w:sz w:val="28"/>
          <w:szCs w:val="28"/>
        </w:rPr>
        <w:t>项目单位：</w:t>
      </w:r>
      <w:r>
        <w:rPr>
          <w:rFonts w:hint="eastAsia" w:cs="黑体" w:asciiTheme="minorEastAsia" w:hAnsiTheme="minorEastAsia" w:eastAsiaTheme="minorEastAsia"/>
          <w:b/>
          <w:bCs/>
          <w:sz w:val="28"/>
          <w:szCs w:val="28"/>
          <w:u w:val="single"/>
        </w:rPr>
        <w:t xml:space="preserve">昆明市盘龙区医疗保障局        </w:t>
      </w:r>
    </w:p>
    <w:p>
      <w:pPr>
        <w:adjustRightInd w:val="0"/>
        <w:snapToGrid w:val="0"/>
        <w:spacing w:line="360" w:lineRule="auto"/>
        <w:ind w:left="1260" w:leftChars="600"/>
        <w:rPr>
          <w:rFonts w:asciiTheme="minorEastAsia" w:hAnsiTheme="minorEastAsia" w:eastAsiaTheme="minorEastAsia" w:cstheme="minorEastAsia"/>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180975</wp:posOffset>
                </wp:positionV>
                <wp:extent cx="2495550" cy="0"/>
                <wp:effectExtent l="9525" t="9525" r="9525" b="9525"/>
                <wp:wrapNone/>
                <wp:docPr id="2" name="AutoShape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AutoShape 4" o:spid="_x0000_s1026" o:spt="32" type="#_x0000_t32" style="position:absolute;left:0pt;margin-left:135pt;margin-top:14.25pt;height:0pt;width:196.5pt;z-index:25166028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0IL+71wAAAAkBAAAPAAAAAAAAAAEAIAAA&#10;ACIAAABkcnMvZG93bnJldi54bWxQSwECFAAUAAAACACHTuJAW4zsU9QBAACyAwAADgAAAAAAAAAB&#10;ACAAAAAmAQAAZHJzL2Uyb0RvYy54bWxQSwUGAAAAAAYABgBZAQAAbA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 xml:space="preserve">主管部门： </w:t>
      </w:r>
      <w:r>
        <w:rPr>
          <w:rFonts w:hint="eastAsia" w:asciiTheme="minorEastAsia" w:hAnsiTheme="minorEastAsia" w:eastAsiaTheme="minorEastAsia" w:cstheme="minorEastAsia"/>
          <w:b/>
          <w:bCs/>
          <w:sz w:val="28"/>
          <w:szCs w:val="28"/>
        </w:rPr>
        <w:t>昆明市盘龙区医疗保障局</w:t>
      </w:r>
    </w:p>
    <w:p>
      <w:pPr>
        <w:adjustRightInd w:val="0"/>
        <w:snapToGrid w:val="0"/>
        <w:spacing w:line="360" w:lineRule="auto"/>
        <w:ind w:left="1260" w:leftChars="600"/>
        <w:rPr>
          <w:rFonts w:asciiTheme="minorEastAsia" w:hAnsiTheme="minorEastAsia" w:eastAsiaTheme="minorEastAsia" w:cstheme="minorEastAsia"/>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9525" t="9525" r="9525" b="9525"/>
                <wp:wrapNone/>
                <wp:docPr id="1" name="AutoShape 6"/>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AutoShape 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0IL+71wAAAAkBAAAPAAAAAAAAAAEAIAAA&#10;ACIAAABkcnMvZG93bnJldi54bWxQSwECFAAUAAAACACHTuJAWIh+TNQBAACyAwAADgAAAAAAAAAB&#10;ACAAAAAmAQAAZHJzL2Uyb0RvYy54bWxQSwUGAAAAAAYABgBZAQAAbA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heme="minorEastAsia" w:hAnsiTheme="minorEastAsia" w:eastAsiaTheme="minorEastAsia" w:cstheme="minorEastAsia"/>
          <w:b/>
          <w:bCs/>
          <w:sz w:val="28"/>
          <w:szCs w:val="28"/>
        </w:rPr>
        <w:t>2020年5月7日</w:t>
      </w:r>
    </w:p>
    <w:p>
      <w:pPr>
        <w:spacing w:line="360" w:lineRule="auto"/>
        <w:ind w:left="1218" w:leftChars="58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20</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9"/>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6"/>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1365"/>
        <w:gridCol w:w="1440"/>
        <w:gridCol w:w="2190"/>
        <w:gridCol w:w="1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365" w:type="dxa"/>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440" w:type="dxa"/>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2190" w:type="dxa"/>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786" w:type="dxa"/>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321" w:type="dxa"/>
            <w:vAlign w:val="center"/>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365" w:type="dxa"/>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谭劲涛</w:t>
            </w:r>
          </w:p>
        </w:tc>
        <w:tc>
          <w:tcPr>
            <w:tcW w:w="1440" w:type="dxa"/>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局长</w:t>
            </w:r>
          </w:p>
        </w:tc>
        <w:tc>
          <w:tcPr>
            <w:tcW w:w="2190" w:type="dxa"/>
          </w:tcPr>
          <w:p>
            <w:pPr>
              <w:pStyle w:val="9"/>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昆明市盘龙区医疗保障局</w:t>
            </w:r>
          </w:p>
        </w:tc>
        <w:tc>
          <w:tcPr>
            <w:tcW w:w="1786" w:type="dxa"/>
          </w:tcPr>
          <w:p>
            <w:pPr>
              <w:pStyle w:val="9"/>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365" w:type="dxa"/>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罗媛媛</w:t>
            </w:r>
          </w:p>
        </w:tc>
        <w:tc>
          <w:tcPr>
            <w:tcW w:w="1440" w:type="dxa"/>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副局长</w:t>
            </w:r>
          </w:p>
        </w:tc>
        <w:tc>
          <w:tcPr>
            <w:tcW w:w="2190" w:type="dxa"/>
          </w:tcPr>
          <w:p>
            <w:pPr>
              <w:pStyle w:val="9"/>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昆明市盘龙区医疗保障局</w:t>
            </w:r>
          </w:p>
        </w:tc>
        <w:tc>
          <w:tcPr>
            <w:tcW w:w="1786" w:type="dxa"/>
          </w:tcPr>
          <w:p>
            <w:pPr>
              <w:pStyle w:val="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365" w:type="dxa"/>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者家祥</w:t>
            </w:r>
          </w:p>
        </w:tc>
        <w:tc>
          <w:tcPr>
            <w:tcW w:w="1440" w:type="dxa"/>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副局长</w:t>
            </w:r>
          </w:p>
        </w:tc>
        <w:tc>
          <w:tcPr>
            <w:tcW w:w="2190" w:type="dxa"/>
          </w:tcPr>
          <w:p>
            <w:pPr>
              <w:pStyle w:val="9"/>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昆明市盘龙区医疗保障局</w:t>
            </w:r>
          </w:p>
        </w:tc>
        <w:tc>
          <w:tcPr>
            <w:tcW w:w="1786" w:type="dxa"/>
          </w:tcPr>
          <w:p>
            <w:pPr>
              <w:pStyle w:val="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365" w:type="dxa"/>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刘文军</w:t>
            </w:r>
          </w:p>
        </w:tc>
        <w:tc>
          <w:tcPr>
            <w:tcW w:w="1440" w:type="dxa"/>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科长</w:t>
            </w:r>
          </w:p>
        </w:tc>
        <w:tc>
          <w:tcPr>
            <w:tcW w:w="2190" w:type="dxa"/>
          </w:tcPr>
          <w:p>
            <w:pPr>
              <w:pStyle w:val="9"/>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昆明市盘龙区医疗保障局基金监督科</w:t>
            </w:r>
          </w:p>
        </w:tc>
        <w:tc>
          <w:tcPr>
            <w:tcW w:w="1786" w:type="dxa"/>
          </w:tcPr>
          <w:p>
            <w:pPr>
              <w:pStyle w:val="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vAlign w:val="center"/>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365" w:type="dxa"/>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顾颖</w:t>
            </w:r>
          </w:p>
        </w:tc>
        <w:tc>
          <w:tcPr>
            <w:tcW w:w="1440" w:type="dxa"/>
          </w:tcPr>
          <w:p>
            <w:pPr>
              <w:pStyle w:val="9"/>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科长</w:t>
            </w:r>
          </w:p>
        </w:tc>
        <w:tc>
          <w:tcPr>
            <w:tcW w:w="2190" w:type="dxa"/>
          </w:tcPr>
          <w:p>
            <w:pPr>
              <w:pStyle w:val="9"/>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昆明市盘龙区医疗保障局综合事务管理科</w:t>
            </w:r>
          </w:p>
        </w:tc>
        <w:tc>
          <w:tcPr>
            <w:tcW w:w="1786" w:type="dxa"/>
          </w:tcPr>
          <w:p>
            <w:pPr>
              <w:pStyle w:val="9"/>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9"/>
              <w:widowControl w:val="0"/>
              <w:spacing w:after="0" w:line="360" w:lineRule="auto"/>
              <w:jc w:val="both"/>
              <w:rPr>
                <w:rFonts w:ascii="Times New Roman" w:hAnsi="Times New Roman" w:eastAsia="黑体" w:cs="黑体"/>
                <w:kern w:val="2"/>
                <w:sz w:val="24"/>
                <w:szCs w:val="24"/>
                <w:lang w:val="zh-TW"/>
              </w:rPr>
            </w:pPr>
          </w:p>
          <w:p>
            <w:pPr>
              <w:pStyle w:val="9"/>
              <w:widowControl w:val="0"/>
              <w:spacing w:after="0" w:line="360" w:lineRule="auto"/>
              <w:jc w:val="both"/>
              <w:rPr>
                <w:rFonts w:ascii="Times New Roman" w:hAnsi="Times New Roman" w:eastAsia="黑体" w:cs="黑体"/>
                <w:kern w:val="2"/>
                <w:sz w:val="24"/>
                <w:szCs w:val="24"/>
                <w:lang w:val="zh-TW"/>
              </w:rPr>
            </w:pPr>
          </w:p>
          <w:p>
            <w:pPr>
              <w:pStyle w:val="9"/>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pPr>
              <w:pStyle w:val="9"/>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9"/>
              <w:widowControl w:val="0"/>
              <w:spacing w:after="0" w:line="360" w:lineRule="auto"/>
              <w:jc w:val="both"/>
              <w:rPr>
                <w:rFonts w:ascii="Times New Roman" w:hAnsi="Times New Roman" w:eastAsia="黑体" w:cs="黑体"/>
                <w:kern w:val="2"/>
                <w:sz w:val="24"/>
                <w:szCs w:val="24"/>
                <w:lang w:val="zh-TW"/>
              </w:rPr>
            </w:pPr>
          </w:p>
          <w:p>
            <w:pPr>
              <w:pStyle w:val="9"/>
              <w:widowControl w:val="0"/>
              <w:spacing w:after="0" w:line="360" w:lineRule="auto"/>
              <w:jc w:val="both"/>
              <w:rPr>
                <w:rFonts w:ascii="Times New Roman" w:hAnsi="Times New Roman" w:eastAsia="黑体" w:cs="黑体"/>
                <w:kern w:val="2"/>
                <w:sz w:val="24"/>
                <w:szCs w:val="24"/>
                <w:lang w:val="zh-TW"/>
              </w:rPr>
            </w:pPr>
          </w:p>
          <w:p>
            <w:pPr>
              <w:pStyle w:val="9"/>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9"/>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8"/>
        <w:jc w:val="center"/>
        <w:rPr>
          <w:rFonts w:ascii="Times New Roman" w:hAnsi="Times New Roman" w:cs="宋体"/>
          <w:color w:val="auto"/>
          <w:sz w:val="52"/>
          <w:lang w:val="zh-CN"/>
        </w:rPr>
        <w:sectPr>
          <w:pgSz w:w="11906" w:h="16838"/>
          <w:pgMar w:top="2098" w:right="1531" w:bottom="1440" w:left="1531" w:header="851" w:footer="992" w:gutter="0"/>
          <w:pgNumType w:start="1"/>
          <w:cols w:space="425" w:num="1"/>
          <w:docGrid w:type="lines" w:linePitch="312" w:charSpace="0"/>
        </w:sectPr>
      </w:pPr>
    </w:p>
    <w:p>
      <w:pPr>
        <w:pStyle w:val="8"/>
        <w:jc w:val="center"/>
        <w:rPr>
          <w:rFonts w:ascii="Times New Roman" w:hAnsi="Times New Roman" w:cs="Times New Roman"/>
          <w:color w:val="auto"/>
          <w:sz w:val="52"/>
        </w:rPr>
      </w:pPr>
      <w:r>
        <w:rPr>
          <w:rFonts w:hint="eastAsia" w:ascii="Times New Roman" w:hAnsi="Times New Roman" w:cs="宋体"/>
          <w:color w:val="auto"/>
          <w:sz w:val="52"/>
          <w:lang w:val="zh-CN"/>
        </w:rPr>
        <w:t>目录</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一、摘要</w:t>
      </w:r>
      <w:r>
        <w:rPr>
          <w:rFonts w:hint="eastAsia" w:ascii="黑体" w:hAnsi="黑体" w:eastAsia="黑体"/>
          <w:sz w:val="28"/>
          <w:szCs w:val="28"/>
        </w:rPr>
        <w:tab/>
      </w:r>
      <w:r>
        <w:rPr>
          <w:rFonts w:hint="eastAsia" w:ascii="黑体" w:hAnsi="黑体" w:eastAsia="黑体"/>
          <w:sz w:val="28"/>
          <w:szCs w:val="28"/>
        </w:rPr>
        <w:t xml:space="preserve"> </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二、 部门概况</w:t>
      </w:r>
      <w:r>
        <w:rPr>
          <w:rFonts w:hint="eastAsia" w:ascii="黑体" w:hAnsi="黑体" w:eastAsia="黑体"/>
          <w:sz w:val="28"/>
          <w:szCs w:val="28"/>
        </w:rPr>
        <w:tab/>
      </w:r>
      <w:r>
        <w:rPr>
          <w:rFonts w:hint="eastAsia" w:ascii="黑体" w:hAnsi="黑体" w:eastAsia="黑体"/>
          <w:sz w:val="28"/>
          <w:szCs w:val="28"/>
        </w:rPr>
        <w:t xml:space="preserve"> </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 xml:space="preserve">（一）部门机构设置、编制 </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（二）部门职能</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（三）部门工作完成情况</w:t>
      </w:r>
      <w:r>
        <w:rPr>
          <w:rFonts w:hint="eastAsia" w:ascii="黑体" w:hAnsi="黑体" w:eastAsia="黑体"/>
          <w:sz w:val="28"/>
          <w:szCs w:val="28"/>
        </w:rPr>
        <w:tab/>
      </w:r>
      <w:r>
        <w:rPr>
          <w:rFonts w:hint="eastAsia" w:ascii="黑体" w:hAnsi="黑体" w:eastAsia="黑体"/>
          <w:sz w:val="28"/>
          <w:szCs w:val="28"/>
        </w:rPr>
        <w:t xml:space="preserve"> </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（四）部门管理制度</w:t>
      </w:r>
      <w:r>
        <w:rPr>
          <w:rFonts w:hint="eastAsia" w:ascii="黑体" w:hAnsi="黑体" w:eastAsia="黑体"/>
          <w:sz w:val="28"/>
          <w:szCs w:val="28"/>
        </w:rPr>
        <w:tab/>
      </w:r>
      <w:r>
        <w:rPr>
          <w:rFonts w:hint="eastAsia" w:ascii="黑体" w:hAnsi="黑体" w:eastAsia="黑体"/>
          <w:sz w:val="28"/>
          <w:szCs w:val="28"/>
        </w:rPr>
        <w:t xml:space="preserve"> </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 xml:space="preserve">（五）部门资金来源及使用情况 </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（六）政府采购情况</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（七）固定资产情况</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三、绩效目标</w:t>
      </w:r>
      <w:r>
        <w:rPr>
          <w:rFonts w:hint="eastAsia" w:ascii="黑体" w:hAnsi="黑体" w:eastAsia="黑体"/>
          <w:sz w:val="28"/>
          <w:szCs w:val="28"/>
        </w:rPr>
        <w:tab/>
      </w:r>
      <w:r>
        <w:rPr>
          <w:rFonts w:hint="eastAsia" w:ascii="黑体" w:hAnsi="黑体" w:eastAsia="黑体"/>
          <w:sz w:val="28"/>
          <w:szCs w:val="28"/>
        </w:rPr>
        <w:t xml:space="preserve"> </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四、评价思路和过程</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（一）评价思路</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（二）评价目的</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（三）评价依据</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（四）评价对象及评价时段</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五、评价结论和绩效分析</w:t>
      </w:r>
      <w:r>
        <w:rPr>
          <w:rFonts w:hint="eastAsia" w:ascii="黑体" w:hAnsi="黑体" w:eastAsia="黑体"/>
          <w:sz w:val="28"/>
          <w:szCs w:val="28"/>
        </w:rPr>
        <w:tab/>
      </w:r>
      <w:r>
        <w:rPr>
          <w:rFonts w:hint="eastAsia" w:ascii="黑体" w:hAnsi="黑体" w:eastAsia="黑体"/>
          <w:sz w:val="28"/>
          <w:szCs w:val="28"/>
        </w:rPr>
        <w:t xml:space="preserve"> </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 xml:space="preserve">  (一)评价结论</w:t>
      </w:r>
      <w:r>
        <w:rPr>
          <w:rFonts w:hint="eastAsia" w:ascii="黑体" w:hAnsi="黑体" w:eastAsia="黑体"/>
          <w:sz w:val="28"/>
          <w:szCs w:val="28"/>
        </w:rPr>
        <w:tab/>
      </w:r>
      <w:r>
        <w:rPr>
          <w:rFonts w:hint="eastAsia" w:ascii="黑体" w:hAnsi="黑体" w:eastAsia="黑体"/>
          <w:sz w:val="28"/>
          <w:szCs w:val="28"/>
        </w:rPr>
        <w:t xml:space="preserve"> </w:t>
      </w:r>
    </w:p>
    <w:p>
      <w:pPr>
        <w:spacing w:line="440" w:lineRule="exact"/>
        <w:ind w:firstLine="840" w:firstLineChars="300"/>
        <w:jc w:val="left"/>
        <w:rPr>
          <w:rFonts w:ascii="黑体" w:hAnsi="黑体" w:eastAsia="黑体"/>
          <w:sz w:val="28"/>
          <w:szCs w:val="28"/>
        </w:rPr>
      </w:pPr>
      <w:r>
        <w:rPr>
          <w:rFonts w:hint="eastAsia" w:ascii="黑体" w:hAnsi="黑体" w:eastAsia="黑体"/>
          <w:sz w:val="28"/>
          <w:szCs w:val="28"/>
        </w:rPr>
        <w:t>(二)绩效分析</w:t>
      </w:r>
      <w:r>
        <w:rPr>
          <w:rFonts w:hint="eastAsia" w:ascii="黑体" w:hAnsi="黑体" w:eastAsia="黑体"/>
          <w:sz w:val="28"/>
          <w:szCs w:val="28"/>
        </w:rPr>
        <w:tab/>
      </w:r>
      <w:r>
        <w:rPr>
          <w:rFonts w:hint="eastAsia" w:ascii="黑体" w:hAnsi="黑体" w:eastAsia="黑体"/>
          <w:sz w:val="28"/>
          <w:szCs w:val="28"/>
        </w:rPr>
        <w:t xml:space="preserve">  </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(六)存在的问题</w:t>
      </w:r>
      <w:r>
        <w:rPr>
          <w:rFonts w:hint="eastAsia" w:ascii="黑体" w:hAnsi="黑体" w:eastAsia="黑体"/>
          <w:sz w:val="28"/>
          <w:szCs w:val="28"/>
        </w:rPr>
        <w:tab/>
      </w:r>
      <w:r>
        <w:rPr>
          <w:rFonts w:hint="eastAsia" w:ascii="黑体" w:hAnsi="黑体" w:eastAsia="黑体"/>
          <w:sz w:val="28"/>
          <w:szCs w:val="28"/>
        </w:rPr>
        <w:t xml:space="preserve"> </w:t>
      </w:r>
    </w:p>
    <w:p>
      <w:pPr>
        <w:spacing w:line="440" w:lineRule="exact"/>
        <w:ind w:firstLine="560" w:firstLineChars="200"/>
        <w:jc w:val="left"/>
        <w:rPr>
          <w:rFonts w:ascii="黑体" w:hAnsi="黑体" w:eastAsia="黑体"/>
          <w:sz w:val="28"/>
          <w:szCs w:val="28"/>
        </w:rPr>
      </w:pPr>
      <w:r>
        <w:rPr>
          <w:rFonts w:hint="eastAsia" w:ascii="黑体" w:hAnsi="黑体" w:eastAsia="黑体"/>
          <w:sz w:val="28"/>
          <w:szCs w:val="28"/>
        </w:rPr>
        <w:t xml:space="preserve">(七)建议和改进措施 </w:t>
      </w:r>
    </w:p>
    <w:p>
      <w:pPr>
        <w:spacing w:line="440" w:lineRule="exact"/>
        <w:ind w:firstLine="560" w:firstLineChars="200"/>
        <w:jc w:val="left"/>
        <w:rPr>
          <w:rFonts w:ascii="黑体" w:hAnsi="黑体" w:eastAsia="黑体"/>
          <w:sz w:val="28"/>
          <w:szCs w:val="28"/>
        </w:rPr>
      </w:pPr>
    </w:p>
    <w:p>
      <w:pPr>
        <w:spacing w:line="440" w:lineRule="exact"/>
        <w:ind w:firstLine="560" w:firstLineChars="200"/>
        <w:jc w:val="left"/>
        <w:rPr>
          <w:rFonts w:ascii="黑体" w:hAnsi="黑体" w:eastAsia="黑体"/>
          <w:sz w:val="28"/>
          <w:szCs w:val="28"/>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440" w:lineRule="exact"/>
        <w:ind w:firstLine="720" w:firstLineChars="200"/>
        <w:jc w:val="center"/>
        <w:rPr>
          <w:rFonts w:ascii="方正小标宋_GBK" w:eastAsia="方正小标宋_GBK"/>
          <w:sz w:val="36"/>
          <w:szCs w:val="36"/>
        </w:rPr>
      </w:pPr>
      <w:r>
        <w:rPr>
          <w:rFonts w:hint="eastAsia" w:ascii="方正小标宋_GBK" w:eastAsia="方正小标宋_GBK"/>
          <w:sz w:val="36"/>
          <w:szCs w:val="36"/>
        </w:rPr>
        <w:t>昆明市盘龙区医疗保障局2019年部门报告</w:t>
      </w:r>
    </w:p>
    <w:p>
      <w:pPr>
        <w:spacing w:line="440" w:lineRule="exact"/>
        <w:ind w:firstLine="720" w:firstLineChars="200"/>
        <w:jc w:val="center"/>
        <w:rPr>
          <w:rFonts w:ascii="方正小标宋_GBK" w:eastAsia="方正小标宋_GBK"/>
          <w:sz w:val="36"/>
          <w:szCs w:val="36"/>
        </w:rPr>
      </w:pPr>
      <w:r>
        <w:rPr>
          <w:rFonts w:hint="eastAsia" w:ascii="方正小标宋_GBK" w:eastAsia="方正小标宋_GBK"/>
          <w:sz w:val="36"/>
          <w:szCs w:val="36"/>
        </w:rPr>
        <w:t>整体绩效支出自评报告</w:t>
      </w:r>
    </w:p>
    <w:p>
      <w:pPr>
        <w:spacing w:line="440" w:lineRule="exact"/>
        <w:ind w:firstLine="420" w:firstLineChars="200"/>
        <w:jc w:val="center"/>
        <w:rPr>
          <w:rFonts w:ascii="方正小标宋_GBK" w:hAnsi="黑体" w:eastAsia="方正小标宋_GBK"/>
          <w:szCs w:val="32"/>
        </w:rPr>
      </w:pP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2019年，按照区委、区政府的统一安排部署，在昆明市盘龙区医疗保障局的领导以及市医疗保障局的指导帮助下，我区医疗保障工作以全面贯彻</w:t>
      </w:r>
      <w:r>
        <w:rPr>
          <w:rFonts w:hint="eastAsia" w:ascii="仿宋_GB2312" w:hAnsi="楷体" w:eastAsia="仿宋_GB2312"/>
          <w:sz w:val="32"/>
          <w:szCs w:val="32"/>
          <w:lang w:eastAsia="zh-CN"/>
        </w:rPr>
        <w:t>党的</w:t>
      </w:r>
      <w:bookmarkStart w:id="0" w:name="_GoBack"/>
      <w:bookmarkEnd w:id="0"/>
      <w:r>
        <w:rPr>
          <w:rFonts w:hint="eastAsia" w:ascii="仿宋_GB2312" w:hAnsi="楷体" w:eastAsia="仿宋_GB2312"/>
          <w:sz w:val="32"/>
          <w:szCs w:val="32"/>
          <w:lang w:eastAsia="zh-CN"/>
        </w:rPr>
        <w:t>十九大</w:t>
      </w:r>
      <w:r>
        <w:rPr>
          <w:rFonts w:hint="eastAsia" w:ascii="仿宋_GB2312" w:hAnsi="楷体" w:eastAsia="仿宋_GB2312"/>
          <w:sz w:val="32"/>
          <w:szCs w:val="32"/>
        </w:rPr>
        <w:t>精神为总体要求，高举习近平新时代中国特色社会主义思想伟大旗帜，坚持以为人民服务为中心、以健康扶贫为重点，建立沟通协商机制和信息共享机制，协同推进改革，提高医疗资源使用效率和医疗保障水平。</w:t>
      </w:r>
    </w:p>
    <w:p>
      <w:pPr>
        <w:spacing w:line="440" w:lineRule="exact"/>
        <w:ind w:firstLine="640" w:firstLineChars="200"/>
        <w:jc w:val="left"/>
        <w:rPr>
          <w:rFonts w:ascii="黑体" w:hAnsi="黑体" w:eastAsia="黑体"/>
          <w:sz w:val="32"/>
          <w:szCs w:val="32"/>
        </w:rPr>
      </w:pPr>
      <w:r>
        <w:rPr>
          <w:rFonts w:hint="eastAsia" w:ascii="黑体" w:hAnsi="黑体" w:eastAsia="黑体"/>
          <w:sz w:val="32"/>
          <w:szCs w:val="32"/>
        </w:rPr>
        <w:t>一、单位概况</w:t>
      </w:r>
    </w:p>
    <w:p>
      <w:pPr>
        <w:topLinePunct/>
        <w:ind w:firstLine="800" w:firstLineChars="250"/>
        <w:rPr>
          <w:rFonts w:ascii="楷体_GB2312" w:hAnsi="楷体" w:eastAsia="楷体_GB2312"/>
          <w:sz w:val="32"/>
          <w:szCs w:val="32"/>
        </w:rPr>
      </w:pPr>
      <w:r>
        <w:rPr>
          <w:rFonts w:hint="eastAsia" w:ascii="楷体_GB2312" w:hAnsi="楷体" w:eastAsia="楷体_GB2312"/>
          <w:sz w:val="32"/>
          <w:szCs w:val="32"/>
        </w:rPr>
        <w:t>（一）单位机构设置、编制情况</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昆明市盘龙区医疗保障局为履行服务的财政全额拨款行政单位，内设3个科室，分别为办公室、基金监督科、综合事务管理科。机关行政编制7名。设局长1名（正科级），副局长2名（副科级）。</w:t>
      </w:r>
    </w:p>
    <w:p>
      <w:pPr>
        <w:topLinePunct/>
        <w:ind w:firstLine="800" w:firstLineChars="250"/>
        <w:rPr>
          <w:rFonts w:ascii="楷体_GB2312" w:hAnsi="楷体" w:eastAsia="楷体_GB2312"/>
          <w:sz w:val="32"/>
          <w:szCs w:val="32"/>
        </w:rPr>
      </w:pPr>
      <w:r>
        <w:rPr>
          <w:rFonts w:hint="eastAsia" w:ascii="楷体_GB2312" w:hAnsi="楷体" w:eastAsia="楷体_GB2312"/>
          <w:sz w:val="32"/>
          <w:szCs w:val="32"/>
        </w:rPr>
        <w:t>（二）单位职能</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1.主要职能职责</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昆明市盘龙区医疗保障局贯彻落实党中央、省委、市委、区委关于医疗保障工作的方针政策和决策部署，在履行职责过程中坚持和加强党对医疗保障工作的集中统一领导。主要职责是:</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 xml:space="preserve">（1）贯彻执行国家有关医疗保险、生育保险、医疗救助等医疗保障工作的方针、政策、法律、法规，编制医疗保障事业发展规划和年度工作计划并组织实施。 </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（2）组织实施医疗保障基金监督管理办法，建立健全医疗保障基金管理制度和安全防控机制，推进医疗保障基金支付方式改革。</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（3）组织实施医疗保障筹资、待遇政策和长期护理保险、生育保险制度。</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（4）组织实施城乡统一的药品、医用耗材、医疗服务项目、医疗服务设施等医保目录和支付标准。</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（5）组织实施并监督执行药品、医用耗材价格和医疗服务项目、医疗服务设施收费标准，贯彻执行价格信息监测和信息发布制度。</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（6）组织实施药品和医用耗材的招标采购政策，并对执行情况进行监督。</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（7）组织实施定点医药机构协议管理和支付管理办法，贯彻执行医疗保障信用评价体系和信息披露制度，监督管理纳入医保范围内的医疗服务行为和医疗费用，依法查处医疗保障领域违法违规行为。</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（8）负责医疗保障经办管理、公共服务体系和信息化建设。执行全市异地就医管理和费用结算政策。健全医疗保障关系转移接续制度。</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（9）完成区委、区政府和上级部门交办的其他任务。</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10）职能转变。昆明市盘龙区医疗保障局应贯彻落实统一的城乡居民基本医疗保险制度、大病保险制度和建立健全覆盖全民、城乡统筹的多层次医疗保障体系的相关政策，不断提高医疗保障水平，确保医保资金合理使用、安全可控，推进医疗、医保、医药“三医联动”改革，更好保障人民群众就医需求、减轻医药费用负担。</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2.年度工作重点</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2019年的重点工作包括：</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（1）组建昆明市盘龙区医疗保障局</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按照全区机构改革统一要求，确保昆明市盘龙区医疗保障局按时挂牌，并严格按《三定方案》，设置办公室、基金监督科和综合事务管理科三个科室，目前到位人员：局长1名，副局长2名，工作人员3名，共计6人。根据《关于设立昆明市盘龙区教育体育局等单位党组（党委）的通知》，组建中国共产党昆明市盘龙区医疗保障局党组，设党组成员3名，其中书记1名，成员已全部到位。</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（2）完成昆明市盘龙区医疗保险管理局转隶工作</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昆明市盘龙区医疗保障局挂牌成立后，昆明市盘龙区医疗保险管理局由昆明市盘龙区人力资源和社会保障局整体划归昆明市盘龙区医疗保障局管理，完成人员的整体转隶工作，内设科室、职能、编制人数维持不变，仍为副科级独立法人单位。</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（3）单位职能工作的完成</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按照省市相关部门、区委区政府等相关工作要求，完成上级的区委区政府安排的工作。</w:t>
      </w:r>
    </w:p>
    <w:p>
      <w:pPr>
        <w:topLinePunct/>
        <w:ind w:firstLine="640" w:firstLineChars="200"/>
        <w:rPr>
          <w:rFonts w:ascii="仿宋_GB2312" w:hAnsi="楷体" w:eastAsia="仿宋_GB2312"/>
          <w:sz w:val="32"/>
          <w:szCs w:val="32"/>
        </w:rPr>
      </w:pPr>
      <w:r>
        <w:rPr>
          <w:rFonts w:hint="eastAsia" w:ascii="仿宋_GB2312" w:hAnsi="楷体" w:eastAsia="仿宋_GB2312"/>
          <w:sz w:val="32"/>
          <w:szCs w:val="32"/>
        </w:rPr>
        <w:t>3.预算收支总额及预算执行情况</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昆明市盘龙区医疗保障局为2019年3月18日挂牌成立，开启盘龙区医疗保障事业发展的新征程，2019年预算收入</w:t>
      </w:r>
      <w:r>
        <w:rPr>
          <w:rFonts w:ascii="仿宋_GB2312" w:hAnsi="楷体" w:eastAsia="仿宋_GB2312"/>
          <w:sz w:val="32"/>
          <w:szCs w:val="32"/>
        </w:rPr>
        <w:t>0.00</w:t>
      </w:r>
      <w:r>
        <w:rPr>
          <w:rFonts w:hint="eastAsia" w:ascii="仿宋_GB2312" w:hAnsi="楷体" w:eastAsia="仿宋_GB2312"/>
          <w:sz w:val="32"/>
          <w:szCs w:val="32"/>
        </w:rPr>
        <w:t>元，支出</w:t>
      </w:r>
      <w:r>
        <w:rPr>
          <w:rFonts w:ascii="仿宋_GB2312" w:hAnsi="楷体" w:eastAsia="仿宋_GB2312"/>
          <w:sz w:val="32"/>
          <w:szCs w:val="32"/>
        </w:rPr>
        <w:t>0.00</w:t>
      </w:r>
      <w:r>
        <w:rPr>
          <w:rFonts w:hint="eastAsia" w:ascii="仿宋_GB2312" w:hAnsi="楷体" w:eastAsia="仿宋_GB2312"/>
          <w:sz w:val="32"/>
          <w:szCs w:val="32"/>
        </w:rPr>
        <w:t>元，其中：基本支出</w:t>
      </w:r>
      <w:r>
        <w:rPr>
          <w:rFonts w:ascii="仿宋_GB2312" w:hAnsi="楷体" w:eastAsia="仿宋_GB2312"/>
          <w:sz w:val="32"/>
          <w:szCs w:val="32"/>
        </w:rPr>
        <w:t>0.00元</w:t>
      </w:r>
      <w:r>
        <w:rPr>
          <w:rFonts w:hint="eastAsia" w:ascii="仿宋_GB2312" w:hAnsi="楷体" w:eastAsia="仿宋_GB2312"/>
          <w:sz w:val="32"/>
          <w:szCs w:val="32"/>
        </w:rPr>
        <w:t>，项目支出</w:t>
      </w:r>
      <w:r>
        <w:rPr>
          <w:rFonts w:ascii="仿宋_GB2312" w:hAnsi="楷体" w:eastAsia="仿宋_GB2312"/>
          <w:sz w:val="32"/>
          <w:szCs w:val="32"/>
        </w:rPr>
        <w:t>0.00元</w:t>
      </w:r>
      <w:r>
        <w:rPr>
          <w:rFonts w:hint="eastAsia" w:ascii="仿宋_GB2312" w:hAnsi="楷体" w:eastAsia="仿宋_GB2312"/>
          <w:sz w:val="32"/>
          <w:szCs w:val="32"/>
        </w:rPr>
        <w:t>；2019年决算收入</w:t>
      </w:r>
      <w:r>
        <w:rPr>
          <w:rFonts w:ascii="仿宋_GB2312" w:hAnsi="楷体" w:eastAsia="仿宋_GB2312"/>
          <w:sz w:val="32"/>
          <w:szCs w:val="32"/>
        </w:rPr>
        <w:t>627,361.33</w:t>
      </w:r>
      <w:r>
        <w:rPr>
          <w:rFonts w:hint="eastAsia" w:ascii="仿宋_GB2312" w:hAnsi="楷体" w:eastAsia="仿宋_GB2312"/>
          <w:sz w:val="32"/>
          <w:szCs w:val="32"/>
        </w:rPr>
        <w:t>元，支出</w:t>
      </w:r>
      <w:r>
        <w:rPr>
          <w:rFonts w:ascii="仿宋_GB2312" w:hAnsi="楷体" w:eastAsia="仿宋_GB2312"/>
          <w:sz w:val="32"/>
          <w:szCs w:val="32"/>
        </w:rPr>
        <w:t>627,361.33</w:t>
      </w:r>
      <w:r>
        <w:rPr>
          <w:rFonts w:hint="eastAsia" w:ascii="仿宋_GB2312" w:hAnsi="楷体" w:eastAsia="仿宋_GB2312"/>
          <w:sz w:val="32"/>
          <w:szCs w:val="32"/>
        </w:rPr>
        <w:t>元，其中：基本支出</w:t>
      </w:r>
      <w:r>
        <w:rPr>
          <w:rFonts w:ascii="仿宋_GB2312" w:hAnsi="楷体" w:eastAsia="仿宋_GB2312"/>
          <w:sz w:val="32"/>
          <w:szCs w:val="32"/>
        </w:rPr>
        <w:t>427,361.33元</w:t>
      </w:r>
      <w:r>
        <w:rPr>
          <w:rFonts w:hint="eastAsia" w:ascii="仿宋_GB2312" w:hAnsi="楷体" w:eastAsia="仿宋_GB2312"/>
          <w:sz w:val="32"/>
          <w:szCs w:val="32"/>
        </w:rPr>
        <w:t>，项目支出</w:t>
      </w:r>
      <w:r>
        <w:rPr>
          <w:rFonts w:ascii="仿宋_GB2312" w:hAnsi="楷体" w:eastAsia="仿宋_GB2312"/>
          <w:sz w:val="32"/>
          <w:szCs w:val="32"/>
        </w:rPr>
        <w:t>200,000.00元</w:t>
      </w:r>
      <w:r>
        <w:rPr>
          <w:rFonts w:hint="eastAsia" w:ascii="仿宋_GB2312" w:hAnsi="楷体" w:eastAsia="仿宋_GB2312"/>
          <w:sz w:val="32"/>
          <w:szCs w:val="32"/>
        </w:rPr>
        <w:t>, 2019年结余</w:t>
      </w:r>
      <w:r>
        <w:rPr>
          <w:rFonts w:ascii="仿宋_GB2312" w:hAnsi="楷体" w:eastAsia="仿宋_GB2312"/>
          <w:sz w:val="32"/>
          <w:szCs w:val="32"/>
        </w:rPr>
        <w:t>0.00</w:t>
      </w:r>
      <w:r>
        <w:rPr>
          <w:rFonts w:hint="eastAsia" w:ascii="仿宋_GB2312" w:hAnsi="楷体" w:eastAsia="仿宋_GB2312"/>
          <w:sz w:val="32"/>
          <w:szCs w:val="32"/>
        </w:rPr>
        <w:t>元。</w:t>
      </w:r>
    </w:p>
    <w:p>
      <w:pPr>
        <w:topLinePunct/>
        <w:ind w:firstLine="640" w:firstLineChars="200"/>
        <w:rPr>
          <w:rFonts w:ascii="楷体_GB2312" w:hAnsi="楷体" w:eastAsia="楷体_GB2312"/>
          <w:sz w:val="32"/>
          <w:szCs w:val="32"/>
        </w:rPr>
      </w:pPr>
      <w:r>
        <w:rPr>
          <w:rFonts w:hint="eastAsia" w:ascii="楷体_GB2312" w:hAnsi="楷体" w:eastAsia="楷体_GB2312"/>
          <w:sz w:val="32"/>
          <w:szCs w:val="32"/>
        </w:rPr>
        <w:t>（三）单位工作完成情况</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1.指导下属单位完成全区建档立卡贫困人员100%参保</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2019年，指导下属单位完成盘龙区扶贫办提供建档立卡贫困</w:t>
      </w:r>
      <w:r>
        <w:rPr>
          <w:rFonts w:hint="eastAsia" w:ascii="仿宋_GB2312" w:hAnsi="楷体" w:eastAsia="仿宋_GB2312"/>
          <w:sz w:val="32"/>
          <w:szCs w:val="32"/>
          <w:lang w:eastAsia="zh-CN"/>
        </w:rPr>
        <w:t>户</w:t>
      </w:r>
      <w:r>
        <w:rPr>
          <w:rFonts w:hint="eastAsia" w:ascii="仿宋_GB2312" w:hAnsi="楷体" w:eastAsia="仿宋_GB2312"/>
          <w:sz w:val="32"/>
          <w:szCs w:val="32"/>
        </w:rPr>
        <w:t>实现100%参保。建档立卡贫困人口均可正常享受昆明市建档立卡人员基本医疗保险和大病保险政策待遇。</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2.强化领导，压实领导干部和普通干部责任</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充分发挥党组领导核心作用，将扫黑除恶专项斗争工作作为一项重大政治任务。一是成立区医疗保障局扫黑除恶专项斗争工作领导小组，领导小组办公室专门负责扫黑除恶的工作开展和部门协调，确保此项工作有人管、有人抓。二是党组成员按分管内容和权责同全体干部职工签订了《扫黑除恶专项斗争责任书》，三是制定《扫黑除恶专项斗争乱点乱象综合治理工作方案》，确保此项工作部署到位、措施得力、成效明显。</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3.立足根本，夯实医疗保障工作基础</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指导下属单位扎实推进基本医疗保险参保扩面工作，2019年市委、市政府下达给盘龙区基本医疗保险参保目标任务数为：537000人，完成目标任务的101.1%。做好了城镇职工、城乡居民基本医疗保险基金收支工作，全力推进医疗救助工作，认真做好零售药店申请协议管理核实审定工作及定点医药机构医疗保险服务项目签约管理工作，对定点医药机构上传数据实现了智能审核100%覆盖等。</w:t>
      </w:r>
    </w:p>
    <w:p>
      <w:pPr>
        <w:topLinePunct/>
        <w:ind w:firstLine="640" w:firstLineChars="200"/>
        <w:rPr>
          <w:rFonts w:ascii="楷体_GB2312" w:hAnsi="楷体" w:eastAsia="楷体_GB2312"/>
          <w:sz w:val="32"/>
          <w:szCs w:val="32"/>
        </w:rPr>
      </w:pPr>
      <w:r>
        <w:rPr>
          <w:rFonts w:hint="eastAsia" w:ascii="楷体_GB2312" w:hAnsi="楷体" w:eastAsia="楷体_GB2312"/>
          <w:sz w:val="32"/>
          <w:szCs w:val="32"/>
        </w:rPr>
        <w:t>（四）单位管理制度</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我单位于2019年3月成立，下发了《中共盘龙区医疗保障局党组关于确定盘龙区医疗保障局科室负责人员的通知》（盘医保党组〔2019〕3号）、《中共盘龙区医疗保障局党组关于调整盘龙区医疗保险管理局科室长及科室人员岗位的通知》（盘医保党组〔2019〕4号）、《盘龙区医疗保障局党组关于调整局领导班子成员分工的通知》(盘医保党组〔2019〕8号)、《中共盘龙区医疗保障局党组贯彻落实“三重一大”事项集体决策制度的实施办法》（盘医保党组〔2019〕9号）等，其他管理规定暂参照昆明市盘龙区医疗保险管理局相关制度实施。</w:t>
      </w:r>
    </w:p>
    <w:p>
      <w:pPr>
        <w:topLinePunct/>
        <w:ind w:firstLine="800" w:firstLineChars="250"/>
        <w:rPr>
          <w:rFonts w:ascii="楷体_GB2312" w:hAnsi="楷体" w:eastAsia="楷体_GB2312"/>
          <w:sz w:val="32"/>
          <w:szCs w:val="32"/>
        </w:rPr>
      </w:pPr>
      <w:r>
        <w:rPr>
          <w:rFonts w:hint="eastAsia" w:ascii="楷体_GB2312" w:hAnsi="楷体" w:eastAsia="楷体_GB2312"/>
          <w:sz w:val="32"/>
          <w:szCs w:val="32"/>
        </w:rPr>
        <w:t>（五）</w:t>
      </w:r>
      <w:r>
        <w:rPr>
          <w:rFonts w:hint="eastAsia" w:ascii="楷体_GB2312" w:hAnsi="楷体" w:eastAsia="楷体_GB2312"/>
          <w:sz w:val="32"/>
          <w:szCs w:val="32"/>
        </w:rPr>
        <w:tab/>
      </w:r>
      <w:r>
        <w:rPr>
          <w:rFonts w:hint="eastAsia" w:ascii="楷体_GB2312" w:hAnsi="楷体" w:eastAsia="楷体_GB2312"/>
          <w:sz w:val="32"/>
          <w:szCs w:val="32"/>
        </w:rPr>
        <w:t>单位资金来源及使用情况</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我单位属于全额拨款的行政单位，收入为财政拨款。2019年决算收入</w:t>
      </w:r>
      <w:r>
        <w:rPr>
          <w:rFonts w:ascii="仿宋_GB2312" w:hAnsi="楷体" w:eastAsia="仿宋_GB2312"/>
          <w:sz w:val="32"/>
          <w:szCs w:val="32"/>
        </w:rPr>
        <w:t>627,361.33</w:t>
      </w:r>
      <w:r>
        <w:rPr>
          <w:rFonts w:hint="eastAsia" w:ascii="仿宋_GB2312" w:hAnsi="楷体" w:eastAsia="仿宋_GB2312"/>
          <w:sz w:val="32"/>
          <w:szCs w:val="32"/>
        </w:rPr>
        <w:t>元，支出</w:t>
      </w:r>
      <w:r>
        <w:rPr>
          <w:rFonts w:ascii="仿宋_GB2312" w:hAnsi="楷体" w:eastAsia="仿宋_GB2312"/>
          <w:sz w:val="32"/>
          <w:szCs w:val="32"/>
        </w:rPr>
        <w:t>627,361.33</w:t>
      </w:r>
      <w:r>
        <w:rPr>
          <w:rFonts w:hint="eastAsia" w:ascii="仿宋_GB2312" w:hAnsi="楷体" w:eastAsia="仿宋_GB2312"/>
          <w:sz w:val="32"/>
          <w:szCs w:val="32"/>
        </w:rPr>
        <w:t>元，其中：基本支出</w:t>
      </w:r>
      <w:r>
        <w:rPr>
          <w:rFonts w:ascii="仿宋_GB2312" w:hAnsi="楷体" w:eastAsia="仿宋_GB2312"/>
          <w:sz w:val="32"/>
          <w:szCs w:val="32"/>
        </w:rPr>
        <w:t>427,361.33元</w:t>
      </w:r>
      <w:r>
        <w:rPr>
          <w:rFonts w:hint="eastAsia" w:ascii="仿宋_GB2312" w:hAnsi="楷体" w:eastAsia="仿宋_GB2312"/>
          <w:sz w:val="32"/>
          <w:szCs w:val="32"/>
        </w:rPr>
        <w:t>，项目支出</w:t>
      </w:r>
      <w:r>
        <w:rPr>
          <w:rFonts w:ascii="仿宋_GB2312" w:hAnsi="楷体" w:eastAsia="仿宋_GB2312"/>
          <w:sz w:val="32"/>
          <w:szCs w:val="32"/>
        </w:rPr>
        <w:t>200,000.00元</w:t>
      </w:r>
      <w:r>
        <w:rPr>
          <w:rFonts w:hint="eastAsia" w:ascii="仿宋_GB2312" w:hAnsi="楷体" w:eastAsia="仿宋_GB2312"/>
          <w:sz w:val="32"/>
          <w:szCs w:val="32"/>
        </w:rPr>
        <w:t>, 2019年结余</w:t>
      </w:r>
      <w:r>
        <w:rPr>
          <w:rFonts w:ascii="仿宋_GB2312" w:hAnsi="楷体" w:eastAsia="仿宋_GB2312"/>
          <w:sz w:val="32"/>
          <w:szCs w:val="32"/>
        </w:rPr>
        <w:t>0.00</w:t>
      </w:r>
      <w:r>
        <w:rPr>
          <w:rFonts w:hint="eastAsia" w:ascii="仿宋_GB2312" w:hAnsi="楷体" w:eastAsia="仿宋_GB2312"/>
          <w:sz w:val="32"/>
          <w:szCs w:val="32"/>
        </w:rPr>
        <w:t>元。</w:t>
      </w:r>
    </w:p>
    <w:p>
      <w:pPr>
        <w:topLinePunct/>
        <w:ind w:firstLine="800" w:firstLineChars="250"/>
        <w:rPr>
          <w:rFonts w:ascii="楷体_GB2312" w:hAnsi="楷体" w:eastAsia="楷体_GB2312"/>
          <w:sz w:val="32"/>
          <w:szCs w:val="32"/>
        </w:rPr>
      </w:pPr>
      <w:r>
        <w:rPr>
          <w:rFonts w:hint="eastAsia" w:ascii="楷体_GB2312" w:hAnsi="楷体" w:eastAsia="楷体_GB2312"/>
          <w:sz w:val="32"/>
          <w:szCs w:val="32"/>
        </w:rPr>
        <w:t>（六）政府采购情况</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2019年单位未涉及政府采购事项。</w:t>
      </w:r>
    </w:p>
    <w:p>
      <w:pPr>
        <w:topLinePunct/>
        <w:ind w:firstLine="800" w:firstLineChars="250"/>
        <w:rPr>
          <w:rFonts w:ascii="楷体_GB2312" w:hAnsi="楷体" w:eastAsia="楷体_GB2312"/>
          <w:sz w:val="32"/>
          <w:szCs w:val="32"/>
        </w:rPr>
      </w:pPr>
      <w:r>
        <w:rPr>
          <w:rFonts w:hint="eastAsia" w:ascii="楷体_GB2312" w:hAnsi="楷体" w:eastAsia="楷体_GB2312"/>
          <w:sz w:val="32"/>
          <w:szCs w:val="32"/>
        </w:rPr>
        <w:t>（七）固定资产情况</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2019年12月31日有固定资产原值</w:t>
      </w:r>
      <w:r>
        <w:rPr>
          <w:rFonts w:ascii="仿宋_GB2312" w:hAnsi="楷体" w:eastAsia="仿宋_GB2312"/>
          <w:sz w:val="32"/>
          <w:szCs w:val="32"/>
        </w:rPr>
        <w:t>0.00</w:t>
      </w:r>
      <w:r>
        <w:rPr>
          <w:rFonts w:hint="eastAsia" w:ascii="仿宋_GB2312" w:hAnsi="楷体" w:eastAsia="仿宋_GB2312"/>
          <w:sz w:val="32"/>
          <w:szCs w:val="32"/>
        </w:rPr>
        <w:t>元，累计折旧</w:t>
      </w:r>
      <w:r>
        <w:rPr>
          <w:rFonts w:ascii="仿宋_GB2312" w:hAnsi="楷体" w:eastAsia="仿宋_GB2312"/>
          <w:sz w:val="32"/>
          <w:szCs w:val="32"/>
        </w:rPr>
        <w:t>0.00</w:t>
      </w:r>
      <w:r>
        <w:rPr>
          <w:rFonts w:hint="eastAsia" w:ascii="仿宋_GB2312" w:hAnsi="楷体" w:eastAsia="仿宋_GB2312"/>
          <w:sz w:val="32"/>
          <w:szCs w:val="32"/>
        </w:rPr>
        <w:t>元，净值</w:t>
      </w:r>
      <w:r>
        <w:rPr>
          <w:rFonts w:ascii="仿宋_GB2312" w:hAnsi="楷体" w:eastAsia="仿宋_GB2312"/>
          <w:sz w:val="32"/>
          <w:szCs w:val="32"/>
        </w:rPr>
        <w:t>0.00</w:t>
      </w:r>
      <w:r>
        <w:rPr>
          <w:rFonts w:hint="eastAsia" w:ascii="仿宋_GB2312" w:hAnsi="楷体" w:eastAsia="仿宋_GB2312"/>
          <w:sz w:val="32"/>
          <w:szCs w:val="32"/>
        </w:rPr>
        <w:t>元。</w:t>
      </w:r>
    </w:p>
    <w:p>
      <w:pPr>
        <w:spacing w:line="440" w:lineRule="exact"/>
        <w:ind w:firstLine="640" w:firstLineChars="200"/>
        <w:jc w:val="left"/>
        <w:rPr>
          <w:rFonts w:ascii="黑体" w:hAnsi="黑体" w:eastAsia="黑体"/>
          <w:sz w:val="32"/>
          <w:szCs w:val="32"/>
        </w:rPr>
      </w:pPr>
      <w:r>
        <w:rPr>
          <w:rFonts w:hint="eastAsia" w:ascii="黑体" w:hAnsi="黑体" w:eastAsia="黑体"/>
          <w:sz w:val="32"/>
          <w:szCs w:val="32"/>
        </w:rPr>
        <w:t>三、绩效目标</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加强财政支出管理，强化支出责任，规范财政支出绩效评价行为，建立科学合理的财政支出绩效评价管理体系，提高财政资金使用效益。</w:t>
      </w:r>
    </w:p>
    <w:p>
      <w:pPr>
        <w:spacing w:line="440" w:lineRule="exact"/>
        <w:ind w:firstLine="640" w:firstLineChars="200"/>
        <w:jc w:val="left"/>
        <w:rPr>
          <w:rFonts w:ascii="黑体" w:hAnsi="黑体" w:eastAsia="黑体"/>
          <w:sz w:val="32"/>
          <w:szCs w:val="32"/>
        </w:rPr>
      </w:pPr>
      <w:r>
        <w:rPr>
          <w:rFonts w:hint="eastAsia" w:ascii="黑体" w:hAnsi="黑体" w:eastAsia="黑体"/>
          <w:sz w:val="32"/>
          <w:szCs w:val="32"/>
        </w:rPr>
        <w:t>四、评价思路和过程</w:t>
      </w:r>
    </w:p>
    <w:p>
      <w:pPr>
        <w:topLinePunct/>
        <w:ind w:firstLine="800" w:firstLineChars="250"/>
        <w:rPr>
          <w:rFonts w:ascii="楷体_GB2312" w:hAnsi="楷体" w:eastAsia="楷体_GB2312"/>
          <w:sz w:val="32"/>
          <w:szCs w:val="32"/>
        </w:rPr>
      </w:pPr>
      <w:r>
        <w:rPr>
          <w:rFonts w:hint="eastAsia" w:ascii="楷体_GB2312" w:hAnsi="楷体" w:eastAsia="楷体_GB2312"/>
          <w:sz w:val="32"/>
          <w:szCs w:val="32"/>
        </w:rPr>
        <w:t>（一）评价思路</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1.确认当年度部门整体支出的绩效目标。</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2.梳理部门内部管理制度及存量资源。</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3.分析确定当年度部门整体支出的评价重点。</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4.构建绩效评价指标体系。</w:t>
      </w:r>
    </w:p>
    <w:p>
      <w:pPr>
        <w:topLinePunct/>
        <w:ind w:firstLine="800" w:firstLineChars="250"/>
        <w:rPr>
          <w:rFonts w:ascii="楷体_GB2312" w:hAnsi="楷体" w:eastAsia="楷体_GB2312"/>
          <w:sz w:val="32"/>
          <w:szCs w:val="32"/>
        </w:rPr>
      </w:pPr>
      <w:r>
        <w:rPr>
          <w:rFonts w:hint="eastAsia" w:ascii="楷体_GB2312" w:hAnsi="楷体" w:eastAsia="楷体_GB2312"/>
          <w:sz w:val="32"/>
          <w:szCs w:val="32"/>
        </w:rPr>
        <w:t>(二)评价目的</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通过收集单位基本情况、预算制定与明细、部门中长期规划目标及组织架构等信息，分析单位资源配置的合理性及中长期规划目标完成与履职情况，总结经验做法，找出预算绩效管理中的薄弱环节，提出改进建议，提高财政资金的使用效益。</w:t>
      </w:r>
    </w:p>
    <w:p>
      <w:pPr>
        <w:topLinePunct/>
        <w:ind w:firstLine="800" w:firstLineChars="250"/>
        <w:rPr>
          <w:rFonts w:ascii="楷体_GB2312" w:hAnsi="楷体" w:eastAsia="楷体_GB2312"/>
          <w:sz w:val="32"/>
          <w:szCs w:val="32"/>
        </w:rPr>
      </w:pPr>
      <w:r>
        <w:rPr>
          <w:rFonts w:hint="eastAsia" w:ascii="楷体_GB2312" w:hAnsi="楷体" w:eastAsia="楷体_GB2312"/>
          <w:sz w:val="32"/>
          <w:szCs w:val="32"/>
        </w:rPr>
        <w:t>(三)评价依据</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1.国家相关法律、法规和规章制度；</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2.区委、区政府方针政策；</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3.预算管理制度、项目及财务管理办法；</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4.部门职能职责、中长期发展规划及年度工作计划；</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5.行业政策、标准及专业技术规范；</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6.部门申请预算时提出的绩效目标及其他相关材料，预算批 复，年度预算执行情况，年度决算报告；</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7.人大、审计等报告及决定；</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8.其他相关资料。</w:t>
      </w:r>
    </w:p>
    <w:p>
      <w:pPr>
        <w:topLinePunct/>
        <w:ind w:firstLine="800" w:firstLineChars="250"/>
        <w:rPr>
          <w:rFonts w:ascii="楷体_GB2312" w:hAnsi="楷体" w:eastAsia="楷体_GB2312"/>
          <w:sz w:val="32"/>
          <w:szCs w:val="32"/>
        </w:rPr>
      </w:pPr>
      <w:r>
        <w:rPr>
          <w:rFonts w:hint="eastAsia" w:ascii="楷体_GB2312" w:hAnsi="楷体" w:eastAsia="楷体_GB2312"/>
          <w:sz w:val="32"/>
          <w:szCs w:val="32"/>
        </w:rPr>
        <w:t>（四）评价对象及评价时段</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评价的对象是全部财政资金支出，评价时段为2019年1月1日至2019年12月31日</w:t>
      </w:r>
    </w:p>
    <w:p>
      <w:pPr>
        <w:spacing w:line="440" w:lineRule="exact"/>
        <w:ind w:firstLine="640" w:firstLineChars="200"/>
        <w:jc w:val="left"/>
        <w:rPr>
          <w:rFonts w:ascii="黑体" w:hAnsi="黑体" w:eastAsia="黑体"/>
          <w:sz w:val="32"/>
          <w:szCs w:val="32"/>
        </w:rPr>
      </w:pPr>
      <w:r>
        <w:rPr>
          <w:rFonts w:hint="eastAsia" w:ascii="黑体" w:hAnsi="黑体" w:eastAsia="黑体"/>
          <w:sz w:val="32"/>
          <w:szCs w:val="32"/>
        </w:rPr>
        <w:t>五、评价结论和绩效分析</w:t>
      </w:r>
    </w:p>
    <w:p>
      <w:pPr>
        <w:topLinePunct/>
        <w:ind w:firstLine="800" w:firstLineChars="250"/>
        <w:rPr>
          <w:rFonts w:ascii="楷体_GB2312" w:hAnsi="楷体" w:eastAsia="楷体_GB2312"/>
          <w:sz w:val="32"/>
          <w:szCs w:val="32"/>
        </w:rPr>
      </w:pPr>
      <w:r>
        <w:rPr>
          <w:rFonts w:hint="eastAsia" w:ascii="楷体_GB2312" w:hAnsi="楷体" w:eastAsia="楷体_GB2312"/>
          <w:sz w:val="32"/>
          <w:szCs w:val="32"/>
        </w:rPr>
        <w:t>（一）</w:t>
      </w:r>
      <w:r>
        <w:rPr>
          <w:rFonts w:hint="eastAsia" w:ascii="楷体_GB2312" w:hAnsi="楷体" w:eastAsia="楷体_GB2312"/>
          <w:sz w:val="32"/>
          <w:szCs w:val="32"/>
        </w:rPr>
        <w:tab/>
      </w:r>
      <w:r>
        <w:rPr>
          <w:rFonts w:hint="eastAsia" w:ascii="楷体_GB2312" w:hAnsi="楷体" w:eastAsia="楷体_GB2312"/>
          <w:sz w:val="32"/>
          <w:szCs w:val="32"/>
        </w:rPr>
        <w:t>评价结论</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根据工作安排，今年的工作任务全面完成，自评得分9</w:t>
      </w:r>
      <w:r>
        <w:rPr>
          <w:rFonts w:hint="eastAsia" w:ascii="仿宋_GB2312" w:hAnsi="楷体" w:eastAsia="仿宋_GB2312"/>
          <w:sz w:val="32"/>
          <w:szCs w:val="32"/>
          <w:lang w:val="en-US" w:eastAsia="zh-CN"/>
        </w:rPr>
        <w:t>9</w:t>
      </w:r>
      <w:r>
        <w:rPr>
          <w:rFonts w:hint="eastAsia" w:ascii="仿宋_GB2312" w:hAnsi="楷体" w:eastAsia="仿宋_GB2312"/>
          <w:sz w:val="32"/>
          <w:szCs w:val="32"/>
        </w:rPr>
        <w:t>分。</w:t>
      </w:r>
    </w:p>
    <w:p>
      <w:pPr>
        <w:topLinePunct/>
        <w:ind w:firstLine="800" w:firstLineChars="250"/>
        <w:rPr>
          <w:rFonts w:ascii="楷体_GB2312" w:hAnsi="楷体" w:eastAsia="楷体_GB2312"/>
          <w:sz w:val="32"/>
          <w:szCs w:val="32"/>
        </w:rPr>
      </w:pPr>
      <w:r>
        <w:rPr>
          <w:rFonts w:hint="eastAsia" w:ascii="楷体_GB2312" w:hAnsi="楷体" w:eastAsia="楷体_GB2312"/>
          <w:sz w:val="32"/>
          <w:szCs w:val="32"/>
        </w:rPr>
        <w:t>（二）具体绩效分析</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1.详见《部门整体支出绩效评价共性指标体系框架评分表》（附 件1）</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2.年度总体目标及指标的完成情况。</w:t>
      </w:r>
    </w:p>
    <w:p>
      <w:pPr>
        <w:topLinePunct/>
        <w:ind w:firstLine="800" w:firstLineChars="250"/>
        <w:rPr>
          <w:rFonts w:ascii="仿宋_GB2312" w:hAnsi="楷体" w:eastAsia="仿宋_GB2312"/>
          <w:sz w:val="32"/>
          <w:szCs w:val="32"/>
        </w:rPr>
      </w:pPr>
      <w:r>
        <w:rPr>
          <w:rFonts w:ascii="仿宋_GB2312" w:hAnsi="楷体" w:eastAsia="仿宋_GB2312"/>
          <w:sz w:val="32"/>
          <w:szCs w:val="32"/>
        </w:rPr>
        <w:t>（1）</w:t>
      </w:r>
      <w:r>
        <w:rPr>
          <w:rFonts w:hint="eastAsia" w:ascii="仿宋_GB2312" w:hAnsi="楷体" w:eastAsia="仿宋_GB2312"/>
          <w:sz w:val="32"/>
          <w:szCs w:val="32"/>
        </w:rPr>
        <w:t>年度目标，指导下属单位完成全区建档立卡贫困人员100%参保，落实建档立卡贫困人口医保待遇政策；结合实际，稳步推进扫黑除恶专项斗争；贯彻落实各项医疗保险基金付费政策，做好我区基本医疗保险DRGs付费试点医院、医疗费用审核结算工作。</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（2）指标完成情况</w:t>
      </w:r>
    </w:p>
    <w:p>
      <w:pPr>
        <w:topLinePunct/>
        <w:ind w:firstLine="800" w:firstLineChars="250"/>
        <w:rPr>
          <w:rFonts w:ascii="仿宋_GB2312" w:hAnsi="楷体" w:eastAsia="仿宋_GB2312"/>
          <w:sz w:val="32"/>
          <w:szCs w:val="32"/>
        </w:rPr>
      </w:pPr>
      <w:r>
        <w:rPr>
          <w:rFonts w:ascii="仿宋_GB2312" w:hAnsi="楷体" w:eastAsia="仿宋_GB2312"/>
          <w:sz w:val="32"/>
          <w:szCs w:val="32"/>
        </w:rPr>
        <w:fldChar w:fldCharType="begin"/>
      </w:r>
      <w:r>
        <w:rPr>
          <w:rFonts w:ascii="仿宋_GB2312" w:hAnsi="楷体" w:eastAsia="仿宋_GB2312"/>
          <w:sz w:val="32"/>
          <w:szCs w:val="32"/>
        </w:rPr>
        <w:instrText xml:space="preserve"> </w:instrText>
      </w:r>
      <w:r>
        <w:rPr>
          <w:rFonts w:hint="eastAsia" w:ascii="仿宋_GB2312" w:hAnsi="楷体" w:eastAsia="仿宋_GB2312"/>
          <w:sz w:val="32"/>
          <w:szCs w:val="32"/>
        </w:rPr>
        <w:instrText xml:space="preserve">= 1 \* GB3</w:instrText>
      </w:r>
      <w:r>
        <w:rPr>
          <w:rFonts w:ascii="仿宋_GB2312" w:hAnsi="楷体" w:eastAsia="仿宋_GB2312"/>
          <w:sz w:val="32"/>
          <w:szCs w:val="32"/>
        </w:rPr>
        <w:instrText xml:space="preserve"> </w:instrText>
      </w:r>
      <w:r>
        <w:rPr>
          <w:rFonts w:ascii="仿宋_GB2312" w:hAnsi="楷体" w:eastAsia="仿宋_GB2312"/>
          <w:sz w:val="32"/>
          <w:szCs w:val="32"/>
        </w:rPr>
        <w:fldChar w:fldCharType="separate"/>
      </w:r>
      <w:r>
        <w:rPr>
          <w:rFonts w:hint="eastAsia" w:ascii="仿宋_GB2312" w:hAnsi="楷体" w:eastAsia="仿宋_GB2312"/>
          <w:sz w:val="32"/>
          <w:szCs w:val="32"/>
        </w:rPr>
        <w:t>①</w:t>
      </w:r>
      <w:r>
        <w:rPr>
          <w:rFonts w:ascii="仿宋_GB2312" w:hAnsi="楷体" w:eastAsia="仿宋_GB2312"/>
          <w:sz w:val="32"/>
          <w:szCs w:val="32"/>
        </w:rPr>
        <w:fldChar w:fldCharType="end"/>
      </w:r>
      <w:r>
        <w:rPr>
          <w:rFonts w:hint="eastAsia" w:ascii="仿宋_GB2312" w:hAnsi="楷体" w:eastAsia="仿宋_GB2312"/>
          <w:sz w:val="32"/>
          <w:szCs w:val="32"/>
        </w:rPr>
        <w:t>自成立以来，昆明市盘龙区医疗保障局围绕市医保局、区委区政府各项重点工作，上下一心，凝心聚力，扎实有序推进各项工作，出实招见实效。</w:t>
      </w:r>
    </w:p>
    <w:p>
      <w:pPr>
        <w:topLinePunct/>
        <w:ind w:firstLine="800" w:firstLineChars="250"/>
        <w:rPr>
          <w:rFonts w:ascii="仿宋_GB2312" w:hAnsi="楷体" w:eastAsia="仿宋_GB2312"/>
          <w:sz w:val="32"/>
          <w:szCs w:val="32"/>
        </w:rPr>
      </w:pPr>
      <w:r>
        <w:rPr>
          <w:rFonts w:ascii="仿宋_GB2312" w:hAnsi="楷体" w:eastAsia="仿宋_GB2312"/>
          <w:sz w:val="32"/>
          <w:szCs w:val="32"/>
        </w:rPr>
        <w:fldChar w:fldCharType="begin"/>
      </w:r>
      <w:r>
        <w:rPr>
          <w:rFonts w:ascii="仿宋_GB2312" w:hAnsi="楷体" w:eastAsia="仿宋_GB2312"/>
          <w:sz w:val="32"/>
          <w:szCs w:val="32"/>
        </w:rPr>
        <w:instrText xml:space="preserve"> </w:instrText>
      </w:r>
      <w:r>
        <w:rPr>
          <w:rFonts w:hint="eastAsia" w:ascii="仿宋_GB2312" w:hAnsi="楷体" w:eastAsia="仿宋_GB2312"/>
          <w:sz w:val="32"/>
          <w:szCs w:val="32"/>
        </w:rPr>
        <w:instrText xml:space="preserve">= 2 \* GB3</w:instrText>
      </w:r>
      <w:r>
        <w:rPr>
          <w:rFonts w:ascii="仿宋_GB2312" w:hAnsi="楷体" w:eastAsia="仿宋_GB2312"/>
          <w:sz w:val="32"/>
          <w:szCs w:val="32"/>
        </w:rPr>
        <w:instrText xml:space="preserve"> </w:instrText>
      </w:r>
      <w:r>
        <w:rPr>
          <w:rFonts w:ascii="仿宋_GB2312" w:hAnsi="楷体" w:eastAsia="仿宋_GB2312"/>
          <w:sz w:val="32"/>
          <w:szCs w:val="32"/>
        </w:rPr>
        <w:fldChar w:fldCharType="separate"/>
      </w:r>
      <w:r>
        <w:rPr>
          <w:rFonts w:hint="eastAsia" w:ascii="仿宋_GB2312" w:hAnsi="楷体" w:eastAsia="仿宋_GB2312"/>
          <w:sz w:val="32"/>
          <w:szCs w:val="32"/>
        </w:rPr>
        <w:t>②</w:t>
      </w:r>
      <w:r>
        <w:rPr>
          <w:rFonts w:ascii="仿宋_GB2312" w:hAnsi="楷体" w:eastAsia="仿宋_GB2312"/>
          <w:sz w:val="32"/>
          <w:szCs w:val="32"/>
        </w:rPr>
        <w:fldChar w:fldCharType="end"/>
      </w:r>
      <w:r>
        <w:rPr>
          <w:rFonts w:hint="eastAsia" w:ascii="仿宋_GB2312" w:hAnsi="楷体" w:eastAsia="仿宋_GB2312"/>
          <w:sz w:val="32"/>
          <w:szCs w:val="32"/>
        </w:rPr>
        <w:t>截至2019年12月31日，单位在时效内各项工作指标完成100%，单位性质不直接产生经济效益、生态效益，但服务好受益对象，让受益对象享受到相关的服务工作，有利于维护社会稳定、间接促进国民经济和社会的发展，对社会的和谐发展具有可持续影响。</w:t>
      </w:r>
    </w:p>
    <w:p>
      <w:pPr>
        <w:spacing w:line="440" w:lineRule="exact"/>
        <w:ind w:firstLine="640" w:firstLineChars="200"/>
        <w:jc w:val="left"/>
        <w:rPr>
          <w:rFonts w:ascii="黑体" w:hAnsi="黑体" w:eastAsia="黑体"/>
          <w:sz w:val="32"/>
          <w:szCs w:val="32"/>
        </w:rPr>
      </w:pPr>
      <w:r>
        <w:rPr>
          <w:rFonts w:hint="eastAsia" w:ascii="黑体" w:hAnsi="黑体" w:eastAsia="黑体"/>
          <w:sz w:val="32"/>
          <w:szCs w:val="32"/>
        </w:rPr>
        <w:t>六、存在的问题</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（一）财务工作在“科学、规范、精细”方面有待进一步提升，预决算编制的科学性、执行进度、信息化建设、绩效管理等方面还有待完善。</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（二）单位新成立，部分工作在完成仍然存在不足之处，需要不断改进提升。</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（三）管理体系尚未建立健全。</w:t>
      </w:r>
    </w:p>
    <w:p>
      <w:pPr>
        <w:spacing w:line="440" w:lineRule="exact"/>
        <w:ind w:firstLine="640" w:firstLineChars="200"/>
        <w:jc w:val="left"/>
        <w:rPr>
          <w:rFonts w:ascii="黑体" w:hAnsi="黑体" w:eastAsia="黑体"/>
          <w:sz w:val="32"/>
          <w:szCs w:val="32"/>
        </w:rPr>
      </w:pPr>
      <w:r>
        <w:rPr>
          <w:rFonts w:hint="eastAsia" w:ascii="黑体" w:hAnsi="黑体" w:eastAsia="黑体"/>
          <w:sz w:val="32"/>
          <w:szCs w:val="32"/>
        </w:rPr>
        <w:t>七、改进措施及建议</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（一）建立日常使用的指标管理体系，按体系规范资金的使用，使资金的效益达到最大化。</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（二）工作总结中不足的部分2020年完善改进，确保工作的顺利开展。</w:t>
      </w:r>
    </w:p>
    <w:p>
      <w:pPr>
        <w:topLinePunct/>
        <w:ind w:firstLine="800" w:firstLineChars="250"/>
        <w:rPr>
          <w:rFonts w:ascii="仿宋_GB2312" w:hAnsi="楷体" w:eastAsia="仿宋_GB2312"/>
          <w:sz w:val="32"/>
          <w:szCs w:val="32"/>
        </w:rPr>
      </w:pPr>
      <w:r>
        <w:rPr>
          <w:rFonts w:hint="eastAsia" w:ascii="仿宋_GB2312" w:hAnsi="楷体" w:eastAsia="仿宋_GB2312"/>
          <w:sz w:val="32"/>
          <w:szCs w:val="32"/>
        </w:rPr>
        <w:t>（三）完善单位制度建设，建立健全完善的内控制度。</w:t>
      </w:r>
    </w:p>
    <w:sectPr>
      <w:pgSz w:w="11906" w:h="16838"/>
      <w:pgMar w:top="2098" w:right="1531" w:bottom="1440"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2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7366858"/>
    </w:sdtPr>
    <w:sdtContent>
      <w:p>
        <w:pPr>
          <w:pStyle w:val="4"/>
          <w:jc w:val="center"/>
        </w:pPr>
        <w:r>
          <w:fldChar w:fldCharType="begin"/>
        </w:r>
        <w:r>
          <w:instrText xml:space="preserve">PAGE   \* MERGEFORMAT</w:instrText>
        </w:r>
        <w:r>
          <w:fldChar w:fldCharType="separate"/>
        </w:r>
        <w:r>
          <w:rPr>
            <w:lang w:val="zh-CN"/>
          </w:rPr>
          <w:t>10</w:t>
        </w:r>
        <w: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C533F9"/>
    <w:rsid w:val="00000425"/>
    <w:rsid w:val="00000C02"/>
    <w:rsid w:val="00001920"/>
    <w:rsid w:val="0000210C"/>
    <w:rsid w:val="0000285B"/>
    <w:rsid w:val="00002936"/>
    <w:rsid w:val="00002B6A"/>
    <w:rsid w:val="00002BFF"/>
    <w:rsid w:val="00003A1C"/>
    <w:rsid w:val="00003C70"/>
    <w:rsid w:val="00004CC3"/>
    <w:rsid w:val="0000573B"/>
    <w:rsid w:val="00005921"/>
    <w:rsid w:val="00005A50"/>
    <w:rsid w:val="00006C8E"/>
    <w:rsid w:val="000106B7"/>
    <w:rsid w:val="0001178A"/>
    <w:rsid w:val="0001339C"/>
    <w:rsid w:val="0001341C"/>
    <w:rsid w:val="00013B2E"/>
    <w:rsid w:val="000155B4"/>
    <w:rsid w:val="0001655E"/>
    <w:rsid w:val="00016EF3"/>
    <w:rsid w:val="00017899"/>
    <w:rsid w:val="00017A18"/>
    <w:rsid w:val="00020019"/>
    <w:rsid w:val="00021383"/>
    <w:rsid w:val="000239B1"/>
    <w:rsid w:val="00024027"/>
    <w:rsid w:val="00024136"/>
    <w:rsid w:val="000242BF"/>
    <w:rsid w:val="00024C52"/>
    <w:rsid w:val="00025AFF"/>
    <w:rsid w:val="000278AB"/>
    <w:rsid w:val="00030257"/>
    <w:rsid w:val="00030E51"/>
    <w:rsid w:val="00030F92"/>
    <w:rsid w:val="00030FFA"/>
    <w:rsid w:val="000312A2"/>
    <w:rsid w:val="00031A4B"/>
    <w:rsid w:val="0003236D"/>
    <w:rsid w:val="00033C45"/>
    <w:rsid w:val="00033DD9"/>
    <w:rsid w:val="0003411A"/>
    <w:rsid w:val="000342D5"/>
    <w:rsid w:val="00034618"/>
    <w:rsid w:val="000347D5"/>
    <w:rsid w:val="00034F28"/>
    <w:rsid w:val="000352D2"/>
    <w:rsid w:val="000364B4"/>
    <w:rsid w:val="00037B49"/>
    <w:rsid w:val="0004073F"/>
    <w:rsid w:val="0004090F"/>
    <w:rsid w:val="00040AA2"/>
    <w:rsid w:val="000427EB"/>
    <w:rsid w:val="00042AC0"/>
    <w:rsid w:val="000438BC"/>
    <w:rsid w:val="00043BD7"/>
    <w:rsid w:val="0004474A"/>
    <w:rsid w:val="000447C0"/>
    <w:rsid w:val="000454E6"/>
    <w:rsid w:val="00045626"/>
    <w:rsid w:val="00045A16"/>
    <w:rsid w:val="00045B85"/>
    <w:rsid w:val="000479C0"/>
    <w:rsid w:val="000503CF"/>
    <w:rsid w:val="0005164E"/>
    <w:rsid w:val="00051E63"/>
    <w:rsid w:val="00051F39"/>
    <w:rsid w:val="0005426C"/>
    <w:rsid w:val="000545FE"/>
    <w:rsid w:val="00054C76"/>
    <w:rsid w:val="00054D83"/>
    <w:rsid w:val="00055052"/>
    <w:rsid w:val="000553BE"/>
    <w:rsid w:val="00056337"/>
    <w:rsid w:val="000568CB"/>
    <w:rsid w:val="00056E5B"/>
    <w:rsid w:val="00057E33"/>
    <w:rsid w:val="000612FF"/>
    <w:rsid w:val="00061946"/>
    <w:rsid w:val="00063736"/>
    <w:rsid w:val="00064822"/>
    <w:rsid w:val="000657E6"/>
    <w:rsid w:val="00065B01"/>
    <w:rsid w:val="00066113"/>
    <w:rsid w:val="000668AB"/>
    <w:rsid w:val="000719E0"/>
    <w:rsid w:val="000724E5"/>
    <w:rsid w:val="00072502"/>
    <w:rsid w:val="00072618"/>
    <w:rsid w:val="000727D8"/>
    <w:rsid w:val="000729E6"/>
    <w:rsid w:val="00072D00"/>
    <w:rsid w:val="00073159"/>
    <w:rsid w:val="00073AD7"/>
    <w:rsid w:val="00073D59"/>
    <w:rsid w:val="000744CA"/>
    <w:rsid w:val="000745C6"/>
    <w:rsid w:val="000776A4"/>
    <w:rsid w:val="00077D43"/>
    <w:rsid w:val="00082D6F"/>
    <w:rsid w:val="00083812"/>
    <w:rsid w:val="00086D90"/>
    <w:rsid w:val="00087CC9"/>
    <w:rsid w:val="00090493"/>
    <w:rsid w:val="00090DC2"/>
    <w:rsid w:val="00091121"/>
    <w:rsid w:val="000918A6"/>
    <w:rsid w:val="000924A6"/>
    <w:rsid w:val="0009307D"/>
    <w:rsid w:val="00094665"/>
    <w:rsid w:val="00095E4A"/>
    <w:rsid w:val="00095E98"/>
    <w:rsid w:val="000A0E47"/>
    <w:rsid w:val="000A1401"/>
    <w:rsid w:val="000A1A4E"/>
    <w:rsid w:val="000A1C5D"/>
    <w:rsid w:val="000A1DC7"/>
    <w:rsid w:val="000A21F7"/>
    <w:rsid w:val="000A2C9D"/>
    <w:rsid w:val="000A3428"/>
    <w:rsid w:val="000A4B2B"/>
    <w:rsid w:val="000A7385"/>
    <w:rsid w:val="000B090C"/>
    <w:rsid w:val="000B0BF3"/>
    <w:rsid w:val="000B1D05"/>
    <w:rsid w:val="000B2649"/>
    <w:rsid w:val="000B283C"/>
    <w:rsid w:val="000B4DEC"/>
    <w:rsid w:val="000B5C2B"/>
    <w:rsid w:val="000B6023"/>
    <w:rsid w:val="000B6928"/>
    <w:rsid w:val="000B6FBD"/>
    <w:rsid w:val="000C00D6"/>
    <w:rsid w:val="000C016A"/>
    <w:rsid w:val="000C043A"/>
    <w:rsid w:val="000C107D"/>
    <w:rsid w:val="000C1F75"/>
    <w:rsid w:val="000C3D5B"/>
    <w:rsid w:val="000C50B9"/>
    <w:rsid w:val="000C61C8"/>
    <w:rsid w:val="000C6E2A"/>
    <w:rsid w:val="000C7016"/>
    <w:rsid w:val="000C7467"/>
    <w:rsid w:val="000C7AC8"/>
    <w:rsid w:val="000C7DC1"/>
    <w:rsid w:val="000D15E1"/>
    <w:rsid w:val="000D2176"/>
    <w:rsid w:val="000D22D2"/>
    <w:rsid w:val="000D261B"/>
    <w:rsid w:val="000D2B14"/>
    <w:rsid w:val="000D2ED5"/>
    <w:rsid w:val="000D3D5A"/>
    <w:rsid w:val="000D4350"/>
    <w:rsid w:val="000D4CED"/>
    <w:rsid w:val="000D504C"/>
    <w:rsid w:val="000D525D"/>
    <w:rsid w:val="000D593B"/>
    <w:rsid w:val="000D5B54"/>
    <w:rsid w:val="000D5B80"/>
    <w:rsid w:val="000D61C7"/>
    <w:rsid w:val="000D6604"/>
    <w:rsid w:val="000D69AA"/>
    <w:rsid w:val="000D73D2"/>
    <w:rsid w:val="000E091B"/>
    <w:rsid w:val="000E0B7D"/>
    <w:rsid w:val="000E0CB6"/>
    <w:rsid w:val="000E26F8"/>
    <w:rsid w:val="000E2B20"/>
    <w:rsid w:val="000E2BB8"/>
    <w:rsid w:val="000E3A28"/>
    <w:rsid w:val="000E3B4F"/>
    <w:rsid w:val="000E3F09"/>
    <w:rsid w:val="000E42CA"/>
    <w:rsid w:val="000E5EB0"/>
    <w:rsid w:val="000E6258"/>
    <w:rsid w:val="000E6B61"/>
    <w:rsid w:val="000E6C4F"/>
    <w:rsid w:val="000E77A2"/>
    <w:rsid w:val="000E7C26"/>
    <w:rsid w:val="000E7D2D"/>
    <w:rsid w:val="000F18BB"/>
    <w:rsid w:val="000F3B11"/>
    <w:rsid w:val="000F4B3E"/>
    <w:rsid w:val="000F4FD6"/>
    <w:rsid w:val="000F5450"/>
    <w:rsid w:val="000F5915"/>
    <w:rsid w:val="000F707A"/>
    <w:rsid w:val="00100E8C"/>
    <w:rsid w:val="00100FC3"/>
    <w:rsid w:val="001019F2"/>
    <w:rsid w:val="00102A53"/>
    <w:rsid w:val="00102F41"/>
    <w:rsid w:val="00103D1C"/>
    <w:rsid w:val="00104BD3"/>
    <w:rsid w:val="00104E51"/>
    <w:rsid w:val="00105E35"/>
    <w:rsid w:val="00106D3A"/>
    <w:rsid w:val="001070E6"/>
    <w:rsid w:val="00107854"/>
    <w:rsid w:val="00110FFA"/>
    <w:rsid w:val="001114FA"/>
    <w:rsid w:val="001117D9"/>
    <w:rsid w:val="0011246F"/>
    <w:rsid w:val="00113E0A"/>
    <w:rsid w:val="00113F06"/>
    <w:rsid w:val="0011401C"/>
    <w:rsid w:val="001141FE"/>
    <w:rsid w:val="00114B3B"/>
    <w:rsid w:val="00115835"/>
    <w:rsid w:val="00115917"/>
    <w:rsid w:val="00115AD7"/>
    <w:rsid w:val="00116712"/>
    <w:rsid w:val="00116D5A"/>
    <w:rsid w:val="001171E5"/>
    <w:rsid w:val="00117408"/>
    <w:rsid w:val="0011750E"/>
    <w:rsid w:val="001175A3"/>
    <w:rsid w:val="001218D7"/>
    <w:rsid w:val="00122DDA"/>
    <w:rsid w:val="00123438"/>
    <w:rsid w:val="001235D1"/>
    <w:rsid w:val="0012365F"/>
    <w:rsid w:val="00123D3B"/>
    <w:rsid w:val="00123FF3"/>
    <w:rsid w:val="0012417B"/>
    <w:rsid w:val="00126276"/>
    <w:rsid w:val="0012726E"/>
    <w:rsid w:val="00127B88"/>
    <w:rsid w:val="00131190"/>
    <w:rsid w:val="0013155C"/>
    <w:rsid w:val="00133B7D"/>
    <w:rsid w:val="001340DC"/>
    <w:rsid w:val="001360AF"/>
    <w:rsid w:val="001365BF"/>
    <w:rsid w:val="001368BE"/>
    <w:rsid w:val="00137202"/>
    <w:rsid w:val="0013785A"/>
    <w:rsid w:val="00137B1E"/>
    <w:rsid w:val="00137BCF"/>
    <w:rsid w:val="00140B1C"/>
    <w:rsid w:val="00141717"/>
    <w:rsid w:val="00142017"/>
    <w:rsid w:val="00142776"/>
    <w:rsid w:val="0014279B"/>
    <w:rsid w:val="00143143"/>
    <w:rsid w:val="001435A6"/>
    <w:rsid w:val="00143844"/>
    <w:rsid w:val="001438C9"/>
    <w:rsid w:val="00143B16"/>
    <w:rsid w:val="001441D8"/>
    <w:rsid w:val="00145913"/>
    <w:rsid w:val="00145C46"/>
    <w:rsid w:val="00145C6D"/>
    <w:rsid w:val="00146983"/>
    <w:rsid w:val="00147390"/>
    <w:rsid w:val="00147A22"/>
    <w:rsid w:val="0015021C"/>
    <w:rsid w:val="001507C9"/>
    <w:rsid w:val="001507E1"/>
    <w:rsid w:val="0015207F"/>
    <w:rsid w:val="00152444"/>
    <w:rsid w:val="00153264"/>
    <w:rsid w:val="00153B48"/>
    <w:rsid w:val="00153B67"/>
    <w:rsid w:val="00154395"/>
    <w:rsid w:val="00154415"/>
    <w:rsid w:val="0015489F"/>
    <w:rsid w:val="00155012"/>
    <w:rsid w:val="00155A1E"/>
    <w:rsid w:val="0015710D"/>
    <w:rsid w:val="00157274"/>
    <w:rsid w:val="00157D79"/>
    <w:rsid w:val="00160095"/>
    <w:rsid w:val="001615B3"/>
    <w:rsid w:val="00161D23"/>
    <w:rsid w:val="00162BBF"/>
    <w:rsid w:val="001630FC"/>
    <w:rsid w:val="00163312"/>
    <w:rsid w:val="00163AE0"/>
    <w:rsid w:val="00164FF2"/>
    <w:rsid w:val="00165EAE"/>
    <w:rsid w:val="00165EC1"/>
    <w:rsid w:val="0016650F"/>
    <w:rsid w:val="00166A3F"/>
    <w:rsid w:val="0016721A"/>
    <w:rsid w:val="00167489"/>
    <w:rsid w:val="0016748A"/>
    <w:rsid w:val="00170197"/>
    <w:rsid w:val="001708F1"/>
    <w:rsid w:val="00170F79"/>
    <w:rsid w:val="0017164C"/>
    <w:rsid w:val="0017213A"/>
    <w:rsid w:val="00172980"/>
    <w:rsid w:val="00172A8B"/>
    <w:rsid w:val="00172C25"/>
    <w:rsid w:val="001730CB"/>
    <w:rsid w:val="001739E8"/>
    <w:rsid w:val="00173B79"/>
    <w:rsid w:val="00173FFC"/>
    <w:rsid w:val="00175830"/>
    <w:rsid w:val="00176EEE"/>
    <w:rsid w:val="001807F9"/>
    <w:rsid w:val="001811D1"/>
    <w:rsid w:val="001836BD"/>
    <w:rsid w:val="0018379D"/>
    <w:rsid w:val="001842D7"/>
    <w:rsid w:val="00185D5B"/>
    <w:rsid w:val="001867C9"/>
    <w:rsid w:val="00187839"/>
    <w:rsid w:val="001914D9"/>
    <w:rsid w:val="00192D5B"/>
    <w:rsid w:val="00193813"/>
    <w:rsid w:val="00193AE7"/>
    <w:rsid w:val="00193FF3"/>
    <w:rsid w:val="00195C69"/>
    <w:rsid w:val="00195D59"/>
    <w:rsid w:val="00197311"/>
    <w:rsid w:val="00197A86"/>
    <w:rsid w:val="001A0030"/>
    <w:rsid w:val="001A0605"/>
    <w:rsid w:val="001A1181"/>
    <w:rsid w:val="001A127E"/>
    <w:rsid w:val="001A28BA"/>
    <w:rsid w:val="001A2BE4"/>
    <w:rsid w:val="001A2DA5"/>
    <w:rsid w:val="001A30CF"/>
    <w:rsid w:val="001A4284"/>
    <w:rsid w:val="001A50C6"/>
    <w:rsid w:val="001A5A85"/>
    <w:rsid w:val="001A619F"/>
    <w:rsid w:val="001A6595"/>
    <w:rsid w:val="001A78A7"/>
    <w:rsid w:val="001A7E49"/>
    <w:rsid w:val="001B1011"/>
    <w:rsid w:val="001B1751"/>
    <w:rsid w:val="001B2487"/>
    <w:rsid w:val="001B3FAA"/>
    <w:rsid w:val="001B4266"/>
    <w:rsid w:val="001B467F"/>
    <w:rsid w:val="001B491F"/>
    <w:rsid w:val="001B4D7D"/>
    <w:rsid w:val="001B5D90"/>
    <w:rsid w:val="001B5E9B"/>
    <w:rsid w:val="001B71FA"/>
    <w:rsid w:val="001B75B1"/>
    <w:rsid w:val="001C019E"/>
    <w:rsid w:val="001C113A"/>
    <w:rsid w:val="001C216E"/>
    <w:rsid w:val="001C2618"/>
    <w:rsid w:val="001C6AC1"/>
    <w:rsid w:val="001C7551"/>
    <w:rsid w:val="001D0177"/>
    <w:rsid w:val="001D022F"/>
    <w:rsid w:val="001D0FB3"/>
    <w:rsid w:val="001D29EA"/>
    <w:rsid w:val="001D3C7F"/>
    <w:rsid w:val="001D4AA7"/>
    <w:rsid w:val="001D57B1"/>
    <w:rsid w:val="001D58DB"/>
    <w:rsid w:val="001D5ACE"/>
    <w:rsid w:val="001D5B66"/>
    <w:rsid w:val="001D6AA0"/>
    <w:rsid w:val="001D6B79"/>
    <w:rsid w:val="001D6D04"/>
    <w:rsid w:val="001D6F14"/>
    <w:rsid w:val="001D7813"/>
    <w:rsid w:val="001D7994"/>
    <w:rsid w:val="001D7B5A"/>
    <w:rsid w:val="001E0DF4"/>
    <w:rsid w:val="001E1397"/>
    <w:rsid w:val="001E1986"/>
    <w:rsid w:val="001E21B9"/>
    <w:rsid w:val="001E22B8"/>
    <w:rsid w:val="001E2429"/>
    <w:rsid w:val="001E24C0"/>
    <w:rsid w:val="001E34B4"/>
    <w:rsid w:val="001E6D3A"/>
    <w:rsid w:val="001E6EBC"/>
    <w:rsid w:val="001E6F06"/>
    <w:rsid w:val="001E722B"/>
    <w:rsid w:val="001E778B"/>
    <w:rsid w:val="001E7C5A"/>
    <w:rsid w:val="001E7DC6"/>
    <w:rsid w:val="001F126A"/>
    <w:rsid w:val="001F15B7"/>
    <w:rsid w:val="001F2EE3"/>
    <w:rsid w:val="001F3A13"/>
    <w:rsid w:val="001F43F2"/>
    <w:rsid w:val="001F5407"/>
    <w:rsid w:val="001F56A5"/>
    <w:rsid w:val="001F643A"/>
    <w:rsid w:val="001F70FF"/>
    <w:rsid w:val="00200426"/>
    <w:rsid w:val="00201BD8"/>
    <w:rsid w:val="002021C0"/>
    <w:rsid w:val="00202AEC"/>
    <w:rsid w:val="00202D19"/>
    <w:rsid w:val="00202EB2"/>
    <w:rsid w:val="00203AB1"/>
    <w:rsid w:val="0020544A"/>
    <w:rsid w:val="00205B1A"/>
    <w:rsid w:val="00206DB8"/>
    <w:rsid w:val="0020704D"/>
    <w:rsid w:val="00207C35"/>
    <w:rsid w:val="00210169"/>
    <w:rsid w:val="00211643"/>
    <w:rsid w:val="00212817"/>
    <w:rsid w:val="00212AB4"/>
    <w:rsid w:val="00213189"/>
    <w:rsid w:val="002132EF"/>
    <w:rsid w:val="002134BB"/>
    <w:rsid w:val="00213710"/>
    <w:rsid w:val="00213981"/>
    <w:rsid w:val="0021430C"/>
    <w:rsid w:val="002143F9"/>
    <w:rsid w:val="00215919"/>
    <w:rsid w:val="00216177"/>
    <w:rsid w:val="002167C7"/>
    <w:rsid w:val="00217D0D"/>
    <w:rsid w:val="00220440"/>
    <w:rsid w:val="0022055B"/>
    <w:rsid w:val="00220BF9"/>
    <w:rsid w:val="00220C46"/>
    <w:rsid w:val="0022138D"/>
    <w:rsid w:val="0022181B"/>
    <w:rsid w:val="00221DED"/>
    <w:rsid w:val="00222C43"/>
    <w:rsid w:val="00222D77"/>
    <w:rsid w:val="00222F9D"/>
    <w:rsid w:val="0022346D"/>
    <w:rsid w:val="00223BC4"/>
    <w:rsid w:val="00224264"/>
    <w:rsid w:val="0022426F"/>
    <w:rsid w:val="002245EA"/>
    <w:rsid w:val="0022462F"/>
    <w:rsid w:val="00224DB7"/>
    <w:rsid w:val="00224F1A"/>
    <w:rsid w:val="002254BF"/>
    <w:rsid w:val="0023229A"/>
    <w:rsid w:val="00234245"/>
    <w:rsid w:val="0023506F"/>
    <w:rsid w:val="002355BA"/>
    <w:rsid w:val="00235CA6"/>
    <w:rsid w:val="00237013"/>
    <w:rsid w:val="00240364"/>
    <w:rsid w:val="00241A63"/>
    <w:rsid w:val="00242E2C"/>
    <w:rsid w:val="002430B4"/>
    <w:rsid w:val="002445E5"/>
    <w:rsid w:val="00244A70"/>
    <w:rsid w:val="002450E7"/>
    <w:rsid w:val="00245DE9"/>
    <w:rsid w:val="00245E25"/>
    <w:rsid w:val="002471B5"/>
    <w:rsid w:val="00250436"/>
    <w:rsid w:val="00250DA1"/>
    <w:rsid w:val="0025234F"/>
    <w:rsid w:val="002527BE"/>
    <w:rsid w:val="00254B17"/>
    <w:rsid w:val="002561DD"/>
    <w:rsid w:val="0025734F"/>
    <w:rsid w:val="002613B0"/>
    <w:rsid w:val="0026177B"/>
    <w:rsid w:val="00262444"/>
    <w:rsid w:val="00263942"/>
    <w:rsid w:val="00263960"/>
    <w:rsid w:val="00263A2F"/>
    <w:rsid w:val="00264D89"/>
    <w:rsid w:val="002660ED"/>
    <w:rsid w:val="00266570"/>
    <w:rsid w:val="00266772"/>
    <w:rsid w:val="00266B6A"/>
    <w:rsid w:val="00266BDC"/>
    <w:rsid w:val="00270600"/>
    <w:rsid w:val="00270693"/>
    <w:rsid w:val="00271752"/>
    <w:rsid w:val="002721E8"/>
    <w:rsid w:val="00273643"/>
    <w:rsid w:val="00273AD2"/>
    <w:rsid w:val="00275A19"/>
    <w:rsid w:val="00275BBC"/>
    <w:rsid w:val="00276414"/>
    <w:rsid w:val="0027649E"/>
    <w:rsid w:val="00276E86"/>
    <w:rsid w:val="002809DB"/>
    <w:rsid w:val="00282574"/>
    <w:rsid w:val="00283362"/>
    <w:rsid w:val="0028359A"/>
    <w:rsid w:val="00283671"/>
    <w:rsid w:val="00283BE8"/>
    <w:rsid w:val="002853ED"/>
    <w:rsid w:val="00285DE6"/>
    <w:rsid w:val="00285F76"/>
    <w:rsid w:val="002864E2"/>
    <w:rsid w:val="00286E05"/>
    <w:rsid w:val="002877FE"/>
    <w:rsid w:val="00291BCC"/>
    <w:rsid w:val="00291F75"/>
    <w:rsid w:val="0029237D"/>
    <w:rsid w:val="00292735"/>
    <w:rsid w:val="00292B66"/>
    <w:rsid w:val="00292C0D"/>
    <w:rsid w:val="00292EEE"/>
    <w:rsid w:val="00294F91"/>
    <w:rsid w:val="00295004"/>
    <w:rsid w:val="00295B2D"/>
    <w:rsid w:val="00296DCB"/>
    <w:rsid w:val="0029743F"/>
    <w:rsid w:val="00297B8A"/>
    <w:rsid w:val="002A02B0"/>
    <w:rsid w:val="002A08CD"/>
    <w:rsid w:val="002A0F4F"/>
    <w:rsid w:val="002A15E3"/>
    <w:rsid w:val="002A23A7"/>
    <w:rsid w:val="002A2497"/>
    <w:rsid w:val="002A32E9"/>
    <w:rsid w:val="002A445B"/>
    <w:rsid w:val="002A4AFC"/>
    <w:rsid w:val="002A4D9F"/>
    <w:rsid w:val="002A53F1"/>
    <w:rsid w:val="002A5445"/>
    <w:rsid w:val="002A5AEE"/>
    <w:rsid w:val="002B0175"/>
    <w:rsid w:val="002B0E51"/>
    <w:rsid w:val="002B17D0"/>
    <w:rsid w:val="002B26FE"/>
    <w:rsid w:val="002B29A6"/>
    <w:rsid w:val="002B35C1"/>
    <w:rsid w:val="002B67A9"/>
    <w:rsid w:val="002B7605"/>
    <w:rsid w:val="002B7ACD"/>
    <w:rsid w:val="002C0192"/>
    <w:rsid w:val="002C02FA"/>
    <w:rsid w:val="002C0320"/>
    <w:rsid w:val="002C0648"/>
    <w:rsid w:val="002C0E50"/>
    <w:rsid w:val="002C0FE4"/>
    <w:rsid w:val="002C1194"/>
    <w:rsid w:val="002C14D3"/>
    <w:rsid w:val="002C2BDB"/>
    <w:rsid w:val="002C343A"/>
    <w:rsid w:val="002C3944"/>
    <w:rsid w:val="002C39A3"/>
    <w:rsid w:val="002C3E23"/>
    <w:rsid w:val="002C4DA8"/>
    <w:rsid w:val="002C4F3B"/>
    <w:rsid w:val="002C5FFD"/>
    <w:rsid w:val="002C7EA3"/>
    <w:rsid w:val="002D163C"/>
    <w:rsid w:val="002D1DB3"/>
    <w:rsid w:val="002D2253"/>
    <w:rsid w:val="002D2C20"/>
    <w:rsid w:val="002D3731"/>
    <w:rsid w:val="002D421C"/>
    <w:rsid w:val="002D422F"/>
    <w:rsid w:val="002D5275"/>
    <w:rsid w:val="002D56DD"/>
    <w:rsid w:val="002D588A"/>
    <w:rsid w:val="002D5CDF"/>
    <w:rsid w:val="002D702C"/>
    <w:rsid w:val="002D7508"/>
    <w:rsid w:val="002D774A"/>
    <w:rsid w:val="002D7C3A"/>
    <w:rsid w:val="002E08AC"/>
    <w:rsid w:val="002E1424"/>
    <w:rsid w:val="002E1E0F"/>
    <w:rsid w:val="002E211E"/>
    <w:rsid w:val="002E2B44"/>
    <w:rsid w:val="002E2E63"/>
    <w:rsid w:val="002E3078"/>
    <w:rsid w:val="002E46A2"/>
    <w:rsid w:val="002E46E1"/>
    <w:rsid w:val="002E4FDC"/>
    <w:rsid w:val="002E569D"/>
    <w:rsid w:val="002E59CB"/>
    <w:rsid w:val="002E68A9"/>
    <w:rsid w:val="002E69E0"/>
    <w:rsid w:val="002E6C48"/>
    <w:rsid w:val="002E7C18"/>
    <w:rsid w:val="002F057E"/>
    <w:rsid w:val="002F29CC"/>
    <w:rsid w:val="002F408E"/>
    <w:rsid w:val="002F65EA"/>
    <w:rsid w:val="002F7780"/>
    <w:rsid w:val="002F77A5"/>
    <w:rsid w:val="002F7B84"/>
    <w:rsid w:val="002F7CF2"/>
    <w:rsid w:val="002F7F49"/>
    <w:rsid w:val="003005FB"/>
    <w:rsid w:val="0030312E"/>
    <w:rsid w:val="00303CED"/>
    <w:rsid w:val="0030431E"/>
    <w:rsid w:val="00305590"/>
    <w:rsid w:val="0030613D"/>
    <w:rsid w:val="003073F8"/>
    <w:rsid w:val="00310311"/>
    <w:rsid w:val="003107FF"/>
    <w:rsid w:val="00312123"/>
    <w:rsid w:val="00313DF5"/>
    <w:rsid w:val="0031624F"/>
    <w:rsid w:val="00316362"/>
    <w:rsid w:val="00316C28"/>
    <w:rsid w:val="00320FBF"/>
    <w:rsid w:val="00323818"/>
    <w:rsid w:val="00323A21"/>
    <w:rsid w:val="00324711"/>
    <w:rsid w:val="00324760"/>
    <w:rsid w:val="00324C10"/>
    <w:rsid w:val="0032511F"/>
    <w:rsid w:val="003261FE"/>
    <w:rsid w:val="00326215"/>
    <w:rsid w:val="003269C1"/>
    <w:rsid w:val="00327443"/>
    <w:rsid w:val="00327601"/>
    <w:rsid w:val="00327C6F"/>
    <w:rsid w:val="0033062D"/>
    <w:rsid w:val="00330D7F"/>
    <w:rsid w:val="003310A8"/>
    <w:rsid w:val="003315B6"/>
    <w:rsid w:val="003317CE"/>
    <w:rsid w:val="0033230D"/>
    <w:rsid w:val="00333179"/>
    <w:rsid w:val="0033317A"/>
    <w:rsid w:val="003331D0"/>
    <w:rsid w:val="00334296"/>
    <w:rsid w:val="003346AC"/>
    <w:rsid w:val="00334CE4"/>
    <w:rsid w:val="00334FE0"/>
    <w:rsid w:val="00335690"/>
    <w:rsid w:val="00337095"/>
    <w:rsid w:val="00337512"/>
    <w:rsid w:val="00341AD0"/>
    <w:rsid w:val="0034253F"/>
    <w:rsid w:val="0034393F"/>
    <w:rsid w:val="00344F7A"/>
    <w:rsid w:val="00347B12"/>
    <w:rsid w:val="00350992"/>
    <w:rsid w:val="003511DA"/>
    <w:rsid w:val="003511DE"/>
    <w:rsid w:val="003516C7"/>
    <w:rsid w:val="003534A2"/>
    <w:rsid w:val="00353669"/>
    <w:rsid w:val="00353735"/>
    <w:rsid w:val="0035382C"/>
    <w:rsid w:val="00353B2A"/>
    <w:rsid w:val="00353F0D"/>
    <w:rsid w:val="00354A5D"/>
    <w:rsid w:val="0035550B"/>
    <w:rsid w:val="003563BC"/>
    <w:rsid w:val="00356EC8"/>
    <w:rsid w:val="00360588"/>
    <w:rsid w:val="003609AA"/>
    <w:rsid w:val="00361332"/>
    <w:rsid w:val="003615A2"/>
    <w:rsid w:val="00361EB0"/>
    <w:rsid w:val="0036232E"/>
    <w:rsid w:val="00362E03"/>
    <w:rsid w:val="003643F4"/>
    <w:rsid w:val="00364C80"/>
    <w:rsid w:val="00364F75"/>
    <w:rsid w:val="0036548C"/>
    <w:rsid w:val="0036691F"/>
    <w:rsid w:val="0036705F"/>
    <w:rsid w:val="00371000"/>
    <w:rsid w:val="00372276"/>
    <w:rsid w:val="003727E2"/>
    <w:rsid w:val="00372EDD"/>
    <w:rsid w:val="00374D84"/>
    <w:rsid w:val="003752C1"/>
    <w:rsid w:val="00375810"/>
    <w:rsid w:val="00376DF5"/>
    <w:rsid w:val="00377DD5"/>
    <w:rsid w:val="00377E50"/>
    <w:rsid w:val="0038316D"/>
    <w:rsid w:val="00383255"/>
    <w:rsid w:val="003835A4"/>
    <w:rsid w:val="00385848"/>
    <w:rsid w:val="00387BDC"/>
    <w:rsid w:val="003906DE"/>
    <w:rsid w:val="0039108A"/>
    <w:rsid w:val="003920CC"/>
    <w:rsid w:val="0039216D"/>
    <w:rsid w:val="0039280D"/>
    <w:rsid w:val="00395770"/>
    <w:rsid w:val="00395B58"/>
    <w:rsid w:val="00395ED9"/>
    <w:rsid w:val="0039618A"/>
    <w:rsid w:val="00396515"/>
    <w:rsid w:val="003966E8"/>
    <w:rsid w:val="0039682E"/>
    <w:rsid w:val="0039708D"/>
    <w:rsid w:val="003A04C7"/>
    <w:rsid w:val="003A0DDE"/>
    <w:rsid w:val="003A1175"/>
    <w:rsid w:val="003A1E8B"/>
    <w:rsid w:val="003A2658"/>
    <w:rsid w:val="003A2D26"/>
    <w:rsid w:val="003A482B"/>
    <w:rsid w:val="003A4A90"/>
    <w:rsid w:val="003A4EEE"/>
    <w:rsid w:val="003A5759"/>
    <w:rsid w:val="003A6346"/>
    <w:rsid w:val="003A6718"/>
    <w:rsid w:val="003A7907"/>
    <w:rsid w:val="003A7AE2"/>
    <w:rsid w:val="003B0EE1"/>
    <w:rsid w:val="003B1689"/>
    <w:rsid w:val="003B1FEB"/>
    <w:rsid w:val="003B2AF5"/>
    <w:rsid w:val="003B2BF2"/>
    <w:rsid w:val="003B2D40"/>
    <w:rsid w:val="003B4156"/>
    <w:rsid w:val="003B4C98"/>
    <w:rsid w:val="003B5654"/>
    <w:rsid w:val="003B670A"/>
    <w:rsid w:val="003B75D8"/>
    <w:rsid w:val="003B7F02"/>
    <w:rsid w:val="003B7F5F"/>
    <w:rsid w:val="003C077D"/>
    <w:rsid w:val="003C14C9"/>
    <w:rsid w:val="003C16FC"/>
    <w:rsid w:val="003C231E"/>
    <w:rsid w:val="003C24C0"/>
    <w:rsid w:val="003C2F9F"/>
    <w:rsid w:val="003C30EB"/>
    <w:rsid w:val="003C367F"/>
    <w:rsid w:val="003C39C6"/>
    <w:rsid w:val="003C3C6C"/>
    <w:rsid w:val="003C56AC"/>
    <w:rsid w:val="003C5A35"/>
    <w:rsid w:val="003C7FFE"/>
    <w:rsid w:val="003D042F"/>
    <w:rsid w:val="003D08B2"/>
    <w:rsid w:val="003D0B21"/>
    <w:rsid w:val="003D1F1A"/>
    <w:rsid w:val="003D28D9"/>
    <w:rsid w:val="003D29EE"/>
    <w:rsid w:val="003D29F9"/>
    <w:rsid w:val="003D3AD9"/>
    <w:rsid w:val="003D3C12"/>
    <w:rsid w:val="003D451E"/>
    <w:rsid w:val="003D56A5"/>
    <w:rsid w:val="003D5BFD"/>
    <w:rsid w:val="003E1229"/>
    <w:rsid w:val="003E17E8"/>
    <w:rsid w:val="003E2026"/>
    <w:rsid w:val="003E2239"/>
    <w:rsid w:val="003E249A"/>
    <w:rsid w:val="003E2C26"/>
    <w:rsid w:val="003E2E2F"/>
    <w:rsid w:val="003E3A12"/>
    <w:rsid w:val="003E43EF"/>
    <w:rsid w:val="003E46F7"/>
    <w:rsid w:val="003E4FB6"/>
    <w:rsid w:val="003E5342"/>
    <w:rsid w:val="003E571C"/>
    <w:rsid w:val="003E6518"/>
    <w:rsid w:val="003E6680"/>
    <w:rsid w:val="003E6803"/>
    <w:rsid w:val="003F09D2"/>
    <w:rsid w:val="003F2F88"/>
    <w:rsid w:val="003F43E5"/>
    <w:rsid w:val="003F4779"/>
    <w:rsid w:val="003F4846"/>
    <w:rsid w:val="003F50EB"/>
    <w:rsid w:val="003F6A01"/>
    <w:rsid w:val="003F7586"/>
    <w:rsid w:val="003F764F"/>
    <w:rsid w:val="003F7A71"/>
    <w:rsid w:val="004015A1"/>
    <w:rsid w:val="0040256E"/>
    <w:rsid w:val="00402E24"/>
    <w:rsid w:val="00403362"/>
    <w:rsid w:val="004034DA"/>
    <w:rsid w:val="004034E5"/>
    <w:rsid w:val="0040367D"/>
    <w:rsid w:val="00404738"/>
    <w:rsid w:val="00405729"/>
    <w:rsid w:val="00406E0F"/>
    <w:rsid w:val="00407B6B"/>
    <w:rsid w:val="00407CCF"/>
    <w:rsid w:val="004116E8"/>
    <w:rsid w:val="00411939"/>
    <w:rsid w:val="00412A4F"/>
    <w:rsid w:val="0041374A"/>
    <w:rsid w:val="00415B76"/>
    <w:rsid w:val="00415E67"/>
    <w:rsid w:val="004168F9"/>
    <w:rsid w:val="00416DDD"/>
    <w:rsid w:val="00417DA4"/>
    <w:rsid w:val="00420A13"/>
    <w:rsid w:val="00423315"/>
    <w:rsid w:val="004233F6"/>
    <w:rsid w:val="0042357D"/>
    <w:rsid w:val="00424CCA"/>
    <w:rsid w:val="0042518B"/>
    <w:rsid w:val="0042531B"/>
    <w:rsid w:val="00425ADE"/>
    <w:rsid w:val="004266A5"/>
    <w:rsid w:val="00426E58"/>
    <w:rsid w:val="00426ECC"/>
    <w:rsid w:val="00427AFC"/>
    <w:rsid w:val="00432F6B"/>
    <w:rsid w:val="0043357F"/>
    <w:rsid w:val="00435C12"/>
    <w:rsid w:val="00435D5E"/>
    <w:rsid w:val="00436FD0"/>
    <w:rsid w:val="004400FD"/>
    <w:rsid w:val="004405A9"/>
    <w:rsid w:val="004405E4"/>
    <w:rsid w:val="00441600"/>
    <w:rsid w:val="0044316E"/>
    <w:rsid w:val="004435F1"/>
    <w:rsid w:val="00443670"/>
    <w:rsid w:val="00443D09"/>
    <w:rsid w:val="00445751"/>
    <w:rsid w:val="00445A88"/>
    <w:rsid w:val="004468A6"/>
    <w:rsid w:val="00447182"/>
    <w:rsid w:val="00447BFF"/>
    <w:rsid w:val="004507FE"/>
    <w:rsid w:val="00451681"/>
    <w:rsid w:val="00451BAA"/>
    <w:rsid w:val="004528D2"/>
    <w:rsid w:val="00453030"/>
    <w:rsid w:val="004552D1"/>
    <w:rsid w:val="00456110"/>
    <w:rsid w:val="004565C2"/>
    <w:rsid w:val="0045702D"/>
    <w:rsid w:val="00460187"/>
    <w:rsid w:val="00460313"/>
    <w:rsid w:val="00460C22"/>
    <w:rsid w:val="0046144D"/>
    <w:rsid w:val="00461A84"/>
    <w:rsid w:val="00462DB3"/>
    <w:rsid w:val="00463219"/>
    <w:rsid w:val="00463E9C"/>
    <w:rsid w:val="00464FAB"/>
    <w:rsid w:val="0047110C"/>
    <w:rsid w:val="004717F1"/>
    <w:rsid w:val="004735B3"/>
    <w:rsid w:val="004736AD"/>
    <w:rsid w:val="00473DC7"/>
    <w:rsid w:val="004740B2"/>
    <w:rsid w:val="0047448E"/>
    <w:rsid w:val="00475255"/>
    <w:rsid w:val="004756E2"/>
    <w:rsid w:val="00476576"/>
    <w:rsid w:val="004802E3"/>
    <w:rsid w:val="0048063B"/>
    <w:rsid w:val="004806E4"/>
    <w:rsid w:val="0048109D"/>
    <w:rsid w:val="004837B2"/>
    <w:rsid w:val="004843EA"/>
    <w:rsid w:val="00484852"/>
    <w:rsid w:val="00486168"/>
    <w:rsid w:val="00486458"/>
    <w:rsid w:val="00486C59"/>
    <w:rsid w:val="00486E3B"/>
    <w:rsid w:val="00487901"/>
    <w:rsid w:val="00487A14"/>
    <w:rsid w:val="004919F1"/>
    <w:rsid w:val="00491D9F"/>
    <w:rsid w:val="00492C5D"/>
    <w:rsid w:val="00493235"/>
    <w:rsid w:val="00494C73"/>
    <w:rsid w:val="004951F2"/>
    <w:rsid w:val="004955A8"/>
    <w:rsid w:val="004955BF"/>
    <w:rsid w:val="00497623"/>
    <w:rsid w:val="00497F30"/>
    <w:rsid w:val="004A0F25"/>
    <w:rsid w:val="004A4B1A"/>
    <w:rsid w:val="004A5099"/>
    <w:rsid w:val="004A59E3"/>
    <w:rsid w:val="004A6F17"/>
    <w:rsid w:val="004B0549"/>
    <w:rsid w:val="004B05D4"/>
    <w:rsid w:val="004B0A69"/>
    <w:rsid w:val="004B0D4E"/>
    <w:rsid w:val="004B1157"/>
    <w:rsid w:val="004B1400"/>
    <w:rsid w:val="004B2B08"/>
    <w:rsid w:val="004B2C53"/>
    <w:rsid w:val="004B301B"/>
    <w:rsid w:val="004B37AC"/>
    <w:rsid w:val="004B4453"/>
    <w:rsid w:val="004B51A7"/>
    <w:rsid w:val="004B5701"/>
    <w:rsid w:val="004B586F"/>
    <w:rsid w:val="004B5E58"/>
    <w:rsid w:val="004B6037"/>
    <w:rsid w:val="004B65C4"/>
    <w:rsid w:val="004B66DE"/>
    <w:rsid w:val="004B75D7"/>
    <w:rsid w:val="004B7D46"/>
    <w:rsid w:val="004B7EB4"/>
    <w:rsid w:val="004C03F0"/>
    <w:rsid w:val="004C133A"/>
    <w:rsid w:val="004C2EC6"/>
    <w:rsid w:val="004C3AA5"/>
    <w:rsid w:val="004C43DD"/>
    <w:rsid w:val="004C4639"/>
    <w:rsid w:val="004C466B"/>
    <w:rsid w:val="004C5271"/>
    <w:rsid w:val="004C66D7"/>
    <w:rsid w:val="004C6FF6"/>
    <w:rsid w:val="004C718F"/>
    <w:rsid w:val="004C77A8"/>
    <w:rsid w:val="004D00C6"/>
    <w:rsid w:val="004D035A"/>
    <w:rsid w:val="004D0959"/>
    <w:rsid w:val="004D106F"/>
    <w:rsid w:val="004D1294"/>
    <w:rsid w:val="004D214E"/>
    <w:rsid w:val="004D2BE6"/>
    <w:rsid w:val="004D2F5A"/>
    <w:rsid w:val="004D310F"/>
    <w:rsid w:val="004D3D83"/>
    <w:rsid w:val="004D4565"/>
    <w:rsid w:val="004D47B6"/>
    <w:rsid w:val="004D4D2E"/>
    <w:rsid w:val="004D56AD"/>
    <w:rsid w:val="004D5D39"/>
    <w:rsid w:val="004D6603"/>
    <w:rsid w:val="004D6FB7"/>
    <w:rsid w:val="004D7B6D"/>
    <w:rsid w:val="004E067D"/>
    <w:rsid w:val="004E1651"/>
    <w:rsid w:val="004E2113"/>
    <w:rsid w:val="004E2755"/>
    <w:rsid w:val="004E2953"/>
    <w:rsid w:val="004E2AD4"/>
    <w:rsid w:val="004E2D30"/>
    <w:rsid w:val="004E3184"/>
    <w:rsid w:val="004E5111"/>
    <w:rsid w:val="004E535C"/>
    <w:rsid w:val="004E61F6"/>
    <w:rsid w:val="004E62E5"/>
    <w:rsid w:val="004E6BD2"/>
    <w:rsid w:val="004E75A3"/>
    <w:rsid w:val="004E7AC5"/>
    <w:rsid w:val="004E7DD9"/>
    <w:rsid w:val="004F0AA6"/>
    <w:rsid w:val="004F233B"/>
    <w:rsid w:val="004F2A27"/>
    <w:rsid w:val="004F2A35"/>
    <w:rsid w:val="004F2F54"/>
    <w:rsid w:val="004F38FF"/>
    <w:rsid w:val="004F3D5F"/>
    <w:rsid w:val="004F3FB2"/>
    <w:rsid w:val="004F41AB"/>
    <w:rsid w:val="004F4942"/>
    <w:rsid w:val="004F4CBD"/>
    <w:rsid w:val="004F736F"/>
    <w:rsid w:val="004F74CD"/>
    <w:rsid w:val="00501F86"/>
    <w:rsid w:val="005022D1"/>
    <w:rsid w:val="005024DB"/>
    <w:rsid w:val="00502CE1"/>
    <w:rsid w:val="00502F7F"/>
    <w:rsid w:val="00503A1A"/>
    <w:rsid w:val="00503CE4"/>
    <w:rsid w:val="00503F49"/>
    <w:rsid w:val="00504132"/>
    <w:rsid w:val="005041CF"/>
    <w:rsid w:val="005042C2"/>
    <w:rsid w:val="005044D5"/>
    <w:rsid w:val="0050499F"/>
    <w:rsid w:val="00505A3F"/>
    <w:rsid w:val="00505D0E"/>
    <w:rsid w:val="00506B7E"/>
    <w:rsid w:val="005073F7"/>
    <w:rsid w:val="00510140"/>
    <w:rsid w:val="005115DC"/>
    <w:rsid w:val="00511C4B"/>
    <w:rsid w:val="0051260A"/>
    <w:rsid w:val="005128A5"/>
    <w:rsid w:val="0051452F"/>
    <w:rsid w:val="00516425"/>
    <w:rsid w:val="00520BF3"/>
    <w:rsid w:val="00521E7B"/>
    <w:rsid w:val="00523677"/>
    <w:rsid w:val="0052393D"/>
    <w:rsid w:val="00523E13"/>
    <w:rsid w:val="0052466C"/>
    <w:rsid w:val="005247E6"/>
    <w:rsid w:val="005253C0"/>
    <w:rsid w:val="00526B06"/>
    <w:rsid w:val="0052700D"/>
    <w:rsid w:val="00530893"/>
    <w:rsid w:val="0053120C"/>
    <w:rsid w:val="005319FD"/>
    <w:rsid w:val="005331B4"/>
    <w:rsid w:val="00534950"/>
    <w:rsid w:val="00535AC2"/>
    <w:rsid w:val="00535CFD"/>
    <w:rsid w:val="00536030"/>
    <w:rsid w:val="00536959"/>
    <w:rsid w:val="00536A6B"/>
    <w:rsid w:val="00536AE4"/>
    <w:rsid w:val="00536CB8"/>
    <w:rsid w:val="00537248"/>
    <w:rsid w:val="00540386"/>
    <w:rsid w:val="00540803"/>
    <w:rsid w:val="00540E8E"/>
    <w:rsid w:val="005417DE"/>
    <w:rsid w:val="00541C1D"/>
    <w:rsid w:val="00542BB2"/>
    <w:rsid w:val="00542E40"/>
    <w:rsid w:val="00543833"/>
    <w:rsid w:val="00543BC1"/>
    <w:rsid w:val="00545575"/>
    <w:rsid w:val="005458AC"/>
    <w:rsid w:val="00545DAA"/>
    <w:rsid w:val="0054605E"/>
    <w:rsid w:val="0054741D"/>
    <w:rsid w:val="00547F50"/>
    <w:rsid w:val="00551CD8"/>
    <w:rsid w:val="005525AC"/>
    <w:rsid w:val="005525FC"/>
    <w:rsid w:val="0055272D"/>
    <w:rsid w:val="00552D92"/>
    <w:rsid w:val="005540C1"/>
    <w:rsid w:val="005548F2"/>
    <w:rsid w:val="00556C83"/>
    <w:rsid w:val="005570D1"/>
    <w:rsid w:val="00560106"/>
    <w:rsid w:val="00560628"/>
    <w:rsid w:val="00560805"/>
    <w:rsid w:val="00560E85"/>
    <w:rsid w:val="00562BC7"/>
    <w:rsid w:val="0056354C"/>
    <w:rsid w:val="00563BB4"/>
    <w:rsid w:val="005643D3"/>
    <w:rsid w:val="00565253"/>
    <w:rsid w:val="00565E69"/>
    <w:rsid w:val="00566149"/>
    <w:rsid w:val="005679C1"/>
    <w:rsid w:val="0057179F"/>
    <w:rsid w:val="00571901"/>
    <w:rsid w:val="00571DF6"/>
    <w:rsid w:val="0057217C"/>
    <w:rsid w:val="00572ADB"/>
    <w:rsid w:val="005733DA"/>
    <w:rsid w:val="0057473F"/>
    <w:rsid w:val="00574A59"/>
    <w:rsid w:val="00575040"/>
    <w:rsid w:val="00577571"/>
    <w:rsid w:val="00580D1A"/>
    <w:rsid w:val="00580D77"/>
    <w:rsid w:val="00581DE8"/>
    <w:rsid w:val="00582BB9"/>
    <w:rsid w:val="00582F0E"/>
    <w:rsid w:val="00583F69"/>
    <w:rsid w:val="005843CC"/>
    <w:rsid w:val="00584535"/>
    <w:rsid w:val="00584961"/>
    <w:rsid w:val="005854E1"/>
    <w:rsid w:val="0058557A"/>
    <w:rsid w:val="00585664"/>
    <w:rsid w:val="00585A3A"/>
    <w:rsid w:val="00585C5F"/>
    <w:rsid w:val="00586A37"/>
    <w:rsid w:val="00586CB8"/>
    <w:rsid w:val="00586F48"/>
    <w:rsid w:val="00587400"/>
    <w:rsid w:val="00587CC9"/>
    <w:rsid w:val="00590198"/>
    <w:rsid w:val="005901FE"/>
    <w:rsid w:val="00590807"/>
    <w:rsid w:val="00591BAC"/>
    <w:rsid w:val="0059358A"/>
    <w:rsid w:val="00594ABE"/>
    <w:rsid w:val="0059577B"/>
    <w:rsid w:val="00596271"/>
    <w:rsid w:val="005965B4"/>
    <w:rsid w:val="005973BA"/>
    <w:rsid w:val="0059753B"/>
    <w:rsid w:val="005A03E5"/>
    <w:rsid w:val="005A226E"/>
    <w:rsid w:val="005A291C"/>
    <w:rsid w:val="005A35C4"/>
    <w:rsid w:val="005A3BA1"/>
    <w:rsid w:val="005A418D"/>
    <w:rsid w:val="005A448F"/>
    <w:rsid w:val="005A4CA3"/>
    <w:rsid w:val="005A5041"/>
    <w:rsid w:val="005A51F0"/>
    <w:rsid w:val="005A53AB"/>
    <w:rsid w:val="005A6583"/>
    <w:rsid w:val="005A66F7"/>
    <w:rsid w:val="005A6955"/>
    <w:rsid w:val="005A752E"/>
    <w:rsid w:val="005B0780"/>
    <w:rsid w:val="005B0DBA"/>
    <w:rsid w:val="005B1541"/>
    <w:rsid w:val="005B287A"/>
    <w:rsid w:val="005B2A6B"/>
    <w:rsid w:val="005B366E"/>
    <w:rsid w:val="005B409D"/>
    <w:rsid w:val="005B50DB"/>
    <w:rsid w:val="005B54E9"/>
    <w:rsid w:val="005B59D1"/>
    <w:rsid w:val="005B6251"/>
    <w:rsid w:val="005B6BB3"/>
    <w:rsid w:val="005B75CA"/>
    <w:rsid w:val="005B7A8A"/>
    <w:rsid w:val="005C01CA"/>
    <w:rsid w:val="005C0EAC"/>
    <w:rsid w:val="005C15DD"/>
    <w:rsid w:val="005C1777"/>
    <w:rsid w:val="005C1963"/>
    <w:rsid w:val="005C2A68"/>
    <w:rsid w:val="005C3FD6"/>
    <w:rsid w:val="005C3FF4"/>
    <w:rsid w:val="005C5149"/>
    <w:rsid w:val="005C5565"/>
    <w:rsid w:val="005C5D13"/>
    <w:rsid w:val="005C5F1B"/>
    <w:rsid w:val="005C6072"/>
    <w:rsid w:val="005C6778"/>
    <w:rsid w:val="005C7880"/>
    <w:rsid w:val="005D0475"/>
    <w:rsid w:val="005D0869"/>
    <w:rsid w:val="005D0954"/>
    <w:rsid w:val="005D0C1D"/>
    <w:rsid w:val="005D0D54"/>
    <w:rsid w:val="005D1600"/>
    <w:rsid w:val="005D16CD"/>
    <w:rsid w:val="005D2303"/>
    <w:rsid w:val="005D24F9"/>
    <w:rsid w:val="005D2CAD"/>
    <w:rsid w:val="005D384E"/>
    <w:rsid w:val="005D3D4E"/>
    <w:rsid w:val="005D3EB5"/>
    <w:rsid w:val="005D4188"/>
    <w:rsid w:val="005D41AE"/>
    <w:rsid w:val="005D526B"/>
    <w:rsid w:val="005D5D9F"/>
    <w:rsid w:val="005D5E65"/>
    <w:rsid w:val="005D7700"/>
    <w:rsid w:val="005D7769"/>
    <w:rsid w:val="005E08BD"/>
    <w:rsid w:val="005E0CDF"/>
    <w:rsid w:val="005E2858"/>
    <w:rsid w:val="005E2FB3"/>
    <w:rsid w:val="005E334D"/>
    <w:rsid w:val="005E3460"/>
    <w:rsid w:val="005E39E6"/>
    <w:rsid w:val="005E3B79"/>
    <w:rsid w:val="005E3E1C"/>
    <w:rsid w:val="005E4848"/>
    <w:rsid w:val="005E53CC"/>
    <w:rsid w:val="005E5736"/>
    <w:rsid w:val="005E5F40"/>
    <w:rsid w:val="005E710B"/>
    <w:rsid w:val="005E7374"/>
    <w:rsid w:val="005E7E72"/>
    <w:rsid w:val="005F0115"/>
    <w:rsid w:val="005F06DE"/>
    <w:rsid w:val="005F143C"/>
    <w:rsid w:val="005F2277"/>
    <w:rsid w:val="005F355C"/>
    <w:rsid w:val="005F39DC"/>
    <w:rsid w:val="005F4626"/>
    <w:rsid w:val="005F61A8"/>
    <w:rsid w:val="005F639F"/>
    <w:rsid w:val="00600C81"/>
    <w:rsid w:val="00603D8D"/>
    <w:rsid w:val="00604AC1"/>
    <w:rsid w:val="00604DED"/>
    <w:rsid w:val="00605E70"/>
    <w:rsid w:val="00606058"/>
    <w:rsid w:val="00606C1D"/>
    <w:rsid w:val="006076F9"/>
    <w:rsid w:val="00610546"/>
    <w:rsid w:val="00610A96"/>
    <w:rsid w:val="00612797"/>
    <w:rsid w:val="00612843"/>
    <w:rsid w:val="00612A2F"/>
    <w:rsid w:val="00612D07"/>
    <w:rsid w:val="00613321"/>
    <w:rsid w:val="00613838"/>
    <w:rsid w:val="00613989"/>
    <w:rsid w:val="00613EEA"/>
    <w:rsid w:val="006147DE"/>
    <w:rsid w:val="00614B1F"/>
    <w:rsid w:val="006151C9"/>
    <w:rsid w:val="00615937"/>
    <w:rsid w:val="00615C04"/>
    <w:rsid w:val="00615CD1"/>
    <w:rsid w:val="0061692F"/>
    <w:rsid w:val="00616B15"/>
    <w:rsid w:val="006174DB"/>
    <w:rsid w:val="00620197"/>
    <w:rsid w:val="006202B8"/>
    <w:rsid w:val="00620952"/>
    <w:rsid w:val="00621CF3"/>
    <w:rsid w:val="00623490"/>
    <w:rsid w:val="006240C6"/>
    <w:rsid w:val="00624A3B"/>
    <w:rsid w:val="00625279"/>
    <w:rsid w:val="00625CF2"/>
    <w:rsid w:val="00625E43"/>
    <w:rsid w:val="00625EB6"/>
    <w:rsid w:val="006269B9"/>
    <w:rsid w:val="00627D75"/>
    <w:rsid w:val="00630098"/>
    <w:rsid w:val="006312D9"/>
    <w:rsid w:val="00631525"/>
    <w:rsid w:val="006315B7"/>
    <w:rsid w:val="006318B8"/>
    <w:rsid w:val="00631B05"/>
    <w:rsid w:val="00631F53"/>
    <w:rsid w:val="00633372"/>
    <w:rsid w:val="00633BE9"/>
    <w:rsid w:val="006349D9"/>
    <w:rsid w:val="006358D3"/>
    <w:rsid w:val="006358E9"/>
    <w:rsid w:val="00635BB4"/>
    <w:rsid w:val="006366D9"/>
    <w:rsid w:val="00636968"/>
    <w:rsid w:val="006369B4"/>
    <w:rsid w:val="00637D0A"/>
    <w:rsid w:val="00637D5C"/>
    <w:rsid w:val="00640592"/>
    <w:rsid w:val="00641386"/>
    <w:rsid w:val="00642F2A"/>
    <w:rsid w:val="006430C6"/>
    <w:rsid w:val="006431F2"/>
    <w:rsid w:val="00645CC0"/>
    <w:rsid w:val="00645DAA"/>
    <w:rsid w:val="00647255"/>
    <w:rsid w:val="006478B9"/>
    <w:rsid w:val="0065164A"/>
    <w:rsid w:val="00652EC1"/>
    <w:rsid w:val="00652EEA"/>
    <w:rsid w:val="006530DF"/>
    <w:rsid w:val="00653CBD"/>
    <w:rsid w:val="006541FE"/>
    <w:rsid w:val="00654548"/>
    <w:rsid w:val="00654702"/>
    <w:rsid w:val="00655CDD"/>
    <w:rsid w:val="00655E4D"/>
    <w:rsid w:val="00656259"/>
    <w:rsid w:val="006562B9"/>
    <w:rsid w:val="0065670B"/>
    <w:rsid w:val="0065749C"/>
    <w:rsid w:val="00657B1B"/>
    <w:rsid w:val="00660AE1"/>
    <w:rsid w:val="0066193D"/>
    <w:rsid w:val="00663AF7"/>
    <w:rsid w:val="00663E33"/>
    <w:rsid w:val="00664C3A"/>
    <w:rsid w:val="00664CC2"/>
    <w:rsid w:val="00665521"/>
    <w:rsid w:val="0066696C"/>
    <w:rsid w:val="00670B9A"/>
    <w:rsid w:val="00671E55"/>
    <w:rsid w:val="00672253"/>
    <w:rsid w:val="006739E2"/>
    <w:rsid w:val="00674A23"/>
    <w:rsid w:val="00674EC9"/>
    <w:rsid w:val="00675EF9"/>
    <w:rsid w:val="00676CC5"/>
    <w:rsid w:val="00676D1E"/>
    <w:rsid w:val="006806FC"/>
    <w:rsid w:val="006824E6"/>
    <w:rsid w:val="00682854"/>
    <w:rsid w:val="00682B2C"/>
    <w:rsid w:val="0068365F"/>
    <w:rsid w:val="0068431C"/>
    <w:rsid w:val="00685281"/>
    <w:rsid w:val="00687AF2"/>
    <w:rsid w:val="00687C7E"/>
    <w:rsid w:val="00687F63"/>
    <w:rsid w:val="006901F6"/>
    <w:rsid w:val="0069217C"/>
    <w:rsid w:val="006923A5"/>
    <w:rsid w:val="00692CDF"/>
    <w:rsid w:val="00693780"/>
    <w:rsid w:val="00693F7C"/>
    <w:rsid w:val="00694C51"/>
    <w:rsid w:val="00695CF5"/>
    <w:rsid w:val="00695FBB"/>
    <w:rsid w:val="0069797B"/>
    <w:rsid w:val="006A17FB"/>
    <w:rsid w:val="006A1B8A"/>
    <w:rsid w:val="006A1BED"/>
    <w:rsid w:val="006A315C"/>
    <w:rsid w:val="006A3227"/>
    <w:rsid w:val="006A48F4"/>
    <w:rsid w:val="006A4A54"/>
    <w:rsid w:val="006A4E61"/>
    <w:rsid w:val="006A4ED2"/>
    <w:rsid w:val="006A54F0"/>
    <w:rsid w:val="006A56C4"/>
    <w:rsid w:val="006A57F7"/>
    <w:rsid w:val="006A6122"/>
    <w:rsid w:val="006A61C8"/>
    <w:rsid w:val="006A6508"/>
    <w:rsid w:val="006A69A2"/>
    <w:rsid w:val="006A6B60"/>
    <w:rsid w:val="006A7848"/>
    <w:rsid w:val="006A7F7C"/>
    <w:rsid w:val="006B02BF"/>
    <w:rsid w:val="006B0657"/>
    <w:rsid w:val="006B1401"/>
    <w:rsid w:val="006B1F1D"/>
    <w:rsid w:val="006B2110"/>
    <w:rsid w:val="006B4276"/>
    <w:rsid w:val="006B4DDA"/>
    <w:rsid w:val="006B7336"/>
    <w:rsid w:val="006B770C"/>
    <w:rsid w:val="006C0414"/>
    <w:rsid w:val="006C055F"/>
    <w:rsid w:val="006C05FB"/>
    <w:rsid w:val="006C1284"/>
    <w:rsid w:val="006C1ABA"/>
    <w:rsid w:val="006C1DF7"/>
    <w:rsid w:val="006C2F21"/>
    <w:rsid w:val="006C3219"/>
    <w:rsid w:val="006C368C"/>
    <w:rsid w:val="006C40D3"/>
    <w:rsid w:val="006C4947"/>
    <w:rsid w:val="006C59B3"/>
    <w:rsid w:val="006C5CC9"/>
    <w:rsid w:val="006C5DBA"/>
    <w:rsid w:val="006C670B"/>
    <w:rsid w:val="006C70D2"/>
    <w:rsid w:val="006C7AAF"/>
    <w:rsid w:val="006D0ACF"/>
    <w:rsid w:val="006D1320"/>
    <w:rsid w:val="006D1987"/>
    <w:rsid w:val="006D42E9"/>
    <w:rsid w:val="006D490E"/>
    <w:rsid w:val="006D4CF0"/>
    <w:rsid w:val="006D532B"/>
    <w:rsid w:val="006D5B21"/>
    <w:rsid w:val="006D5F5B"/>
    <w:rsid w:val="006D615D"/>
    <w:rsid w:val="006D61E3"/>
    <w:rsid w:val="006D6A18"/>
    <w:rsid w:val="006D6AFF"/>
    <w:rsid w:val="006D7E71"/>
    <w:rsid w:val="006E0D3E"/>
    <w:rsid w:val="006E14C1"/>
    <w:rsid w:val="006E199F"/>
    <w:rsid w:val="006E1B37"/>
    <w:rsid w:val="006E2505"/>
    <w:rsid w:val="006E4086"/>
    <w:rsid w:val="006E417B"/>
    <w:rsid w:val="006E4CCD"/>
    <w:rsid w:val="006E4EC1"/>
    <w:rsid w:val="006E6FAF"/>
    <w:rsid w:val="006E7B6D"/>
    <w:rsid w:val="006F0B21"/>
    <w:rsid w:val="006F23FA"/>
    <w:rsid w:val="006F323D"/>
    <w:rsid w:val="006F3AE3"/>
    <w:rsid w:val="006F412A"/>
    <w:rsid w:val="006F441F"/>
    <w:rsid w:val="006F4D2B"/>
    <w:rsid w:val="006F70DC"/>
    <w:rsid w:val="006F74C5"/>
    <w:rsid w:val="006F76C1"/>
    <w:rsid w:val="00701399"/>
    <w:rsid w:val="0070148F"/>
    <w:rsid w:val="0070187E"/>
    <w:rsid w:val="007045B4"/>
    <w:rsid w:val="00704E79"/>
    <w:rsid w:val="0070537F"/>
    <w:rsid w:val="007054B0"/>
    <w:rsid w:val="007061A2"/>
    <w:rsid w:val="007064BE"/>
    <w:rsid w:val="00706B21"/>
    <w:rsid w:val="007073A8"/>
    <w:rsid w:val="0070792B"/>
    <w:rsid w:val="00707BDD"/>
    <w:rsid w:val="007107AA"/>
    <w:rsid w:val="00711CD2"/>
    <w:rsid w:val="007121B2"/>
    <w:rsid w:val="0071367B"/>
    <w:rsid w:val="00713C25"/>
    <w:rsid w:val="007145A0"/>
    <w:rsid w:val="00715264"/>
    <w:rsid w:val="00716E38"/>
    <w:rsid w:val="00717595"/>
    <w:rsid w:val="0072045C"/>
    <w:rsid w:val="00722D37"/>
    <w:rsid w:val="007236AC"/>
    <w:rsid w:val="00723CFA"/>
    <w:rsid w:val="0072406D"/>
    <w:rsid w:val="00724594"/>
    <w:rsid w:val="0072500B"/>
    <w:rsid w:val="00725B3C"/>
    <w:rsid w:val="00727A63"/>
    <w:rsid w:val="00727E68"/>
    <w:rsid w:val="00727F2D"/>
    <w:rsid w:val="0073050C"/>
    <w:rsid w:val="00730634"/>
    <w:rsid w:val="00730B47"/>
    <w:rsid w:val="00730D7F"/>
    <w:rsid w:val="00731795"/>
    <w:rsid w:val="007337E2"/>
    <w:rsid w:val="007353BB"/>
    <w:rsid w:val="007353C2"/>
    <w:rsid w:val="007356D2"/>
    <w:rsid w:val="007357C5"/>
    <w:rsid w:val="0073691B"/>
    <w:rsid w:val="00736FEA"/>
    <w:rsid w:val="00737202"/>
    <w:rsid w:val="0074118C"/>
    <w:rsid w:val="00742CF5"/>
    <w:rsid w:val="00743797"/>
    <w:rsid w:val="0074521F"/>
    <w:rsid w:val="00746444"/>
    <w:rsid w:val="007468CD"/>
    <w:rsid w:val="00746ABE"/>
    <w:rsid w:val="00746E8A"/>
    <w:rsid w:val="00747717"/>
    <w:rsid w:val="00750E27"/>
    <w:rsid w:val="007511DF"/>
    <w:rsid w:val="00753319"/>
    <w:rsid w:val="00754FC3"/>
    <w:rsid w:val="007563AA"/>
    <w:rsid w:val="007563EF"/>
    <w:rsid w:val="0075750E"/>
    <w:rsid w:val="007627D7"/>
    <w:rsid w:val="007629C8"/>
    <w:rsid w:val="00763141"/>
    <w:rsid w:val="00763169"/>
    <w:rsid w:val="0076358F"/>
    <w:rsid w:val="00763A86"/>
    <w:rsid w:val="00764B83"/>
    <w:rsid w:val="00766302"/>
    <w:rsid w:val="0076656B"/>
    <w:rsid w:val="00767797"/>
    <w:rsid w:val="00767811"/>
    <w:rsid w:val="007705E2"/>
    <w:rsid w:val="00770B3E"/>
    <w:rsid w:val="007711D8"/>
    <w:rsid w:val="007723E0"/>
    <w:rsid w:val="0077297D"/>
    <w:rsid w:val="0077358C"/>
    <w:rsid w:val="00773C7B"/>
    <w:rsid w:val="00773E17"/>
    <w:rsid w:val="00775A5A"/>
    <w:rsid w:val="00775B58"/>
    <w:rsid w:val="00775C9D"/>
    <w:rsid w:val="00775EE0"/>
    <w:rsid w:val="00777877"/>
    <w:rsid w:val="00777C25"/>
    <w:rsid w:val="00780615"/>
    <w:rsid w:val="00780832"/>
    <w:rsid w:val="007808F5"/>
    <w:rsid w:val="00781BBE"/>
    <w:rsid w:val="00782201"/>
    <w:rsid w:val="00782E48"/>
    <w:rsid w:val="00783303"/>
    <w:rsid w:val="00783366"/>
    <w:rsid w:val="007838F1"/>
    <w:rsid w:val="00784CB3"/>
    <w:rsid w:val="00785313"/>
    <w:rsid w:val="00785D07"/>
    <w:rsid w:val="007860CC"/>
    <w:rsid w:val="0078643D"/>
    <w:rsid w:val="0078653F"/>
    <w:rsid w:val="007878B8"/>
    <w:rsid w:val="00787F72"/>
    <w:rsid w:val="00790D6C"/>
    <w:rsid w:val="00791F4A"/>
    <w:rsid w:val="0079271B"/>
    <w:rsid w:val="00792FEE"/>
    <w:rsid w:val="007932BC"/>
    <w:rsid w:val="00793C5C"/>
    <w:rsid w:val="00793CE5"/>
    <w:rsid w:val="00796BD8"/>
    <w:rsid w:val="00797773"/>
    <w:rsid w:val="00797A31"/>
    <w:rsid w:val="007A03FB"/>
    <w:rsid w:val="007A0400"/>
    <w:rsid w:val="007A04E3"/>
    <w:rsid w:val="007A04FF"/>
    <w:rsid w:val="007A0B7E"/>
    <w:rsid w:val="007A0BB8"/>
    <w:rsid w:val="007A0F64"/>
    <w:rsid w:val="007A16AD"/>
    <w:rsid w:val="007A28C3"/>
    <w:rsid w:val="007A2AF9"/>
    <w:rsid w:val="007A33A8"/>
    <w:rsid w:val="007A392B"/>
    <w:rsid w:val="007A3AF5"/>
    <w:rsid w:val="007A44D5"/>
    <w:rsid w:val="007A5366"/>
    <w:rsid w:val="007A636D"/>
    <w:rsid w:val="007B0611"/>
    <w:rsid w:val="007B222A"/>
    <w:rsid w:val="007B31E8"/>
    <w:rsid w:val="007B33CD"/>
    <w:rsid w:val="007B4EC9"/>
    <w:rsid w:val="007B4FD9"/>
    <w:rsid w:val="007B508A"/>
    <w:rsid w:val="007B5FF8"/>
    <w:rsid w:val="007B693E"/>
    <w:rsid w:val="007B7A18"/>
    <w:rsid w:val="007B7A61"/>
    <w:rsid w:val="007C0D79"/>
    <w:rsid w:val="007C1027"/>
    <w:rsid w:val="007C14FA"/>
    <w:rsid w:val="007C439D"/>
    <w:rsid w:val="007C459E"/>
    <w:rsid w:val="007C4677"/>
    <w:rsid w:val="007C4750"/>
    <w:rsid w:val="007C52A1"/>
    <w:rsid w:val="007C5D3B"/>
    <w:rsid w:val="007C6CB2"/>
    <w:rsid w:val="007C6FDB"/>
    <w:rsid w:val="007C7018"/>
    <w:rsid w:val="007C7C06"/>
    <w:rsid w:val="007D0BCE"/>
    <w:rsid w:val="007D20F2"/>
    <w:rsid w:val="007D2AFE"/>
    <w:rsid w:val="007D3CD2"/>
    <w:rsid w:val="007D3E92"/>
    <w:rsid w:val="007D4529"/>
    <w:rsid w:val="007D5973"/>
    <w:rsid w:val="007D668B"/>
    <w:rsid w:val="007E07FB"/>
    <w:rsid w:val="007E0C90"/>
    <w:rsid w:val="007E0F01"/>
    <w:rsid w:val="007E1240"/>
    <w:rsid w:val="007E12F8"/>
    <w:rsid w:val="007E1F27"/>
    <w:rsid w:val="007E3145"/>
    <w:rsid w:val="007E33BE"/>
    <w:rsid w:val="007E56CF"/>
    <w:rsid w:val="007E64A9"/>
    <w:rsid w:val="007E6F75"/>
    <w:rsid w:val="007E7315"/>
    <w:rsid w:val="007F03C3"/>
    <w:rsid w:val="007F12F3"/>
    <w:rsid w:val="007F2151"/>
    <w:rsid w:val="007F216F"/>
    <w:rsid w:val="007F30D2"/>
    <w:rsid w:val="007F563D"/>
    <w:rsid w:val="007F7C42"/>
    <w:rsid w:val="00800749"/>
    <w:rsid w:val="00801051"/>
    <w:rsid w:val="008019C6"/>
    <w:rsid w:val="00802430"/>
    <w:rsid w:val="00802E48"/>
    <w:rsid w:val="00804C53"/>
    <w:rsid w:val="008061E7"/>
    <w:rsid w:val="0080663A"/>
    <w:rsid w:val="008068D7"/>
    <w:rsid w:val="00807035"/>
    <w:rsid w:val="008072E2"/>
    <w:rsid w:val="00814F74"/>
    <w:rsid w:val="00820948"/>
    <w:rsid w:val="00820EC0"/>
    <w:rsid w:val="0082150B"/>
    <w:rsid w:val="00821838"/>
    <w:rsid w:val="0082265C"/>
    <w:rsid w:val="00824ABB"/>
    <w:rsid w:val="00824E15"/>
    <w:rsid w:val="00825431"/>
    <w:rsid w:val="008307F5"/>
    <w:rsid w:val="00830B09"/>
    <w:rsid w:val="00830C9D"/>
    <w:rsid w:val="00831024"/>
    <w:rsid w:val="008322D9"/>
    <w:rsid w:val="00833315"/>
    <w:rsid w:val="00833C93"/>
    <w:rsid w:val="0083413D"/>
    <w:rsid w:val="008361DE"/>
    <w:rsid w:val="00836781"/>
    <w:rsid w:val="008372BD"/>
    <w:rsid w:val="0084044A"/>
    <w:rsid w:val="00840F3F"/>
    <w:rsid w:val="00840F68"/>
    <w:rsid w:val="00841D72"/>
    <w:rsid w:val="008422D4"/>
    <w:rsid w:val="008433AC"/>
    <w:rsid w:val="008440AE"/>
    <w:rsid w:val="0084537C"/>
    <w:rsid w:val="0084556C"/>
    <w:rsid w:val="00845AC5"/>
    <w:rsid w:val="00845DA3"/>
    <w:rsid w:val="00846CF4"/>
    <w:rsid w:val="00846DD7"/>
    <w:rsid w:val="0084781C"/>
    <w:rsid w:val="0084796D"/>
    <w:rsid w:val="00847D70"/>
    <w:rsid w:val="008514B9"/>
    <w:rsid w:val="0085174B"/>
    <w:rsid w:val="0085349F"/>
    <w:rsid w:val="008546A4"/>
    <w:rsid w:val="008547A4"/>
    <w:rsid w:val="008566A0"/>
    <w:rsid w:val="00856964"/>
    <w:rsid w:val="008569E9"/>
    <w:rsid w:val="00856BC7"/>
    <w:rsid w:val="00856D7B"/>
    <w:rsid w:val="008571E0"/>
    <w:rsid w:val="0085731F"/>
    <w:rsid w:val="008573CF"/>
    <w:rsid w:val="00857EBA"/>
    <w:rsid w:val="008622B6"/>
    <w:rsid w:val="00862593"/>
    <w:rsid w:val="0086355D"/>
    <w:rsid w:val="008644BA"/>
    <w:rsid w:val="0086456C"/>
    <w:rsid w:val="00864FA2"/>
    <w:rsid w:val="00865684"/>
    <w:rsid w:val="00865FD0"/>
    <w:rsid w:val="008660C4"/>
    <w:rsid w:val="00866BFC"/>
    <w:rsid w:val="00867029"/>
    <w:rsid w:val="008705B5"/>
    <w:rsid w:val="00870D5F"/>
    <w:rsid w:val="00870F73"/>
    <w:rsid w:val="008719F3"/>
    <w:rsid w:val="00871F38"/>
    <w:rsid w:val="00872C35"/>
    <w:rsid w:val="00873669"/>
    <w:rsid w:val="0087547E"/>
    <w:rsid w:val="0087549A"/>
    <w:rsid w:val="0087560F"/>
    <w:rsid w:val="008764EC"/>
    <w:rsid w:val="008775FA"/>
    <w:rsid w:val="0087773E"/>
    <w:rsid w:val="00881B63"/>
    <w:rsid w:val="00882D9C"/>
    <w:rsid w:val="00882F82"/>
    <w:rsid w:val="00883007"/>
    <w:rsid w:val="008843F6"/>
    <w:rsid w:val="00884DC3"/>
    <w:rsid w:val="00884F07"/>
    <w:rsid w:val="00885207"/>
    <w:rsid w:val="00885C64"/>
    <w:rsid w:val="00887941"/>
    <w:rsid w:val="00891303"/>
    <w:rsid w:val="00891EF1"/>
    <w:rsid w:val="0089296C"/>
    <w:rsid w:val="00892B50"/>
    <w:rsid w:val="00892CCB"/>
    <w:rsid w:val="00893284"/>
    <w:rsid w:val="0089391A"/>
    <w:rsid w:val="00893D9A"/>
    <w:rsid w:val="00895CF6"/>
    <w:rsid w:val="00895E33"/>
    <w:rsid w:val="0089609C"/>
    <w:rsid w:val="00896793"/>
    <w:rsid w:val="008A0B1D"/>
    <w:rsid w:val="008A282D"/>
    <w:rsid w:val="008A2DB0"/>
    <w:rsid w:val="008A46FA"/>
    <w:rsid w:val="008A47D8"/>
    <w:rsid w:val="008A4C0A"/>
    <w:rsid w:val="008A581D"/>
    <w:rsid w:val="008A5EC0"/>
    <w:rsid w:val="008A645A"/>
    <w:rsid w:val="008A6DC4"/>
    <w:rsid w:val="008A7E49"/>
    <w:rsid w:val="008A7F30"/>
    <w:rsid w:val="008B02BA"/>
    <w:rsid w:val="008B03A6"/>
    <w:rsid w:val="008B09EF"/>
    <w:rsid w:val="008B0B60"/>
    <w:rsid w:val="008B0FE9"/>
    <w:rsid w:val="008B106E"/>
    <w:rsid w:val="008B196E"/>
    <w:rsid w:val="008B28AD"/>
    <w:rsid w:val="008B2CF2"/>
    <w:rsid w:val="008B3E60"/>
    <w:rsid w:val="008B5D83"/>
    <w:rsid w:val="008B629E"/>
    <w:rsid w:val="008B6647"/>
    <w:rsid w:val="008B73BC"/>
    <w:rsid w:val="008B7458"/>
    <w:rsid w:val="008B7A6D"/>
    <w:rsid w:val="008C0B8C"/>
    <w:rsid w:val="008C1119"/>
    <w:rsid w:val="008C125B"/>
    <w:rsid w:val="008C19B4"/>
    <w:rsid w:val="008C2312"/>
    <w:rsid w:val="008C2821"/>
    <w:rsid w:val="008C2B99"/>
    <w:rsid w:val="008C3353"/>
    <w:rsid w:val="008C3BB7"/>
    <w:rsid w:val="008C41FC"/>
    <w:rsid w:val="008C42C1"/>
    <w:rsid w:val="008C450C"/>
    <w:rsid w:val="008C4935"/>
    <w:rsid w:val="008C4D29"/>
    <w:rsid w:val="008C4DF7"/>
    <w:rsid w:val="008C4E7F"/>
    <w:rsid w:val="008C5ED1"/>
    <w:rsid w:val="008C5FF7"/>
    <w:rsid w:val="008C7102"/>
    <w:rsid w:val="008C7987"/>
    <w:rsid w:val="008C7A39"/>
    <w:rsid w:val="008D0509"/>
    <w:rsid w:val="008D0F03"/>
    <w:rsid w:val="008D0FCB"/>
    <w:rsid w:val="008D1E91"/>
    <w:rsid w:val="008D1F9E"/>
    <w:rsid w:val="008D263B"/>
    <w:rsid w:val="008D2BD3"/>
    <w:rsid w:val="008D5B5C"/>
    <w:rsid w:val="008D6149"/>
    <w:rsid w:val="008D6248"/>
    <w:rsid w:val="008D68B3"/>
    <w:rsid w:val="008D6F9F"/>
    <w:rsid w:val="008D7512"/>
    <w:rsid w:val="008D7E71"/>
    <w:rsid w:val="008E03CC"/>
    <w:rsid w:val="008E0A61"/>
    <w:rsid w:val="008E0FC1"/>
    <w:rsid w:val="008E10A9"/>
    <w:rsid w:val="008E29F4"/>
    <w:rsid w:val="008E4D5E"/>
    <w:rsid w:val="008E51B9"/>
    <w:rsid w:val="008E52E9"/>
    <w:rsid w:val="008E530B"/>
    <w:rsid w:val="008E6DC3"/>
    <w:rsid w:val="008E6ED0"/>
    <w:rsid w:val="008E6FEB"/>
    <w:rsid w:val="008E76C7"/>
    <w:rsid w:val="008E774B"/>
    <w:rsid w:val="008E779B"/>
    <w:rsid w:val="008F0D31"/>
    <w:rsid w:val="008F1007"/>
    <w:rsid w:val="008F101F"/>
    <w:rsid w:val="008F469A"/>
    <w:rsid w:val="008F5231"/>
    <w:rsid w:val="008F5E3A"/>
    <w:rsid w:val="008F5EAB"/>
    <w:rsid w:val="008F640A"/>
    <w:rsid w:val="008F689A"/>
    <w:rsid w:val="008F75D5"/>
    <w:rsid w:val="008F77DF"/>
    <w:rsid w:val="008F7A55"/>
    <w:rsid w:val="009006A8"/>
    <w:rsid w:val="00900CB1"/>
    <w:rsid w:val="009029A5"/>
    <w:rsid w:val="00902BDC"/>
    <w:rsid w:val="00903047"/>
    <w:rsid w:val="00903DEC"/>
    <w:rsid w:val="00903F75"/>
    <w:rsid w:val="009046B8"/>
    <w:rsid w:val="00905778"/>
    <w:rsid w:val="009058B6"/>
    <w:rsid w:val="00905C6F"/>
    <w:rsid w:val="009063F0"/>
    <w:rsid w:val="00906AA8"/>
    <w:rsid w:val="00907582"/>
    <w:rsid w:val="00907AE5"/>
    <w:rsid w:val="00907AFB"/>
    <w:rsid w:val="009102A2"/>
    <w:rsid w:val="00910DD1"/>
    <w:rsid w:val="00911437"/>
    <w:rsid w:val="00911DD6"/>
    <w:rsid w:val="00911E34"/>
    <w:rsid w:val="009123AB"/>
    <w:rsid w:val="0091258F"/>
    <w:rsid w:val="0091290A"/>
    <w:rsid w:val="00912A46"/>
    <w:rsid w:val="00913531"/>
    <w:rsid w:val="00914626"/>
    <w:rsid w:val="00914F8B"/>
    <w:rsid w:val="0091557E"/>
    <w:rsid w:val="00916A6F"/>
    <w:rsid w:val="0091735F"/>
    <w:rsid w:val="0092009D"/>
    <w:rsid w:val="00920826"/>
    <w:rsid w:val="00920D7C"/>
    <w:rsid w:val="00920EFE"/>
    <w:rsid w:val="0092170D"/>
    <w:rsid w:val="009226CF"/>
    <w:rsid w:val="00923C97"/>
    <w:rsid w:val="009242E0"/>
    <w:rsid w:val="0092487E"/>
    <w:rsid w:val="0092557B"/>
    <w:rsid w:val="0092558E"/>
    <w:rsid w:val="00930C41"/>
    <w:rsid w:val="00931247"/>
    <w:rsid w:val="00931B6C"/>
    <w:rsid w:val="00931C37"/>
    <w:rsid w:val="009321CF"/>
    <w:rsid w:val="00932BEA"/>
    <w:rsid w:val="009332E9"/>
    <w:rsid w:val="009344BE"/>
    <w:rsid w:val="009348B0"/>
    <w:rsid w:val="00934DF1"/>
    <w:rsid w:val="00934E0D"/>
    <w:rsid w:val="00937ED7"/>
    <w:rsid w:val="00940803"/>
    <w:rsid w:val="009414B4"/>
    <w:rsid w:val="00941777"/>
    <w:rsid w:val="00941A23"/>
    <w:rsid w:val="00941A24"/>
    <w:rsid w:val="00941FE3"/>
    <w:rsid w:val="00942702"/>
    <w:rsid w:val="00942EE9"/>
    <w:rsid w:val="009431D9"/>
    <w:rsid w:val="00943493"/>
    <w:rsid w:val="00944BE6"/>
    <w:rsid w:val="00944C26"/>
    <w:rsid w:val="00944EF3"/>
    <w:rsid w:val="009450AA"/>
    <w:rsid w:val="00946892"/>
    <w:rsid w:val="00946B00"/>
    <w:rsid w:val="00946E5B"/>
    <w:rsid w:val="009473D4"/>
    <w:rsid w:val="00947915"/>
    <w:rsid w:val="00947A78"/>
    <w:rsid w:val="00947E6E"/>
    <w:rsid w:val="00947EBB"/>
    <w:rsid w:val="00950685"/>
    <w:rsid w:val="00951049"/>
    <w:rsid w:val="009511FF"/>
    <w:rsid w:val="00951C14"/>
    <w:rsid w:val="00953146"/>
    <w:rsid w:val="00953EA8"/>
    <w:rsid w:val="00954465"/>
    <w:rsid w:val="00954885"/>
    <w:rsid w:val="00954C88"/>
    <w:rsid w:val="00955C00"/>
    <w:rsid w:val="00956511"/>
    <w:rsid w:val="00957949"/>
    <w:rsid w:val="009609BF"/>
    <w:rsid w:val="00960AE9"/>
    <w:rsid w:val="00961BA5"/>
    <w:rsid w:val="00962A46"/>
    <w:rsid w:val="0096318B"/>
    <w:rsid w:val="00964950"/>
    <w:rsid w:val="00964C37"/>
    <w:rsid w:val="00965C5E"/>
    <w:rsid w:val="00966985"/>
    <w:rsid w:val="00966B37"/>
    <w:rsid w:val="00966D62"/>
    <w:rsid w:val="00967971"/>
    <w:rsid w:val="00967F86"/>
    <w:rsid w:val="009711A9"/>
    <w:rsid w:val="009713D8"/>
    <w:rsid w:val="0097179F"/>
    <w:rsid w:val="009725AA"/>
    <w:rsid w:val="00973636"/>
    <w:rsid w:val="00973648"/>
    <w:rsid w:val="0097455E"/>
    <w:rsid w:val="0097477B"/>
    <w:rsid w:val="00974D7E"/>
    <w:rsid w:val="00974EBC"/>
    <w:rsid w:val="00976F33"/>
    <w:rsid w:val="009771AC"/>
    <w:rsid w:val="009773FC"/>
    <w:rsid w:val="00980EFD"/>
    <w:rsid w:val="009817AE"/>
    <w:rsid w:val="00982B65"/>
    <w:rsid w:val="009842AB"/>
    <w:rsid w:val="009847B0"/>
    <w:rsid w:val="009851DE"/>
    <w:rsid w:val="009854B8"/>
    <w:rsid w:val="00985977"/>
    <w:rsid w:val="009861C6"/>
    <w:rsid w:val="00986583"/>
    <w:rsid w:val="00986988"/>
    <w:rsid w:val="00986C0F"/>
    <w:rsid w:val="00986C3B"/>
    <w:rsid w:val="009870B0"/>
    <w:rsid w:val="0098772D"/>
    <w:rsid w:val="00990C8F"/>
    <w:rsid w:val="00991100"/>
    <w:rsid w:val="0099156E"/>
    <w:rsid w:val="009915FF"/>
    <w:rsid w:val="0099204C"/>
    <w:rsid w:val="00992719"/>
    <w:rsid w:val="00994362"/>
    <w:rsid w:val="0099448B"/>
    <w:rsid w:val="00994BB3"/>
    <w:rsid w:val="009960EC"/>
    <w:rsid w:val="00996BCB"/>
    <w:rsid w:val="009A0515"/>
    <w:rsid w:val="009A0A0C"/>
    <w:rsid w:val="009A1A2B"/>
    <w:rsid w:val="009A1A4B"/>
    <w:rsid w:val="009A2F6C"/>
    <w:rsid w:val="009A370D"/>
    <w:rsid w:val="009A5287"/>
    <w:rsid w:val="009A566B"/>
    <w:rsid w:val="009A6826"/>
    <w:rsid w:val="009A7BB2"/>
    <w:rsid w:val="009A7C36"/>
    <w:rsid w:val="009B0CA4"/>
    <w:rsid w:val="009B1147"/>
    <w:rsid w:val="009B3630"/>
    <w:rsid w:val="009B3D15"/>
    <w:rsid w:val="009B48A8"/>
    <w:rsid w:val="009B48E8"/>
    <w:rsid w:val="009B52CD"/>
    <w:rsid w:val="009B550A"/>
    <w:rsid w:val="009B642D"/>
    <w:rsid w:val="009B68A7"/>
    <w:rsid w:val="009B6E9A"/>
    <w:rsid w:val="009B74AE"/>
    <w:rsid w:val="009B76E2"/>
    <w:rsid w:val="009B7D06"/>
    <w:rsid w:val="009C0252"/>
    <w:rsid w:val="009C0C78"/>
    <w:rsid w:val="009C2489"/>
    <w:rsid w:val="009C30F8"/>
    <w:rsid w:val="009C5183"/>
    <w:rsid w:val="009C5C2A"/>
    <w:rsid w:val="009C650D"/>
    <w:rsid w:val="009C75A5"/>
    <w:rsid w:val="009D0B6D"/>
    <w:rsid w:val="009D114B"/>
    <w:rsid w:val="009D186D"/>
    <w:rsid w:val="009D6840"/>
    <w:rsid w:val="009D70B1"/>
    <w:rsid w:val="009E02E4"/>
    <w:rsid w:val="009E0ADB"/>
    <w:rsid w:val="009E1756"/>
    <w:rsid w:val="009E192C"/>
    <w:rsid w:val="009E2062"/>
    <w:rsid w:val="009E3227"/>
    <w:rsid w:val="009E35BF"/>
    <w:rsid w:val="009E41A6"/>
    <w:rsid w:val="009E4410"/>
    <w:rsid w:val="009E452A"/>
    <w:rsid w:val="009E4DF2"/>
    <w:rsid w:val="009E603F"/>
    <w:rsid w:val="009E66DC"/>
    <w:rsid w:val="009E6732"/>
    <w:rsid w:val="009E70C3"/>
    <w:rsid w:val="009F0BCB"/>
    <w:rsid w:val="009F202E"/>
    <w:rsid w:val="009F26E4"/>
    <w:rsid w:val="009F4219"/>
    <w:rsid w:val="009F5658"/>
    <w:rsid w:val="00A0053C"/>
    <w:rsid w:val="00A00CEC"/>
    <w:rsid w:val="00A017C5"/>
    <w:rsid w:val="00A02140"/>
    <w:rsid w:val="00A02EF2"/>
    <w:rsid w:val="00A0338B"/>
    <w:rsid w:val="00A0373A"/>
    <w:rsid w:val="00A03895"/>
    <w:rsid w:val="00A03B1B"/>
    <w:rsid w:val="00A044F5"/>
    <w:rsid w:val="00A05239"/>
    <w:rsid w:val="00A06A52"/>
    <w:rsid w:val="00A07288"/>
    <w:rsid w:val="00A0735D"/>
    <w:rsid w:val="00A07B9A"/>
    <w:rsid w:val="00A106E6"/>
    <w:rsid w:val="00A1442D"/>
    <w:rsid w:val="00A14B51"/>
    <w:rsid w:val="00A151F0"/>
    <w:rsid w:val="00A15BE1"/>
    <w:rsid w:val="00A16A26"/>
    <w:rsid w:val="00A17E97"/>
    <w:rsid w:val="00A205A0"/>
    <w:rsid w:val="00A20D82"/>
    <w:rsid w:val="00A2231F"/>
    <w:rsid w:val="00A22FD7"/>
    <w:rsid w:val="00A23554"/>
    <w:rsid w:val="00A23751"/>
    <w:rsid w:val="00A24189"/>
    <w:rsid w:val="00A25DD2"/>
    <w:rsid w:val="00A25EEA"/>
    <w:rsid w:val="00A26C4D"/>
    <w:rsid w:val="00A26F9E"/>
    <w:rsid w:val="00A27216"/>
    <w:rsid w:val="00A30336"/>
    <w:rsid w:val="00A30540"/>
    <w:rsid w:val="00A31281"/>
    <w:rsid w:val="00A3161D"/>
    <w:rsid w:val="00A3239D"/>
    <w:rsid w:val="00A324F8"/>
    <w:rsid w:val="00A35106"/>
    <w:rsid w:val="00A35501"/>
    <w:rsid w:val="00A35FB0"/>
    <w:rsid w:val="00A36A79"/>
    <w:rsid w:val="00A36E60"/>
    <w:rsid w:val="00A37F54"/>
    <w:rsid w:val="00A40759"/>
    <w:rsid w:val="00A40DBB"/>
    <w:rsid w:val="00A41593"/>
    <w:rsid w:val="00A41930"/>
    <w:rsid w:val="00A41EE9"/>
    <w:rsid w:val="00A424C5"/>
    <w:rsid w:val="00A42A30"/>
    <w:rsid w:val="00A442DE"/>
    <w:rsid w:val="00A44396"/>
    <w:rsid w:val="00A474E6"/>
    <w:rsid w:val="00A47542"/>
    <w:rsid w:val="00A476AE"/>
    <w:rsid w:val="00A47BC5"/>
    <w:rsid w:val="00A5174A"/>
    <w:rsid w:val="00A51806"/>
    <w:rsid w:val="00A5205C"/>
    <w:rsid w:val="00A5248B"/>
    <w:rsid w:val="00A52ECE"/>
    <w:rsid w:val="00A53296"/>
    <w:rsid w:val="00A536B2"/>
    <w:rsid w:val="00A555F4"/>
    <w:rsid w:val="00A57732"/>
    <w:rsid w:val="00A57C82"/>
    <w:rsid w:val="00A605E7"/>
    <w:rsid w:val="00A60D9F"/>
    <w:rsid w:val="00A616B0"/>
    <w:rsid w:val="00A62721"/>
    <w:rsid w:val="00A63BF6"/>
    <w:rsid w:val="00A646D0"/>
    <w:rsid w:val="00A64F73"/>
    <w:rsid w:val="00A6523C"/>
    <w:rsid w:val="00A65DC2"/>
    <w:rsid w:val="00A6680E"/>
    <w:rsid w:val="00A66D2F"/>
    <w:rsid w:val="00A67E55"/>
    <w:rsid w:val="00A67FC9"/>
    <w:rsid w:val="00A7087F"/>
    <w:rsid w:val="00A736D9"/>
    <w:rsid w:val="00A73F12"/>
    <w:rsid w:val="00A747B6"/>
    <w:rsid w:val="00A74B32"/>
    <w:rsid w:val="00A7688D"/>
    <w:rsid w:val="00A7779D"/>
    <w:rsid w:val="00A77979"/>
    <w:rsid w:val="00A77F70"/>
    <w:rsid w:val="00A8074E"/>
    <w:rsid w:val="00A82F6A"/>
    <w:rsid w:val="00A83025"/>
    <w:rsid w:val="00A83852"/>
    <w:rsid w:val="00A8589A"/>
    <w:rsid w:val="00A85F8D"/>
    <w:rsid w:val="00A86587"/>
    <w:rsid w:val="00A869A2"/>
    <w:rsid w:val="00A87449"/>
    <w:rsid w:val="00A87775"/>
    <w:rsid w:val="00A907FB"/>
    <w:rsid w:val="00A92FF0"/>
    <w:rsid w:val="00A930F7"/>
    <w:rsid w:val="00A931C3"/>
    <w:rsid w:val="00A93B55"/>
    <w:rsid w:val="00A93CF6"/>
    <w:rsid w:val="00A9412E"/>
    <w:rsid w:val="00A94261"/>
    <w:rsid w:val="00A9520F"/>
    <w:rsid w:val="00A95992"/>
    <w:rsid w:val="00A95E81"/>
    <w:rsid w:val="00A9638F"/>
    <w:rsid w:val="00A965CD"/>
    <w:rsid w:val="00A96DAA"/>
    <w:rsid w:val="00AA02DC"/>
    <w:rsid w:val="00AA0CE5"/>
    <w:rsid w:val="00AA128F"/>
    <w:rsid w:val="00AA1C0A"/>
    <w:rsid w:val="00AA582B"/>
    <w:rsid w:val="00AA693D"/>
    <w:rsid w:val="00AA6EB7"/>
    <w:rsid w:val="00AB01E8"/>
    <w:rsid w:val="00AB0215"/>
    <w:rsid w:val="00AB02B3"/>
    <w:rsid w:val="00AB1569"/>
    <w:rsid w:val="00AB19A7"/>
    <w:rsid w:val="00AB1C97"/>
    <w:rsid w:val="00AB46C8"/>
    <w:rsid w:val="00AB50DC"/>
    <w:rsid w:val="00AB5CB2"/>
    <w:rsid w:val="00AB5E94"/>
    <w:rsid w:val="00AB614F"/>
    <w:rsid w:val="00AB649B"/>
    <w:rsid w:val="00AC0D00"/>
    <w:rsid w:val="00AC1BFC"/>
    <w:rsid w:val="00AC1D6E"/>
    <w:rsid w:val="00AC267A"/>
    <w:rsid w:val="00AC27E8"/>
    <w:rsid w:val="00AC2F54"/>
    <w:rsid w:val="00AC3830"/>
    <w:rsid w:val="00AC3B53"/>
    <w:rsid w:val="00AC4772"/>
    <w:rsid w:val="00AC4A34"/>
    <w:rsid w:val="00AC6268"/>
    <w:rsid w:val="00AC75E3"/>
    <w:rsid w:val="00AC7972"/>
    <w:rsid w:val="00AD0016"/>
    <w:rsid w:val="00AD1333"/>
    <w:rsid w:val="00AD1AB5"/>
    <w:rsid w:val="00AD2D17"/>
    <w:rsid w:val="00AD2E81"/>
    <w:rsid w:val="00AD36E7"/>
    <w:rsid w:val="00AD4628"/>
    <w:rsid w:val="00AD4E07"/>
    <w:rsid w:val="00AD54C0"/>
    <w:rsid w:val="00AD56E3"/>
    <w:rsid w:val="00AD5A48"/>
    <w:rsid w:val="00AD5A67"/>
    <w:rsid w:val="00AD5AED"/>
    <w:rsid w:val="00AD6670"/>
    <w:rsid w:val="00AD6AF5"/>
    <w:rsid w:val="00AD79F5"/>
    <w:rsid w:val="00AE0BEE"/>
    <w:rsid w:val="00AE0D81"/>
    <w:rsid w:val="00AE0DA7"/>
    <w:rsid w:val="00AE3735"/>
    <w:rsid w:val="00AE3FD4"/>
    <w:rsid w:val="00AE515E"/>
    <w:rsid w:val="00AE55C0"/>
    <w:rsid w:val="00AE6BF5"/>
    <w:rsid w:val="00AF1345"/>
    <w:rsid w:val="00AF1973"/>
    <w:rsid w:val="00AF21C3"/>
    <w:rsid w:val="00AF289E"/>
    <w:rsid w:val="00AF44B3"/>
    <w:rsid w:val="00AF44F9"/>
    <w:rsid w:val="00AF49CE"/>
    <w:rsid w:val="00AF4AAD"/>
    <w:rsid w:val="00AF4CE8"/>
    <w:rsid w:val="00AF4D8C"/>
    <w:rsid w:val="00AF5D79"/>
    <w:rsid w:val="00AF6119"/>
    <w:rsid w:val="00AF6161"/>
    <w:rsid w:val="00AF6728"/>
    <w:rsid w:val="00AF675C"/>
    <w:rsid w:val="00AF6D3E"/>
    <w:rsid w:val="00AF6E2C"/>
    <w:rsid w:val="00AF70D7"/>
    <w:rsid w:val="00AF7A04"/>
    <w:rsid w:val="00AF7E09"/>
    <w:rsid w:val="00B00342"/>
    <w:rsid w:val="00B01766"/>
    <w:rsid w:val="00B017B9"/>
    <w:rsid w:val="00B02E8E"/>
    <w:rsid w:val="00B0361B"/>
    <w:rsid w:val="00B0447F"/>
    <w:rsid w:val="00B04E1D"/>
    <w:rsid w:val="00B052F0"/>
    <w:rsid w:val="00B067A5"/>
    <w:rsid w:val="00B0759F"/>
    <w:rsid w:val="00B07C66"/>
    <w:rsid w:val="00B1053A"/>
    <w:rsid w:val="00B10895"/>
    <w:rsid w:val="00B10C2F"/>
    <w:rsid w:val="00B10E45"/>
    <w:rsid w:val="00B111DB"/>
    <w:rsid w:val="00B11964"/>
    <w:rsid w:val="00B131D8"/>
    <w:rsid w:val="00B150B5"/>
    <w:rsid w:val="00B1529F"/>
    <w:rsid w:val="00B169C0"/>
    <w:rsid w:val="00B16C76"/>
    <w:rsid w:val="00B170F7"/>
    <w:rsid w:val="00B17909"/>
    <w:rsid w:val="00B17FD9"/>
    <w:rsid w:val="00B20316"/>
    <w:rsid w:val="00B2039F"/>
    <w:rsid w:val="00B2064B"/>
    <w:rsid w:val="00B20A9D"/>
    <w:rsid w:val="00B21429"/>
    <w:rsid w:val="00B22420"/>
    <w:rsid w:val="00B22B67"/>
    <w:rsid w:val="00B22CB8"/>
    <w:rsid w:val="00B2309E"/>
    <w:rsid w:val="00B237EA"/>
    <w:rsid w:val="00B244E3"/>
    <w:rsid w:val="00B24C0F"/>
    <w:rsid w:val="00B25405"/>
    <w:rsid w:val="00B27AAF"/>
    <w:rsid w:val="00B27D69"/>
    <w:rsid w:val="00B304DE"/>
    <w:rsid w:val="00B30687"/>
    <w:rsid w:val="00B3175D"/>
    <w:rsid w:val="00B31BB6"/>
    <w:rsid w:val="00B32126"/>
    <w:rsid w:val="00B333A1"/>
    <w:rsid w:val="00B3782A"/>
    <w:rsid w:val="00B37DAF"/>
    <w:rsid w:val="00B40ECB"/>
    <w:rsid w:val="00B41457"/>
    <w:rsid w:val="00B4170A"/>
    <w:rsid w:val="00B41F32"/>
    <w:rsid w:val="00B432C2"/>
    <w:rsid w:val="00B43A3C"/>
    <w:rsid w:val="00B449D2"/>
    <w:rsid w:val="00B4516E"/>
    <w:rsid w:val="00B45F14"/>
    <w:rsid w:val="00B50E95"/>
    <w:rsid w:val="00B51539"/>
    <w:rsid w:val="00B5170C"/>
    <w:rsid w:val="00B5223F"/>
    <w:rsid w:val="00B52263"/>
    <w:rsid w:val="00B523C2"/>
    <w:rsid w:val="00B52991"/>
    <w:rsid w:val="00B52DAB"/>
    <w:rsid w:val="00B543A8"/>
    <w:rsid w:val="00B55A6C"/>
    <w:rsid w:val="00B55B2E"/>
    <w:rsid w:val="00B5610C"/>
    <w:rsid w:val="00B564A7"/>
    <w:rsid w:val="00B56C19"/>
    <w:rsid w:val="00B57F55"/>
    <w:rsid w:val="00B60024"/>
    <w:rsid w:val="00B61D3E"/>
    <w:rsid w:val="00B6387D"/>
    <w:rsid w:val="00B63B66"/>
    <w:rsid w:val="00B63DEA"/>
    <w:rsid w:val="00B63F7F"/>
    <w:rsid w:val="00B644CE"/>
    <w:rsid w:val="00B64E02"/>
    <w:rsid w:val="00B717FB"/>
    <w:rsid w:val="00B71D90"/>
    <w:rsid w:val="00B72137"/>
    <w:rsid w:val="00B722E2"/>
    <w:rsid w:val="00B72422"/>
    <w:rsid w:val="00B725EF"/>
    <w:rsid w:val="00B72C71"/>
    <w:rsid w:val="00B72E77"/>
    <w:rsid w:val="00B732DC"/>
    <w:rsid w:val="00B73A77"/>
    <w:rsid w:val="00B73D66"/>
    <w:rsid w:val="00B7605F"/>
    <w:rsid w:val="00B76C11"/>
    <w:rsid w:val="00B80125"/>
    <w:rsid w:val="00B813B9"/>
    <w:rsid w:val="00B8143C"/>
    <w:rsid w:val="00B81CC2"/>
    <w:rsid w:val="00B81DFC"/>
    <w:rsid w:val="00B83B10"/>
    <w:rsid w:val="00B83E09"/>
    <w:rsid w:val="00B8532C"/>
    <w:rsid w:val="00B853C9"/>
    <w:rsid w:val="00B859A4"/>
    <w:rsid w:val="00B862DA"/>
    <w:rsid w:val="00B86FD9"/>
    <w:rsid w:val="00B878E3"/>
    <w:rsid w:val="00B90DD0"/>
    <w:rsid w:val="00B90E11"/>
    <w:rsid w:val="00B90FDE"/>
    <w:rsid w:val="00B92256"/>
    <w:rsid w:val="00B92956"/>
    <w:rsid w:val="00B93C00"/>
    <w:rsid w:val="00B943BB"/>
    <w:rsid w:val="00B95651"/>
    <w:rsid w:val="00B959B3"/>
    <w:rsid w:val="00B9611E"/>
    <w:rsid w:val="00B96221"/>
    <w:rsid w:val="00B9786B"/>
    <w:rsid w:val="00B97F59"/>
    <w:rsid w:val="00BA07F5"/>
    <w:rsid w:val="00BA12F5"/>
    <w:rsid w:val="00BA253A"/>
    <w:rsid w:val="00BA2E15"/>
    <w:rsid w:val="00BA358C"/>
    <w:rsid w:val="00BA41A9"/>
    <w:rsid w:val="00BA58ED"/>
    <w:rsid w:val="00BA6183"/>
    <w:rsid w:val="00BA63D4"/>
    <w:rsid w:val="00BA6F64"/>
    <w:rsid w:val="00BA7AB7"/>
    <w:rsid w:val="00BB1304"/>
    <w:rsid w:val="00BB14AC"/>
    <w:rsid w:val="00BB1BE8"/>
    <w:rsid w:val="00BB2B8D"/>
    <w:rsid w:val="00BB4194"/>
    <w:rsid w:val="00BB443C"/>
    <w:rsid w:val="00BB590E"/>
    <w:rsid w:val="00BB6646"/>
    <w:rsid w:val="00BB79D9"/>
    <w:rsid w:val="00BC0398"/>
    <w:rsid w:val="00BC0553"/>
    <w:rsid w:val="00BC0721"/>
    <w:rsid w:val="00BC14EB"/>
    <w:rsid w:val="00BC1958"/>
    <w:rsid w:val="00BC23AC"/>
    <w:rsid w:val="00BC2924"/>
    <w:rsid w:val="00BC365B"/>
    <w:rsid w:val="00BC3682"/>
    <w:rsid w:val="00BC403D"/>
    <w:rsid w:val="00BC41B4"/>
    <w:rsid w:val="00BC4FC2"/>
    <w:rsid w:val="00BC576D"/>
    <w:rsid w:val="00BC5A67"/>
    <w:rsid w:val="00BC5B27"/>
    <w:rsid w:val="00BC7A34"/>
    <w:rsid w:val="00BD03F5"/>
    <w:rsid w:val="00BD1028"/>
    <w:rsid w:val="00BD11C3"/>
    <w:rsid w:val="00BD156F"/>
    <w:rsid w:val="00BD1890"/>
    <w:rsid w:val="00BD2276"/>
    <w:rsid w:val="00BD2C0F"/>
    <w:rsid w:val="00BD2EF4"/>
    <w:rsid w:val="00BD300F"/>
    <w:rsid w:val="00BD3762"/>
    <w:rsid w:val="00BD417F"/>
    <w:rsid w:val="00BD491E"/>
    <w:rsid w:val="00BD4983"/>
    <w:rsid w:val="00BD4B63"/>
    <w:rsid w:val="00BD4D91"/>
    <w:rsid w:val="00BD5516"/>
    <w:rsid w:val="00BD5696"/>
    <w:rsid w:val="00BD596F"/>
    <w:rsid w:val="00BE0722"/>
    <w:rsid w:val="00BE09E6"/>
    <w:rsid w:val="00BE0A06"/>
    <w:rsid w:val="00BE1593"/>
    <w:rsid w:val="00BE1870"/>
    <w:rsid w:val="00BE35D3"/>
    <w:rsid w:val="00BE3C53"/>
    <w:rsid w:val="00BE4520"/>
    <w:rsid w:val="00BE462C"/>
    <w:rsid w:val="00BE5E4F"/>
    <w:rsid w:val="00BE63A7"/>
    <w:rsid w:val="00BE662C"/>
    <w:rsid w:val="00BE709F"/>
    <w:rsid w:val="00BF03D6"/>
    <w:rsid w:val="00BF0AC6"/>
    <w:rsid w:val="00BF1E24"/>
    <w:rsid w:val="00BF2C9F"/>
    <w:rsid w:val="00BF3225"/>
    <w:rsid w:val="00BF34F1"/>
    <w:rsid w:val="00BF3A31"/>
    <w:rsid w:val="00BF4498"/>
    <w:rsid w:val="00BF5C47"/>
    <w:rsid w:val="00BF68E8"/>
    <w:rsid w:val="00BF73B3"/>
    <w:rsid w:val="00C00027"/>
    <w:rsid w:val="00C01699"/>
    <w:rsid w:val="00C019E1"/>
    <w:rsid w:val="00C02423"/>
    <w:rsid w:val="00C041C4"/>
    <w:rsid w:val="00C052F2"/>
    <w:rsid w:val="00C06BC2"/>
    <w:rsid w:val="00C070A8"/>
    <w:rsid w:val="00C07152"/>
    <w:rsid w:val="00C10356"/>
    <w:rsid w:val="00C108EA"/>
    <w:rsid w:val="00C10CEC"/>
    <w:rsid w:val="00C11D0C"/>
    <w:rsid w:val="00C11D1F"/>
    <w:rsid w:val="00C1207D"/>
    <w:rsid w:val="00C1226E"/>
    <w:rsid w:val="00C123D7"/>
    <w:rsid w:val="00C12508"/>
    <w:rsid w:val="00C128B1"/>
    <w:rsid w:val="00C128F2"/>
    <w:rsid w:val="00C12C8F"/>
    <w:rsid w:val="00C13A44"/>
    <w:rsid w:val="00C13EA5"/>
    <w:rsid w:val="00C14147"/>
    <w:rsid w:val="00C143DF"/>
    <w:rsid w:val="00C145F1"/>
    <w:rsid w:val="00C16A3B"/>
    <w:rsid w:val="00C16DC2"/>
    <w:rsid w:val="00C16F1D"/>
    <w:rsid w:val="00C177EE"/>
    <w:rsid w:val="00C17950"/>
    <w:rsid w:val="00C200FC"/>
    <w:rsid w:val="00C209F4"/>
    <w:rsid w:val="00C20B8B"/>
    <w:rsid w:val="00C22440"/>
    <w:rsid w:val="00C23762"/>
    <w:rsid w:val="00C2401B"/>
    <w:rsid w:val="00C24974"/>
    <w:rsid w:val="00C24D98"/>
    <w:rsid w:val="00C24E56"/>
    <w:rsid w:val="00C263F2"/>
    <w:rsid w:val="00C267B5"/>
    <w:rsid w:val="00C26D46"/>
    <w:rsid w:val="00C26FA9"/>
    <w:rsid w:val="00C27179"/>
    <w:rsid w:val="00C274EF"/>
    <w:rsid w:val="00C27562"/>
    <w:rsid w:val="00C30167"/>
    <w:rsid w:val="00C31327"/>
    <w:rsid w:val="00C318C9"/>
    <w:rsid w:val="00C319D8"/>
    <w:rsid w:val="00C31F25"/>
    <w:rsid w:val="00C3260A"/>
    <w:rsid w:val="00C341F4"/>
    <w:rsid w:val="00C3486E"/>
    <w:rsid w:val="00C35B8A"/>
    <w:rsid w:val="00C35CA0"/>
    <w:rsid w:val="00C36963"/>
    <w:rsid w:val="00C36AAF"/>
    <w:rsid w:val="00C37F14"/>
    <w:rsid w:val="00C400DB"/>
    <w:rsid w:val="00C41E97"/>
    <w:rsid w:val="00C41EDE"/>
    <w:rsid w:val="00C42B4C"/>
    <w:rsid w:val="00C43213"/>
    <w:rsid w:val="00C440A6"/>
    <w:rsid w:val="00C44183"/>
    <w:rsid w:val="00C454FE"/>
    <w:rsid w:val="00C45936"/>
    <w:rsid w:val="00C472B4"/>
    <w:rsid w:val="00C507E6"/>
    <w:rsid w:val="00C51A71"/>
    <w:rsid w:val="00C521EA"/>
    <w:rsid w:val="00C52A58"/>
    <w:rsid w:val="00C52F12"/>
    <w:rsid w:val="00C533F9"/>
    <w:rsid w:val="00C55ED0"/>
    <w:rsid w:val="00C5662F"/>
    <w:rsid w:val="00C608CE"/>
    <w:rsid w:val="00C60C19"/>
    <w:rsid w:val="00C60F2B"/>
    <w:rsid w:val="00C624C2"/>
    <w:rsid w:val="00C62A91"/>
    <w:rsid w:val="00C62C2A"/>
    <w:rsid w:val="00C634F9"/>
    <w:rsid w:val="00C637AB"/>
    <w:rsid w:val="00C6460F"/>
    <w:rsid w:val="00C65C50"/>
    <w:rsid w:val="00C65ED5"/>
    <w:rsid w:val="00C6640A"/>
    <w:rsid w:val="00C66B60"/>
    <w:rsid w:val="00C66CB1"/>
    <w:rsid w:val="00C67C5E"/>
    <w:rsid w:val="00C704F8"/>
    <w:rsid w:val="00C715DE"/>
    <w:rsid w:val="00C72714"/>
    <w:rsid w:val="00C7272F"/>
    <w:rsid w:val="00C72902"/>
    <w:rsid w:val="00C7295C"/>
    <w:rsid w:val="00C736B2"/>
    <w:rsid w:val="00C740E1"/>
    <w:rsid w:val="00C74667"/>
    <w:rsid w:val="00C75004"/>
    <w:rsid w:val="00C753A5"/>
    <w:rsid w:val="00C75B23"/>
    <w:rsid w:val="00C76F51"/>
    <w:rsid w:val="00C77AD7"/>
    <w:rsid w:val="00C77B82"/>
    <w:rsid w:val="00C812AB"/>
    <w:rsid w:val="00C8350F"/>
    <w:rsid w:val="00C83898"/>
    <w:rsid w:val="00C8392A"/>
    <w:rsid w:val="00C83D96"/>
    <w:rsid w:val="00C8432A"/>
    <w:rsid w:val="00C8588F"/>
    <w:rsid w:val="00C85B23"/>
    <w:rsid w:val="00C908C9"/>
    <w:rsid w:val="00C9160E"/>
    <w:rsid w:val="00C917C1"/>
    <w:rsid w:val="00C91F41"/>
    <w:rsid w:val="00C923CD"/>
    <w:rsid w:val="00C92B7D"/>
    <w:rsid w:val="00C92D81"/>
    <w:rsid w:val="00C93999"/>
    <w:rsid w:val="00C93A81"/>
    <w:rsid w:val="00C9407B"/>
    <w:rsid w:val="00C942F1"/>
    <w:rsid w:val="00C95F76"/>
    <w:rsid w:val="00C962BE"/>
    <w:rsid w:val="00C9640F"/>
    <w:rsid w:val="00C964B1"/>
    <w:rsid w:val="00C96753"/>
    <w:rsid w:val="00C97278"/>
    <w:rsid w:val="00CA00C2"/>
    <w:rsid w:val="00CA0E89"/>
    <w:rsid w:val="00CA21E3"/>
    <w:rsid w:val="00CA2C8B"/>
    <w:rsid w:val="00CA2E3F"/>
    <w:rsid w:val="00CA31EF"/>
    <w:rsid w:val="00CA38F1"/>
    <w:rsid w:val="00CA39D4"/>
    <w:rsid w:val="00CA4A6C"/>
    <w:rsid w:val="00CA5F8A"/>
    <w:rsid w:val="00CA64F2"/>
    <w:rsid w:val="00CA6D9D"/>
    <w:rsid w:val="00CA7175"/>
    <w:rsid w:val="00CA7380"/>
    <w:rsid w:val="00CB0A5A"/>
    <w:rsid w:val="00CB10DA"/>
    <w:rsid w:val="00CB2EC4"/>
    <w:rsid w:val="00CB3BC4"/>
    <w:rsid w:val="00CB7FCB"/>
    <w:rsid w:val="00CC0361"/>
    <w:rsid w:val="00CC04A5"/>
    <w:rsid w:val="00CC0719"/>
    <w:rsid w:val="00CC0C42"/>
    <w:rsid w:val="00CC0EB3"/>
    <w:rsid w:val="00CC1897"/>
    <w:rsid w:val="00CC1A21"/>
    <w:rsid w:val="00CC1F6A"/>
    <w:rsid w:val="00CC582A"/>
    <w:rsid w:val="00CC6582"/>
    <w:rsid w:val="00CC6693"/>
    <w:rsid w:val="00CC6C74"/>
    <w:rsid w:val="00CC71B6"/>
    <w:rsid w:val="00CC7461"/>
    <w:rsid w:val="00CC7A14"/>
    <w:rsid w:val="00CD0FB2"/>
    <w:rsid w:val="00CD1ECF"/>
    <w:rsid w:val="00CD2F21"/>
    <w:rsid w:val="00CD364E"/>
    <w:rsid w:val="00CD37CD"/>
    <w:rsid w:val="00CD612E"/>
    <w:rsid w:val="00CD75FC"/>
    <w:rsid w:val="00CE0578"/>
    <w:rsid w:val="00CE0A1C"/>
    <w:rsid w:val="00CE0FCE"/>
    <w:rsid w:val="00CE1187"/>
    <w:rsid w:val="00CE1321"/>
    <w:rsid w:val="00CE164F"/>
    <w:rsid w:val="00CE2CF3"/>
    <w:rsid w:val="00CE32B2"/>
    <w:rsid w:val="00CE4698"/>
    <w:rsid w:val="00CE5586"/>
    <w:rsid w:val="00CE5F33"/>
    <w:rsid w:val="00CE6EB8"/>
    <w:rsid w:val="00CE7ED2"/>
    <w:rsid w:val="00CF1261"/>
    <w:rsid w:val="00CF13A0"/>
    <w:rsid w:val="00CF295A"/>
    <w:rsid w:val="00CF29A7"/>
    <w:rsid w:val="00CF2E66"/>
    <w:rsid w:val="00CF3143"/>
    <w:rsid w:val="00CF3672"/>
    <w:rsid w:val="00CF3779"/>
    <w:rsid w:val="00CF3E5B"/>
    <w:rsid w:val="00CF4BF4"/>
    <w:rsid w:val="00CF5328"/>
    <w:rsid w:val="00CF642E"/>
    <w:rsid w:val="00D00149"/>
    <w:rsid w:val="00D00FBA"/>
    <w:rsid w:val="00D014A6"/>
    <w:rsid w:val="00D01779"/>
    <w:rsid w:val="00D01979"/>
    <w:rsid w:val="00D01B47"/>
    <w:rsid w:val="00D02010"/>
    <w:rsid w:val="00D0201C"/>
    <w:rsid w:val="00D02503"/>
    <w:rsid w:val="00D02A54"/>
    <w:rsid w:val="00D039C9"/>
    <w:rsid w:val="00D04090"/>
    <w:rsid w:val="00D04190"/>
    <w:rsid w:val="00D04596"/>
    <w:rsid w:val="00D064B9"/>
    <w:rsid w:val="00D1077E"/>
    <w:rsid w:val="00D11011"/>
    <w:rsid w:val="00D1166A"/>
    <w:rsid w:val="00D123B2"/>
    <w:rsid w:val="00D1380E"/>
    <w:rsid w:val="00D1414B"/>
    <w:rsid w:val="00D14688"/>
    <w:rsid w:val="00D1654F"/>
    <w:rsid w:val="00D166A6"/>
    <w:rsid w:val="00D1711F"/>
    <w:rsid w:val="00D17AAF"/>
    <w:rsid w:val="00D17B97"/>
    <w:rsid w:val="00D20476"/>
    <w:rsid w:val="00D215E3"/>
    <w:rsid w:val="00D21768"/>
    <w:rsid w:val="00D2430D"/>
    <w:rsid w:val="00D24DF5"/>
    <w:rsid w:val="00D25184"/>
    <w:rsid w:val="00D26198"/>
    <w:rsid w:val="00D26DF9"/>
    <w:rsid w:val="00D26E82"/>
    <w:rsid w:val="00D26EF4"/>
    <w:rsid w:val="00D2728F"/>
    <w:rsid w:val="00D30245"/>
    <w:rsid w:val="00D309D8"/>
    <w:rsid w:val="00D30B52"/>
    <w:rsid w:val="00D3135E"/>
    <w:rsid w:val="00D32551"/>
    <w:rsid w:val="00D32993"/>
    <w:rsid w:val="00D32F48"/>
    <w:rsid w:val="00D339AD"/>
    <w:rsid w:val="00D3433C"/>
    <w:rsid w:val="00D349D6"/>
    <w:rsid w:val="00D34FF3"/>
    <w:rsid w:val="00D352D5"/>
    <w:rsid w:val="00D35B10"/>
    <w:rsid w:val="00D35E15"/>
    <w:rsid w:val="00D365D3"/>
    <w:rsid w:val="00D36CD9"/>
    <w:rsid w:val="00D40F57"/>
    <w:rsid w:val="00D419AB"/>
    <w:rsid w:val="00D431B7"/>
    <w:rsid w:val="00D44165"/>
    <w:rsid w:val="00D4496E"/>
    <w:rsid w:val="00D472C1"/>
    <w:rsid w:val="00D4754A"/>
    <w:rsid w:val="00D47577"/>
    <w:rsid w:val="00D477CD"/>
    <w:rsid w:val="00D50BDC"/>
    <w:rsid w:val="00D53092"/>
    <w:rsid w:val="00D54048"/>
    <w:rsid w:val="00D55330"/>
    <w:rsid w:val="00D56F1E"/>
    <w:rsid w:val="00D57091"/>
    <w:rsid w:val="00D573E1"/>
    <w:rsid w:val="00D57F0B"/>
    <w:rsid w:val="00D6085A"/>
    <w:rsid w:val="00D60A4C"/>
    <w:rsid w:val="00D612BB"/>
    <w:rsid w:val="00D62BD7"/>
    <w:rsid w:val="00D642B2"/>
    <w:rsid w:val="00D64405"/>
    <w:rsid w:val="00D649E2"/>
    <w:rsid w:val="00D64A68"/>
    <w:rsid w:val="00D64B5D"/>
    <w:rsid w:val="00D65D63"/>
    <w:rsid w:val="00D66106"/>
    <w:rsid w:val="00D66A50"/>
    <w:rsid w:val="00D66C46"/>
    <w:rsid w:val="00D70A35"/>
    <w:rsid w:val="00D7164D"/>
    <w:rsid w:val="00D71DE3"/>
    <w:rsid w:val="00D72539"/>
    <w:rsid w:val="00D72644"/>
    <w:rsid w:val="00D728C6"/>
    <w:rsid w:val="00D72AD3"/>
    <w:rsid w:val="00D72B99"/>
    <w:rsid w:val="00D74264"/>
    <w:rsid w:val="00D754CD"/>
    <w:rsid w:val="00D75A3A"/>
    <w:rsid w:val="00D75B94"/>
    <w:rsid w:val="00D75E74"/>
    <w:rsid w:val="00D764C9"/>
    <w:rsid w:val="00D76D41"/>
    <w:rsid w:val="00D77238"/>
    <w:rsid w:val="00D77452"/>
    <w:rsid w:val="00D779A3"/>
    <w:rsid w:val="00D8018B"/>
    <w:rsid w:val="00D80272"/>
    <w:rsid w:val="00D81584"/>
    <w:rsid w:val="00D81F47"/>
    <w:rsid w:val="00D82532"/>
    <w:rsid w:val="00D8362A"/>
    <w:rsid w:val="00D83CFC"/>
    <w:rsid w:val="00D8590C"/>
    <w:rsid w:val="00D861F4"/>
    <w:rsid w:val="00D8671D"/>
    <w:rsid w:val="00D86EF4"/>
    <w:rsid w:val="00D90064"/>
    <w:rsid w:val="00D9017D"/>
    <w:rsid w:val="00D90A5A"/>
    <w:rsid w:val="00D91738"/>
    <w:rsid w:val="00D923B9"/>
    <w:rsid w:val="00D93807"/>
    <w:rsid w:val="00D94708"/>
    <w:rsid w:val="00D950B2"/>
    <w:rsid w:val="00D95EA2"/>
    <w:rsid w:val="00D96594"/>
    <w:rsid w:val="00D96DE8"/>
    <w:rsid w:val="00D97149"/>
    <w:rsid w:val="00D974A0"/>
    <w:rsid w:val="00D97DBA"/>
    <w:rsid w:val="00DA1F11"/>
    <w:rsid w:val="00DA20F2"/>
    <w:rsid w:val="00DA23EC"/>
    <w:rsid w:val="00DA2895"/>
    <w:rsid w:val="00DA2ACE"/>
    <w:rsid w:val="00DA31C5"/>
    <w:rsid w:val="00DA3581"/>
    <w:rsid w:val="00DA4D88"/>
    <w:rsid w:val="00DA4E29"/>
    <w:rsid w:val="00DA63F8"/>
    <w:rsid w:val="00DA66D6"/>
    <w:rsid w:val="00DA7E44"/>
    <w:rsid w:val="00DB04C4"/>
    <w:rsid w:val="00DB3150"/>
    <w:rsid w:val="00DB5168"/>
    <w:rsid w:val="00DB543A"/>
    <w:rsid w:val="00DB599A"/>
    <w:rsid w:val="00DB6207"/>
    <w:rsid w:val="00DB6BAC"/>
    <w:rsid w:val="00DB76C8"/>
    <w:rsid w:val="00DB7C1F"/>
    <w:rsid w:val="00DB7FCE"/>
    <w:rsid w:val="00DC0D7D"/>
    <w:rsid w:val="00DC1903"/>
    <w:rsid w:val="00DC274E"/>
    <w:rsid w:val="00DC2F5E"/>
    <w:rsid w:val="00DC3E85"/>
    <w:rsid w:val="00DC4291"/>
    <w:rsid w:val="00DC5672"/>
    <w:rsid w:val="00DC5B3E"/>
    <w:rsid w:val="00DC6E4A"/>
    <w:rsid w:val="00DD18A7"/>
    <w:rsid w:val="00DD18AC"/>
    <w:rsid w:val="00DD1A68"/>
    <w:rsid w:val="00DD265A"/>
    <w:rsid w:val="00DD350D"/>
    <w:rsid w:val="00DD5580"/>
    <w:rsid w:val="00DD772E"/>
    <w:rsid w:val="00DD7790"/>
    <w:rsid w:val="00DE06EF"/>
    <w:rsid w:val="00DE1335"/>
    <w:rsid w:val="00DE227B"/>
    <w:rsid w:val="00DE2729"/>
    <w:rsid w:val="00DE4521"/>
    <w:rsid w:val="00DE47CD"/>
    <w:rsid w:val="00DE4A6D"/>
    <w:rsid w:val="00DE4D70"/>
    <w:rsid w:val="00DE4F3D"/>
    <w:rsid w:val="00DE523F"/>
    <w:rsid w:val="00DE5283"/>
    <w:rsid w:val="00DE5316"/>
    <w:rsid w:val="00DE61D0"/>
    <w:rsid w:val="00DE698E"/>
    <w:rsid w:val="00DE6B4E"/>
    <w:rsid w:val="00DE6FE1"/>
    <w:rsid w:val="00DF08FD"/>
    <w:rsid w:val="00DF1167"/>
    <w:rsid w:val="00DF1959"/>
    <w:rsid w:val="00DF2450"/>
    <w:rsid w:val="00DF3253"/>
    <w:rsid w:val="00DF4D20"/>
    <w:rsid w:val="00DF50A8"/>
    <w:rsid w:val="00DF73D1"/>
    <w:rsid w:val="00E00CFB"/>
    <w:rsid w:val="00E00E3C"/>
    <w:rsid w:val="00E019E6"/>
    <w:rsid w:val="00E02569"/>
    <w:rsid w:val="00E03686"/>
    <w:rsid w:val="00E041B9"/>
    <w:rsid w:val="00E043DB"/>
    <w:rsid w:val="00E044BB"/>
    <w:rsid w:val="00E047C8"/>
    <w:rsid w:val="00E04C1C"/>
    <w:rsid w:val="00E054F0"/>
    <w:rsid w:val="00E05548"/>
    <w:rsid w:val="00E06CF2"/>
    <w:rsid w:val="00E07C36"/>
    <w:rsid w:val="00E07CCF"/>
    <w:rsid w:val="00E10804"/>
    <w:rsid w:val="00E116AF"/>
    <w:rsid w:val="00E121DB"/>
    <w:rsid w:val="00E14943"/>
    <w:rsid w:val="00E14A37"/>
    <w:rsid w:val="00E165CD"/>
    <w:rsid w:val="00E16AD9"/>
    <w:rsid w:val="00E176DA"/>
    <w:rsid w:val="00E17E4A"/>
    <w:rsid w:val="00E20467"/>
    <w:rsid w:val="00E2047A"/>
    <w:rsid w:val="00E21680"/>
    <w:rsid w:val="00E217B0"/>
    <w:rsid w:val="00E2209E"/>
    <w:rsid w:val="00E23DCC"/>
    <w:rsid w:val="00E24CDD"/>
    <w:rsid w:val="00E24F94"/>
    <w:rsid w:val="00E256B6"/>
    <w:rsid w:val="00E2655A"/>
    <w:rsid w:val="00E26AAB"/>
    <w:rsid w:val="00E26EF9"/>
    <w:rsid w:val="00E273AF"/>
    <w:rsid w:val="00E3101D"/>
    <w:rsid w:val="00E337B3"/>
    <w:rsid w:val="00E3461A"/>
    <w:rsid w:val="00E346D0"/>
    <w:rsid w:val="00E349AE"/>
    <w:rsid w:val="00E35895"/>
    <w:rsid w:val="00E35DB9"/>
    <w:rsid w:val="00E36139"/>
    <w:rsid w:val="00E361A4"/>
    <w:rsid w:val="00E36A65"/>
    <w:rsid w:val="00E36B4C"/>
    <w:rsid w:val="00E372D2"/>
    <w:rsid w:val="00E37439"/>
    <w:rsid w:val="00E37A95"/>
    <w:rsid w:val="00E40FA3"/>
    <w:rsid w:val="00E42C37"/>
    <w:rsid w:val="00E434D6"/>
    <w:rsid w:val="00E43719"/>
    <w:rsid w:val="00E43C1D"/>
    <w:rsid w:val="00E43D9B"/>
    <w:rsid w:val="00E442F6"/>
    <w:rsid w:val="00E44C33"/>
    <w:rsid w:val="00E4553B"/>
    <w:rsid w:val="00E458E3"/>
    <w:rsid w:val="00E45C63"/>
    <w:rsid w:val="00E45CDD"/>
    <w:rsid w:val="00E462A1"/>
    <w:rsid w:val="00E478A4"/>
    <w:rsid w:val="00E47E63"/>
    <w:rsid w:val="00E5078C"/>
    <w:rsid w:val="00E5181C"/>
    <w:rsid w:val="00E52D0C"/>
    <w:rsid w:val="00E52E6F"/>
    <w:rsid w:val="00E52F27"/>
    <w:rsid w:val="00E566AB"/>
    <w:rsid w:val="00E56B31"/>
    <w:rsid w:val="00E57041"/>
    <w:rsid w:val="00E579C3"/>
    <w:rsid w:val="00E62526"/>
    <w:rsid w:val="00E632A3"/>
    <w:rsid w:val="00E64D52"/>
    <w:rsid w:val="00E64DB5"/>
    <w:rsid w:val="00E65322"/>
    <w:rsid w:val="00E65E03"/>
    <w:rsid w:val="00E6607B"/>
    <w:rsid w:val="00E664F7"/>
    <w:rsid w:val="00E672E4"/>
    <w:rsid w:val="00E67671"/>
    <w:rsid w:val="00E676F5"/>
    <w:rsid w:val="00E67CD4"/>
    <w:rsid w:val="00E67EC6"/>
    <w:rsid w:val="00E70126"/>
    <w:rsid w:val="00E70721"/>
    <w:rsid w:val="00E70F3C"/>
    <w:rsid w:val="00E71FF2"/>
    <w:rsid w:val="00E725A9"/>
    <w:rsid w:val="00E7262B"/>
    <w:rsid w:val="00E72CA4"/>
    <w:rsid w:val="00E74C23"/>
    <w:rsid w:val="00E766B6"/>
    <w:rsid w:val="00E76F76"/>
    <w:rsid w:val="00E7711D"/>
    <w:rsid w:val="00E774F3"/>
    <w:rsid w:val="00E77AEE"/>
    <w:rsid w:val="00E77F84"/>
    <w:rsid w:val="00E77FED"/>
    <w:rsid w:val="00E807BD"/>
    <w:rsid w:val="00E811E1"/>
    <w:rsid w:val="00E8148A"/>
    <w:rsid w:val="00E819BB"/>
    <w:rsid w:val="00E81DAD"/>
    <w:rsid w:val="00E820BF"/>
    <w:rsid w:val="00E8226E"/>
    <w:rsid w:val="00E82385"/>
    <w:rsid w:val="00E82C24"/>
    <w:rsid w:val="00E830FA"/>
    <w:rsid w:val="00E83456"/>
    <w:rsid w:val="00E83A88"/>
    <w:rsid w:val="00E85147"/>
    <w:rsid w:val="00E86ECC"/>
    <w:rsid w:val="00E8780E"/>
    <w:rsid w:val="00E90C54"/>
    <w:rsid w:val="00E90CB7"/>
    <w:rsid w:val="00E950BC"/>
    <w:rsid w:val="00E9576C"/>
    <w:rsid w:val="00E958AA"/>
    <w:rsid w:val="00EA111C"/>
    <w:rsid w:val="00EA1BED"/>
    <w:rsid w:val="00EA1BFB"/>
    <w:rsid w:val="00EA255A"/>
    <w:rsid w:val="00EA28DA"/>
    <w:rsid w:val="00EA41D1"/>
    <w:rsid w:val="00EA42E5"/>
    <w:rsid w:val="00EA4F1B"/>
    <w:rsid w:val="00EA6006"/>
    <w:rsid w:val="00EA6142"/>
    <w:rsid w:val="00EA7254"/>
    <w:rsid w:val="00EA7B14"/>
    <w:rsid w:val="00EB0808"/>
    <w:rsid w:val="00EB0849"/>
    <w:rsid w:val="00EB0DF2"/>
    <w:rsid w:val="00EB3CBA"/>
    <w:rsid w:val="00EB3E76"/>
    <w:rsid w:val="00EB4052"/>
    <w:rsid w:val="00EB4228"/>
    <w:rsid w:val="00EB4421"/>
    <w:rsid w:val="00EB44CE"/>
    <w:rsid w:val="00EB4903"/>
    <w:rsid w:val="00EB59D4"/>
    <w:rsid w:val="00EB6A26"/>
    <w:rsid w:val="00EB7584"/>
    <w:rsid w:val="00EC07AF"/>
    <w:rsid w:val="00EC220C"/>
    <w:rsid w:val="00EC2D94"/>
    <w:rsid w:val="00EC3574"/>
    <w:rsid w:val="00EC35EF"/>
    <w:rsid w:val="00EC3689"/>
    <w:rsid w:val="00EC37A7"/>
    <w:rsid w:val="00EC430D"/>
    <w:rsid w:val="00EC5CD5"/>
    <w:rsid w:val="00ED0056"/>
    <w:rsid w:val="00ED03D1"/>
    <w:rsid w:val="00ED1C1F"/>
    <w:rsid w:val="00ED200A"/>
    <w:rsid w:val="00ED27F1"/>
    <w:rsid w:val="00ED2F91"/>
    <w:rsid w:val="00ED3C74"/>
    <w:rsid w:val="00ED47B8"/>
    <w:rsid w:val="00ED51C1"/>
    <w:rsid w:val="00ED5A1F"/>
    <w:rsid w:val="00ED5EF1"/>
    <w:rsid w:val="00ED60C5"/>
    <w:rsid w:val="00ED6D45"/>
    <w:rsid w:val="00ED7E85"/>
    <w:rsid w:val="00EE06DD"/>
    <w:rsid w:val="00EE174A"/>
    <w:rsid w:val="00EE1A12"/>
    <w:rsid w:val="00EE1F63"/>
    <w:rsid w:val="00EE220F"/>
    <w:rsid w:val="00EE2EC3"/>
    <w:rsid w:val="00EE3405"/>
    <w:rsid w:val="00EE3BF9"/>
    <w:rsid w:val="00EE3C63"/>
    <w:rsid w:val="00EE3C67"/>
    <w:rsid w:val="00EE3FC4"/>
    <w:rsid w:val="00EE568F"/>
    <w:rsid w:val="00EE5CAB"/>
    <w:rsid w:val="00EE68F0"/>
    <w:rsid w:val="00EE7C96"/>
    <w:rsid w:val="00EF0467"/>
    <w:rsid w:val="00EF1065"/>
    <w:rsid w:val="00EF1DEC"/>
    <w:rsid w:val="00EF1FAE"/>
    <w:rsid w:val="00EF20E1"/>
    <w:rsid w:val="00EF29F2"/>
    <w:rsid w:val="00EF2B3B"/>
    <w:rsid w:val="00EF356B"/>
    <w:rsid w:val="00EF36AB"/>
    <w:rsid w:val="00EF3D20"/>
    <w:rsid w:val="00EF5C3B"/>
    <w:rsid w:val="00EF5C64"/>
    <w:rsid w:val="00EF6A1F"/>
    <w:rsid w:val="00EF7024"/>
    <w:rsid w:val="00F011D3"/>
    <w:rsid w:val="00F01A58"/>
    <w:rsid w:val="00F01D91"/>
    <w:rsid w:val="00F02003"/>
    <w:rsid w:val="00F02526"/>
    <w:rsid w:val="00F02E61"/>
    <w:rsid w:val="00F02F1A"/>
    <w:rsid w:val="00F0470C"/>
    <w:rsid w:val="00F04930"/>
    <w:rsid w:val="00F05954"/>
    <w:rsid w:val="00F05E6A"/>
    <w:rsid w:val="00F0600E"/>
    <w:rsid w:val="00F062C5"/>
    <w:rsid w:val="00F10326"/>
    <w:rsid w:val="00F104C2"/>
    <w:rsid w:val="00F10695"/>
    <w:rsid w:val="00F10960"/>
    <w:rsid w:val="00F1097E"/>
    <w:rsid w:val="00F11399"/>
    <w:rsid w:val="00F1139C"/>
    <w:rsid w:val="00F11C5A"/>
    <w:rsid w:val="00F11F2F"/>
    <w:rsid w:val="00F12481"/>
    <w:rsid w:val="00F140DE"/>
    <w:rsid w:val="00F1446F"/>
    <w:rsid w:val="00F14654"/>
    <w:rsid w:val="00F146C5"/>
    <w:rsid w:val="00F16926"/>
    <w:rsid w:val="00F173CB"/>
    <w:rsid w:val="00F173E6"/>
    <w:rsid w:val="00F17CCE"/>
    <w:rsid w:val="00F20550"/>
    <w:rsid w:val="00F225E1"/>
    <w:rsid w:val="00F23422"/>
    <w:rsid w:val="00F23CB7"/>
    <w:rsid w:val="00F24518"/>
    <w:rsid w:val="00F25142"/>
    <w:rsid w:val="00F26FEF"/>
    <w:rsid w:val="00F3337C"/>
    <w:rsid w:val="00F338F6"/>
    <w:rsid w:val="00F349D0"/>
    <w:rsid w:val="00F3519E"/>
    <w:rsid w:val="00F36B2E"/>
    <w:rsid w:val="00F37D72"/>
    <w:rsid w:val="00F40EED"/>
    <w:rsid w:val="00F41022"/>
    <w:rsid w:val="00F4167B"/>
    <w:rsid w:val="00F41FE9"/>
    <w:rsid w:val="00F4291D"/>
    <w:rsid w:val="00F42B49"/>
    <w:rsid w:val="00F44CE6"/>
    <w:rsid w:val="00F44EF2"/>
    <w:rsid w:val="00F4566B"/>
    <w:rsid w:val="00F46535"/>
    <w:rsid w:val="00F46564"/>
    <w:rsid w:val="00F46D6F"/>
    <w:rsid w:val="00F47689"/>
    <w:rsid w:val="00F51DCC"/>
    <w:rsid w:val="00F52C45"/>
    <w:rsid w:val="00F52F6A"/>
    <w:rsid w:val="00F5389A"/>
    <w:rsid w:val="00F541C7"/>
    <w:rsid w:val="00F54F92"/>
    <w:rsid w:val="00F5565B"/>
    <w:rsid w:val="00F5670E"/>
    <w:rsid w:val="00F56C34"/>
    <w:rsid w:val="00F56E05"/>
    <w:rsid w:val="00F5733D"/>
    <w:rsid w:val="00F57ECC"/>
    <w:rsid w:val="00F57F77"/>
    <w:rsid w:val="00F605F7"/>
    <w:rsid w:val="00F613ED"/>
    <w:rsid w:val="00F624B1"/>
    <w:rsid w:val="00F62745"/>
    <w:rsid w:val="00F630FF"/>
    <w:rsid w:val="00F638C7"/>
    <w:rsid w:val="00F64366"/>
    <w:rsid w:val="00F6502A"/>
    <w:rsid w:val="00F6760F"/>
    <w:rsid w:val="00F70079"/>
    <w:rsid w:val="00F7074B"/>
    <w:rsid w:val="00F712CE"/>
    <w:rsid w:val="00F71EBA"/>
    <w:rsid w:val="00F7236A"/>
    <w:rsid w:val="00F726D0"/>
    <w:rsid w:val="00F726FE"/>
    <w:rsid w:val="00F7498E"/>
    <w:rsid w:val="00F76323"/>
    <w:rsid w:val="00F764A8"/>
    <w:rsid w:val="00F76BCB"/>
    <w:rsid w:val="00F81989"/>
    <w:rsid w:val="00F81AAD"/>
    <w:rsid w:val="00F81BE7"/>
    <w:rsid w:val="00F82748"/>
    <w:rsid w:val="00F83713"/>
    <w:rsid w:val="00F83C73"/>
    <w:rsid w:val="00F84997"/>
    <w:rsid w:val="00F84D3C"/>
    <w:rsid w:val="00F85FDE"/>
    <w:rsid w:val="00F87855"/>
    <w:rsid w:val="00F908E8"/>
    <w:rsid w:val="00F90D51"/>
    <w:rsid w:val="00F91315"/>
    <w:rsid w:val="00F91423"/>
    <w:rsid w:val="00F91A58"/>
    <w:rsid w:val="00F91FC4"/>
    <w:rsid w:val="00F93790"/>
    <w:rsid w:val="00F93A5B"/>
    <w:rsid w:val="00F94056"/>
    <w:rsid w:val="00F945D9"/>
    <w:rsid w:val="00F94660"/>
    <w:rsid w:val="00F94A80"/>
    <w:rsid w:val="00F94DCE"/>
    <w:rsid w:val="00F95D8F"/>
    <w:rsid w:val="00F95E30"/>
    <w:rsid w:val="00F96386"/>
    <w:rsid w:val="00F97A8F"/>
    <w:rsid w:val="00FA07C9"/>
    <w:rsid w:val="00FA0E66"/>
    <w:rsid w:val="00FA1402"/>
    <w:rsid w:val="00FA1C5D"/>
    <w:rsid w:val="00FA23EF"/>
    <w:rsid w:val="00FA3724"/>
    <w:rsid w:val="00FA3AFC"/>
    <w:rsid w:val="00FA3B61"/>
    <w:rsid w:val="00FA4349"/>
    <w:rsid w:val="00FA505B"/>
    <w:rsid w:val="00FA588D"/>
    <w:rsid w:val="00FA631B"/>
    <w:rsid w:val="00FA6B46"/>
    <w:rsid w:val="00FA7573"/>
    <w:rsid w:val="00FA79E3"/>
    <w:rsid w:val="00FA7ACC"/>
    <w:rsid w:val="00FB163E"/>
    <w:rsid w:val="00FB197E"/>
    <w:rsid w:val="00FB1E17"/>
    <w:rsid w:val="00FB26A8"/>
    <w:rsid w:val="00FB39EF"/>
    <w:rsid w:val="00FB4E58"/>
    <w:rsid w:val="00FB54D2"/>
    <w:rsid w:val="00FB5A13"/>
    <w:rsid w:val="00FB7961"/>
    <w:rsid w:val="00FC0318"/>
    <w:rsid w:val="00FC1D94"/>
    <w:rsid w:val="00FC2E34"/>
    <w:rsid w:val="00FC2F8E"/>
    <w:rsid w:val="00FC310D"/>
    <w:rsid w:val="00FC33EF"/>
    <w:rsid w:val="00FC4DA1"/>
    <w:rsid w:val="00FC5746"/>
    <w:rsid w:val="00FC6CBD"/>
    <w:rsid w:val="00FC6F6B"/>
    <w:rsid w:val="00FC7176"/>
    <w:rsid w:val="00FD18A0"/>
    <w:rsid w:val="00FD1D79"/>
    <w:rsid w:val="00FD1F76"/>
    <w:rsid w:val="00FD4403"/>
    <w:rsid w:val="00FD6649"/>
    <w:rsid w:val="00FD6EDC"/>
    <w:rsid w:val="00FD7A5D"/>
    <w:rsid w:val="00FD7BC5"/>
    <w:rsid w:val="00FE0FAA"/>
    <w:rsid w:val="00FE0FD0"/>
    <w:rsid w:val="00FE173D"/>
    <w:rsid w:val="00FE271C"/>
    <w:rsid w:val="00FE3323"/>
    <w:rsid w:val="00FE3BE4"/>
    <w:rsid w:val="00FE4713"/>
    <w:rsid w:val="00FE4D3C"/>
    <w:rsid w:val="00FE50D3"/>
    <w:rsid w:val="00FE5B7B"/>
    <w:rsid w:val="00FE63E0"/>
    <w:rsid w:val="00FE6552"/>
    <w:rsid w:val="00FE7AC4"/>
    <w:rsid w:val="00FE7BFC"/>
    <w:rsid w:val="00FF09E3"/>
    <w:rsid w:val="00FF1F18"/>
    <w:rsid w:val="00FF24D4"/>
    <w:rsid w:val="00FF2635"/>
    <w:rsid w:val="00FF50FA"/>
    <w:rsid w:val="00FF557B"/>
    <w:rsid w:val="00FF5A3B"/>
    <w:rsid w:val="00FF7340"/>
    <w:rsid w:val="00FF73E0"/>
    <w:rsid w:val="00FF7A58"/>
    <w:rsid w:val="2C74598E"/>
    <w:rsid w:val="4DBA240C"/>
    <w:rsid w:val="59F11354"/>
    <w:rsid w:val="636E0DA7"/>
    <w:rsid w:val="637D256D"/>
    <w:rsid w:val="64254B21"/>
    <w:rsid w:val="6A6C2040"/>
    <w:rsid w:val="781950CA"/>
    <w:rsid w:val="7CA35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0"/>
    <w:autoRedefine/>
    <w:qFormat/>
    <w:uiPriority w:val="9"/>
    <w:pPr>
      <w:keepNext/>
      <w:keepLines/>
      <w:spacing w:before="340" w:after="330" w:line="578" w:lineRule="auto"/>
      <w:outlineLvl w:val="0"/>
    </w:pPr>
    <w:rPr>
      <w:b/>
      <w:bCs/>
      <w:kern w:val="44"/>
      <w:sz w:val="44"/>
      <w:szCs w:val="44"/>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TOC 标题1"/>
    <w:basedOn w:val="2"/>
    <w:next w:val="1"/>
    <w:autoRedefine/>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9">
    <w:name w:val="正文 A"/>
    <w:autoRedefine/>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0">
    <w:name w:val="标题 1 Char"/>
    <w:basedOn w:val="7"/>
    <w:link w:val="2"/>
    <w:autoRedefine/>
    <w:qFormat/>
    <w:uiPriority w:val="9"/>
    <w:rPr>
      <w:rFonts w:ascii="Calibri" w:hAnsi="Calibri" w:eastAsia="宋体" w:cs="Times New Roman"/>
      <w:b/>
      <w:bCs/>
      <w:kern w:val="44"/>
      <w:sz w:val="44"/>
      <w:szCs w:val="44"/>
    </w:rPr>
  </w:style>
  <w:style w:type="character" w:customStyle="1" w:styleId="11">
    <w:name w:val="页眉 Char"/>
    <w:basedOn w:val="7"/>
    <w:link w:val="5"/>
    <w:autoRedefine/>
    <w:qFormat/>
    <w:uiPriority w:val="99"/>
    <w:rPr>
      <w:rFonts w:ascii="Calibri" w:hAnsi="Calibri" w:eastAsia="宋体" w:cs="Times New Roman"/>
      <w:sz w:val="18"/>
      <w:szCs w:val="18"/>
    </w:rPr>
  </w:style>
  <w:style w:type="character" w:customStyle="1" w:styleId="12">
    <w:name w:val="页脚 Char"/>
    <w:basedOn w:val="7"/>
    <w:link w:val="4"/>
    <w:autoRedefine/>
    <w:qFormat/>
    <w:uiPriority w:val="99"/>
    <w:rPr>
      <w:rFonts w:ascii="Calibri" w:hAnsi="Calibri" w:eastAsia="宋体" w:cs="Times New Roman"/>
      <w:sz w:val="18"/>
      <w:szCs w:val="18"/>
    </w:rPr>
  </w:style>
  <w:style w:type="paragraph" w:styleId="13">
    <w:name w:val="List Paragraph"/>
    <w:basedOn w:val="1"/>
    <w:autoRedefine/>
    <w:qFormat/>
    <w:uiPriority w:val="34"/>
    <w:pPr>
      <w:ind w:firstLine="420" w:firstLineChars="200"/>
    </w:pPr>
  </w:style>
  <w:style w:type="character" w:customStyle="1" w:styleId="14">
    <w:name w:val="批注框文本 Char"/>
    <w:basedOn w:val="7"/>
    <w:link w:val="3"/>
    <w:autoRedefine/>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BEB714-59DC-4822-A2E6-765F3A0A1AD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655</Words>
  <Characters>3739</Characters>
  <Lines>31</Lines>
  <Paragraphs>8</Paragraphs>
  <TotalTime>0</TotalTime>
  <ScaleCrop>false</ScaleCrop>
  <LinksUpToDate>false</LinksUpToDate>
  <CharactersWithSpaces>4386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2020-05-10T08:47:00Z</dcterms:created>
  <dc:creator>昆明市盘龙区医疗保险中心</dc:creator>
  <cp:lastModifiedBy>岂曰无衣</cp:lastModifiedBy>
  <cp:lastPrinted>2020-07-15T08:20:00Z</cp:lastPrinted>
  <dcterms:modified xsi:type="dcterms:W3CDTF">2024-03-01T08:31:32Z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63F696AEF8644FEB8BF92C0047029AC4_12</vt:lpwstr>
  </property>
</Properties>
</file>