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bookmarkStart w:id="1" w:name="_GoBack"/>
      <w:bookmarkEnd w:id="1"/>
    </w:p>
    <w:p>
      <w:pPr>
        <w:jc w:val="center"/>
        <w:rPr>
          <w:rFonts w:ascii="Times New Roman" w:hAnsi="黑体" w:eastAsia="黑体"/>
          <w:bCs/>
          <w:sz w:val="52"/>
          <w:szCs w:val="52"/>
        </w:rPr>
      </w:pPr>
      <w:r>
        <w:rPr>
          <w:rFonts w:hint="eastAsia" w:ascii="Times New Roman" w:hAnsi="黑体" w:eastAsia="黑体"/>
          <w:bCs/>
          <w:sz w:val="52"/>
          <w:szCs w:val="52"/>
        </w:rPr>
        <w:t>劳动人事争议仲裁院</w:t>
      </w:r>
      <w:r>
        <w:rPr>
          <w:rFonts w:ascii="Times New Roman" w:hAnsi="黑体" w:eastAsia="黑体"/>
          <w:bCs/>
          <w:sz w:val="52"/>
          <w:szCs w:val="52"/>
        </w:rPr>
        <w:t>20</w:t>
      </w:r>
      <w:r>
        <w:rPr>
          <w:rFonts w:hint="eastAsia" w:ascii="Times New Roman" w:hAnsi="黑体" w:eastAsia="黑体"/>
          <w:bCs/>
          <w:sz w:val="52"/>
          <w:szCs w:val="52"/>
          <w:lang w:val="en-US" w:eastAsia="zh-CN"/>
        </w:rPr>
        <w:t>20</w:t>
      </w:r>
      <w:r>
        <w:rPr>
          <w:rFonts w:ascii="Times New Roman" w:hAnsi="黑体" w:eastAsia="黑体"/>
          <w:bCs/>
          <w:sz w:val="52"/>
          <w:szCs w:val="52"/>
        </w:rPr>
        <w:t>年</w:t>
      </w:r>
      <w:r>
        <w:rPr>
          <w:rFonts w:hint="eastAsia" w:ascii="Times New Roman" w:hAnsi="黑体" w:eastAsia="黑体"/>
          <w:bCs/>
          <w:sz w:val="52"/>
          <w:szCs w:val="52"/>
        </w:rPr>
        <w:t>办案工作经费</w:t>
      </w:r>
      <w:r>
        <w:rPr>
          <w:rFonts w:ascii="Times New Roman" w:hAnsi="黑体" w:eastAsia="黑体"/>
          <w:bCs/>
          <w:sz w:val="52"/>
          <w:szCs w:val="52"/>
        </w:rPr>
        <w:t>项目支出绩效</w:t>
      </w:r>
    </w:p>
    <w:p>
      <w:pPr>
        <w:jc w:val="center"/>
        <w:rPr>
          <w:rFonts w:ascii="Times New Roman" w:hAnsi="Times New Roman" w:eastAsia="黑体"/>
          <w:bCs/>
          <w:sz w:val="52"/>
          <w:szCs w:val="52"/>
        </w:rPr>
      </w:pPr>
      <w:r>
        <w:rPr>
          <w:rFonts w:ascii="Times New Roman" w:hAnsi="黑体" w:eastAsia="黑体"/>
          <w:bCs/>
          <w:sz w:val="52"/>
          <w:szCs w:val="52"/>
        </w:rPr>
        <w:t>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lang w:val="en-US" w:eastAsia="zh-CN"/>
        </w:rPr>
        <w:t>20</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63017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63017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2" o:spid="_x0000_s1026" o:spt="32" type="#_x0000_t32" style="position:absolute;left:0pt;margin-left:186.75pt;margin-top:15.45pt;height:0pt;width:207.1pt;z-index:251659264;mso-width-relative:page;mso-height-relative:page;" filled="f" stroked="t" coordsize="21600,21600" o:gfxdata="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BNExD1wAAAAkBAAAPAAAAAAAAAAEAIAAAACIAAABkcnMvZG93bnJldi54bWxQ&#10;SwECFAAUAAAACACHTuJAp7duifgBAADxAwAADgAAAAAAAAABACAAAAAmAQAAZHJzL2Uyb0RvYy54&#10;bWxQSwUGAAAAAAYABgBZAQAAkAUAAAAA&#10;">
                <v:fill on="f" focussize="0,0"/>
                <v:stroke color="#000000" joinstyle="round"/>
                <v:imagedata o:title=""/>
                <o:lock v:ext="edit" aspectratio="f"/>
              </v:shape>
            </w:pict>
          </mc:Fallback>
        </mc:AlternateContent>
      </w:r>
      <w:r>
        <w:rPr>
          <w:rFonts w:ascii="Times New Roman" w:hAnsi="Times New Roman" w:eastAsia="黑体"/>
          <w:b/>
          <w:bCs/>
          <w:sz w:val="28"/>
          <w:szCs w:val="28"/>
        </w:rPr>
        <w:t>部门名称（公章）：</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3287395" cy="0"/>
                <wp:effectExtent l="0" t="0" r="0" b="0"/>
                <wp:wrapNone/>
                <wp:docPr id="2" name="自选图形 3"/>
                <wp:cNvGraphicFramePr/>
                <a:graphic xmlns:a="http://schemas.openxmlformats.org/drawingml/2006/main">
                  <a:graphicData uri="http://schemas.microsoft.com/office/word/2010/wordprocessingShape">
                    <wps:wsp>
                      <wps:cNvCnPr/>
                      <wps:spPr>
                        <a:xfrm>
                          <a:off x="0" y="0"/>
                          <a:ext cx="328739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135pt;margin-top:17.45pt;height:0pt;width:258.85pt;z-index:251660288;mso-width-relative:page;mso-height-relative:page;" filled="f" stroked="t" coordsize="21600,21600" o:gfxdata="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9Jci32AAAAAkBAAAPAAAAAAAAAAEAIAAAACIAAABkcnMvZG93bnJldi54&#10;bWxQSwECFAAUAAAACACHTuJAlLSi1/oBAADxAwAADgAAAAAAAAABACAAAAAnAQAAZHJzL2Uyb0Rv&#10;Yy54bWxQSwUGAAAAAAYABgBZAQAAkwUAAAAA&#10;">
                <v:fill on="f" focussize="0,0"/>
                <v:stroke color="#000000" joinstyle="round"/>
                <v:imagedata o:title=""/>
                <o:lock v:ext="edit" aspectratio="f"/>
              </v:shape>
            </w:pict>
          </mc:Fallback>
        </mc:AlternateContent>
      </w:r>
      <w:r>
        <w:rPr>
          <w:rFonts w:ascii="Times New Roman" w:hAnsi="Times New Roman" w:eastAsia="黑体"/>
          <w:b/>
          <w:bCs/>
          <w:sz w:val="28"/>
          <w:szCs w:val="28"/>
        </w:rPr>
        <w:t>项目单位：</w:t>
      </w:r>
      <w:r>
        <w:rPr>
          <w:rFonts w:hint="eastAsia" w:ascii="Times New Roman" w:hAnsi="Times New Roman" w:eastAsia="黑体"/>
          <w:b/>
          <w:bCs/>
          <w:sz w:val="24"/>
          <w:szCs w:val="24"/>
          <w:lang w:val="en-US" w:eastAsia="zh-CN"/>
        </w:rPr>
        <w:t>昆明市</w:t>
      </w:r>
      <w:r>
        <w:rPr>
          <w:rFonts w:hint="eastAsia" w:ascii="Times New Roman" w:hAnsi="Times New Roman" w:eastAsia="黑体"/>
          <w:b/>
          <w:bCs/>
          <w:sz w:val="24"/>
          <w:szCs w:val="24"/>
        </w:rPr>
        <w:t>盘龙区劳动人事争议仲裁院</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3287395" cy="0"/>
                <wp:effectExtent l="0" t="0" r="0" b="0"/>
                <wp:wrapNone/>
                <wp:docPr id="3" name="自选图形 4"/>
                <wp:cNvGraphicFramePr/>
                <a:graphic xmlns:a="http://schemas.openxmlformats.org/drawingml/2006/main">
                  <a:graphicData uri="http://schemas.microsoft.com/office/word/2010/wordprocessingShape">
                    <wps:wsp>
                      <wps:cNvCnPr/>
                      <wps:spPr>
                        <a:xfrm>
                          <a:off x="0" y="0"/>
                          <a:ext cx="328739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4" o:spid="_x0000_s1026" o:spt="32" type="#_x0000_t32" style="position:absolute;left:0pt;margin-left:135pt;margin-top:14.25pt;height:0pt;width:258.85pt;z-index:251661312;mso-width-relative:page;mso-height-relative:page;" filled="f" stroked="t" coordsize="21600,21600" o:gfxdata="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VkYGzXAAAACQEAAA8AAAAAAAAAAQAgAAAAIgAAAGRycy9kb3ducmV2Lnht&#10;bFBLAQIUABQAAAAIAIdO4kDZUtv1+gEAAPEDAAAOAAAAAAAAAAEAIAAAACYBAABkcnMvZTJvRG9j&#10;LnhtbFBLBQYAAAAABgAGAFkBAACSBQAAAAA=&#10;">
                <v:fill on="f" focussize="0,0"/>
                <v:stroke color="#000000" joinstyle="round"/>
                <v:imagedata o:title=""/>
                <o:lock v:ext="edit" aspectratio="f"/>
              </v:shape>
            </w:pict>
          </mc:Fallback>
        </mc:AlternateContent>
      </w:r>
      <w:r>
        <w:rPr>
          <w:rFonts w:ascii="Times New Roman" w:hAnsi="Times New Roman" w:eastAsia="黑体"/>
          <w:b/>
          <w:bCs/>
          <w:sz w:val="28"/>
          <w:szCs w:val="28"/>
        </w:rPr>
        <w:t>主管部门：</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212725</wp:posOffset>
                </wp:positionV>
                <wp:extent cx="3317875" cy="0"/>
                <wp:effectExtent l="0" t="0" r="0" b="0"/>
                <wp:wrapNone/>
                <wp:docPr id="4" name="自选图形 5"/>
                <wp:cNvGraphicFramePr/>
                <a:graphic xmlns:a="http://schemas.openxmlformats.org/drawingml/2006/main">
                  <a:graphicData uri="http://schemas.microsoft.com/office/word/2010/wordprocessingShape">
                    <wps:wsp>
                      <wps:cNvCnPr/>
                      <wps:spPr>
                        <a:xfrm>
                          <a:off x="0" y="0"/>
                          <a:ext cx="33178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5" o:spid="_x0000_s1026" o:spt="32" type="#_x0000_t32" style="position:absolute;left:0pt;margin-left:135pt;margin-top:16.75pt;height:0pt;width:261.25pt;z-index:251662336;mso-width-relative:page;mso-height-relative:page;" filled="f" stroked="t" coordsize="21600,21600" o:gfxdata="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PX6c9gAAAAJAQAADwAAAAAAAAABACAAAAAiAAAAZHJzL2Rvd25yZXYu&#10;eG1sUEsBAhQAFAAAAAgAh07iQD+eP3r7AQAA8QMAAA4AAAAAAAAAAQAgAAAAJwEAAGRycy9lMm9E&#10;b2MueG1sUEsFBgAAAAAGAAYAWQEAAJQFAAAAAA==&#10;">
                <v:fill on="f" focussize="0,0"/>
                <v:stroke color="#000000" joinstyle="round"/>
                <v:imagedata o:title=""/>
                <o:lock v:ext="edit" aspectratio="f"/>
              </v:shape>
            </w:pict>
          </mc:Fallback>
        </mc:AlternateContent>
      </w:r>
      <w:r>
        <w:rPr>
          <w:rFonts w:ascii="Times New Roman" w:hAnsi="Times New Roman" w:eastAsia="黑体"/>
          <w:b/>
          <w:bCs/>
          <w:sz w:val="28"/>
          <w:szCs w:val="28"/>
        </w:rPr>
        <w:t>项目名称：</w:t>
      </w:r>
      <w:r>
        <w:rPr>
          <w:rFonts w:hint="eastAsia" w:ascii="Times New Roman" w:hAnsi="Times New Roman" w:eastAsia="黑体"/>
          <w:b/>
          <w:bCs/>
          <w:sz w:val="24"/>
          <w:szCs w:val="24"/>
        </w:rPr>
        <w:t>劳动人事争议仲裁院办案工作经费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2012950</wp:posOffset>
                </wp:positionH>
                <wp:positionV relativeFrom="paragraph">
                  <wp:posOffset>212725</wp:posOffset>
                </wp:positionV>
                <wp:extent cx="3019425" cy="0"/>
                <wp:effectExtent l="0" t="0" r="0" b="0"/>
                <wp:wrapNone/>
                <wp:docPr id="5" name="自选图形 6"/>
                <wp:cNvGraphicFramePr/>
                <a:graphic xmlns:a="http://schemas.openxmlformats.org/drawingml/2006/main">
                  <a:graphicData uri="http://schemas.microsoft.com/office/word/2010/wordprocessingShape">
                    <wps:wsp>
                      <wps:cNvCnPr/>
                      <wps:spPr>
                        <a:xfrm>
                          <a:off x="0" y="0"/>
                          <a:ext cx="301942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6" o:spid="_x0000_s1026" o:spt="32" type="#_x0000_t32" style="position:absolute;left:0pt;margin-left:158.5pt;margin-top:16.75pt;height:0pt;width:237.75pt;z-index:251663360;mso-width-relative:page;mso-height-relative:page;" filled="f" stroked="t" coordsize="21600,21600" o:gfxdata="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IdEcd1wAAAAkBAAAPAAAAAAAAAAEAIAAAACIAAABkcnMvZG93bnJldi54bWxQ&#10;SwECFAAUAAAACACHTuJAoxeoMfgBAADxAwAADgAAAAAAAAABACAAAAAmAQAAZHJzL2Uyb0RvYy54&#10;bWxQSwUGAAAAAAYABgBZAQAAkAUAAAAA&#10;">
                <v:fill on="f" focussize="0,0"/>
                <v:stroke color="#000000" joinstyle="round"/>
                <v:imagedata o:title=""/>
                <o:lock v:ext="edit" aspectratio="f"/>
              </v:shape>
            </w:pict>
          </mc:Fallback>
        </mc:AlternateContent>
      </w:r>
      <w:r>
        <w:rPr>
          <w:rFonts w:ascii="Times New Roman" w:hAnsi="Times New Roman" w:eastAsia="黑体"/>
          <w:b/>
          <w:bCs/>
          <w:sz w:val="28"/>
          <w:szCs w:val="28"/>
        </w:rPr>
        <w:t>绩效自评日期：</w:t>
      </w:r>
      <w:r>
        <w:rPr>
          <w:rFonts w:hint="eastAsia" w:ascii="Times New Roman" w:hAnsi="Times New Roman" w:eastAsia="黑体"/>
          <w:b/>
          <w:bCs/>
          <w:sz w:val="24"/>
          <w:szCs w:val="24"/>
        </w:rPr>
        <w:t>202</w:t>
      </w:r>
      <w:r>
        <w:rPr>
          <w:rFonts w:hint="eastAsia" w:ascii="Times New Roman" w:hAnsi="Times New Roman" w:eastAsia="黑体"/>
          <w:b/>
          <w:bCs/>
          <w:sz w:val="24"/>
          <w:szCs w:val="24"/>
          <w:lang w:val="en-US" w:eastAsia="zh-CN"/>
        </w:rPr>
        <w:t>1</w:t>
      </w:r>
      <w:r>
        <w:rPr>
          <w:rFonts w:hint="eastAsia" w:ascii="Times New Roman" w:hAnsi="Times New Roman" w:eastAsia="黑体"/>
          <w:b/>
          <w:bCs/>
          <w:sz w:val="24"/>
          <w:szCs w:val="24"/>
        </w:rPr>
        <w:t>年</w:t>
      </w:r>
      <w:r>
        <w:rPr>
          <w:rFonts w:hint="eastAsia" w:ascii="Times New Roman" w:hAnsi="Times New Roman" w:eastAsia="黑体"/>
          <w:b/>
          <w:bCs/>
          <w:sz w:val="24"/>
          <w:szCs w:val="24"/>
          <w:lang w:val="en-US" w:eastAsia="zh-CN"/>
        </w:rPr>
        <w:t>5</w:t>
      </w:r>
      <w:r>
        <w:rPr>
          <w:rFonts w:hint="eastAsia" w:ascii="Times New Roman" w:hAnsi="Times New Roman" w:eastAsia="黑体"/>
          <w:b/>
          <w:bCs/>
          <w:sz w:val="24"/>
          <w:szCs w:val="24"/>
        </w:rPr>
        <w:t>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1</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5</w:t>
      </w:r>
      <w:r>
        <w:rPr>
          <w:rFonts w:ascii="Times New Roman" w:hAnsi="Times New Roman" w:eastAsia="黑体"/>
          <w:b/>
          <w:bCs/>
          <w:sz w:val="28"/>
          <w:szCs w:val="28"/>
        </w:rPr>
        <w:t>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9"/>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6"/>
        <w:tblpPr w:leftFromText="180" w:rightFromText="180" w:vertAnchor="text" w:horzAnchor="page" w:tblpX="1765" w:tblpY="153"/>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830"/>
        <w:gridCol w:w="141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83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41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徐敏</w:t>
            </w:r>
          </w:p>
        </w:tc>
        <w:tc>
          <w:tcPr>
            <w:tcW w:w="183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局长</w:t>
            </w:r>
          </w:p>
        </w:tc>
        <w:tc>
          <w:tcPr>
            <w:tcW w:w="1411"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ind w:firstLine="360" w:firstLineChars="150"/>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rPr>
              <w:t>唐祺</w:t>
            </w:r>
          </w:p>
        </w:tc>
        <w:tc>
          <w:tcPr>
            <w:tcW w:w="183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副局长</w:t>
            </w:r>
          </w:p>
        </w:tc>
        <w:tc>
          <w:tcPr>
            <w:tcW w:w="141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9"/>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rPr>
              <w:t>龙建兵</w:t>
            </w:r>
          </w:p>
        </w:tc>
        <w:tc>
          <w:tcPr>
            <w:tcW w:w="1830" w:type="dxa"/>
            <w:vAlign w:val="center"/>
          </w:tcPr>
          <w:p>
            <w:pPr>
              <w:pStyle w:val="9"/>
              <w:widowControl w:val="0"/>
              <w:spacing w:after="0" w:line="360" w:lineRule="auto"/>
              <w:jc w:val="center"/>
              <w:rPr>
                <w:rFonts w:ascii="Times New Roman" w:hAnsi="Times New Roman" w:eastAsia="黑体" w:cs="Times New Roman"/>
                <w:kern w:val="2"/>
                <w:sz w:val="24"/>
                <w:szCs w:val="24"/>
              </w:rPr>
            </w:pPr>
            <w:r>
              <w:rPr>
                <w:rFonts w:hint="eastAsia" w:ascii="Times New Roman" w:hAnsi="Times New Roman" w:eastAsia="黑体" w:cs="Times New Roman"/>
                <w:kern w:val="2"/>
                <w:sz w:val="24"/>
                <w:szCs w:val="24"/>
              </w:rPr>
              <w:t>区仲裁院院长</w:t>
            </w:r>
          </w:p>
        </w:tc>
        <w:tc>
          <w:tcPr>
            <w:tcW w:w="141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p>
        </w:tc>
        <w:tc>
          <w:tcPr>
            <w:tcW w:w="1620" w:type="dxa"/>
            <w:vAlign w:val="center"/>
          </w:tcPr>
          <w:p>
            <w:pPr>
              <w:pStyle w:val="9"/>
              <w:widowControl w:val="0"/>
              <w:spacing w:after="0" w:line="360" w:lineRule="auto"/>
              <w:jc w:val="center"/>
              <w:rPr>
                <w:rFonts w:hint="eastAsia" w:ascii="Times New Roman" w:hAnsi="Times New Roman" w:eastAsia="黑体" w:cs="Times New Roman"/>
                <w:kern w:val="2"/>
                <w:sz w:val="24"/>
                <w:szCs w:val="24"/>
                <w:lang w:val="en-US" w:eastAsia="zh-CN"/>
              </w:rPr>
            </w:pPr>
            <w:r>
              <w:rPr>
                <w:rFonts w:hint="eastAsia" w:ascii="Times New Roman" w:hAnsi="Times New Roman" w:eastAsia="黑体" w:cs="Times New Roman"/>
                <w:kern w:val="2"/>
                <w:sz w:val="24"/>
                <w:szCs w:val="24"/>
                <w:lang w:val="en-US" w:eastAsia="zh-CN"/>
              </w:rPr>
              <w:t>杨涵</w:t>
            </w:r>
          </w:p>
        </w:tc>
        <w:tc>
          <w:tcPr>
            <w:tcW w:w="1830" w:type="dxa"/>
            <w:vAlign w:val="center"/>
          </w:tcPr>
          <w:p>
            <w:pPr>
              <w:pStyle w:val="9"/>
              <w:widowControl w:val="0"/>
              <w:spacing w:after="0" w:line="360" w:lineRule="auto"/>
              <w:jc w:val="center"/>
              <w:rPr>
                <w:rFonts w:ascii="Times New Roman" w:hAnsi="Times New Roman" w:eastAsia="黑体" w:cs="Times New Roman"/>
                <w:kern w:val="2"/>
                <w:sz w:val="24"/>
                <w:szCs w:val="24"/>
                <w:lang w:val="zh-TW"/>
              </w:rPr>
            </w:pPr>
            <w:r>
              <w:rPr>
                <w:rFonts w:hint="eastAsia" w:ascii="Times New Roman" w:hAnsi="Times New Roman" w:eastAsia="黑体" w:cs="Times New Roman"/>
                <w:kern w:val="2"/>
                <w:sz w:val="24"/>
                <w:szCs w:val="24"/>
                <w:lang w:val="zh-TW"/>
              </w:rPr>
              <w:t>局行办财务</w:t>
            </w:r>
          </w:p>
        </w:tc>
        <w:tc>
          <w:tcPr>
            <w:tcW w:w="141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9"/>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ind w:right="480" w:firstLine="4920" w:firstLineChars="2050"/>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9"/>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spacing w:after="0" w:line="360" w:lineRule="auto"/>
              <w:jc w:val="both"/>
              <w:rPr>
                <w:rFonts w:ascii="Times New Roman" w:hAnsi="Times New Roman" w:eastAsia="黑体" w:cs="Times New Roman"/>
                <w:kern w:val="2"/>
                <w:sz w:val="24"/>
                <w:szCs w:val="24"/>
                <w:lang w:val="zh-TW"/>
              </w:rPr>
            </w:pPr>
          </w:p>
          <w:p>
            <w:pPr>
              <w:pStyle w:val="9"/>
              <w:widowControl w:val="0"/>
              <w:wordWrap w:val="0"/>
              <w:spacing w:after="0" w:line="360" w:lineRule="auto"/>
              <w:ind w:right="480" w:firstLine="4800" w:firstLineChars="2000"/>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bl>
    <w:p>
      <w:pPr>
        <w:pStyle w:val="9"/>
        <w:widowControl w:val="0"/>
        <w:spacing w:after="0" w:line="360" w:lineRule="auto"/>
        <w:jc w:val="both"/>
        <w:rPr>
          <w:rFonts w:ascii="Times New Roman" w:hAnsi="Times New Roman" w:cs="Times New Roman"/>
          <w:kern w:val="2"/>
          <w:sz w:val="24"/>
          <w:szCs w:val="24"/>
          <w:lang w:val="zh-TW"/>
        </w:rPr>
      </w:pPr>
    </w:p>
    <w:p>
      <w:pPr>
        <w:pStyle w:val="9"/>
        <w:widowControl w:val="0"/>
        <w:spacing w:after="0" w:line="360" w:lineRule="auto"/>
        <w:jc w:val="both"/>
        <w:rPr>
          <w:rFonts w:ascii="Times New Roman" w:hAnsi="Times New Roman" w:cs="Times New Roman"/>
          <w:kern w:val="2"/>
          <w:sz w:val="24"/>
          <w:szCs w:val="24"/>
          <w:lang w:val="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黑体" w:hAnsi="黑体" w:eastAsia="黑体"/>
          <w:sz w:val="32"/>
          <w:szCs w:val="32"/>
        </w:rPr>
      </w:pPr>
      <w:r>
        <w:rPr>
          <w:rFonts w:hint="eastAsia" w:ascii="黑体" w:hAnsi="黑体" w:eastAsia="黑体"/>
          <w:sz w:val="32"/>
          <w:szCs w:val="32"/>
        </w:rPr>
        <w:t>目录</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（一）项目立项背景</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（二）项目立项依据</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（三）项目实施内容</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（四）项目实施计划及完成情况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（五）项目的组织及管理</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（六）项目绩效目标</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评价的目的</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绩效评价原则</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三、评价结论及绩效分析</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评价结论</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绩效分析</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四、项目主要经验及做法、存在的问题和建议</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一</w:t>
      </w:r>
      <w:r>
        <w:rPr>
          <w:rFonts w:ascii="Times New Roman" w:hAnsi="Times New Roman" w:eastAsia="黑体"/>
          <w:szCs w:val="32"/>
        </w:rPr>
        <w:t>)</w:t>
      </w:r>
      <w:r>
        <w:rPr>
          <w:rFonts w:ascii="Times New Roman" w:hAnsi="黑体" w:eastAsia="黑体"/>
          <w:szCs w:val="32"/>
        </w:rPr>
        <w:t>主要经验及做法</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二</w:t>
      </w:r>
      <w:r>
        <w:rPr>
          <w:rFonts w:ascii="Times New Roman" w:hAnsi="Times New Roman" w:eastAsia="黑体"/>
          <w:szCs w:val="32"/>
        </w:rPr>
        <w:t>)</w:t>
      </w:r>
      <w:r>
        <w:rPr>
          <w:rFonts w:ascii="Times New Roman" w:hAnsi="黑体" w:eastAsia="黑体"/>
          <w:szCs w:val="32"/>
        </w:rPr>
        <w:t>存在的问题</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w:t>
      </w:r>
      <w:r>
        <w:rPr>
          <w:rFonts w:ascii="Times New Roman" w:hAnsi="黑体" w:eastAsia="黑体"/>
          <w:szCs w:val="32"/>
        </w:rPr>
        <w:t>三</w:t>
      </w:r>
      <w:r>
        <w:rPr>
          <w:rFonts w:ascii="Times New Roman" w:hAnsi="Times New Roman" w:eastAsia="黑体"/>
          <w:szCs w:val="32"/>
        </w:rPr>
        <w:t>)</w:t>
      </w:r>
      <w:r>
        <w:rPr>
          <w:rFonts w:ascii="Times New Roman" w:hAnsi="黑体" w:eastAsia="黑体"/>
          <w:szCs w:val="32"/>
        </w:rPr>
        <w:t>建议和改进措施</w:t>
      </w:r>
    </w:p>
    <w:p>
      <w:pPr>
        <w:spacing w:line="440" w:lineRule="exact"/>
        <w:ind w:firstLine="420" w:firstLineChars="200"/>
        <w:jc w:val="left"/>
        <w:rPr>
          <w:rFonts w:ascii="Times New Roman" w:hAnsi="Times New Roman" w:eastAsia="黑体"/>
          <w:szCs w:val="32"/>
        </w:rPr>
      </w:pPr>
      <w:r>
        <w:rPr>
          <w:rFonts w:ascii="Times New Roman" w:hAnsi="黑体" w:eastAsia="黑体"/>
          <w:szCs w:val="32"/>
        </w:rPr>
        <w:t>五、附件</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ab/>
      </w: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jc w:val="center"/>
        <w:rPr>
          <w:rFonts w:ascii="Times New Roman" w:hAnsi="黑体" w:eastAsia="黑体"/>
          <w:bCs/>
          <w:sz w:val="32"/>
          <w:szCs w:val="32"/>
        </w:rPr>
      </w:pPr>
      <w:r>
        <w:rPr>
          <w:rFonts w:hint="eastAsia" w:ascii="Times New Roman" w:hAnsi="黑体" w:eastAsia="黑体"/>
          <w:bCs/>
          <w:sz w:val="32"/>
          <w:szCs w:val="32"/>
        </w:rPr>
        <w:t>劳动人事争议仲裁院</w:t>
      </w:r>
      <w:r>
        <w:rPr>
          <w:rFonts w:ascii="Times New Roman" w:hAnsi="黑体" w:eastAsia="黑体"/>
          <w:bCs/>
          <w:sz w:val="32"/>
          <w:szCs w:val="32"/>
        </w:rPr>
        <w:t>20</w:t>
      </w:r>
      <w:r>
        <w:rPr>
          <w:rFonts w:hint="eastAsia" w:ascii="Times New Roman" w:hAnsi="黑体" w:eastAsia="黑体"/>
          <w:bCs/>
          <w:sz w:val="32"/>
          <w:szCs w:val="32"/>
          <w:lang w:val="en-US" w:eastAsia="zh-CN"/>
        </w:rPr>
        <w:t>20</w:t>
      </w:r>
      <w:r>
        <w:rPr>
          <w:rFonts w:ascii="Times New Roman" w:hAnsi="黑体" w:eastAsia="黑体"/>
          <w:bCs/>
          <w:sz w:val="32"/>
          <w:szCs w:val="32"/>
        </w:rPr>
        <w:t>年</w:t>
      </w:r>
      <w:r>
        <w:rPr>
          <w:rFonts w:hint="eastAsia" w:ascii="Times New Roman" w:hAnsi="黑体" w:eastAsia="黑体"/>
          <w:bCs/>
          <w:sz w:val="32"/>
          <w:szCs w:val="32"/>
        </w:rPr>
        <w:t>办案工作经费</w:t>
      </w:r>
    </w:p>
    <w:p>
      <w:pPr>
        <w:jc w:val="center"/>
        <w:rPr>
          <w:rFonts w:ascii="Times New Roman" w:hAnsi="Times New Roman" w:eastAsia="方正小标宋_GBK"/>
          <w:sz w:val="32"/>
          <w:szCs w:val="32"/>
        </w:rPr>
      </w:pPr>
      <w:r>
        <w:rPr>
          <w:rFonts w:ascii="Times New Roman" w:hAnsi="黑体" w:eastAsia="黑体"/>
          <w:bCs/>
          <w:sz w:val="32"/>
          <w:szCs w:val="32"/>
        </w:rPr>
        <w:t>项目支出绩效自评报告</w:t>
      </w: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center"/>
        <w:rPr>
          <w:rFonts w:ascii="Times New Roman" w:hAnsi="Times New Roman" w:eastAsia="方正小标宋_GBK"/>
          <w:szCs w:val="32"/>
        </w:rPr>
      </w:pPr>
      <w:r>
        <w:rPr>
          <w:rFonts w:ascii="Times New Roman" w:hAnsi="Times New Roman" w:eastAsia="方正小标宋_GBK"/>
          <w:szCs w:val="32"/>
        </w:rPr>
        <w:t>摘要</w:t>
      </w:r>
    </w:p>
    <w:p>
      <w:pPr>
        <w:pStyle w:val="11"/>
        <w:spacing w:line="440" w:lineRule="exact"/>
        <w:ind w:left="420" w:firstLine="0" w:firstLineChars="0"/>
        <w:jc w:val="left"/>
        <w:rPr>
          <w:rFonts w:ascii="Times New Roman" w:hAnsi="Times New Roman" w:eastAsia="仿宋_GB2312"/>
          <w:szCs w:val="21"/>
        </w:rPr>
      </w:pPr>
      <w:r>
        <w:rPr>
          <w:rFonts w:hint="eastAsia" w:ascii="黑体" w:hAnsi="黑体" w:eastAsia="黑体" w:cs="黑体"/>
          <w:szCs w:val="21"/>
        </w:rPr>
        <w:t>一、项目概况</w:t>
      </w:r>
    </w:p>
    <w:p>
      <w:pPr>
        <w:spacing w:line="400" w:lineRule="exact"/>
        <w:ind w:firstLine="420" w:firstLineChars="200"/>
        <w:jc w:val="left"/>
        <w:rPr>
          <w:rFonts w:ascii="Times New Roman" w:hAnsi="Times New Roman" w:eastAsia="仿宋_GB2312"/>
          <w:szCs w:val="21"/>
        </w:rPr>
      </w:pPr>
      <w:r>
        <w:rPr>
          <w:rFonts w:ascii="Times New Roman" w:hAnsi="Times New Roman" w:eastAsia="仿宋_GB2312"/>
          <w:szCs w:val="21"/>
        </w:rPr>
        <w:t>1.依照法律规定制作的具有法律效力的文书资料；</w:t>
      </w:r>
    </w:p>
    <w:p>
      <w:pPr>
        <w:spacing w:line="400" w:lineRule="exact"/>
        <w:ind w:firstLine="420" w:firstLineChars="200"/>
        <w:jc w:val="left"/>
        <w:rPr>
          <w:rFonts w:ascii="Times New Roman" w:hAnsi="Times New Roman" w:eastAsia="仿宋_GB2312"/>
          <w:szCs w:val="21"/>
        </w:rPr>
      </w:pPr>
      <w:r>
        <w:rPr>
          <w:rFonts w:ascii="Times New Roman" w:hAnsi="Times New Roman" w:eastAsia="仿宋_GB2312"/>
          <w:szCs w:val="21"/>
        </w:rPr>
        <w:t>2.通过培训提升专兼职仲裁员的办案水平，不断提高案件处理质量；</w:t>
      </w:r>
    </w:p>
    <w:p>
      <w:pPr>
        <w:spacing w:line="400" w:lineRule="exact"/>
        <w:ind w:firstLine="420" w:firstLineChars="200"/>
        <w:jc w:val="left"/>
        <w:rPr>
          <w:rFonts w:ascii="Times New Roman" w:hAnsi="Times New Roman" w:eastAsia="仿宋_GB2312"/>
          <w:szCs w:val="21"/>
        </w:rPr>
      </w:pPr>
      <w:r>
        <w:rPr>
          <w:rFonts w:ascii="Times New Roman" w:hAnsi="Times New Roman" w:eastAsia="仿宋_GB2312"/>
          <w:szCs w:val="21"/>
        </w:rPr>
        <w:t>3.为进一步树立我区仲裁院良好的社会形象，让仲裁司法程序更加规范，增强仲裁活动的严肃性和公信力，拟为仲裁院人员统一制作工作服装。</w:t>
      </w:r>
    </w:p>
    <w:p>
      <w:pPr>
        <w:spacing w:line="400" w:lineRule="exact"/>
        <w:ind w:firstLine="420" w:firstLineChars="200"/>
        <w:jc w:val="left"/>
        <w:rPr>
          <w:rFonts w:ascii="Times New Roman" w:hAnsi="Times New Roman" w:eastAsia="仿宋_GB2312"/>
          <w:szCs w:val="21"/>
        </w:rPr>
      </w:pPr>
      <w:r>
        <w:rPr>
          <w:rFonts w:ascii="Times New Roman" w:hAnsi="Times New Roman" w:eastAsia="仿宋_GB2312"/>
          <w:szCs w:val="21"/>
        </w:rPr>
        <w:t>4.为使进入仲裁程序案件送达具有法律效力，根据实际情况要进行案件相关法律文书通过邮寄、实地、登报公告进行送达。。</w:t>
      </w:r>
    </w:p>
    <w:p>
      <w:pPr>
        <w:spacing w:line="400" w:lineRule="exact"/>
        <w:ind w:firstLine="420" w:firstLineChars="200"/>
        <w:jc w:val="left"/>
        <w:rPr>
          <w:rFonts w:ascii="黑体" w:hAnsi="黑体" w:eastAsia="黑体" w:cs="黑体"/>
          <w:szCs w:val="21"/>
        </w:rPr>
      </w:pPr>
      <w:r>
        <w:rPr>
          <w:rFonts w:hint="eastAsia" w:ascii="黑体" w:hAnsi="黑体" w:eastAsia="黑体" w:cs="黑体"/>
          <w:szCs w:val="21"/>
        </w:rPr>
        <w:t>二、评价结论</w:t>
      </w:r>
    </w:p>
    <w:p>
      <w:pPr>
        <w:spacing w:line="400" w:lineRule="exact"/>
        <w:ind w:firstLine="420" w:firstLineChars="200"/>
        <w:jc w:val="left"/>
        <w:rPr>
          <w:rFonts w:ascii="Times New Roman" w:hAnsi="Times New Roman" w:eastAsia="仿宋_GB2312"/>
          <w:szCs w:val="21"/>
        </w:rPr>
      </w:pPr>
      <w:r>
        <w:rPr>
          <w:rFonts w:hint="eastAsia" w:ascii="Times New Roman" w:hAnsi="Times New Roman" w:eastAsia="仿宋_GB2312" w:cs="Times New Roman"/>
          <w:szCs w:val="21"/>
          <w:lang w:val="en-US" w:eastAsia="zh-CN"/>
        </w:rPr>
        <w:t>坚持以</w:t>
      </w:r>
      <w:r>
        <w:rPr>
          <w:rFonts w:hint="eastAsia" w:ascii="Times New Roman" w:hAnsi="Times New Roman" w:eastAsia="仿宋_GB2312" w:cs="Times New Roman"/>
          <w:szCs w:val="21"/>
        </w:rPr>
        <w:t>习近平新时代中国特色社会主义思想</w:t>
      </w:r>
      <w:r>
        <w:rPr>
          <w:rFonts w:hint="eastAsia" w:ascii="Times New Roman" w:hAnsi="Times New Roman" w:eastAsia="仿宋_GB2312" w:cs="Times New Roman"/>
          <w:szCs w:val="21"/>
          <w:lang w:val="en-US" w:eastAsia="zh-CN"/>
        </w:rPr>
        <w:t>为指导，全面贯彻十九届四中、五中全会精神，坚持底线思维，坚守厉行法治，推进严格执法、公正司法，依法化解劳资纠纷，努力让劳动者和企业在仲裁案件中感受到公平正义，切实维护和谐的劳动关系。</w:t>
      </w:r>
      <w:r>
        <w:rPr>
          <w:rFonts w:hint="eastAsia" w:ascii="Times New Roman" w:hAnsi="Times New Roman" w:eastAsia="仿宋_GB2312" w:cs="Times New Roman"/>
          <w:szCs w:val="21"/>
        </w:rPr>
        <w:t>深入贯彻执行《中华人民共和国劳动法》《中华人民共和国劳动合同法》《中华人民共和国劳动争议调解仲裁法》</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lang w:val="en-US" w:eastAsia="zh-CN"/>
        </w:rPr>
        <w:t>劳动人事争议仲裁办案规则</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lang w:val="en-US" w:eastAsia="zh-CN"/>
        </w:rPr>
        <w:t>劳动人事争议仲裁组织规则</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rPr>
        <w:t>等相关法律法规及行政法规，以完善组织建设为保障，以健全制度为基础，以争议</w:t>
      </w:r>
      <w:r>
        <w:rPr>
          <w:rFonts w:hint="eastAsia" w:ascii="Times New Roman" w:hAnsi="Times New Roman" w:eastAsia="仿宋_GB2312"/>
          <w:szCs w:val="21"/>
        </w:rPr>
        <w:t>调解为重点，进一步规范争议案件处理，为构建盘龙区和谐劳动人事关系做出了积极贡献。</w:t>
      </w:r>
    </w:p>
    <w:p>
      <w:pPr>
        <w:spacing w:line="400" w:lineRule="exact"/>
        <w:ind w:firstLine="420" w:firstLineChars="200"/>
        <w:jc w:val="left"/>
        <w:rPr>
          <w:rFonts w:ascii="黑体" w:hAnsi="黑体" w:eastAsia="黑体" w:cs="黑体"/>
          <w:szCs w:val="21"/>
        </w:rPr>
      </w:pPr>
      <w:r>
        <w:rPr>
          <w:rFonts w:hint="eastAsia" w:ascii="黑体" w:hAnsi="黑体" w:eastAsia="黑体" w:cs="黑体"/>
          <w:szCs w:val="21"/>
        </w:rPr>
        <w:t>三、经验、问题和建议</w:t>
      </w:r>
    </w:p>
    <w:p>
      <w:pPr>
        <w:spacing w:line="40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1.主要经验及做法。</w:t>
      </w:r>
    </w:p>
    <w:p>
      <w:pPr>
        <w:topLinePunct/>
        <w:spacing w:line="400" w:lineRule="exact"/>
        <w:ind w:firstLine="525" w:firstLineChars="250"/>
        <w:rPr>
          <w:rFonts w:ascii="Times New Roman" w:hAnsi="Times New Roman" w:eastAsia="仿宋_GB2312"/>
          <w:szCs w:val="21"/>
        </w:rPr>
      </w:pPr>
      <w:r>
        <w:rPr>
          <w:rFonts w:hint="eastAsia" w:ascii="Times New Roman" w:hAnsi="Times New Roman" w:eastAsia="仿宋_GB2312"/>
          <w:szCs w:val="21"/>
        </w:rPr>
        <w:t>区人社局党组在化解社会矛盾纠纷工作上坚持“超前思考、抓住时机、特色推进”的方针，以“理顺关系、化解矛盾、维护稳定”作为工作目标。区仲裁院作为具有“准司法”性质的执法机构，劳动人事争议仲裁是劳动人事争议诉讼的法定前置程序,即“先裁后审”制，必须要以严谨、规范、完善的制度作为基础，贯穿劳动人事争议仲裁的始终，才能保证执法行为的合法、公正。完善各项内部工作制度，并落实到人，规范办案程序，统一告知用语，强化证据质证程序，严格依法办案。</w:t>
      </w:r>
    </w:p>
    <w:p>
      <w:pPr>
        <w:spacing w:line="40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2.存在的问题。</w:t>
      </w:r>
    </w:p>
    <w:p>
      <w:pPr>
        <w:spacing w:line="400" w:lineRule="exact"/>
        <w:ind w:firstLine="420" w:firstLineChars="200"/>
        <w:jc w:val="left"/>
        <w:rPr>
          <w:rFonts w:ascii="Times New Roman" w:hAnsi="Times New Roman" w:eastAsia="仿宋_GB2312"/>
          <w:szCs w:val="21"/>
        </w:rPr>
      </w:pPr>
      <w:r>
        <w:rPr>
          <w:rFonts w:hint="eastAsia" w:ascii="Times New Roman" w:hAnsi="Times New Roman" w:eastAsia="仿宋_GB2312"/>
          <w:szCs w:val="21"/>
        </w:rPr>
        <w:t>街道、社区调解组织的建立面临诸多难题，人员配置、硬件设施等的配置，调解组织建立起来了，但面临没有专业的人员切实发挥调解组织的作用，街道和社区都存在一个人面对多方面、多层次的工作，调解只是其工作中的一小部分。</w:t>
      </w:r>
    </w:p>
    <w:p>
      <w:pPr>
        <w:spacing w:line="400" w:lineRule="exact"/>
        <w:ind w:firstLine="420" w:firstLineChars="200"/>
        <w:jc w:val="left"/>
        <w:rPr>
          <w:rFonts w:ascii="楷体_GB2312" w:hAnsi="楷体_GB2312" w:eastAsia="楷体_GB2312" w:cs="楷体_GB2312"/>
          <w:szCs w:val="21"/>
        </w:rPr>
      </w:pPr>
      <w:r>
        <w:rPr>
          <w:rFonts w:hint="eastAsia" w:ascii="楷体_GB2312" w:hAnsi="楷体_GB2312" w:eastAsia="楷体_GB2312" w:cs="楷体_GB2312"/>
          <w:szCs w:val="21"/>
        </w:rPr>
        <w:t>3.改进措施及建议。</w:t>
      </w:r>
    </w:p>
    <w:p>
      <w:pPr>
        <w:topLinePunct/>
        <w:spacing w:line="400" w:lineRule="exact"/>
        <w:ind w:firstLine="525" w:firstLineChars="250"/>
        <w:rPr>
          <w:rFonts w:ascii="Times New Roman" w:hAnsi="Times New Roman" w:eastAsia="仿宋_GB2312"/>
          <w:szCs w:val="21"/>
        </w:rPr>
      </w:pPr>
      <w:r>
        <w:rPr>
          <w:rFonts w:hint="eastAsia" w:ascii="Times New Roman" w:hAnsi="Times New Roman" w:eastAsia="仿宋_GB2312"/>
          <w:szCs w:val="21"/>
        </w:rPr>
        <w:t>坚持依法处理、维护公平、完善劳动人事争议调解制度和仲裁准司法制度，发挥司法引领，推动和保障作用，运用法治思维和法治方式处理劳动人事争议，切实维护好用人单位和劳动者的合法权益。</w:t>
      </w:r>
    </w:p>
    <w:p>
      <w:pPr>
        <w:spacing w:line="440" w:lineRule="exact"/>
        <w:jc w:val="left"/>
        <w:rPr>
          <w:rFonts w:ascii="Times New Roman" w:hAnsi="Times New Roman" w:eastAsia="仿宋_GB2312"/>
          <w:szCs w:val="21"/>
        </w:rPr>
      </w:pPr>
    </w:p>
    <w:p>
      <w:pPr>
        <w:jc w:val="center"/>
        <w:rPr>
          <w:rFonts w:ascii="Times New Roman" w:hAnsi="黑体" w:eastAsia="黑体"/>
          <w:bCs/>
          <w:sz w:val="32"/>
          <w:szCs w:val="32"/>
        </w:rPr>
      </w:pPr>
      <w:r>
        <w:rPr>
          <w:rFonts w:hint="eastAsia" w:ascii="Times New Roman" w:hAnsi="黑体" w:eastAsia="黑体"/>
          <w:bCs/>
          <w:sz w:val="32"/>
          <w:szCs w:val="32"/>
        </w:rPr>
        <w:t>劳动人事争议仲裁院</w:t>
      </w:r>
      <w:r>
        <w:rPr>
          <w:rFonts w:ascii="Times New Roman" w:hAnsi="黑体" w:eastAsia="黑体"/>
          <w:bCs/>
          <w:sz w:val="32"/>
          <w:szCs w:val="32"/>
        </w:rPr>
        <w:t>20</w:t>
      </w:r>
      <w:r>
        <w:rPr>
          <w:rFonts w:hint="eastAsia" w:ascii="Times New Roman" w:hAnsi="黑体" w:eastAsia="黑体"/>
          <w:bCs/>
          <w:sz w:val="32"/>
          <w:szCs w:val="32"/>
          <w:lang w:val="en-US" w:eastAsia="zh-CN"/>
        </w:rPr>
        <w:t>20</w:t>
      </w:r>
      <w:r>
        <w:rPr>
          <w:rFonts w:ascii="Times New Roman" w:hAnsi="黑体" w:eastAsia="黑体"/>
          <w:bCs/>
          <w:sz w:val="32"/>
          <w:szCs w:val="32"/>
        </w:rPr>
        <w:t>年</w:t>
      </w:r>
      <w:r>
        <w:rPr>
          <w:rFonts w:hint="eastAsia" w:ascii="Times New Roman" w:hAnsi="黑体" w:eastAsia="黑体"/>
          <w:bCs/>
          <w:sz w:val="32"/>
          <w:szCs w:val="32"/>
        </w:rPr>
        <w:t>办案工作经费</w:t>
      </w:r>
    </w:p>
    <w:p>
      <w:pPr>
        <w:jc w:val="center"/>
        <w:rPr>
          <w:rFonts w:ascii="Times New Roman" w:hAnsi="Times New Roman" w:eastAsia="方正小标宋_GBK"/>
          <w:sz w:val="32"/>
          <w:szCs w:val="32"/>
        </w:rPr>
      </w:pPr>
      <w:r>
        <w:rPr>
          <w:rFonts w:ascii="Times New Roman" w:hAnsi="黑体" w:eastAsia="黑体"/>
          <w:bCs/>
          <w:sz w:val="32"/>
          <w:szCs w:val="32"/>
        </w:rPr>
        <w:t>项目支出绩效自评报告</w:t>
      </w:r>
    </w:p>
    <w:p>
      <w:pPr>
        <w:topLinePunct/>
        <w:spacing w:line="440" w:lineRule="exact"/>
        <w:ind w:firstLine="525" w:firstLineChars="250"/>
        <w:rPr>
          <w:rFonts w:ascii="Times New Roman" w:hAnsi="Times New Roman" w:eastAsia="仿宋_GB2312"/>
          <w:szCs w:val="21"/>
        </w:rPr>
      </w:pP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一、项目基本情况</w:t>
      </w:r>
    </w:p>
    <w:p>
      <w:pPr>
        <w:topLinePunct/>
        <w:spacing w:line="440" w:lineRule="exact"/>
        <w:ind w:firstLine="525" w:firstLineChars="250"/>
        <w:rPr>
          <w:rFonts w:hint="eastAsia" w:ascii="楷体" w:hAnsi="楷体" w:eastAsia="楷体" w:cs="楷体"/>
          <w:szCs w:val="32"/>
        </w:rPr>
      </w:pPr>
      <w:r>
        <w:rPr>
          <w:rFonts w:hint="eastAsia" w:ascii="楷体" w:hAnsi="楷体" w:eastAsia="楷体" w:cs="楷体"/>
          <w:szCs w:val="32"/>
        </w:rPr>
        <w:t>（一）项目概况。</w:t>
      </w:r>
    </w:p>
    <w:p>
      <w:pPr>
        <w:topLinePunct/>
        <w:spacing w:line="440" w:lineRule="exact"/>
        <w:ind w:firstLine="525" w:firstLineChars="250"/>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1.立项背景及目的：随着盘龙区经济发展进入新常态，大力发展消费性服务业和生产性服务业，全面推进中央商务区、北部山水新区、恒隆广场、同德广场、871文化创意工场等重点片区开发，经济下行面临压力，供给侧结构性改革力度不断加大，经济建设的飞速发展和依法治国进程的推进，劳动者的维权意识空前高涨，劳动人事争议案件进入了多发期，争议案件逐年大幅上升，争议数量增多与处理难度加大并存的态势将持续存在，对传统的用工理念和调解仲裁模式产生了巨大的冲击，预防化解矛盾纠纷的任务艰巨繁重。2020年，面对疫情冲击下维护和谐劳动关系带来的巨大压力，盘龙区人力资源和社会保障局以“预防为主、基层为主、调解为主”的理念，围绕调裁审机制进行探索和尝试，建立部门横向联动劳动争议闭环处理，形成工会协同、司法助推、仲裁调解、司法调解、劳动监察联动的多元化解机制，有效提高了劳动人事争议案件处理质效，切实保障企业和职工的合法权益，全力维护劳动人事关系和谐与社会稳定。</w:t>
      </w:r>
    </w:p>
    <w:p>
      <w:pPr>
        <w:topLinePunct/>
        <w:spacing w:line="440" w:lineRule="exact"/>
        <w:ind w:firstLine="420" w:firstLineChars="200"/>
        <w:rPr>
          <w:rFonts w:ascii="Times New Roman" w:hAnsi="Times New Roman" w:eastAsia="仿宋_GB2312"/>
          <w:szCs w:val="21"/>
        </w:rPr>
      </w:pPr>
      <w:r>
        <w:rPr>
          <w:rFonts w:hint="eastAsia" w:ascii="Times New Roman" w:hAnsi="Times New Roman" w:eastAsia="仿宋_GB2312"/>
          <w:szCs w:val="21"/>
        </w:rPr>
        <w:t>根据 《</w:t>
      </w:r>
      <w:r>
        <w:rPr>
          <w:rFonts w:hint="eastAsia" w:ascii="Times New Roman" w:hAnsi="Times New Roman" w:eastAsia="仿宋_GB2312"/>
          <w:szCs w:val="21"/>
          <w:lang w:val="en-US" w:eastAsia="zh-CN"/>
        </w:rPr>
        <w:t>中华人民共和国</w:t>
      </w:r>
      <w:r>
        <w:rPr>
          <w:rFonts w:hint="eastAsia" w:ascii="Times New Roman" w:hAnsi="Times New Roman" w:eastAsia="仿宋_GB2312"/>
          <w:szCs w:val="21"/>
        </w:rPr>
        <w:t>劳动争议调解仲裁法》《劳动人事争议仲裁办案规则》《劳动人事争议仲裁组织规则》《云南省人力资源和社会保障厅中共云南省委机构编制办公室云南省财政厅关于转发加强劳动人事争议处理效能建设意见的通知》云人社发〔2013〕66号等相关规定，劳动人事争议仲裁院严格按照以上规定进行案件受理、应诉、组织双方当事人举证，开庭审理、调解等相关准司法行为，而产生的法律文书制作、送达、登报公告，及仲裁员业务培训及人员形象提升。</w:t>
      </w:r>
    </w:p>
    <w:p>
      <w:pPr>
        <w:topLinePunct/>
        <w:spacing w:line="440" w:lineRule="exact"/>
        <w:ind w:firstLine="525" w:firstLineChars="250"/>
        <w:rPr>
          <w:rFonts w:hint="eastAsia" w:ascii="Times New Roman" w:hAnsi="Times New Roman" w:eastAsia="仿宋_GB2312"/>
          <w:szCs w:val="21"/>
        </w:rPr>
      </w:pPr>
      <w:r>
        <w:rPr>
          <w:rFonts w:hint="eastAsia" w:ascii="Times New Roman" w:hAnsi="Times New Roman" w:eastAsia="仿宋_GB2312"/>
          <w:szCs w:val="21"/>
          <w:lang w:val="en-US" w:eastAsia="zh-CN"/>
        </w:rPr>
        <w:t>2.项目实施情况：</w:t>
      </w:r>
      <w:r>
        <w:rPr>
          <w:rFonts w:hint="eastAsia" w:ascii="Times New Roman" w:hAnsi="Times New Roman" w:eastAsia="仿宋_GB2312"/>
          <w:szCs w:val="21"/>
        </w:rPr>
        <w:t>20</w:t>
      </w:r>
      <w:r>
        <w:rPr>
          <w:rFonts w:hint="eastAsia" w:ascii="Times New Roman" w:hAnsi="Times New Roman" w:eastAsia="仿宋_GB2312"/>
          <w:szCs w:val="21"/>
          <w:lang w:val="en-US" w:eastAsia="zh-CN"/>
        </w:rPr>
        <w:t>20</w:t>
      </w:r>
      <w:r>
        <w:rPr>
          <w:rFonts w:hint="eastAsia" w:ascii="Times New Roman" w:hAnsi="Times New Roman" w:eastAsia="仿宋_GB2312"/>
          <w:szCs w:val="21"/>
        </w:rPr>
        <w:t>年全年办理案件</w:t>
      </w:r>
      <w:r>
        <w:rPr>
          <w:rFonts w:hint="eastAsia" w:ascii="Times New Roman" w:hAnsi="Times New Roman" w:eastAsia="仿宋_GB2312"/>
          <w:szCs w:val="21"/>
          <w:lang w:val="en-US" w:eastAsia="zh-CN"/>
        </w:rPr>
        <w:t>1016</w:t>
      </w:r>
      <w:r>
        <w:rPr>
          <w:rFonts w:hint="eastAsia" w:ascii="Times New Roman" w:hAnsi="Times New Roman" w:eastAsia="仿宋_GB2312"/>
          <w:szCs w:val="21"/>
        </w:rPr>
        <w:t>件，其中正常受理办理案件</w:t>
      </w:r>
      <w:r>
        <w:rPr>
          <w:rFonts w:hint="eastAsia" w:ascii="Times New Roman" w:hAnsi="Times New Roman" w:eastAsia="仿宋_GB2312"/>
          <w:szCs w:val="21"/>
          <w:lang w:val="en-US" w:eastAsia="zh-CN"/>
        </w:rPr>
        <w:t>971</w:t>
      </w:r>
      <w:r>
        <w:rPr>
          <w:rFonts w:hint="eastAsia" w:ascii="Times New Roman" w:hAnsi="Times New Roman" w:eastAsia="仿宋_GB2312"/>
          <w:szCs w:val="21"/>
        </w:rPr>
        <w:t>件，出具不予受理通知书</w:t>
      </w:r>
      <w:r>
        <w:rPr>
          <w:rFonts w:hint="eastAsia" w:ascii="Times New Roman" w:hAnsi="Times New Roman" w:eastAsia="仿宋_GB2312"/>
          <w:szCs w:val="21"/>
          <w:lang w:val="en-US" w:eastAsia="zh-CN"/>
        </w:rPr>
        <w:t>45</w:t>
      </w:r>
      <w:r>
        <w:rPr>
          <w:rFonts w:hint="eastAsia" w:ascii="Times New Roman" w:hAnsi="Times New Roman" w:eastAsia="仿宋_GB2312"/>
          <w:szCs w:val="21"/>
        </w:rPr>
        <w:t>件，办理案件全部归档成册；全年邮寄送达法律文书400件，在云南法制报刊登公告</w:t>
      </w:r>
      <w:r>
        <w:rPr>
          <w:rFonts w:hint="eastAsia" w:ascii="Times New Roman" w:hAnsi="Times New Roman" w:eastAsia="仿宋_GB2312"/>
          <w:szCs w:val="21"/>
          <w:lang w:val="en-US" w:eastAsia="zh-CN"/>
        </w:rPr>
        <w:t>125</w:t>
      </w:r>
      <w:r>
        <w:rPr>
          <w:rFonts w:hint="eastAsia" w:ascii="Times New Roman" w:hAnsi="Times New Roman" w:eastAsia="仿宋_GB2312"/>
          <w:szCs w:val="21"/>
        </w:rPr>
        <w:t>件，实现法定时限结案率达100%。为</w:t>
      </w:r>
      <w:r>
        <w:rPr>
          <w:rFonts w:hint="eastAsia" w:ascii="Times New Roman" w:hAnsi="Times New Roman" w:eastAsia="仿宋_GB2312"/>
          <w:szCs w:val="21"/>
          <w:lang w:val="en-US" w:eastAsia="zh-CN"/>
        </w:rPr>
        <w:t>在职在编8</w:t>
      </w:r>
      <w:r>
        <w:rPr>
          <w:rFonts w:hint="eastAsia" w:ascii="Times New Roman" w:hAnsi="Times New Roman" w:eastAsia="仿宋_GB2312"/>
          <w:szCs w:val="21"/>
        </w:rPr>
        <w:t>名工作人员统一了工作服和庭审法袍。组织了</w:t>
      </w:r>
      <w:r>
        <w:rPr>
          <w:rFonts w:hint="eastAsia" w:ascii="Times New Roman" w:hAnsi="Times New Roman" w:eastAsia="仿宋_GB2312"/>
          <w:szCs w:val="21"/>
          <w:lang w:val="en-US" w:eastAsia="zh-CN"/>
        </w:rPr>
        <w:t>2</w:t>
      </w:r>
      <w:r>
        <w:rPr>
          <w:rFonts w:hint="eastAsia" w:ascii="Times New Roman" w:hAnsi="Times New Roman" w:eastAsia="仿宋_GB2312"/>
          <w:szCs w:val="21"/>
        </w:rPr>
        <w:t>次疑难案件讨论。</w:t>
      </w:r>
    </w:p>
    <w:p>
      <w:pPr>
        <w:topLinePunct/>
        <w:spacing w:line="440" w:lineRule="exact"/>
        <w:ind w:firstLine="525" w:firstLineChars="250"/>
        <w:rPr>
          <w:rFonts w:ascii="Times New Roman" w:hAnsi="Times New Roman" w:eastAsia="仿宋_GB2312"/>
          <w:szCs w:val="21"/>
        </w:rPr>
      </w:pPr>
      <w:r>
        <w:rPr>
          <w:rFonts w:hint="eastAsia" w:ascii="Times New Roman" w:hAnsi="Times New Roman" w:eastAsia="仿宋_GB2312"/>
          <w:szCs w:val="21"/>
          <w:lang w:val="en-US" w:eastAsia="zh-CN"/>
        </w:rPr>
        <w:t>3.资金来源及使用情况：</w:t>
      </w:r>
      <w:r>
        <w:rPr>
          <w:rFonts w:hint="eastAsia" w:ascii="Times New Roman" w:hAnsi="Times New Roman" w:eastAsia="仿宋_GB2312"/>
          <w:szCs w:val="21"/>
        </w:rPr>
        <w:t>项目支出计划分成半年计划和年度计划，其中半年计划为：对</w:t>
      </w:r>
      <w:r>
        <w:rPr>
          <w:rFonts w:hint="eastAsia" w:ascii="Times New Roman" w:hAnsi="Times New Roman" w:eastAsia="仿宋_GB2312"/>
          <w:szCs w:val="21"/>
          <w:lang w:val="en-US" w:eastAsia="zh-CN"/>
        </w:rPr>
        <w:t>450</w:t>
      </w:r>
      <w:r>
        <w:rPr>
          <w:rFonts w:hint="eastAsia" w:ascii="Times New Roman" w:hAnsi="Times New Roman" w:eastAsia="仿宋_GB2312"/>
          <w:szCs w:val="21"/>
        </w:rPr>
        <w:t>名双方当事人发送受理（答辩）文书、授权委托书、开庭通知书等有关法律文书；邮寄送达当事人</w:t>
      </w:r>
      <w:r>
        <w:rPr>
          <w:rFonts w:hint="eastAsia" w:ascii="Times New Roman" w:hAnsi="Times New Roman" w:eastAsia="仿宋_GB2312"/>
          <w:szCs w:val="21"/>
          <w:lang w:val="en-US" w:eastAsia="zh-CN"/>
        </w:rPr>
        <w:t>250</w:t>
      </w:r>
      <w:r>
        <w:rPr>
          <w:rFonts w:hint="eastAsia" w:ascii="Times New Roman" w:hAnsi="Times New Roman" w:eastAsia="仿宋_GB2312"/>
          <w:szCs w:val="21"/>
        </w:rPr>
        <w:t>件，在云南法制报上刊登公告实现公告送达需要</w:t>
      </w:r>
      <w:r>
        <w:rPr>
          <w:rFonts w:hint="eastAsia" w:ascii="Times New Roman" w:hAnsi="Times New Roman" w:eastAsia="仿宋_GB2312"/>
          <w:szCs w:val="21"/>
          <w:lang w:val="en-US" w:eastAsia="zh-CN"/>
        </w:rPr>
        <w:t>60</w:t>
      </w:r>
      <w:r>
        <w:rPr>
          <w:rFonts w:hint="eastAsia" w:ascii="Times New Roman" w:hAnsi="Times New Roman" w:eastAsia="仿宋_GB2312"/>
          <w:szCs w:val="21"/>
        </w:rPr>
        <w:t>件；针对仲裁疑难案件，聘请专家、评审及律师进行案件讨论交流会议</w:t>
      </w:r>
      <w:r>
        <w:rPr>
          <w:rFonts w:hint="eastAsia" w:ascii="Times New Roman" w:hAnsi="Times New Roman" w:eastAsia="仿宋_GB2312"/>
          <w:szCs w:val="21"/>
          <w:lang w:val="en-US" w:eastAsia="zh-CN"/>
        </w:rPr>
        <w:t>1</w:t>
      </w:r>
      <w:r>
        <w:rPr>
          <w:rFonts w:hint="eastAsia" w:ascii="Times New Roman" w:hAnsi="Times New Roman" w:eastAsia="仿宋_GB2312"/>
          <w:szCs w:val="21"/>
        </w:rPr>
        <w:t>次；按现有办案人员8人的标准，统一制作工作服8套。</w:t>
      </w:r>
    </w:p>
    <w:p>
      <w:pPr>
        <w:topLinePunct/>
        <w:spacing w:line="440" w:lineRule="exact"/>
        <w:ind w:firstLine="525" w:firstLineChars="250"/>
        <w:rPr>
          <w:rFonts w:hint="eastAsia" w:ascii="Times New Roman" w:hAnsi="Times New Roman" w:eastAsia="仿宋_GB2312"/>
          <w:szCs w:val="21"/>
        </w:rPr>
      </w:pPr>
      <w:r>
        <w:rPr>
          <w:rFonts w:hint="eastAsia" w:ascii="Times New Roman" w:hAnsi="Times New Roman" w:eastAsia="仿宋_GB2312"/>
          <w:szCs w:val="21"/>
          <w:lang w:val="en-US" w:eastAsia="zh-CN"/>
        </w:rPr>
        <w:t>2020</w:t>
      </w:r>
      <w:r>
        <w:rPr>
          <w:rFonts w:hint="eastAsia" w:ascii="Times New Roman" w:hAnsi="Times New Roman" w:eastAsia="仿宋_GB2312"/>
          <w:szCs w:val="21"/>
        </w:rPr>
        <w:t>年年度项目实施完成情况：</w:t>
      </w:r>
      <w:r>
        <w:rPr>
          <w:rFonts w:hint="eastAsia" w:ascii="Times New Roman" w:hAnsi="Times New Roman" w:eastAsia="仿宋_GB2312"/>
          <w:szCs w:val="21"/>
          <w:lang w:val="en-US" w:eastAsia="zh-CN"/>
        </w:rPr>
        <w:t>2020</w:t>
      </w:r>
      <w:r>
        <w:rPr>
          <w:rFonts w:hint="eastAsia" w:ascii="Times New Roman" w:hAnsi="Times New Roman" w:eastAsia="仿宋_GB2312"/>
          <w:szCs w:val="21"/>
        </w:rPr>
        <w:t>年全年办理案件</w:t>
      </w:r>
      <w:r>
        <w:rPr>
          <w:rFonts w:hint="eastAsia" w:ascii="Times New Roman" w:hAnsi="Times New Roman" w:eastAsia="仿宋_GB2312"/>
          <w:szCs w:val="21"/>
          <w:lang w:val="en-US" w:eastAsia="zh-CN"/>
        </w:rPr>
        <w:t>1016</w:t>
      </w:r>
      <w:r>
        <w:rPr>
          <w:rFonts w:hint="eastAsia" w:ascii="Times New Roman" w:hAnsi="Times New Roman" w:eastAsia="仿宋_GB2312"/>
          <w:szCs w:val="21"/>
        </w:rPr>
        <w:t>件，其中正常受理办理案件</w:t>
      </w:r>
      <w:r>
        <w:rPr>
          <w:rFonts w:hint="eastAsia" w:ascii="Times New Roman" w:hAnsi="Times New Roman" w:eastAsia="仿宋_GB2312"/>
          <w:szCs w:val="21"/>
          <w:lang w:val="en-US" w:eastAsia="zh-CN"/>
        </w:rPr>
        <w:t>971</w:t>
      </w:r>
      <w:r>
        <w:rPr>
          <w:rFonts w:hint="eastAsia" w:ascii="Times New Roman" w:hAnsi="Times New Roman" w:eastAsia="仿宋_GB2312"/>
          <w:szCs w:val="21"/>
        </w:rPr>
        <w:t>件，出具不予受理通知书</w:t>
      </w:r>
      <w:r>
        <w:rPr>
          <w:rFonts w:hint="eastAsia" w:ascii="Times New Roman" w:hAnsi="Times New Roman" w:eastAsia="仿宋_GB2312"/>
          <w:szCs w:val="21"/>
          <w:lang w:val="en-US" w:eastAsia="zh-CN"/>
        </w:rPr>
        <w:t>45</w:t>
      </w:r>
      <w:r>
        <w:rPr>
          <w:rFonts w:hint="eastAsia" w:ascii="Times New Roman" w:hAnsi="Times New Roman" w:eastAsia="仿宋_GB2312"/>
          <w:szCs w:val="21"/>
        </w:rPr>
        <w:t>件，办理案件全部归档成册；全年邮寄送达法律文书400件，在云南法制报刊登公告</w:t>
      </w:r>
      <w:r>
        <w:rPr>
          <w:rFonts w:hint="eastAsia" w:ascii="Times New Roman" w:hAnsi="Times New Roman" w:eastAsia="仿宋_GB2312"/>
          <w:szCs w:val="21"/>
          <w:lang w:val="en-US" w:eastAsia="zh-CN"/>
        </w:rPr>
        <w:t>125</w:t>
      </w:r>
      <w:r>
        <w:rPr>
          <w:rFonts w:hint="eastAsia" w:ascii="Times New Roman" w:hAnsi="Times New Roman" w:eastAsia="仿宋_GB2312"/>
          <w:szCs w:val="21"/>
        </w:rPr>
        <w:t>件，实现法定时限结案率达100%。为</w:t>
      </w:r>
      <w:r>
        <w:rPr>
          <w:rFonts w:hint="eastAsia" w:ascii="Times New Roman" w:hAnsi="Times New Roman" w:eastAsia="仿宋_GB2312"/>
          <w:szCs w:val="21"/>
          <w:lang w:val="en-US" w:eastAsia="zh-CN"/>
        </w:rPr>
        <w:t>在职在编8</w:t>
      </w:r>
      <w:r>
        <w:rPr>
          <w:rFonts w:hint="eastAsia" w:ascii="Times New Roman" w:hAnsi="Times New Roman" w:eastAsia="仿宋_GB2312"/>
          <w:szCs w:val="21"/>
        </w:rPr>
        <w:t>名工作人员统一了工作服和庭审法袍。组织了</w:t>
      </w:r>
      <w:r>
        <w:rPr>
          <w:rFonts w:hint="eastAsia" w:ascii="Times New Roman" w:hAnsi="Times New Roman" w:eastAsia="仿宋_GB2312"/>
          <w:szCs w:val="21"/>
          <w:lang w:val="en-US" w:eastAsia="zh-CN"/>
        </w:rPr>
        <w:t>2</w:t>
      </w:r>
      <w:r>
        <w:rPr>
          <w:rFonts w:hint="eastAsia" w:ascii="Times New Roman" w:hAnsi="Times New Roman" w:eastAsia="仿宋_GB2312"/>
          <w:szCs w:val="21"/>
        </w:rPr>
        <w:t>次疑难案件讨论。</w:t>
      </w:r>
    </w:p>
    <w:p>
      <w:pPr>
        <w:topLinePunct/>
        <w:spacing w:line="440" w:lineRule="exact"/>
        <w:ind w:firstLine="525" w:firstLineChars="250"/>
        <w:rPr>
          <w:rFonts w:ascii="Times New Roman" w:hAnsi="Times New Roman" w:eastAsia="黑体"/>
          <w:szCs w:val="32"/>
        </w:rPr>
      </w:pPr>
      <w:r>
        <w:rPr>
          <w:rFonts w:hint="eastAsia" w:ascii="Times New Roman" w:hAnsi="Times New Roman" w:eastAsia="仿宋_GB2312"/>
          <w:szCs w:val="21"/>
          <w:lang w:val="en-US" w:eastAsia="zh-CN"/>
        </w:rPr>
        <w:t>4.组织及管理情况：</w:t>
      </w:r>
      <w:r>
        <w:rPr>
          <w:rFonts w:hint="eastAsia" w:ascii="Times New Roman" w:hAnsi="Times New Roman" w:eastAsia="仿宋_GB2312"/>
          <w:szCs w:val="21"/>
        </w:rPr>
        <w:t>仲裁院设有综合庭、立案室、调解室、仲裁庭等职能科室，并按科室职能配备了电脑、打印机、监控、音响、电话等办公设备。在仲裁办公醒目区域，悬挂有仲裁风险告知、仲裁申请流程、农民工绿色通道告知等，并摆放了休息桌椅，为办事群众提供最全面最便利的条件。各科室职责分明，配合有力，切实提高了仲裁办案效率。为增强仲裁活动的严肃性和公信力，全体仲裁员办理了工作证，配有仲裁审判袍及工作服，在执行公务时做到了佩戴仲裁徽章，统一着装。一是树立正确的仲裁观，增强仲裁员的政治意识。以习近平新时代中国特色社会主义思想为指导，坚持改革有新举措，工作有新突破，思想有新观念，增强执行力和操作力，</w:t>
      </w:r>
      <w:bookmarkStart w:id="0" w:name="gkstk2"/>
      <w:bookmarkEnd w:id="0"/>
      <w:r>
        <w:rPr>
          <w:rFonts w:hint="eastAsia" w:ascii="Times New Roman" w:hAnsi="Times New Roman" w:eastAsia="仿宋_GB2312"/>
          <w:szCs w:val="21"/>
        </w:rPr>
        <w:t>坚定仲裁员的政治方向和政治立场，明确仲裁工作的指导思想，使劳动仲裁工作在维护当事人合法权益的同时，为盘龙区经济建设服务，为维护社会和谐稳定服务。二是强化理论学习，夯实法律基础。区仲裁院坚持业务讨论周例会、案前疑难分析会及庭审模拟等学习方式，有力提升了全体仲裁员的办案水平。在此基础上，仲裁院严格按照《劳动人事争议仲裁办案规则》，依法依规办理案件，在法定时限内行使权力。</w:t>
      </w:r>
    </w:p>
    <w:p>
      <w:pPr>
        <w:topLinePunct/>
        <w:spacing w:line="440" w:lineRule="exact"/>
        <w:ind w:firstLine="525" w:firstLineChars="250"/>
        <w:rPr>
          <w:rFonts w:hint="eastAsia" w:ascii="Times New Roman" w:hAnsi="Times New Roman" w:eastAsia="仿宋_GB2312" w:cs="Times New Roman"/>
          <w:szCs w:val="21"/>
        </w:rPr>
      </w:pPr>
      <w:r>
        <w:rPr>
          <w:rFonts w:hint="eastAsia" w:ascii="Times New Roman" w:hAnsi="Times New Roman" w:eastAsia="仿宋_GB2312" w:cs="Times New Roman"/>
          <w:szCs w:val="21"/>
          <w:lang w:val="en-US" w:eastAsia="zh-CN"/>
        </w:rPr>
        <w:t>围绕构建和谐劳动关系，通过建立“1+X”多元化处理机制，积极开展部门横向联动，已形成多元联动的劳动争议处理闭环。其中“1”是以人社局劳动仲裁、劳动监察调处力量为核心，“X”是联合区司法局、区总工会、区法院、区各街道、律师事务所等部门劳动争议调处力量，并积极借助网络平台、直播平台等新媒体。</w:t>
      </w:r>
      <w:r>
        <w:rPr>
          <w:rFonts w:hint="eastAsia" w:ascii="Times New Roman" w:hAnsi="Times New Roman" w:eastAsia="仿宋_GB2312" w:cs="Times New Roman"/>
          <w:szCs w:val="21"/>
        </w:rPr>
        <w:t>以“理顺关系、化解矛盾、维护稳定”作为工作目标，在预防和处理群体性、突发性事件中，积极参与开展劳动纠纷的排查，坚持“预防为主，基层为主，调解为主”的工作原则，加强劳动关系的预测预警，做到超前防范，并引导劳动者采取正确手段、合法途径维护自己的权益，始终把清理拖欠、克扣劳动者工资作为维护劳动者合法权益，促进社会和谐稳定的重点工作来抓，始终秉承“刚性执法促维权，柔情服务促和谐”的执法理念，不断加大执法力度，做劳动者维权的坚强后盾，从而有效维护了劳动者的合法权益，促进了企业的发展。</w:t>
      </w: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二、绩效评价工作情况</w:t>
      </w:r>
    </w:p>
    <w:p>
      <w:pPr>
        <w:topLinePunct/>
        <w:spacing w:line="440" w:lineRule="exact"/>
        <w:ind w:firstLine="525" w:firstLineChars="250"/>
        <w:rPr>
          <w:rFonts w:ascii="Times New Roman" w:hAnsi="Times New Roman" w:eastAsia="仿宋_GB2312"/>
          <w:szCs w:val="21"/>
        </w:rPr>
      </w:pPr>
      <w:r>
        <w:rPr>
          <w:rFonts w:hint="eastAsia" w:ascii="楷体_GB2312" w:hAnsi="楷体_GB2312" w:eastAsia="楷体_GB2312" w:cs="楷体_GB2312"/>
          <w:szCs w:val="21"/>
        </w:rPr>
        <w:t>（一）绩效评价目的</w:t>
      </w:r>
      <w:r>
        <w:rPr>
          <w:rFonts w:ascii="Times New Roman" w:hAnsi="Times New Roman" w:eastAsia="仿宋_GB2312"/>
          <w:szCs w:val="21"/>
        </w:rPr>
        <w:t>。</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525" w:firstLineChars="250"/>
        <w:rPr>
          <w:rFonts w:ascii="楷体" w:hAnsi="楷体" w:eastAsia="楷体"/>
          <w:szCs w:val="32"/>
        </w:rPr>
      </w:pPr>
      <w:r>
        <w:rPr>
          <w:rFonts w:hint="eastAsia" w:ascii="楷体" w:hAnsi="楷体" w:eastAsia="楷体"/>
          <w:szCs w:val="32"/>
        </w:rPr>
        <w:t>（二）绩效评价工作方案制定过程。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1.前期调研。</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2.研究文件。</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3.绩效评价指标体系及工作方案的设计。</w:t>
      </w:r>
    </w:p>
    <w:p>
      <w:pPr>
        <w:topLinePunct/>
        <w:spacing w:line="440" w:lineRule="exact"/>
        <w:ind w:firstLine="525" w:firstLineChars="250"/>
        <w:rPr>
          <w:rFonts w:ascii="楷体" w:hAnsi="楷体" w:eastAsia="楷体"/>
          <w:szCs w:val="32"/>
        </w:rPr>
      </w:pPr>
      <w:r>
        <w:rPr>
          <w:rFonts w:hint="eastAsia" w:ascii="楷体" w:hAnsi="楷体" w:eastAsia="楷体"/>
          <w:szCs w:val="32"/>
        </w:rPr>
        <w:t>（三）绩效评价原则、评价方法</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1.绩效评价原则。包括科学规范、公开公正、绩效相关等原则。</w:t>
      </w:r>
    </w:p>
    <w:p>
      <w:pPr>
        <w:topLinePunct/>
        <w:spacing w:line="440" w:lineRule="exact"/>
        <w:ind w:firstLine="525" w:firstLineChars="250"/>
        <w:rPr>
          <w:rFonts w:hint="eastAsia" w:ascii="仿宋_GB2312" w:hAnsi="楷体" w:eastAsia="仿宋_GB2312"/>
          <w:szCs w:val="32"/>
        </w:rPr>
      </w:pPr>
      <w:r>
        <w:rPr>
          <w:rFonts w:hint="eastAsia" w:ascii="仿宋_GB2312" w:hAnsi="楷体" w:eastAsia="仿宋_GB2312"/>
          <w:szCs w:val="32"/>
        </w:rPr>
        <w:t>2.绩效评价方法。包括指标评价、数据采集和社会调查中所采用的方法。</w:t>
      </w:r>
    </w:p>
    <w:p>
      <w:pPr>
        <w:topLinePunct/>
        <w:spacing w:line="440" w:lineRule="exact"/>
        <w:ind w:firstLine="525" w:firstLineChars="250"/>
        <w:rPr>
          <w:rFonts w:ascii="楷体" w:hAnsi="楷体" w:eastAsia="楷体"/>
          <w:szCs w:val="32"/>
        </w:rPr>
      </w:pPr>
      <w:r>
        <w:rPr>
          <w:rFonts w:hint="eastAsia" w:ascii="楷体" w:hAnsi="楷体" w:eastAsia="楷体"/>
          <w:szCs w:val="32"/>
        </w:rPr>
        <w:t>（四）绩效评价实施过程</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1.数据填报和采集。</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2.社会调查。</w:t>
      </w:r>
    </w:p>
    <w:p>
      <w:pPr>
        <w:topLinePunct/>
        <w:spacing w:line="440" w:lineRule="exact"/>
        <w:ind w:firstLine="525" w:firstLineChars="250"/>
        <w:rPr>
          <w:rFonts w:ascii="仿宋_GB2312" w:hAnsi="楷体" w:eastAsia="仿宋_GB2312"/>
          <w:szCs w:val="32"/>
        </w:rPr>
      </w:pPr>
      <w:r>
        <w:rPr>
          <w:rFonts w:hint="eastAsia" w:ascii="仿宋_GB2312" w:hAnsi="楷体" w:eastAsia="仿宋_GB2312"/>
          <w:szCs w:val="32"/>
        </w:rPr>
        <w:t>3.数据分析和撰写报告。</w:t>
      </w:r>
    </w:p>
    <w:p>
      <w:pPr>
        <w:topLinePunct/>
        <w:spacing w:line="440" w:lineRule="exact"/>
        <w:ind w:firstLine="525" w:firstLineChars="250"/>
        <w:rPr>
          <w:rFonts w:ascii="仿宋_GB2312" w:hAnsi="楷体" w:eastAsia="仿宋_GB2312"/>
          <w:szCs w:val="32"/>
        </w:rPr>
      </w:pPr>
      <w:r>
        <w:rPr>
          <w:rFonts w:hint="eastAsia" w:ascii="楷体" w:hAnsi="楷体" w:eastAsia="楷体"/>
          <w:szCs w:val="32"/>
        </w:rPr>
        <w:t>（五）本次绩效评价的局限性。</w:t>
      </w: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三、评价结论和绩效分析</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（一）评价结论。</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1.评价结果。</w:t>
      </w:r>
    </w:p>
    <w:p>
      <w:pPr>
        <w:spacing w:line="400" w:lineRule="exact"/>
        <w:ind w:firstLine="420" w:firstLineChars="200"/>
        <w:jc w:val="left"/>
        <w:rPr>
          <w:rFonts w:ascii="Times New Roman" w:hAnsi="Times New Roman" w:eastAsia="仿宋_GB2312"/>
          <w:szCs w:val="21"/>
        </w:rPr>
      </w:pPr>
      <w:r>
        <w:rPr>
          <w:rFonts w:hint="eastAsia" w:ascii="Times New Roman" w:hAnsi="Times New Roman" w:eastAsia="仿宋_GB2312" w:cs="Times New Roman"/>
          <w:szCs w:val="21"/>
          <w:lang w:val="en-US" w:eastAsia="zh-CN"/>
        </w:rPr>
        <w:t>坚持以</w:t>
      </w:r>
      <w:r>
        <w:rPr>
          <w:rFonts w:hint="eastAsia" w:ascii="Times New Roman" w:hAnsi="Times New Roman" w:eastAsia="仿宋_GB2312" w:cs="Times New Roman"/>
          <w:szCs w:val="21"/>
        </w:rPr>
        <w:t>习近平新时代中国特色社会主义思想</w:t>
      </w:r>
      <w:r>
        <w:rPr>
          <w:rFonts w:hint="eastAsia" w:ascii="Times New Roman" w:hAnsi="Times New Roman" w:eastAsia="仿宋_GB2312" w:cs="Times New Roman"/>
          <w:szCs w:val="21"/>
          <w:lang w:val="en-US" w:eastAsia="zh-CN"/>
        </w:rPr>
        <w:t>为指导，全面贯彻十九届四中、五中全会精神，坚持底线思维，坚守厉行法治，推进严格执法、公正司法，依法化解劳资纠纷，努力让劳动者和企业在仲裁案件中感受到公平正义，切实维护和谐的劳动关系。</w:t>
      </w:r>
      <w:r>
        <w:rPr>
          <w:rFonts w:hint="eastAsia" w:ascii="Times New Roman" w:hAnsi="Times New Roman" w:eastAsia="仿宋_GB2312" w:cs="Times New Roman"/>
          <w:szCs w:val="21"/>
        </w:rPr>
        <w:t>深入贯彻执行《中华人民共和国劳动法》《中华人民共和国劳动合同法》《中华人民共和国劳动争议调解仲裁法》</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lang w:val="en-US" w:eastAsia="zh-CN"/>
        </w:rPr>
        <w:t>劳动人事争议仲裁办案规则</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lang w:val="en-US" w:eastAsia="zh-CN"/>
        </w:rPr>
        <w:t>劳动人事争议仲裁组织规则</w:t>
      </w:r>
      <w:r>
        <w:rPr>
          <w:rFonts w:hint="eastAsia" w:ascii="Times New Roman" w:hAnsi="Times New Roman" w:eastAsia="仿宋_GB2312" w:cs="Times New Roman"/>
          <w:szCs w:val="21"/>
          <w:lang w:eastAsia="zh-CN"/>
        </w:rPr>
        <w:t>》</w:t>
      </w:r>
      <w:r>
        <w:rPr>
          <w:rFonts w:hint="eastAsia" w:ascii="Times New Roman" w:hAnsi="Times New Roman" w:eastAsia="仿宋_GB2312" w:cs="Times New Roman"/>
          <w:szCs w:val="21"/>
        </w:rPr>
        <w:t>等相关法律法规及行政法规，以完善组织建设为保障，以健全制度为基础，以争议</w:t>
      </w:r>
      <w:r>
        <w:rPr>
          <w:rFonts w:hint="eastAsia" w:ascii="Times New Roman" w:hAnsi="Times New Roman" w:eastAsia="仿宋_GB2312"/>
          <w:szCs w:val="21"/>
        </w:rPr>
        <w:t>调解为重点，进一步规范争议案件处理，为构建盘龙区和谐劳动人事关系做出了积极贡献。</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2.主要绩效。</w:t>
      </w:r>
    </w:p>
    <w:p>
      <w:pPr>
        <w:topLinePunct/>
        <w:spacing w:line="440" w:lineRule="exact"/>
        <w:ind w:firstLine="525" w:firstLineChars="250"/>
        <w:rPr>
          <w:rFonts w:hint="eastAsia" w:ascii="Times New Roman" w:hAnsi="Times New Roman" w:eastAsia="仿宋_GB2312" w:cs="Times New Roman"/>
          <w:szCs w:val="21"/>
        </w:rPr>
      </w:pPr>
      <w:r>
        <w:rPr>
          <w:rFonts w:hint="eastAsia" w:ascii="Times New Roman" w:hAnsi="Times New Roman" w:eastAsia="仿宋_GB2312" w:cs="Times New Roman"/>
          <w:szCs w:val="21"/>
        </w:rPr>
        <w:t>统筹规划、分步实施的思路，抓好基层调解组织建设，着力提高调解组织组建率。进一步完善劳动人事争议预防调解大协作工作机制，筑起预防化解争议的多维式工作防线。</w:t>
      </w:r>
      <w:r>
        <w:rPr>
          <w:rFonts w:hint="eastAsia" w:ascii="Times New Roman" w:hAnsi="Times New Roman" w:eastAsia="仿宋_GB2312" w:cs="Times New Roman"/>
          <w:szCs w:val="21"/>
          <w:lang w:val="en-US" w:eastAsia="zh-CN"/>
        </w:rPr>
        <w:t>围绕构建和谐劳动关系，通过建立“1+X”多元化处理机制，积极开展部门横向联动，已形成多元联动的劳动争议处理闭环。其中“1”是以人社局劳动仲裁、劳动监察调处力量为核心，“X”是联合区司法局、区总工会、区法院、区各街道、律师事务所等部门劳动争议调处力量，并积极借助网络平台、直播平台等新媒体。</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（二）具体绩效分析。</w:t>
      </w:r>
    </w:p>
    <w:p>
      <w:pPr>
        <w:topLinePunct/>
        <w:spacing w:line="440" w:lineRule="exact"/>
        <w:ind w:firstLine="525" w:firstLineChars="250"/>
        <w:rPr>
          <w:rFonts w:ascii="Times New Roman" w:hAnsi="Times New Roman" w:eastAsia="仿宋_GB2312"/>
          <w:szCs w:val="21"/>
        </w:rPr>
      </w:pPr>
      <w:r>
        <w:rPr>
          <w:rFonts w:ascii="Times New Roman" w:hAnsi="Times New Roman" w:eastAsia="仿宋_GB2312"/>
          <w:szCs w:val="21"/>
        </w:rPr>
        <w:t>对照绩效评价指标体系逐项进行分析、评价并打分。</w:t>
      </w:r>
      <w:r>
        <w:rPr>
          <w:rFonts w:hint="eastAsia" w:ascii="Times New Roman" w:hAnsi="Times New Roman" w:eastAsia="仿宋_GB2312"/>
          <w:szCs w:val="21"/>
        </w:rPr>
        <w:t>自评分为100分。</w:t>
      </w:r>
    </w:p>
    <w:p>
      <w:pPr>
        <w:topLinePunct/>
        <w:spacing w:line="440" w:lineRule="exact"/>
        <w:ind w:firstLine="525" w:firstLineChars="250"/>
        <w:rPr>
          <w:rFonts w:ascii="黑体" w:hAnsi="黑体" w:eastAsia="黑体" w:cs="黑体"/>
          <w:szCs w:val="21"/>
        </w:rPr>
      </w:pPr>
      <w:r>
        <w:rPr>
          <w:rFonts w:hint="eastAsia" w:ascii="黑体" w:hAnsi="黑体" w:eastAsia="黑体" w:cs="黑体"/>
          <w:szCs w:val="21"/>
        </w:rPr>
        <w:t>四、主要经验及做法、存在的问题和建议</w:t>
      </w:r>
    </w:p>
    <w:p>
      <w:pPr>
        <w:topLinePunct/>
        <w:spacing w:line="440" w:lineRule="exact"/>
        <w:ind w:firstLine="525" w:firstLineChars="250"/>
        <w:rPr>
          <w:rFonts w:hint="eastAsia" w:ascii="楷体_GB2312" w:hAnsi="楷体_GB2312" w:eastAsia="楷体_GB2312" w:cs="楷体_GB2312"/>
          <w:szCs w:val="21"/>
        </w:rPr>
      </w:pPr>
      <w:r>
        <w:rPr>
          <w:rFonts w:hint="eastAsia" w:ascii="楷体_GB2312" w:hAnsi="楷体_GB2312" w:eastAsia="楷体_GB2312" w:cs="楷体_GB2312"/>
          <w:szCs w:val="21"/>
        </w:rPr>
        <w:t>（一）主要经验及做法。</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1.“司法援助+仲裁”实现应援尽援</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2020年，人社局与司法局联合，设立云南省首个“劳动仲裁公共法律服务站”，为农民工、工伤职工、“三期”女职工、建档立卡贫困劳动者提供全面的法律援助服务。同时，联合云南云滇律师事务所、云南天外天律师事务所指派专职律师轮流现场值班，并设置“云岭法务通”智慧机器人，为劳动者提供“线上+线下”的优质免费法律咨询服务。</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2.“工会纽带+仲裁”确保高效便民</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人社局积极与区总工会联合，在盘龙区总工会建立“劳动人事争议仲裁庭”，并邀请区总工会干部担任兼职仲裁员，及时、高效、便捷的化解辖区内的劳动争议。同时，充分发挥工会联系职工群众、用人单位的桥梁纽带作用，积极引导用人单位实现劳动争议从“事后处置”向“事先预防”转变，从源头上减少劳动争议发生。2020年，工会干部已参与调处劳动争议案件10件，调处金额47.70万元。</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3.“法院诉讼+仲裁”彰显公平正义</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为提升劳动争议案件处理质效，人社局</w:t>
      </w:r>
      <w:r>
        <w:rPr>
          <w:rFonts w:hint="default" w:ascii="Times New Roman" w:hAnsi="Times New Roman" w:eastAsia="仿宋_GB2312" w:cs="Times New Roman"/>
          <w:szCs w:val="21"/>
          <w:lang w:val="en-US" w:eastAsia="zh-CN"/>
        </w:rPr>
        <w:t>与区人民法院</w:t>
      </w:r>
      <w:r>
        <w:rPr>
          <w:rFonts w:hint="eastAsia" w:ascii="Times New Roman" w:hAnsi="Times New Roman" w:eastAsia="仿宋_GB2312" w:cs="Times New Roman"/>
          <w:szCs w:val="21"/>
          <w:lang w:val="en-US" w:eastAsia="zh-CN"/>
        </w:rPr>
        <w:t>联合制定《关于加强劳动人事争议仲裁与诉讼衔接机制建设的实施方案》，</w:t>
      </w:r>
      <w:r>
        <w:rPr>
          <w:rFonts w:hint="default" w:ascii="Times New Roman" w:hAnsi="Times New Roman" w:eastAsia="仿宋_GB2312" w:cs="Times New Roman"/>
          <w:szCs w:val="21"/>
          <w:lang w:val="en-US" w:eastAsia="zh-CN"/>
        </w:rPr>
        <w:t>加强裁审衔接机制建设，</w:t>
      </w:r>
      <w:r>
        <w:rPr>
          <w:rFonts w:hint="eastAsia" w:ascii="Times New Roman" w:hAnsi="Times New Roman" w:eastAsia="仿宋_GB2312" w:cs="Times New Roman"/>
          <w:szCs w:val="21"/>
          <w:lang w:val="en-US" w:eastAsia="zh-CN"/>
        </w:rPr>
        <w:t>已实现劳动争议案件</w:t>
      </w:r>
      <w:r>
        <w:rPr>
          <w:rFonts w:hint="default" w:ascii="Times New Roman" w:hAnsi="Times New Roman" w:eastAsia="仿宋_GB2312" w:cs="Times New Roman"/>
          <w:szCs w:val="21"/>
          <w:lang w:val="en-US" w:eastAsia="zh-CN"/>
        </w:rPr>
        <w:t>受案范围、证据规则、法律适用的统一</w:t>
      </w:r>
      <w:r>
        <w:rPr>
          <w:rFonts w:hint="eastAsia" w:ascii="Times New Roman" w:hAnsi="Times New Roman" w:eastAsia="仿宋_GB2312" w:cs="Times New Roman"/>
          <w:szCs w:val="21"/>
          <w:lang w:val="en-US" w:eastAsia="zh-CN"/>
        </w:rPr>
        <w:t>。同时，双方通过定期联合开展业务培训、庭审观摩，有效</w:t>
      </w:r>
      <w:r>
        <w:rPr>
          <w:rFonts w:hint="default" w:ascii="Times New Roman" w:hAnsi="Times New Roman" w:eastAsia="仿宋_GB2312" w:cs="Times New Roman"/>
          <w:szCs w:val="21"/>
          <w:lang w:val="en-US" w:eastAsia="zh-CN"/>
        </w:rPr>
        <w:t>提升</w:t>
      </w:r>
      <w:r>
        <w:rPr>
          <w:rFonts w:hint="eastAsia" w:ascii="Times New Roman" w:hAnsi="Times New Roman" w:eastAsia="仿宋_GB2312" w:cs="Times New Roman"/>
          <w:szCs w:val="21"/>
          <w:lang w:val="en-US" w:eastAsia="zh-CN"/>
        </w:rPr>
        <w:t>了</w:t>
      </w:r>
      <w:r>
        <w:rPr>
          <w:rFonts w:hint="default" w:ascii="Times New Roman" w:hAnsi="Times New Roman" w:eastAsia="仿宋_GB2312" w:cs="Times New Roman"/>
          <w:szCs w:val="21"/>
          <w:lang w:val="en-US" w:eastAsia="zh-CN"/>
        </w:rPr>
        <w:t>劳动人事争议案件处理</w:t>
      </w:r>
      <w:r>
        <w:rPr>
          <w:rFonts w:hint="eastAsia" w:ascii="Times New Roman" w:hAnsi="Times New Roman" w:eastAsia="仿宋_GB2312" w:cs="Times New Roman"/>
          <w:szCs w:val="21"/>
          <w:lang w:val="en-US" w:eastAsia="zh-CN"/>
        </w:rPr>
        <w:t>质效。</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4.“街道调解+仲裁”就地化解矛盾</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人社局与各街道联合，在全区12个街道均已建立基层劳动人事争议调解组织，并明确具体调解员开展调解工作，对调解达成的调解协议及时进行仲裁审查置换调解书，“老王调解室”设为基层调解组织示范点。同时，人社局定期组织街道调解员进行业务知识、调解技能培训，并指导街道调解员依托“全国劳动人事争议在线调解服务平台开展“互联网+调解”工作。2020年，各街道调解组织已对165件劳动争议实现就地化解。</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5.“网络平台+仲裁”提升仲裁效能。</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疫情防控期间，人社局主动借助学习强国“强国视频会议”平台推行“互联网+调解”的在线调解新模式，对涉及经济补偿、加班工资、未休年休假工资报酬等请求的系列劳动争议案件成功实现“隔空”调解。同时，人社局仲裁员通过“B站”直播，围绕“劳动者、用人单位关心问题进行“线上+线下”的答疑解惑，并通过线上、线下互动的方式积极听取各方对劳动仲裁的相关建议，不断提升劳动仲裁效能。通过学习强国“强国视频会议”模块，实现案件调解6件；通过微信、QQ视频调解案件4件，通过电话沟通、协商调解案件30余件。</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6.“便民利民+仲裁”打造速裁绿色通道</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加强劳动争议办案效能建设，提高简易案件审理效率，在确保当事人合法权益的前提下，兼顾程序性和灵活性，对案件推行繁简分流，建立“速裁、速调、速审、速结”的工作机制。为农民工、困难伤残职工、“三期”妇女等弱势群体开辟绿色通道，对相关争议案件优先受理、快速处理、限时办结。截至2020年12月，开通绿色通道调解、裁决560余件。</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7.“楼宇经济+仲裁”温情架设政企连心桥</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为进一步服务辖区楼宇经济发展，靠前服务楼宇企业，做好稳就业工作，全力打造人社优质服务，推动劳动纠纷就近就地及时化解，强化为市场主体服务，加快打造市场化法治化国际化营商环境，借助盘龙区楼宇党建联盟“红色引擎”的动能，将人社服务触角延伸到楼宇，持续深化“放管服”改革优化营商环境，更大激发市场活力，构建楼宇经济和谐劳动关系，推动楼宇经济持续健康发展，助力盘龙区营商环境进一步优化。</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开设“一堂劳动仲裁实案宣法课”。通过“执法重心下移、维权窗口前移、服务对象延伸”的工作模式，加强资源统筹、协调各方、多元参与，采取模拟劳动争议仲裁庭（劳动仲裁进楼宇实案宣法）、案例分析会等法治实践形式，组织企业人事专干或调解员开展现场教学，对楼宇企业进行劳动管理业务指导及完善用工管理的建议，加深企业对法律法规的理解和适用，以案释法进一步提升企业劳动用工水平和解决矛盾纠纷的能力，就地就近为企业和职工提供劳动保障服务，更好地推进化解基层矛盾、促进劳动关系和谐稳定、服务保障民生打下坚实基础。</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打造“一个劳动争议流动仲裁庭”。充分考虑企业需求，线下主动送服务，在楼宇企业设置流动仲裁庭，定期开展劳动争议仲裁案件现场集中受理和调解。同时设置网上仲裁调解庭，对楼宇企业一些争议简单、案件事实清晰，当事双方工作繁忙，都有主动调解意愿的案件，在征得当事方同意的基础上，利用“互联网+调解”进行线上调解，当事双方在线上申请调解、申请仲裁、提交证据、参加视频调解，通过线上服务，让企业足不出户解决争议。</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（二）存在的问题。</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1.仲裁公信力亟待加强</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在立足自身定位的基础上，要剔除“司法前置”“准司法”“一裁两审”的束缚，走出属于仲裁自己的路，确实发挥仲裁的功能，时效，发挥仲裁在劳动争议中的积极作用，为用人单位和劳动者节省了太多的人力和物力，让双方可以尽快的走出矛盾纠纷，投身到新的工作中创造自我价值，发挥有为才有位的思想，提升仲裁的公信力。</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2.仲裁队伍建设亟待提升</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仲裁工作随着社会的发展，对仲裁队伍专业知识素养建设要求很高，不能仅仅把仲裁看做行政部门的内设机构，仲裁已经搭建起了行政和司法的桥梁，化解社会劳动争议矛盾的第一座堡垒，在构建和谐关系和优化营商环境发挥出积极的作用。但是，依旧很难留得住人员，人员流动大依旧是基层仲裁院面临的最大难题。</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3.仲裁经费保障亟待解决</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仲裁送达一直都是困扰仲裁基层一线人员的问题，司法程序需要严谨，公告送达每一步都按照矢点在推进，如何完善实地送达的安全保障及经费保障，我们一直在努力与财政部门积极协商。</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4.基层调解组织亟待优化</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街道、社区调解组织的建立面临诸多难题，人员配置、硬件设施等的配置，调解组织建立起来了，但面临没有专业的人员切实发挥调解组织的作用，街道和社区都存在一个人面对多方面、多层次的工作，调解只是其工作中的一小部分。如何在人员编制、经费保障方面寻求突破？也是我们一直在积极探索的话题。</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5.企业调解组织亟待搭建</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面临一个困境，当事人发生劳动争议，都不愿意在企业自己解决，对企业不信任，也对企业工会和调解人员不信任，导致问题都集中在仲裁院，只有仲裁的公信力得到显著提升，仲裁对调解组织的建立和功能发挥起到积极的作用，当事人才会走进企业调解。</w:t>
      </w:r>
    </w:p>
    <w:p>
      <w:pPr>
        <w:topLinePunct/>
        <w:spacing w:line="440" w:lineRule="exact"/>
        <w:ind w:firstLine="525" w:firstLineChars="250"/>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6.法律援助工作亟待建设</w:t>
      </w:r>
    </w:p>
    <w:p>
      <w:pPr>
        <w:topLinePunct/>
        <w:spacing w:line="440" w:lineRule="exact"/>
        <w:ind w:firstLine="525" w:firstLineChars="250"/>
        <w:rPr>
          <w:rFonts w:hint="eastAsia"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与司法局建立工作站，扩大法律维权的覆盖面。增加维权网络模块以及智能化咨询服务。从角度、多维度建立调解仲裁工作站，主动服务于营商环境的建设，主动助力经济建设的发展。能否通过以点带面的辐射到不同行业？</w:t>
      </w:r>
    </w:p>
    <w:p>
      <w:pPr>
        <w:topLinePunct/>
        <w:spacing w:line="440" w:lineRule="exact"/>
        <w:ind w:firstLine="525" w:firstLineChars="250"/>
        <w:rPr>
          <w:rFonts w:ascii="楷体_GB2312" w:hAnsi="楷体_GB2312" w:eastAsia="楷体_GB2312" w:cs="楷体_GB2312"/>
          <w:szCs w:val="21"/>
        </w:rPr>
      </w:pPr>
      <w:r>
        <w:rPr>
          <w:rFonts w:hint="eastAsia" w:ascii="楷体_GB2312" w:hAnsi="楷体_GB2312" w:eastAsia="楷体_GB2312" w:cs="楷体_GB2312"/>
          <w:szCs w:val="21"/>
        </w:rPr>
        <w:t>（三）建议和改进措施。</w:t>
      </w:r>
    </w:p>
    <w:p>
      <w:pPr>
        <w:topLinePunct/>
        <w:spacing w:line="440" w:lineRule="exact"/>
        <w:ind w:firstLine="525" w:firstLineChars="250"/>
        <w:rPr>
          <w:rFonts w:hint="eastAsia" w:ascii="Times New Roman" w:hAnsi="Times New Roman" w:eastAsia="仿宋_GB2312"/>
          <w:szCs w:val="21"/>
        </w:rPr>
      </w:pPr>
      <w:r>
        <w:rPr>
          <w:rFonts w:hint="eastAsia" w:ascii="Times New Roman" w:hAnsi="Times New Roman" w:eastAsia="仿宋_GB2312"/>
          <w:szCs w:val="21"/>
          <w:lang w:val="en-US" w:eastAsia="zh-CN"/>
        </w:rPr>
        <w:t>1.</w:t>
      </w:r>
      <w:r>
        <w:rPr>
          <w:rFonts w:hint="eastAsia" w:ascii="Times New Roman" w:hAnsi="Times New Roman" w:eastAsia="仿宋_GB2312"/>
          <w:szCs w:val="21"/>
        </w:rPr>
        <w:t>坚持依法处理、维护公平、完善劳动人事争议调解制度和仲裁准司法制度，发挥司法引领，推动和保障作用，运用法治思维和法治方式处理劳动人事争议，切实维护好用人单位和劳动者的合法权益。</w:t>
      </w:r>
    </w:p>
    <w:p>
      <w:pPr>
        <w:topLinePunct/>
        <w:spacing w:line="440" w:lineRule="exact"/>
        <w:ind w:firstLine="525" w:firstLineChars="250"/>
        <w:rPr>
          <w:rFonts w:hint="eastAsia" w:ascii="Times New Roman" w:hAnsi="Times New Roman" w:eastAsia="仿宋_GB2312"/>
          <w:szCs w:val="21"/>
          <w:lang w:val="en-US" w:eastAsia="zh-CN"/>
        </w:rPr>
      </w:pPr>
      <w:r>
        <w:rPr>
          <w:rFonts w:hint="eastAsia" w:ascii="Times New Roman" w:hAnsi="Times New Roman" w:eastAsia="仿宋_GB2312"/>
          <w:szCs w:val="21"/>
          <w:lang w:val="en-US" w:eastAsia="zh-CN"/>
        </w:rPr>
        <w:t>2.积极宣传劳动仲裁法律法规、行政规章，千方百计寻求调解，促进当事人和解化解矛盾，实现事了人和案结。</w:t>
      </w:r>
    </w:p>
    <w:p>
      <w:pPr>
        <w:topLinePunct/>
        <w:spacing w:line="440" w:lineRule="exact"/>
        <w:ind w:firstLine="525" w:firstLineChars="250"/>
        <w:rPr>
          <w:rFonts w:hint="default" w:ascii="Times New Roman" w:hAnsi="Times New Roman" w:eastAsia="仿宋_GB2312"/>
          <w:szCs w:val="21"/>
          <w:lang w:val="en-US" w:eastAsia="zh-CN"/>
        </w:rPr>
      </w:pPr>
      <w:r>
        <w:rPr>
          <w:rFonts w:hint="eastAsia" w:ascii="Times New Roman" w:hAnsi="Times New Roman" w:eastAsia="仿宋_GB2312"/>
          <w:szCs w:val="21"/>
          <w:lang w:val="en-US" w:eastAsia="zh-CN"/>
        </w:rPr>
        <w:t>3.加大仲裁员的培训力度，建立定期、不定期的培训模式，以帮助仲裁员积极应对当前案多人少的局面。</w:t>
      </w:r>
    </w:p>
    <w:p>
      <w:pPr>
        <w:topLinePunct/>
        <w:spacing w:line="440" w:lineRule="exact"/>
        <w:ind w:firstLine="525" w:firstLineChars="250"/>
        <w:rPr>
          <w:rFonts w:ascii="Times New Roman" w:hAnsi="Times New Roman" w:eastAsia="仿宋_GB2312"/>
          <w:szCs w:val="21"/>
        </w:rPr>
      </w:pPr>
    </w:p>
    <w:p>
      <w:pPr>
        <w:topLinePunct/>
        <w:spacing w:line="440" w:lineRule="exact"/>
        <w:ind w:firstLine="525" w:firstLineChars="250"/>
        <w:rPr>
          <w:rFonts w:ascii="Times New Roman" w:hAnsi="Times New Roman" w:eastAsia="仿宋_GB2312"/>
          <w:szCs w:val="21"/>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p>
    <w:p>
      <w:pPr>
        <w:spacing w:line="440" w:lineRule="exact"/>
        <w:jc w:val="center"/>
        <w:rPr>
          <w:rFonts w:ascii="Times New Roman" w:hAnsi="Times New Roman" w:eastAsia="方正小标宋_GBK"/>
        </w:rPr>
      </w:pPr>
      <w:r>
        <w:rPr>
          <w:rFonts w:ascii="Times New Roman" w:hAnsi="Times New Roman" w:eastAsia="方正小标宋_GBK"/>
        </w:rPr>
        <w:t>绩效评价报告正文后附以下佐证材料</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1.绩效评价指标体系；</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2.关于加强劳动人事争议处理效能建设的意见</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3.加强劳动人事争议处理效能建设意见的通知--昆人社通（2013）84号加强劳动争议处理</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4.昆人社通（2011）123号--关于转发上级部门人民法院办案人员岗位津贴标准文件的通知</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5.昆人社通（2011）124号--关于转发上级部门调整人民检察院办案人员岗位津贴标准文件的通知</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6.《中华人民共和国劳动争议调解仲裁法》</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7.《劳动人事争议争议办案规则》</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8.《云南省人力资源和社会保障厅中共云南省委机构编制办公室云南省财政厅关于转发加强劳动人事争议处理效能建设意见的通知》云人社发〔2013〕66号</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9.昆人社通〔2019〕80号关于转发以仲裁专递邮寄送达劳动人事争议仲裁有关文书的通知</w:t>
      </w:r>
    </w:p>
    <w:p>
      <w:pPr>
        <w:spacing w:line="440" w:lineRule="exact"/>
        <w:ind w:left="141" w:leftChars="-14" w:hanging="170" w:hangingChars="81"/>
        <w:jc w:val="left"/>
        <w:rPr>
          <w:rFonts w:ascii="Times New Roman" w:hAnsi="Times New Roman" w:eastAsia="仿宋_GB2312"/>
        </w:rPr>
      </w:pPr>
      <w:r>
        <w:rPr>
          <w:rFonts w:hint="eastAsia" w:ascii="Times New Roman" w:hAnsi="Times New Roman" w:eastAsia="仿宋_GB2312"/>
        </w:rPr>
        <w:t>10.人力资源社会保障部财政部关于进一步加强人力资源社会保障窗口单位经办队伍建设的意见人社部发〔2019〕13号</w:t>
      </w:r>
    </w:p>
    <w:p>
      <w:pPr>
        <w:spacing w:line="440" w:lineRule="exact"/>
        <w:ind w:left="141" w:leftChars="-14" w:hanging="170" w:hangingChars="81"/>
        <w:jc w:val="left"/>
        <w:rPr>
          <w:rFonts w:ascii="Times New Roman" w:hAnsi="Times New Roman" w:eastAsia="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47"/>
    </w:sdtPr>
    <w:sdtContent>
      <w:p>
        <w:pPr>
          <w:pStyle w:val="4"/>
          <w:jc w:val="right"/>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9</w:t>
        </w:r>
        <w:r>
          <w:rPr>
            <w:rFonts w:ascii="Times New Roman" w:hAnsi="Times New Roman"/>
            <w:sz w:val="28"/>
            <w:szCs w:val="28"/>
          </w:rPr>
          <w:fldChar w:fldCharType="end"/>
        </w:r>
        <w:r>
          <w:rPr>
            <w:rFonts w:hint="eastAsia" w:ascii="Times New Roman" w:hAnsi="Times New Roman"/>
            <w:sz w:val="28"/>
            <w:szCs w:val="28"/>
          </w:rPr>
          <w:t>—</w:t>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53"/>
    </w:sdtPr>
    <w:sdtContent>
      <w:p>
        <w:pPr>
          <w:pStyle w:val="4"/>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8</w:t>
        </w:r>
        <w:r>
          <w:rPr>
            <w:rFonts w:ascii="Times New Roman" w:hAnsi="Times New Roman"/>
            <w:sz w:val="28"/>
            <w:szCs w:val="28"/>
          </w:rPr>
          <w:fldChar w:fldCharType="end"/>
        </w:r>
        <w:r>
          <w:rPr>
            <w:rFonts w:hint="eastAsia" w:ascii="Times New Roman" w:hAnsi="Times New Roman"/>
            <w:sz w:val="28"/>
            <w:szCs w:val="28"/>
          </w:rPr>
          <w:t>—</w:t>
        </w:r>
      </w:p>
    </w:sdtContent>
  </w:sdt>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50687F"/>
    <w:rsid w:val="000344E1"/>
    <w:rsid w:val="00095BD0"/>
    <w:rsid w:val="000C3D9E"/>
    <w:rsid w:val="000D3C74"/>
    <w:rsid w:val="00102788"/>
    <w:rsid w:val="00112075"/>
    <w:rsid w:val="002179F6"/>
    <w:rsid w:val="00293D6C"/>
    <w:rsid w:val="002C4D37"/>
    <w:rsid w:val="002C5CDB"/>
    <w:rsid w:val="002F05AD"/>
    <w:rsid w:val="00331D6E"/>
    <w:rsid w:val="00362280"/>
    <w:rsid w:val="00395684"/>
    <w:rsid w:val="003D764F"/>
    <w:rsid w:val="003F0ACE"/>
    <w:rsid w:val="003F5F89"/>
    <w:rsid w:val="00476C39"/>
    <w:rsid w:val="00490F39"/>
    <w:rsid w:val="0050687F"/>
    <w:rsid w:val="00525490"/>
    <w:rsid w:val="00543F5A"/>
    <w:rsid w:val="005A6251"/>
    <w:rsid w:val="005E00F7"/>
    <w:rsid w:val="006032DF"/>
    <w:rsid w:val="00663829"/>
    <w:rsid w:val="0067483F"/>
    <w:rsid w:val="006A31C0"/>
    <w:rsid w:val="007774EF"/>
    <w:rsid w:val="007803B9"/>
    <w:rsid w:val="007C264B"/>
    <w:rsid w:val="007D404C"/>
    <w:rsid w:val="008673AC"/>
    <w:rsid w:val="008933E7"/>
    <w:rsid w:val="008A7736"/>
    <w:rsid w:val="009D60EC"/>
    <w:rsid w:val="00A7219A"/>
    <w:rsid w:val="00A849D7"/>
    <w:rsid w:val="00AA78D8"/>
    <w:rsid w:val="00B11A50"/>
    <w:rsid w:val="00B85C80"/>
    <w:rsid w:val="00B96C4B"/>
    <w:rsid w:val="00BE27CE"/>
    <w:rsid w:val="00C76662"/>
    <w:rsid w:val="00CD2A65"/>
    <w:rsid w:val="00CF101C"/>
    <w:rsid w:val="00DA4217"/>
    <w:rsid w:val="00DF57B1"/>
    <w:rsid w:val="00E47A09"/>
    <w:rsid w:val="00E725B2"/>
    <w:rsid w:val="00FA6443"/>
    <w:rsid w:val="06FC43AD"/>
    <w:rsid w:val="0DC7119F"/>
    <w:rsid w:val="2389679B"/>
    <w:rsid w:val="27FC3861"/>
    <w:rsid w:val="2BE614BF"/>
    <w:rsid w:val="2C3D3125"/>
    <w:rsid w:val="2CB001B6"/>
    <w:rsid w:val="2D8C03E7"/>
    <w:rsid w:val="2FAF4313"/>
    <w:rsid w:val="30060B97"/>
    <w:rsid w:val="3043014F"/>
    <w:rsid w:val="36F20474"/>
    <w:rsid w:val="3718301A"/>
    <w:rsid w:val="37FA31A6"/>
    <w:rsid w:val="3EE14A8D"/>
    <w:rsid w:val="404775DA"/>
    <w:rsid w:val="40697E7E"/>
    <w:rsid w:val="426D795B"/>
    <w:rsid w:val="48C464DC"/>
    <w:rsid w:val="498F4A6C"/>
    <w:rsid w:val="4B4C5754"/>
    <w:rsid w:val="4C3F74A8"/>
    <w:rsid w:val="4DD13144"/>
    <w:rsid w:val="4E7F10BF"/>
    <w:rsid w:val="51C64D97"/>
    <w:rsid w:val="51DC7E4C"/>
    <w:rsid w:val="52F21E12"/>
    <w:rsid w:val="57BE0ACE"/>
    <w:rsid w:val="61D01368"/>
    <w:rsid w:val="64C617FD"/>
    <w:rsid w:val="68E42FA2"/>
    <w:rsid w:val="6D744145"/>
    <w:rsid w:val="7C776C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autoRedefine/>
    <w:qFormat/>
    <w:uiPriority w:val="9"/>
    <w:pPr>
      <w:keepNext/>
      <w:keepLines/>
      <w:spacing w:before="340" w:after="330" w:line="578" w:lineRule="auto"/>
      <w:outlineLvl w:val="0"/>
    </w:pPr>
    <w:rPr>
      <w:b/>
      <w:bCs/>
      <w:kern w:val="44"/>
      <w:sz w:val="44"/>
      <w:szCs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alloon Text"/>
    <w:basedOn w:val="1"/>
    <w:link w:val="14"/>
    <w:autoRedefine/>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8">
    <w:name w:val="TOC 标题1"/>
    <w:basedOn w:val="2"/>
    <w:next w:val="1"/>
    <w:autoRedefine/>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9">
    <w:name w:val="正文 A"/>
    <w:autoRedefine/>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0">
    <w:name w:val="标题 1 Char"/>
    <w:basedOn w:val="7"/>
    <w:link w:val="2"/>
    <w:autoRedefine/>
    <w:qFormat/>
    <w:uiPriority w:val="9"/>
    <w:rPr>
      <w:rFonts w:ascii="Calibri" w:hAnsi="Calibri" w:eastAsia="宋体" w:cs="Times New Roman"/>
      <w:b/>
      <w:bCs/>
      <w:kern w:val="44"/>
      <w:sz w:val="44"/>
      <w:szCs w:val="44"/>
    </w:rPr>
  </w:style>
  <w:style w:type="paragraph" w:styleId="11">
    <w:name w:val="List Paragraph"/>
    <w:basedOn w:val="1"/>
    <w:autoRedefine/>
    <w:qFormat/>
    <w:uiPriority w:val="34"/>
    <w:pPr>
      <w:ind w:firstLine="420" w:firstLineChars="200"/>
    </w:pPr>
  </w:style>
  <w:style w:type="character" w:customStyle="1" w:styleId="12">
    <w:name w:val="页眉 Char"/>
    <w:basedOn w:val="7"/>
    <w:link w:val="5"/>
    <w:autoRedefine/>
    <w:semiHidden/>
    <w:qFormat/>
    <w:uiPriority w:val="99"/>
    <w:rPr>
      <w:rFonts w:ascii="Calibri" w:hAnsi="Calibri" w:eastAsia="宋体" w:cs="Times New Roman"/>
      <w:sz w:val="18"/>
      <w:szCs w:val="18"/>
    </w:rPr>
  </w:style>
  <w:style w:type="character" w:customStyle="1" w:styleId="13">
    <w:name w:val="页脚 Char"/>
    <w:basedOn w:val="7"/>
    <w:link w:val="4"/>
    <w:autoRedefine/>
    <w:qFormat/>
    <w:uiPriority w:val="99"/>
    <w:rPr>
      <w:rFonts w:ascii="Calibri" w:hAnsi="Calibri" w:eastAsia="宋体" w:cs="Times New Roman"/>
      <w:sz w:val="18"/>
      <w:szCs w:val="18"/>
    </w:rPr>
  </w:style>
  <w:style w:type="character" w:customStyle="1" w:styleId="14">
    <w:name w:val="批注框文本 Char"/>
    <w:basedOn w:val="7"/>
    <w:link w:val="3"/>
    <w:autoRedefine/>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0DD303-4F78-423C-A8D1-2943477BE8DE}">
  <ds:schemaRefs/>
</ds:datastoreItem>
</file>

<file path=docProps/app.xml><?xml version="1.0" encoding="utf-8"?>
<Properties xmlns="http://schemas.openxmlformats.org/officeDocument/2006/extended-properties" xmlns:vt="http://schemas.openxmlformats.org/officeDocument/2006/docPropsVTypes">
  <Template>Normal</Template>
  <Pages>9</Pages>
  <Words>792</Words>
  <Characters>4521</Characters>
  <Lines>37</Lines>
  <Paragraphs>10</Paragraphs>
  <TotalTime>1</TotalTime>
  <ScaleCrop>false</ScaleCrop>
  <LinksUpToDate>false</LinksUpToDate>
  <CharactersWithSpaces>5303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岂曰无衣</cp:lastModifiedBy>
  <cp:lastPrinted>2019-04-17T01:39:00Z</cp:lastPrinted>
  <dcterms:modified xsi:type="dcterms:W3CDTF">2024-04-11T08:59:12Z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F6927F00DC7043879492F1106E96ADC1</vt:lpwstr>
  </property>
</Properties>
</file>