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topLinePunct/>
        <w:adjustRightInd w:val="0"/>
        <w:snapToGrid w:val="0"/>
        <w:spacing w:line="592" w:lineRule="exact"/>
        <w:jc w:val="center"/>
        <w:rPr>
          <w:rFonts w:hint="eastAsia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地方行政府债务有关情况</w:t>
      </w:r>
    </w:p>
    <w:p>
      <w:pPr>
        <w:overflowPunct w:val="0"/>
        <w:topLinePunct/>
        <w:adjustRightInd w:val="0"/>
        <w:snapToGrid w:val="0"/>
        <w:spacing w:line="592" w:lineRule="exact"/>
        <w:ind w:firstLine="643" w:firstLineChars="200"/>
        <w:rPr>
          <w:rFonts w:hint="eastAsia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overflowPunct w:val="0"/>
        <w:topLinePunct/>
        <w:adjustRightInd w:val="0"/>
        <w:snapToGrid w:val="0"/>
        <w:spacing w:line="592" w:lineRule="exact"/>
        <w:ind w:firstLine="643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一、2023年</w:t>
      </w:r>
      <w:r>
        <w:rPr>
          <w:rFonts w:hint="eastAsia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地方政府债务情况。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盘龙区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债务余额预计执行数107.0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亿元，其中：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债务余额预计执行数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3.55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专项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债务余额预计执行数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103.52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具体情况详见附表。</w:t>
      </w:r>
    </w:p>
    <w:p>
      <w:pPr>
        <w:ind w:firstLine="643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二、2024年地方政府债务情况。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盘龙区未安排新增地方政府债券资金。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具体情况详见附表。</w:t>
      </w:r>
      <w:bookmarkStart w:id="0" w:name="_GoBack"/>
      <w:bookmarkEnd w:id="0"/>
    </w:p>
    <w:p>
      <w:pPr>
        <w:pStyle w:val="2"/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F7C30"/>
    <w:rsid w:val="042A6EF2"/>
    <w:rsid w:val="261F7C30"/>
    <w:rsid w:val="35AC2521"/>
    <w:rsid w:val="7DCC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2024-11-01T10:07:00Z</dcterms:created>
  <dc:creator>黄乐怡</dc:creator>
  <cp:lastModifiedBy>黄乐怡</cp:lastModifiedBy>
  <dcterms:modified xsi:type="dcterms:W3CDTF">2024-11-04T05:38:28Z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F26EDAB212334A58AB8FE67ABAB43EDB</vt:lpwstr>
  </property>
</Properties>
</file>