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重点项目及绩效情况</w:t>
      </w:r>
    </w:p>
    <w:p>
      <w:pPr>
        <w:jc w:val="center"/>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盘龙区</w:t>
      </w:r>
      <w:r>
        <w:rPr>
          <w:rFonts w:hint="default" w:ascii="Times New Roman" w:hAnsi="Times New Roman" w:eastAsia="仿宋_GB2312" w:cs="Times New Roman"/>
          <w:sz w:val="32"/>
          <w:szCs w:val="32"/>
          <w:lang w:val="en-US" w:eastAsia="zh-CN"/>
        </w:rPr>
        <w:t>选取</w:t>
      </w:r>
      <w:r>
        <w:rPr>
          <w:rFonts w:hint="eastAsia" w:ascii="Times New Roman" w:hAnsi="Times New Roman" w:eastAsia="仿宋_GB2312" w:cs="Times New Roman"/>
          <w:sz w:val="32"/>
          <w:szCs w:val="32"/>
          <w:lang w:val="en-US" w:eastAsia="zh-CN"/>
        </w:rPr>
        <w:t>77</w:t>
      </w:r>
      <w:r>
        <w:rPr>
          <w:rFonts w:hint="default" w:ascii="Times New Roman" w:hAnsi="Times New Roman" w:eastAsia="仿宋_GB2312" w:cs="Times New Roman"/>
          <w:sz w:val="32"/>
          <w:szCs w:val="32"/>
          <w:lang w:val="en-US" w:eastAsia="zh-CN"/>
        </w:rPr>
        <w:t>个重点项目，并公开项目绩效有关情况，具体情况详见附表。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lang w:val="en-US" w:eastAsia="zh-CN"/>
        </w:rPr>
        <w:t>年重点资金投向情况如下</w:t>
      </w:r>
      <w:r>
        <w:rPr>
          <w:rFonts w:hint="eastAsia" w:ascii="Times New Roman" w:hAnsi="Times New Roman" w:eastAsia="仿宋_GB2312" w:cs="Times New Roman"/>
          <w:sz w:val="32"/>
          <w:szCs w:val="32"/>
          <w:lang w:val="en-US"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（一）松华坝核心区移民生活困难补助经费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关于印发盘龙区松华坝水库一级保护区核心区移民搬迁方案的通知-》（盘办通(2011)32号）及《盘龙区政府办关于印发&lt;松华坝水库一级保护区核心区搬迁移民生活补助长效机制实施方案&gt;的通知》（盘政办通〔2019〕3号）《关于印发盘龙区松华坝水库一级保护区核心区搬迁移民生活补助实施细则的通知》相关文件要求完成松华坝核心区移民每月生活困难资金补助。</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（二）基本公共卫生服务专项资金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依据《国家基本公共卫生服务规范（第三版）》等政策文件立项，居民健康档案规范化电子建档率保持在62%以上，稳步提高档案使用率；0-6岁儿童健康管理3岁以下儿童系统管理80%、7岁以下儿童健康管理率85%。各乡镇、街道适龄儿童国家免疫规划疫苗接种率保持在90%以上，进一步加强流动儿童的接种工作；以县（区、市）为单位，65岁以上老年人健康管理率达到62%以上；传染病报告率和报告及时率达到95%以上；18岁及以上高血压、糖尿病患者管理人数稳步提高，全区管理高血压患者人数保持在4.49万人以上、管理糖尿病患者人数达到1.62万人以上，高血压和糖尿病患者规范化管理率均达到60%以上；严重精神障碍患者健康管理率80%；结核病患者管理率达到90%以上。以县（区、市）为单位，健康教育覆盖率达80%以上，健康生活方式与行为养成率达30%以上；卫生监督协管国家报告系统中被监督单位数据维护率100%、各专业年巡巡防2次完成率80%；65岁及以上老年人中医药健康管理率达到70%、0-36个月儿童中医药健康管理率达到77%以上；以省为单位，居民健康素养水平较上年度提高不少于4个百分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（三）楼宇总部经济工作经费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紧紧围绕建成高质量、高效益、特色凸显的楼宇经济体系，科学制定发展目标，力争实现楼宇品质不断提升、楼宇贡献持续增长和楼宇辐射逐步增强，楼宇服务不断完善。建成盘龙乃至昆明重要的现代服务业高质量发展示范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（四）学前教育家庭经济困难儿童助学金经费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完成发放学前教育家庭经济困难儿童补助人数约2510人，保障学前教育家庭经济困难儿童助学金发放的准确性，有利于促进盘龙区教育事业的蓬勃发展，有利于培养教育人才，有利于推动社会事业的发展，有利于构建和谐社会。坚持办好人民满意的教育，坚持以人民为中心发展教育，坚持加快建设高质量发展的盘龙教育，优化我区教育资源配置。</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具体情况详见附表。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50961"/>
    <w:rsid w:val="2672257E"/>
    <w:rsid w:val="27750961"/>
    <w:rsid w:val="332D4F5B"/>
    <w:rsid w:val="50376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18</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2024-11-01T10:22:00Z</dcterms:created>
  <dc:creator>黄乐怡</dc:creator>
  <cp:lastModifiedBy>黄乐怡</cp:lastModifiedBy>
  <dcterms:modified xsi:type="dcterms:W3CDTF">2024-11-04T05:42:41Z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69FEC2084B8E426AA6F5AC54B9685A43</vt:lpwstr>
  </property>
</Properties>
</file>