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eastAsia="方正小标宋_GBK"/>
          <w:sz w:val="32"/>
          <w:szCs w:val="32"/>
        </w:rPr>
      </w:pPr>
      <w:r>
        <w:rPr>
          <w:rFonts w:hint="eastAsia" w:ascii="方正小标宋_GBK" w:eastAsia="方正小标宋_GBK"/>
          <w:sz w:val="32"/>
          <w:szCs w:val="32"/>
        </w:rPr>
        <w:t>附件1：部门整体支出绩效评价共性指标体系框架</w:t>
      </w:r>
    </w:p>
    <w:tbl>
      <w:tblPr>
        <w:tblStyle w:val="2"/>
        <w:tblW w:w="10065" w:type="dxa"/>
        <w:tblInd w:w="-459" w:type="dxa"/>
        <w:tblLayout w:type="autofit"/>
        <w:tblCellMar>
          <w:top w:w="0" w:type="dxa"/>
          <w:left w:w="108" w:type="dxa"/>
          <w:bottom w:w="0" w:type="dxa"/>
          <w:right w:w="108" w:type="dxa"/>
        </w:tblCellMar>
      </w:tblPr>
      <w:tblGrid>
        <w:gridCol w:w="579"/>
        <w:gridCol w:w="981"/>
        <w:gridCol w:w="1559"/>
        <w:gridCol w:w="689"/>
        <w:gridCol w:w="2050"/>
        <w:gridCol w:w="2846"/>
        <w:gridCol w:w="1361"/>
      </w:tblGrid>
      <w:tr>
        <w:tblPrEx>
          <w:tblCellMar>
            <w:top w:w="0" w:type="dxa"/>
            <w:left w:w="108" w:type="dxa"/>
            <w:bottom w:w="0" w:type="dxa"/>
            <w:right w:w="108" w:type="dxa"/>
          </w:tblCellMar>
        </w:tblPrEx>
        <w:trPr>
          <w:trHeight w:val="270" w:hRule="atLeast"/>
        </w:trPr>
        <w:tc>
          <w:tcPr>
            <w:tcW w:w="5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一级指标</w:t>
            </w:r>
          </w:p>
        </w:tc>
        <w:tc>
          <w:tcPr>
            <w:tcW w:w="98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w:t>
            </w:r>
          </w:p>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68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205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284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指标评分细则</w:t>
            </w:r>
          </w:p>
        </w:tc>
        <w:tc>
          <w:tcPr>
            <w:tcW w:w="136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tblPrEx>
          <w:tblCellMar>
            <w:top w:w="0" w:type="dxa"/>
            <w:left w:w="108" w:type="dxa"/>
            <w:bottom w:w="0" w:type="dxa"/>
            <w:right w:w="108" w:type="dxa"/>
          </w:tblCellMar>
        </w:tblPrEx>
        <w:trPr>
          <w:trHeight w:val="1575" w:hRule="atLeast"/>
        </w:trPr>
        <w:tc>
          <w:tcPr>
            <w:tcW w:w="579"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A部门决策（35分）</w:t>
            </w:r>
          </w:p>
        </w:tc>
        <w:tc>
          <w:tcPr>
            <w:tcW w:w="981" w:type="dxa"/>
            <w:vMerge w:val="restart"/>
            <w:tcBorders>
              <w:top w:val="nil"/>
              <w:left w:val="single" w:color="auto" w:sz="4" w:space="0"/>
              <w:bottom w:val="single" w:color="000000" w:sz="4" w:space="0"/>
              <w:right w:val="single" w:color="auto" w:sz="4" w:space="0"/>
            </w:tcBorders>
            <w:shd w:val="clear" w:color="auto" w:fill="auto"/>
            <w:noWrap w:val="0"/>
            <w:vAlign w:val="top"/>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A1部门目标（12分）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A11部门中长期规划目标的明确性与合理性（2分）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部门（单位）中长期规划目标的设定情况；中长期规划目标应设定明确，应与政府中长期规划目标相适应，且应与部门职能相适应。</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①设定了部门中长期规划目标，得0.5分；②设定的部门中长期规划目标明确，得0.5分；③能够适应《盘龙区XXXXX事业发展“十XX五”规划》，得0.5分；④能够与部门职能相适应，得0.5分。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部门中长期规划目标、区政府相关规划、部门“三定”方案、部门职能文件。</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A12年度工作目标的明确性与合理性（2分）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部门年度工作目标的设定是否明确合理</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①部门年度工作目标明确设定，得1分；②年度工作目标与部门中长期规划目标一致，得1分。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年度工作目标与部门中长期规划文件</w:t>
            </w:r>
          </w:p>
        </w:tc>
      </w:tr>
      <w:tr>
        <w:tblPrEx>
          <w:tblCellMar>
            <w:top w:w="0" w:type="dxa"/>
            <w:left w:w="108" w:type="dxa"/>
            <w:bottom w:w="0" w:type="dxa"/>
            <w:right w:w="108" w:type="dxa"/>
          </w:tblCellMar>
        </w:tblPrEx>
        <w:trPr>
          <w:trHeight w:val="123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A13年度工作计划与年度工作目标的一致性（2分）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部门年度工作计划是否与部门年度工作目标相一致。</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将部门详细工作计划与年度工作目标对应匹配，视匹配情况酌情得0-2分。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年度工作计划与年度工作目标文件</w:t>
            </w:r>
          </w:p>
        </w:tc>
      </w:tr>
      <w:tr>
        <w:tblPrEx>
          <w:tblCellMar>
            <w:top w:w="0" w:type="dxa"/>
            <w:left w:w="108" w:type="dxa"/>
            <w:bottom w:w="0" w:type="dxa"/>
            <w:right w:w="108" w:type="dxa"/>
          </w:tblCellMar>
        </w:tblPrEx>
        <w:trPr>
          <w:trHeight w:val="142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A14绩效目标合理性（3分）</w:t>
            </w:r>
          </w:p>
        </w:tc>
        <w:tc>
          <w:tcPr>
            <w:tcW w:w="689" w:type="dxa"/>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3</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用以反映和考核部门整体绩效目标与部门职能、年度工作目标的一致性。</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①符合部门制定的中长期实施规划计1分；②符合部门“三定”方案确定的职责计1分；③与部门年度工作目标、任务相一致计1分。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部门中长期规划、部门“三定”方案、年度重点工作任务与工作计划</w:t>
            </w:r>
          </w:p>
        </w:tc>
      </w:tr>
      <w:tr>
        <w:tblPrEx>
          <w:tblCellMar>
            <w:top w:w="0" w:type="dxa"/>
            <w:left w:w="108" w:type="dxa"/>
            <w:bottom w:w="0" w:type="dxa"/>
            <w:right w:w="108" w:type="dxa"/>
          </w:tblCellMar>
        </w:tblPrEx>
        <w:trPr>
          <w:trHeight w:val="142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A15绩效指标明确性（3分）</w:t>
            </w:r>
          </w:p>
        </w:tc>
        <w:tc>
          <w:tcPr>
            <w:tcW w:w="689" w:type="dxa"/>
            <w:tcBorders>
              <w:top w:val="nil"/>
              <w:left w:val="nil"/>
              <w:bottom w:val="single" w:color="auto" w:sz="4" w:space="0"/>
              <w:right w:val="single" w:color="auto" w:sz="4" w:space="0"/>
            </w:tcBorders>
            <w:shd w:val="clear" w:color="auto" w:fill="auto"/>
            <w:noWrap w:val="0"/>
            <w:vAlign w:val="top"/>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3</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整体绩效目标所设定的绩效指标是否依据部门工作目标和工作任务进行细化、量化，绩效指标是否可衡量。</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部门年度重点工作任务与工作计划。</w:t>
            </w:r>
          </w:p>
        </w:tc>
      </w:tr>
      <w:tr>
        <w:tblPrEx>
          <w:tblCellMar>
            <w:top w:w="0" w:type="dxa"/>
            <w:left w:w="108" w:type="dxa"/>
            <w:bottom w:w="0" w:type="dxa"/>
            <w:right w:w="108" w:type="dxa"/>
          </w:tblCellMar>
        </w:tblPrEx>
        <w:trPr>
          <w:trHeight w:val="108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A2部门职能（10分）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A21部门职能的明确性与科学性（1分）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考察部门职能界定是否明确科学，是否有相关文件。</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①职能明确、设定依据充分，得1分；②有“三定”文件，但职能描述不明确，得0.5分;③没有职能设定的文件依据且职能不清，得0分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部门职能描述、“三定”文件</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A22年度工作目标与部门职能的适应性（4分）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　</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部门所设定的具体目标是否与部门职能相适应。</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将部门详细工作目标与部门职能对应匹配，视匹配情况酌情得0-4分。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部门年度工作目标、部门职能</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A23年度具体工作与部门职能的匹配性（4分）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　</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部门年度各类具体工作是否与部门职能相匹配。</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将部门年度具体工作与部门职能对应匹配，视匹配情况酌情得0-4分。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部门年度各项具体工作，部门职能</w:t>
            </w:r>
          </w:p>
        </w:tc>
      </w:tr>
      <w:tr>
        <w:tblPrEx>
          <w:tblCellMar>
            <w:top w:w="0" w:type="dxa"/>
            <w:left w:w="108" w:type="dxa"/>
            <w:bottom w:w="0" w:type="dxa"/>
            <w:right w:w="108" w:type="dxa"/>
          </w:tblCellMar>
        </w:tblPrEx>
        <w:trPr>
          <w:trHeight w:val="112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A24部门内设科室及下属单位职责的明确性（1分）</w:t>
            </w:r>
          </w:p>
        </w:tc>
        <w:tc>
          <w:tcPr>
            <w:tcW w:w="689" w:type="dxa"/>
            <w:tcBorders>
              <w:top w:val="single" w:color="auto" w:sz="4" w:space="0"/>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single" w:color="auto" w:sz="4" w:space="0"/>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部门内设科室及下属单位具体职责是否明确</w:t>
            </w:r>
          </w:p>
        </w:tc>
        <w:tc>
          <w:tcPr>
            <w:tcW w:w="2846" w:type="dxa"/>
            <w:tcBorders>
              <w:top w:val="single" w:color="auto" w:sz="4" w:space="0"/>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①有职责文件制度规定部门各科室及下属单位具体职责，得0.5分；②具体职责明确，得0.5分。</w:t>
            </w:r>
          </w:p>
        </w:tc>
        <w:tc>
          <w:tcPr>
            <w:tcW w:w="1361" w:type="dxa"/>
            <w:tcBorders>
              <w:top w:val="single" w:color="auto" w:sz="4" w:space="0"/>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内设科室及下属单位职责文件</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A3资源配置（13分）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A31基本支出预算合理性（2分）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用以反映部门年度基本支出预算是否根据人员经费、公用经费标准进行合理编制。</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①如实核定人员基数，得1分；②根据基本预算标准进行编制，得1分。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部门基本支出预算标准、基本支出预算</w:t>
            </w:r>
          </w:p>
        </w:tc>
      </w:tr>
      <w:tr>
        <w:tblPrEx>
          <w:tblCellMar>
            <w:top w:w="0" w:type="dxa"/>
            <w:left w:w="108" w:type="dxa"/>
            <w:bottom w:w="0" w:type="dxa"/>
            <w:right w:w="108" w:type="dxa"/>
          </w:tblCellMar>
        </w:tblPrEx>
        <w:trPr>
          <w:trHeight w:val="135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A32项目支出预算合理性（4分）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用以反映部门年度项目支出预算程序、预算依据、适用范围的合理性。</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①预算程序合理，得1分；②预算依据充分，得2分；③符合资金使用范围，得1分。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部门项目支出预算编制详细资料，访谈、文件梳理等、其他资料</w:t>
            </w:r>
          </w:p>
        </w:tc>
      </w:tr>
      <w:tr>
        <w:tblPrEx>
          <w:tblCellMar>
            <w:top w:w="0" w:type="dxa"/>
            <w:left w:w="108" w:type="dxa"/>
            <w:bottom w:w="0" w:type="dxa"/>
            <w:right w:w="108" w:type="dxa"/>
          </w:tblCellMar>
        </w:tblPrEx>
        <w:trPr>
          <w:trHeight w:val="67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A33人力资源投入合理性（2分）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用以反映部门核定人员的编制与部门工作内容的合理性</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通过问卷及访谈调研,分析人员的工作量和工作时长，视匹配情况得0-2分。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人员编制文件、调研</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A34办公资源投入合理性（2分）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用以反映部门现有办公资源能否满足部门日常工作需求。</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①办公资源经费保障充足，得1分；②办公资源配置合理，得1分。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部门办公资源配置情况、调研等资料</w:t>
            </w:r>
          </w:p>
        </w:tc>
      </w:tr>
      <w:tr>
        <w:tblPrEx>
          <w:tblCellMar>
            <w:top w:w="0" w:type="dxa"/>
            <w:left w:w="108" w:type="dxa"/>
            <w:bottom w:w="0" w:type="dxa"/>
            <w:right w:w="108" w:type="dxa"/>
          </w:tblCellMar>
        </w:tblPrEx>
        <w:trPr>
          <w:trHeight w:val="168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A35重点项目资源分配合理性（3分）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3</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部门本年度预算安排的重点项目支出与部门项目总支出的比率，用以反映和考核部门对履行主要职责或完成重点任务的保障程度。</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根据重点项目资源分配，对重点项目完成实施的保障程度进行评分。能够保障重点项目顺利实施、全面完成当年工作目标任务的得满分，每有一项重点项目因资金不足无法完成，按权重（3分）的1/3扣分，扣完为止。</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重点项目相关资料</w:t>
            </w:r>
          </w:p>
        </w:tc>
      </w:tr>
      <w:tr>
        <w:tblPrEx>
          <w:tblCellMar>
            <w:top w:w="0" w:type="dxa"/>
            <w:left w:w="108" w:type="dxa"/>
            <w:bottom w:w="0" w:type="dxa"/>
            <w:right w:w="108" w:type="dxa"/>
          </w:tblCellMar>
        </w:tblPrEx>
        <w:trPr>
          <w:trHeight w:val="1635" w:hRule="atLeast"/>
        </w:trPr>
        <w:tc>
          <w:tcPr>
            <w:tcW w:w="579"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B部门管理（20分）</w:t>
            </w: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B1预算管理（7分）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B11基本支出预算执行率（1分）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部门基本支出本年度决算数与预算数的比率，用以反映和考核部门（单位）基本支出预算执行程度。</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预算执行率=部门基本支出决算/部门基本支出预算×100%。决算数：部门本年度基本支出实际支出资金数。预算数：财政部门批复的本年度部门基本支出预算数以及当年批复的调整数。预算完成率≥95%得满分，未达到的每低于1%扣0.1分，扣完为止。</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基本支出预算批复，预算调整批复、预算编制等其他资料</w:t>
            </w:r>
          </w:p>
        </w:tc>
      </w:tr>
      <w:tr>
        <w:tblPrEx>
          <w:tblCellMar>
            <w:top w:w="0" w:type="dxa"/>
            <w:left w:w="108" w:type="dxa"/>
            <w:bottom w:w="0" w:type="dxa"/>
            <w:right w:w="108" w:type="dxa"/>
          </w:tblCellMar>
        </w:tblPrEx>
        <w:trPr>
          <w:trHeight w:val="18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B12项目支出预算执行率（4分）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部门项目支出本年度决算数与预算数的比率，用以反映和考核部门项目支出预算执行程度。</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预算执行率=部门项目支出决算/部门项目支出预算×100%。决算数：部门（单位）本年度项目支出实际支出资金数。预算数：财政部门批复的本年度部门（单位）项目支出预算数以及当年批复的调整数。预算完成率≥95%得满分，每低于1%扣0.2分，扣完为止。</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项目支出预算批复，预算调整批复、预算编制等其他资料</w:t>
            </w:r>
          </w:p>
        </w:tc>
      </w:tr>
      <w:tr>
        <w:tblPrEx>
          <w:tblCellMar>
            <w:top w:w="0" w:type="dxa"/>
            <w:left w:w="108" w:type="dxa"/>
            <w:bottom w:w="0" w:type="dxa"/>
            <w:right w:w="108" w:type="dxa"/>
          </w:tblCellMar>
        </w:tblPrEx>
        <w:trPr>
          <w:trHeight w:val="18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B13“三公经费”控制率（1分）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部门本年度“三公”经费预算数与上年度“三公”经费预算数的变动比率，用以反映和考核部门（单位）对控制行政成本的努力程度。</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三公”经费控制率=（本年度“三公”经费总额/上年度“三公”经费总额）×100%。“三公”经费：年度预算安排的因公出国（境）费、公务用车购置及运行费和公务接待费。三公经费控制率≤100%得满分，≥120%得0分，区间内按权重进行扣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三公经费使用情况</w:t>
            </w:r>
          </w:p>
        </w:tc>
      </w:tr>
      <w:tr>
        <w:tblPrEx>
          <w:tblCellMar>
            <w:top w:w="0" w:type="dxa"/>
            <w:left w:w="108" w:type="dxa"/>
            <w:bottom w:w="0" w:type="dxa"/>
            <w:right w:w="108" w:type="dxa"/>
          </w:tblCellMar>
        </w:tblPrEx>
        <w:trPr>
          <w:trHeight w:val="85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B14预算调整情况（1分）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用以反映预算单位是否根据年中预算实际执行情况及时合规进行预算调整。</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①根据年中预算执行情况及时申请预算调整，得0.5分；②按规定程序进行预算调整，得0.5分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预算调整相关资料</w:t>
            </w:r>
          </w:p>
        </w:tc>
      </w:tr>
      <w:tr>
        <w:tblPrEx>
          <w:tblCellMar>
            <w:top w:w="0" w:type="dxa"/>
            <w:left w:w="108" w:type="dxa"/>
            <w:bottom w:w="0" w:type="dxa"/>
            <w:right w:w="108" w:type="dxa"/>
          </w:tblCellMar>
        </w:tblPrEx>
        <w:trPr>
          <w:trHeight w:val="168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B2财务管理（6分）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B21财务管理制度健全性及执行情况（1分）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部门为加强预算管理、规范财务行为而制定的财务管理制度是否健全完整。用以反映和考核部门预算管理制度对完成主要职责或促进事业发展的保障情况。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①是否已制定预算资金管理办法、内部财务管理制度、会计核算制度等管理制度，0.25分；②相关管理制度是否合法、合规、完整，0.25分；③相关管理制度是否得到有效执行，0.5分。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财务管理相关制度及执行情况调研</w:t>
            </w:r>
          </w:p>
        </w:tc>
      </w:tr>
      <w:tr>
        <w:tblPrEx>
          <w:tblCellMar>
            <w:top w:w="0" w:type="dxa"/>
            <w:left w:w="108" w:type="dxa"/>
            <w:bottom w:w="0" w:type="dxa"/>
            <w:right w:w="108" w:type="dxa"/>
          </w:tblCellMar>
        </w:tblPrEx>
        <w:trPr>
          <w:trHeight w:val="220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B22资金使用合规性（4分）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部门使用预算资金是否符合相关财务管理制度的规定，用以反映和考核部门预算资金的规范运行情况。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符合国家财经法规和财务管理制度规定以及有关专项资金管理办法的规定,1分；②资金的拨付有完整的审批程序和手续，1分；③项目的重大开支经过专题论证，1分；④符合部门预算批复的用途，1分；⑤是否存在截留、挤占、挪用、虚列支出等情况，一旦存在该指标不得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资金支出相关凭证、流程梳理等</w:t>
            </w:r>
          </w:p>
        </w:tc>
      </w:tr>
      <w:tr>
        <w:tblPrEx>
          <w:tblCellMar>
            <w:top w:w="0" w:type="dxa"/>
            <w:left w:w="108" w:type="dxa"/>
            <w:bottom w:w="0" w:type="dxa"/>
            <w:right w:w="108" w:type="dxa"/>
          </w:tblCellMar>
        </w:tblPrEx>
        <w:trPr>
          <w:trHeight w:val="112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B23财务监控的有效性（1分）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用以反映部门财务监控监督工作的有效性，包括监控、监督措施的制定及执行等方面。</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①制定明确的财务监控监督措施，得0.5分；②监控、监督措施执行有效，得0.5分；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财务监控监督相关办法及条款，实际执行情况资料</w:t>
            </w:r>
          </w:p>
        </w:tc>
      </w:tr>
      <w:tr>
        <w:tblPrEx>
          <w:tblCellMar>
            <w:top w:w="0" w:type="dxa"/>
            <w:left w:w="108" w:type="dxa"/>
            <w:bottom w:w="0" w:type="dxa"/>
            <w:right w:w="108" w:type="dxa"/>
          </w:tblCellMar>
        </w:tblPrEx>
        <w:trPr>
          <w:trHeight w:val="157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B3人力资源管理（2分）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B31在职人员控制率（1分）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部门本年度实际在职人员数与编制数的比率，用以反映和考核部门对人员成本的控制程度。</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在职人员控制率=（在职人员数/编制数）×100%。在职人员数：部门（单位）实际在职人数，以财政部门确定的部门决算编制口径为准。编制数：机构编制部门核定批复的部门人员编制数。在职人员控制率≤100%得满分，有超出不得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部门编制数、在职人数、年内变化情况</w:t>
            </w:r>
          </w:p>
        </w:tc>
      </w:tr>
      <w:tr>
        <w:tblPrEx>
          <w:tblCellMar>
            <w:top w:w="0" w:type="dxa"/>
            <w:left w:w="108" w:type="dxa"/>
            <w:bottom w:w="0" w:type="dxa"/>
            <w:right w:w="108" w:type="dxa"/>
          </w:tblCellMar>
        </w:tblPrEx>
        <w:trPr>
          <w:trHeight w:val="124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B32人力资源管理执行情况（1分）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考察部门人力资源管理的健全性及执行规范性，包括在编、派遣、临时员工的管理，包括招聘、培训、工资发放及考核等。</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①有具体的人力资源管理制度文件或参照文件，得0.5分；②严格按照相关文件对各类型人员进行管理和考核，得0.5分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人力资源管理相关文件及实施情况</w:t>
            </w:r>
          </w:p>
        </w:tc>
      </w:tr>
      <w:tr>
        <w:tblPrEx>
          <w:tblCellMar>
            <w:top w:w="0" w:type="dxa"/>
            <w:left w:w="108" w:type="dxa"/>
            <w:bottom w:w="0" w:type="dxa"/>
            <w:right w:w="108" w:type="dxa"/>
          </w:tblCellMar>
        </w:tblPrEx>
        <w:trPr>
          <w:trHeight w:val="166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B4资产管理（2分）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B41资产管理制度健全性及执行情况（1分）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部门为加强资产管理、规范资产使用而制定的资产管理制度是否健全完整，用以反映和考核部门资产管理制度对完成主要职责或促进事业发展的保障情况。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①是否已制定或具有固定资产管理办法、资产使用办法等管理制度，得0.25分；②相关管理制度是否合法、合规、完整，得0.25分；③相关管理制度是否得到有效执行，得0.5分。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资产管理相关办法</w:t>
            </w:r>
          </w:p>
        </w:tc>
      </w:tr>
      <w:tr>
        <w:tblPrEx>
          <w:tblCellMar>
            <w:top w:w="0" w:type="dxa"/>
            <w:left w:w="108" w:type="dxa"/>
            <w:bottom w:w="0" w:type="dxa"/>
            <w:right w:w="108" w:type="dxa"/>
          </w:tblCellMar>
        </w:tblPrEx>
        <w:trPr>
          <w:trHeight w:val="126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B42固定资产在用率（1分）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部门实际在用固定资产总额与所有固定资产总额的比率，用以反映和考核部门固定资产使用效率及程度。</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固定资产在用率=（实际在用固定资产总额/所有固定资产总额）×100%。固定资产在用率达到95%以上得满分.每降低1%扣权重分（1分）的5%，扣完为止。</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固定资产卡片、固定资产使用信息等</w:t>
            </w:r>
          </w:p>
        </w:tc>
      </w:tr>
      <w:tr>
        <w:tblPrEx>
          <w:tblCellMar>
            <w:top w:w="0" w:type="dxa"/>
            <w:left w:w="108" w:type="dxa"/>
            <w:bottom w:w="0" w:type="dxa"/>
            <w:right w:w="108" w:type="dxa"/>
          </w:tblCellMar>
        </w:tblPrEx>
        <w:trPr>
          <w:trHeight w:val="142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B5业务管理（3分）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B51业务管理制度健全性及执行情况（1分）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部门为加强业务管理、规范业务执行而制定的管理制度是否健全完整，用以反映和考核部门业务管理制度对完成主要职责或促进事业发展的保障情况。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①已制定或具有业务管理、项目管理等管理制度，得0.25分；②相关管理制度合法、合规、完整，得0.25分；③相关管理制度得到有效执行，得0.5分。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业务管理相关办法及执行情况资料</w:t>
            </w:r>
          </w:p>
        </w:tc>
      </w:tr>
      <w:tr>
        <w:tblPrEx>
          <w:tblCellMar>
            <w:top w:w="0" w:type="dxa"/>
            <w:left w:w="108" w:type="dxa"/>
            <w:bottom w:w="0" w:type="dxa"/>
            <w:right w:w="108" w:type="dxa"/>
          </w:tblCellMar>
        </w:tblPrEx>
        <w:trPr>
          <w:trHeight w:val="79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B52政府采购规范性（1分）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考察政府采购项目的采购程序、采购方式的规范性</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①政府采购方式、程序都规范，得满分；②采购方式、程序中每有一点不规范，扣0.5分，扣完为止。</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政府采购相关资料</w:t>
            </w:r>
          </w:p>
        </w:tc>
      </w:tr>
      <w:tr>
        <w:tblPrEx>
          <w:tblCellMar>
            <w:top w:w="0" w:type="dxa"/>
            <w:left w:w="108" w:type="dxa"/>
            <w:bottom w:w="0" w:type="dxa"/>
            <w:right w:w="108" w:type="dxa"/>
          </w:tblCellMar>
        </w:tblPrEx>
        <w:trPr>
          <w:trHeight w:val="79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B53监督考核情况（1分）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考察部门是否对各所属单位或项目实施主体进行工作监督和定期考核。</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有定期指导记录、考核结果，得1分，缺少项视情况酌情进行扣分。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监督考核记录等</w:t>
            </w:r>
          </w:p>
        </w:tc>
      </w:tr>
      <w:tr>
        <w:tblPrEx>
          <w:tblCellMar>
            <w:top w:w="0" w:type="dxa"/>
            <w:left w:w="108" w:type="dxa"/>
            <w:bottom w:w="0" w:type="dxa"/>
            <w:right w:w="108" w:type="dxa"/>
          </w:tblCellMar>
        </w:tblPrEx>
        <w:trPr>
          <w:trHeight w:val="1215" w:hRule="atLeast"/>
        </w:trPr>
        <w:tc>
          <w:tcPr>
            <w:tcW w:w="579"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C部门绩效（45分）</w:t>
            </w: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部门产出（18分）（说明：该指标主要反映部门（单位）重点工作任务的完成情况。三级指标以XX残疾人联合会XX年部门整体支出绩效评价为例设置，供各部门参考。各部门在绩效自评工作中要结合自身工作职能设置个性化的三级指标。）</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C11重点项目完成情况（4分）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考察无障碍上下楼服务、残疾人个性化辅助器具适配服务、社区无障碍设施建设、就业保障金核对等等重点项目的完成情况。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重点项目全部完成为满分，每一项不达标扣权重分（4分）的20%；三项不达标则为零分。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重点项目指标及完成情况</w:t>
            </w:r>
          </w:p>
        </w:tc>
      </w:tr>
      <w:tr>
        <w:tblPrEx>
          <w:tblCellMar>
            <w:top w:w="0" w:type="dxa"/>
            <w:left w:w="108" w:type="dxa"/>
            <w:bottom w:w="0" w:type="dxa"/>
            <w:right w:w="108" w:type="dxa"/>
          </w:tblCellMar>
        </w:tblPrEx>
        <w:trPr>
          <w:trHeight w:val="81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C12社会保障计划完成情况（2分）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考察帮困、医疗等社会保障工作的完成情况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考察帮困、医疗补贴等社会保障工作是否完成，按照权重分*完成率进行打分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社会保障项目计划及实施资料</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C13教育计划完成情况（1分）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考察助学工作完成情况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考察残疾人助学工作是否完成，按照权重分*完成率进行打分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残疾人助学计划及实施资料、实施效果</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C14康复服务计划完成情况（3分）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3</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考察康复服务计划的完成情况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考察各类康复服务计划的完成情况，按照权重分*完成率进行打分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康复项目计划及实施资料、实施效果</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C15就业安置及培训计划完成情况（4分）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　</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考察区残联促进残疾人就业工作的工作成效</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考察就业安置及培训计划的完成情况，按照权重分*完成率进行打分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就业安置及培训计划及完成情况，完成效果</w:t>
            </w:r>
          </w:p>
        </w:tc>
      </w:tr>
      <w:tr>
        <w:tblPrEx>
          <w:tblCellMar>
            <w:top w:w="0" w:type="dxa"/>
            <w:left w:w="108" w:type="dxa"/>
            <w:bottom w:w="0" w:type="dxa"/>
            <w:right w:w="108" w:type="dxa"/>
          </w:tblCellMar>
        </w:tblPrEx>
        <w:trPr>
          <w:trHeight w:val="102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C16政府采购项目完成率（2分）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考察残疾人信息化统计、阳光关爱服务、“汇影*心听”无障碍影视等政府采购项目的实施情况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考察残疾人信息化统计、阳光关爱服务、“汇影*心听”无障碍影视三大政府采购项目的实施情况，按照权重分*完成率进行打分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政府采购项目实施情况资料</w:t>
            </w:r>
          </w:p>
        </w:tc>
      </w:tr>
      <w:tr>
        <w:tblPrEx>
          <w:tblCellMar>
            <w:top w:w="0" w:type="dxa"/>
            <w:left w:w="108" w:type="dxa"/>
            <w:bottom w:w="0" w:type="dxa"/>
            <w:right w:w="108" w:type="dxa"/>
          </w:tblCellMar>
        </w:tblPrEx>
        <w:trPr>
          <w:trHeight w:val="190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C17考核任务完成率（2分）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达到考核标准的实际工作数与计划工作数的比率,用以反映和考核部门履职质量目标的实现程度。</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核完成率=（考核达标实际工作数/计划工作数）×100%。考核达标实际工作数：一定时期（年度或规划期）内部门实际完成工作数中达到上级部门（或同级政府）目标要求（绩效标准值）的工作任务数量。考核完成率达到100%得满分，未达到按权重进行扣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部门考核数与实际完成情况</w:t>
            </w:r>
          </w:p>
        </w:tc>
      </w:tr>
      <w:tr>
        <w:tblPrEx>
          <w:tblCellMar>
            <w:top w:w="0" w:type="dxa"/>
            <w:left w:w="108" w:type="dxa"/>
            <w:bottom w:w="0" w:type="dxa"/>
            <w:right w:w="108" w:type="dxa"/>
          </w:tblCellMar>
        </w:tblPrEx>
        <w:trPr>
          <w:trHeight w:val="145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部门效果（21分）（说明：该指标反映部门（单位）的工作效果。三级指标以XX残疾人联合会XX年部门整体支出绩效评价为例设置，供各部门参考。各部门在绩效自评工作中要结合自身工作职能设置个性化的三级指标。）</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C21投诉信访降低率（2分）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考察部门通过各项工作使服务对象投诉信访降低情况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①投诉信访降低率=（本年度投诉信访数-上年度投诉信访数）/本年度投诉信访数×100%，投诉信访降低率≤0得满分，超过按权重进行扣分；②每有一项部门有责投诉扣0.5分。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服务对象投诉信访情况</w:t>
            </w:r>
          </w:p>
        </w:tc>
      </w:tr>
      <w:tr>
        <w:tblPrEx>
          <w:tblCellMar>
            <w:top w:w="0" w:type="dxa"/>
            <w:left w:w="108" w:type="dxa"/>
            <w:bottom w:w="0" w:type="dxa"/>
            <w:right w:w="108" w:type="dxa"/>
          </w:tblCellMar>
        </w:tblPrEx>
        <w:trPr>
          <w:trHeight w:val="76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C22社会保障覆盖率（2分）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考察社会保障项目的覆盖情况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考察助困、助学等社会保障项目在各类残疾人保障中的覆盖程度，酌情得0-2分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社会保障项目完成效果</w:t>
            </w:r>
          </w:p>
        </w:tc>
      </w:tr>
      <w:tr>
        <w:tblPrEx>
          <w:tblCellMar>
            <w:top w:w="0" w:type="dxa"/>
            <w:left w:w="108" w:type="dxa"/>
            <w:bottom w:w="0" w:type="dxa"/>
            <w:right w:w="108" w:type="dxa"/>
          </w:tblCellMar>
        </w:tblPrEx>
        <w:trPr>
          <w:trHeight w:val="67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C23康复服务有效性（3分）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3</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考察康复服务项目的执行效果及覆盖情况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考察各类康复服务项目的执行效果及覆盖情况，酌情得0-3分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康复服务项目完成效果</w:t>
            </w:r>
          </w:p>
        </w:tc>
      </w:tr>
      <w:tr>
        <w:tblPrEx>
          <w:tblCellMar>
            <w:top w:w="0" w:type="dxa"/>
            <w:left w:w="108" w:type="dxa"/>
            <w:bottom w:w="0" w:type="dxa"/>
            <w:right w:w="108" w:type="dxa"/>
          </w:tblCellMar>
        </w:tblPrEx>
        <w:trPr>
          <w:trHeight w:val="145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C24城镇失业登记残疾人增长率（4分）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考察残联促进残疾人就业工作的工作成效</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城镇失业登记残疾人增长率=XX年城镇残疾人失业登记人数/上年城镇残疾人失业登记人数-100%；城镇失业登记残疾人增长率小于等于零得满分；每增长1%，扣权重分10%，扣完为止</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城镇失业登记残疾人增长数据</w:t>
            </w:r>
          </w:p>
        </w:tc>
      </w:tr>
      <w:tr>
        <w:tblPrEx>
          <w:tblCellMar>
            <w:top w:w="0" w:type="dxa"/>
            <w:left w:w="108" w:type="dxa"/>
            <w:bottom w:w="0" w:type="dxa"/>
            <w:right w:w="108" w:type="dxa"/>
          </w:tblCellMar>
        </w:tblPrEx>
        <w:trPr>
          <w:trHeight w:val="102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C25政策宣传知晓率（2分）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考察政策宣传的力度和范围</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考察残疾人对区残联现提供服务及补贴政策的知晓程度，知晓率≥80%得满分；知晓率＜80%；按权重*知晓率评分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调研问卷</w:t>
            </w:r>
          </w:p>
        </w:tc>
      </w:tr>
      <w:tr>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C26残联系统相关人员满意度（4分）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残联系统相关人员对部门的满意情况。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根据满意度线性统计取加权平均分值。满意度达到85%，得满分；满意度低于85%，每降低1%，扣权重分5%。</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问卷调查、访谈</w:t>
            </w:r>
          </w:p>
        </w:tc>
      </w:tr>
      <w:tr>
        <w:tblPrEx>
          <w:tblCellMar>
            <w:top w:w="0" w:type="dxa"/>
            <w:left w:w="108" w:type="dxa"/>
            <w:bottom w:w="0" w:type="dxa"/>
            <w:right w:w="108" w:type="dxa"/>
          </w:tblCellMar>
        </w:tblPrEx>
        <w:trPr>
          <w:trHeight w:val="91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C27辖区内残疾人满意度（4分）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辖区内残疾人对区残联工作的满意情况。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根据满意度线性统计取加权平均分值。满意度达到85%，得满分；满意度低于85%，每降低1%，扣权重分5%。</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问卷调查、访谈</w:t>
            </w:r>
          </w:p>
        </w:tc>
      </w:tr>
      <w:tr>
        <w:tblPrEx>
          <w:tblCellMar>
            <w:top w:w="0" w:type="dxa"/>
            <w:left w:w="108" w:type="dxa"/>
            <w:bottom w:w="0" w:type="dxa"/>
            <w:right w:w="108" w:type="dxa"/>
          </w:tblCellMar>
        </w:tblPrEx>
        <w:trPr>
          <w:trHeight w:val="73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C3部门可持续发展（6分）</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C31队伍建设情况（2分）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考察部门管理人员是否定期接受培训，熟悉政策、提高业务能力。</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部门全体人员每年至少接受一次业务或政策等培训，酌情得0-2分。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培训记录、培训效果调研</w:t>
            </w:r>
          </w:p>
        </w:tc>
      </w:tr>
      <w:tr>
        <w:tblPrEx>
          <w:tblCellMar>
            <w:top w:w="0" w:type="dxa"/>
            <w:left w:w="108" w:type="dxa"/>
            <w:bottom w:w="0" w:type="dxa"/>
            <w:right w:w="108" w:type="dxa"/>
          </w:tblCellMar>
        </w:tblPrEx>
        <w:trPr>
          <w:trHeight w:val="1680"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C32信息共享、公开情况（2分）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部门是否按照政府信息公开有关规定公开相关预决算信息、绩效信息及其他信息，是否信息共享，用以反映和考核部门信息公开透明及信息共享情况。</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①按规定内容公开预决算信息、绩效信息及其他信息，得0.5分；②按规定时限公开预决算信息、绩效信息及其他信息，得0.5分。③各处室、下属单位等信息共享，得1分。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信息公开、信息共享情况</w:t>
            </w:r>
          </w:p>
        </w:tc>
      </w:tr>
      <w:tr>
        <w:tblPrEx>
          <w:tblCellMar>
            <w:top w:w="0" w:type="dxa"/>
            <w:left w:w="108" w:type="dxa"/>
            <w:bottom w:w="0" w:type="dxa"/>
            <w:right w:w="108" w:type="dxa"/>
          </w:tblCellMar>
        </w:tblPrEx>
        <w:trPr>
          <w:trHeight w:val="1665" w:hRule="atLeast"/>
        </w:trPr>
        <w:tc>
          <w:tcPr>
            <w:tcW w:w="57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C33长效管理创新情况（2分）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考察部门是否在鼓励处室改进管理、提高效率方面建立了新举措，比如人员绩效考核机制、信息化建设、数据库管理等，是部门工作长期可持续发展的保障。</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管理创新机制和措施明确，且有相应工作及产出。酌情得0-2分。</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color w:val="000000"/>
                <w:kern w:val="0"/>
                <w:sz w:val="18"/>
                <w:szCs w:val="18"/>
              </w:rPr>
            </w:pPr>
            <w:r>
              <w:rPr>
                <w:rFonts w:hint="eastAsia" w:ascii="宋体" w:hAnsi="宋体" w:cs="宋体"/>
                <w:color w:val="000000"/>
                <w:kern w:val="0"/>
                <w:sz w:val="18"/>
                <w:szCs w:val="18"/>
              </w:rPr>
              <w:t>管理创新情况</w:t>
            </w:r>
          </w:p>
        </w:tc>
      </w:tr>
      <w:tr>
        <w:tblPrEx>
          <w:tblCellMar>
            <w:top w:w="0" w:type="dxa"/>
            <w:left w:w="108" w:type="dxa"/>
            <w:bottom w:w="0" w:type="dxa"/>
            <w:right w:w="108" w:type="dxa"/>
          </w:tblCellMar>
        </w:tblPrEx>
        <w:trPr>
          <w:trHeight w:val="270" w:hRule="atLeast"/>
        </w:trPr>
        <w:tc>
          <w:tcPr>
            <w:tcW w:w="579" w:type="dxa"/>
            <w:tcBorders>
              <w:top w:val="nil"/>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8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559"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689" w:type="dxa"/>
            <w:tcBorders>
              <w:top w:val="nil"/>
              <w:left w:val="nil"/>
              <w:bottom w:val="single" w:color="auto" w:sz="4" w:space="0"/>
              <w:right w:val="single" w:color="auto" w:sz="4" w:space="0"/>
            </w:tcBorders>
            <w:shd w:val="clear" w:color="auto" w:fill="auto"/>
            <w:noWrap w:val="0"/>
            <w:vAlign w:val="center"/>
          </w:tcPr>
          <w:p>
            <w:pPr>
              <w:widowControl/>
              <w:rPr>
                <w:rFonts w:ascii="宋体" w:hAnsi="宋体" w:cs="宋体"/>
                <w:b/>
                <w:bCs/>
                <w:color w:val="000000"/>
                <w:kern w:val="0"/>
                <w:sz w:val="18"/>
                <w:szCs w:val="18"/>
              </w:rPr>
            </w:pPr>
            <w:r>
              <w:rPr>
                <w:rFonts w:hint="eastAsia" w:ascii="宋体" w:hAnsi="宋体" w:cs="宋体"/>
                <w:b/>
                <w:bCs/>
                <w:color w:val="000000"/>
                <w:kern w:val="0"/>
                <w:sz w:val="18"/>
                <w:szCs w:val="18"/>
                <w:lang w:val="en-US" w:eastAsia="zh-CN"/>
              </w:rPr>
              <w:t>100</w:t>
            </w:r>
            <w:bookmarkStart w:id="0" w:name="_GoBack"/>
            <w:bookmarkEnd w:id="0"/>
            <w:r>
              <w:rPr>
                <w:rFonts w:hint="eastAsia" w:ascii="宋体" w:hAnsi="宋体" w:cs="宋体"/>
                <w:b/>
                <w:bCs/>
                <w:color w:val="000000"/>
                <w:kern w:val="0"/>
                <w:sz w:val="18"/>
                <w:szCs w:val="18"/>
              </w:rPr>
              <w:t>　</w:t>
            </w:r>
          </w:p>
        </w:tc>
        <w:tc>
          <w:tcPr>
            <w:tcW w:w="2050"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2846"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361" w:type="dxa"/>
            <w:tcBorders>
              <w:top w:val="nil"/>
              <w:left w:val="nil"/>
              <w:bottom w:val="single" w:color="auto" w:sz="4" w:space="0"/>
              <w:right w:val="single" w:color="auto" w:sz="4" w:space="0"/>
            </w:tcBorders>
            <w:shd w:val="clear" w:color="auto" w:fill="auto"/>
            <w:noWrap w:val="0"/>
            <w:vAlign w:val="top"/>
          </w:tcPr>
          <w:p>
            <w:pPr>
              <w:widowControl/>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A1A48"/>
    <w:rsid w:val="229A1A48"/>
    <w:rsid w:val="6C5D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2023-04-26T06:21:00Z</dcterms:created>
  <dc:creator>Administrator</dc:creator>
  <cp:lastModifiedBy>Administrator</cp:lastModifiedBy>
  <dcterms:modified xsi:type="dcterms:W3CDTF">2023-04-26T07:24:22Z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