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139DE">
      <w:pPr>
        <w:jc w:val="center"/>
        <w:rPr>
          <w:rFonts w:ascii="方正小标宋简体" w:eastAsia="方正小标宋简体"/>
          <w:sz w:val="36"/>
          <w:szCs w:val="36"/>
        </w:rPr>
      </w:pPr>
      <w:r>
        <w:rPr>
          <w:rFonts w:eastAsia="方正小标宋简体"/>
          <w:kern w:val="0"/>
          <w:sz w:val="36"/>
          <w:szCs w:val="36"/>
        </w:rPr>
        <w:t>中共昆明市盘龙区委组织部</w:t>
      </w:r>
      <w:r>
        <w:rPr>
          <w:rFonts w:hint="eastAsia" w:ascii="方正小标宋简体" w:hAnsi="方正小标宋简体" w:eastAsia="方正小标宋简体" w:cs="方正小标宋简体"/>
          <w:sz w:val="36"/>
          <w:szCs w:val="36"/>
        </w:rPr>
        <w:t>2020年预算公开</w:t>
      </w:r>
      <w:r>
        <w:rPr>
          <w:rFonts w:hint="eastAsia" w:ascii="方正小标宋简体" w:eastAsia="方正小标宋简体"/>
          <w:sz w:val="36"/>
          <w:szCs w:val="36"/>
        </w:rPr>
        <w:t>目录</w:t>
      </w:r>
    </w:p>
    <w:p w14:paraId="1FC8381D">
      <w:pPr>
        <w:jc w:val="left"/>
        <w:rPr>
          <w:rFonts w:ascii="黑体" w:hAnsi="黑体" w:eastAsia="黑体"/>
          <w:sz w:val="30"/>
          <w:szCs w:val="30"/>
        </w:rPr>
      </w:pPr>
    </w:p>
    <w:p w14:paraId="18380A4E">
      <w:pPr>
        <w:jc w:val="left"/>
        <w:rPr>
          <w:rFonts w:ascii="黑体" w:hAnsi="黑体" w:eastAsia="黑体"/>
          <w:sz w:val="30"/>
          <w:szCs w:val="30"/>
        </w:rPr>
      </w:pPr>
      <w:r>
        <w:rPr>
          <w:rFonts w:hint="eastAsia" w:ascii="黑体" w:hAnsi="黑体" w:eastAsia="黑体"/>
          <w:sz w:val="30"/>
          <w:szCs w:val="30"/>
        </w:rPr>
        <w:t>第一部分中共昆明市盘龙区委组织部2020年部门预算公开编制说明</w:t>
      </w:r>
    </w:p>
    <w:p w14:paraId="29F7BCB1">
      <w:pPr>
        <w:jc w:val="left"/>
        <w:rPr>
          <w:rFonts w:ascii="黑体" w:hAnsi="黑体" w:eastAsia="黑体"/>
          <w:sz w:val="30"/>
          <w:szCs w:val="30"/>
        </w:rPr>
      </w:pPr>
      <w:r>
        <w:rPr>
          <w:rFonts w:hint="eastAsia" w:ascii="黑体" w:hAnsi="黑体" w:eastAsia="黑体"/>
          <w:sz w:val="30"/>
          <w:szCs w:val="30"/>
        </w:rPr>
        <w:t>第二部分中共昆明市盘龙区委组织部2020年部门预算表</w:t>
      </w:r>
    </w:p>
    <w:p w14:paraId="3183BB12">
      <w:pPr>
        <w:jc w:val="left"/>
        <w:rPr>
          <w:rFonts w:eastAsia="仿宋_GB2312"/>
          <w:sz w:val="30"/>
          <w:szCs w:val="30"/>
        </w:rPr>
      </w:pPr>
      <w:r>
        <w:rPr>
          <w:rFonts w:hint="eastAsia" w:eastAsia="仿宋_GB2312"/>
          <w:sz w:val="30"/>
          <w:szCs w:val="30"/>
        </w:rPr>
        <w:t>一、部门财务收支总体情况表</w:t>
      </w:r>
    </w:p>
    <w:p w14:paraId="6CC724DB">
      <w:pPr>
        <w:jc w:val="left"/>
        <w:rPr>
          <w:rFonts w:eastAsia="仿宋_GB2312"/>
          <w:sz w:val="30"/>
          <w:szCs w:val="30"/>
        </w:rPr>
      </w:pPr>
      <w:r>
        <w:rPr>
          <w:rFonts w:hint="eastAsia" w:eastAsia="仿宋_GB2312"/>
          <w:sz w:val="30"/>
          <w:szCs w:val="30"/>
        </w:rPr>
        <w:t>二、部门收入总体情况表</w:t>
      </w:r>
    </w:p>
    <w:p w14:paraId="20385D40">
      <w:pPr>
        <w:jc w:val="left"/>
        <w:rPr>
          <w:rFonts w:eastAsia="仿宋_GB2312"/>
          <w:sz w:val="30"/>
          <w:szCs w:val="30"/>
        </w:rPr>
      </w:pPr>
      <w:r>
        <w:rPr>
          <w:rFonts w:hint="eastAsia" w:eastAsia="仿宋_GB2312"/>
          <w:sz w:val="30"/>
          <w:szCs w:val="30"/>
        </w:rPr>
        <w:t>三、部门支出总体情况表</w:t>
      </w:r>
    </w:p>
    <w:p w14:paraId="6E2565F3">
      <w:pPr>
        <w:jc w:val="left"/>
        <w:rPr>
          <w:rFonts w:eastAsia="仿宋_GB2312"/>
          <w:sz w:val="30"/>
          <w:szCs w:val="30"/>
        </w:rPr>
      </w:pPr>
      <w:r>
        <w:rPr>
          <w:rFonts w:hint="eastAsia" w:eastAsia="仿宋_GB2312"/>
          <w:sz w:val="30"/>
          <w:szCs w:val="30"/>
        </w:rPr>
        <w:t>四、部门财政拨款收支总体情况表</w:t>
      </w:r>
    </w:p>
    <w:p w14:paraId="5CB5165E">
      <w:pPr>
        <w:jc w:val="left"/>
        <w:rPr>
          <w:rFonts w:eastAsia="仿宋_GB2312"/>
          <w:sz w:val="30"/>
          <w:szCs w:val="30"/>
        </w:rPr>
      </w:pPr>
      <w:r>
        <w:rPr>
          <w:rFonts w:hint="eastAsia" w:eastAsia="仿宋_GB2312"/>
          <w:sz w:val="30"/>
          <w:szCs w:val="30"/>
        </w:rPr>
        <w:t>五、部门一般公共预算本级财力安排支出情况表</w:t>
      </w:r>
    </w:p>
    <w:p w14:paraId="7C04B5CB">
      <w:pPr>
        <w:jc w:val="left"/>
        <w:rPr>
          <w:rFonts w:eastAsia="仿宋_GB2312"/>
          <w:sz w:val="30"/>
          <w:szCs w:val="30"/>
        </w:rPr>
      </w:pPr>
      <w:r>
        <w:rPr>
          <w:rFonts w:hint="eastAsia" w:eastAsia="仿宋_GB2312"/>
          <w:sz w:val="30"/>
          <w:szCs w:val="30"/>
        </w:rPr>
        <w:t>六、部门基本支出情况表</w:t>
      </w:r>
    </w:p>
    <w:p w14:paraId="3F097786">
      <w:pPr>
        <w:jc w:val="left"/>
        <w:rPr>
          <w:rFonts w:eastAsia="仿宋_GB2312"/>
          <w:sz w:val="30"/>
          <w:szCs w:val="30"/>
        </w:rPr>
      </w:pPr>
      <w:r>
        <w:rPr>
          <w:rFonts w:hint="eastAsia" w:eastAsia="仿宋_GB2312"/>
          <w:sz w:val="30"/>
          <w:szCs w:val="30"/>
        </w:rPr>
        <w:t>七、部门政府性基金预算支出情况表</w:t>
      </w:r>
    </w:p>
    <w:p w14:paraId="11AFB699">
      <w:pPr>
        <w:jc w:val="left"/>
        <w:rPr>
          <w:rFonts w:eastAsia="仿宋_GB2312"/>
          <w:sz w:val="30"/>
          <w:szCs w:val="30"/>
        </w:rPr>
      </w:pPr>
      <w:r>
        <w:rPr>
          <w:rFonts w:hint="eastAsia" w:eastAsia="仿宋_GB2312"/>
          <w:sz w:val="30"/>
          <w:szCs w:val="30"/>
        </w:rPr>
        <w:t>八、财政拨款支出明细表（按经济科目分类）</w:t>
      </w:r>
    </w:p>
    <w:p w14:paraId="6C6A6435">
      <w:pPr>
        <w:jc w:val="left"/>
        <w:rPr>
          <w:rFonts w:eastAsia="仿宋_GB2312"/>
          <w:sz w:val="30"/>
          <w:szCs w:val="30"/>
        </w:rPr>
      </w:pPr>
      <w:r>
        <w:rPr>
          <w:rFonts w:hint="eastAsia" w:eastAsia="仿宋_GB2312"/>
          <w:sz w:val="30"/>
          <w:szCs w:val="30"/>
        </w:rPr>
        <w:t>九、部门一般公共预算“三公”经费支出情况表</w:t>
      </w:r>
    </w:p>
    <w:p w14:paraId="1AE5B4F3">
      <w:pPr>
        <w:jc w:val="left"/>
        <w:rPr>
          <w:rFonts w:eastAsia="仿宋_GB2312"/>
          <w:sz w:val="30"/>
          <w:szCs w:val="30"/>
        </w:rPr>
      </w:pPr>
      <w:r>
        <w:rPr>
          <w:rFonts w:hint="eastAsia" w:eastAsia="仿宋_GB2312"/>
          <w:sz w:val="30"/>
          <w:szCs w:val="30"/>
        </w:rPr>
        <w:t>十、区本级项目支出绩效目标表-1</w:t>
      </w:r>
    </w:p>
    <w:p w14:paraId="51F2CFEB">
      <w:pPr>
        <w:jc w:val="left"/>
        <w:rPr>
          <w:rFonts w:eastAsia="仿宋_GB2312"/>
          <w:sz w:val="30"/>
          <w:szCs w:val="30"/>
        </w:rPr>
      </w:pPr>
      <w:r>
        <w:rPr>
          <w:rFonts w:hint="eastAsia" w:eastAsia="仿宋_GB2312"/>
          <w:sz w:val="30"/>
          <w:szCs w:val="30"/>
        </w:rPr>
        <w:t>十一、区本级项目支出绩效目标表-2</w:t>
      </w:r>
    </w:p>
    <w:p w14:paraId="203F6DBE">
      <w:pPr>
        <w:jc w:val="left"/>
        <w:rPr>
          <w:rFonts w:eastAsia="仿宋_GB2312"/>
          <w:sz w:val="30"/>
          <w:szCs w:val="30"/>
        </w:rPr>
      </w:pPr>
      <w:r>
        <w:rPr>
          <w:rFonts w:hint="eastAsia" w:eastAsia="仿宋_GB2312"/>
          <w:sz w:val="30"/>
          <w:szCs w:val="30"/>
        </w:rPr>
        <w:t>十二、区对下转移支付绩效目标表</w:t>
      </w:r>
    </w:p>
    <w:p w14:paraId="25A301E6">
      <w:pPr>
        <w:jc w:val="left"/>
        <w:rPr>
          <w:rFonts w:eastAsia="仿宋_GB2312"/>
          <w:sz w:val="30"/>
          <w:szCs w:val="30"/>
        </w:rPr>
      </w:pPr>
      <w:r>
        <w:rPr>
          <w:rFonts w:hint="eastAsia" w:eastAsia="仿宋_GB2312"/>
          <w:sz w:val="30"/>
          <w:szCs w:val="30"/>
        </w:rPr>
        <w:t>十三、部门政府采购情况表</w:t>
      </w:r>
    </w:p>
    <w:p w14:paraId="3177DC2D">
      <w:pPr>
        <w:jc w:val="left"/>
        <w:rPr>
          <w:rFonts w:eastAsia="仿宋_GB2312"/>
          <w:sz w:val="30"/>
          <w:szCs w:val="30"/>
        </w:rPr>
      </w:pPr>
      <w:r>
        <w:rPr>
          <w:rFonts w:hint="eastAsia" w:eastAsia="仿宋_GB2312"/>
          <w:sz w:val="30"/>
          <w:szCs w:val="30"/>
        </w:rPr>
        <w:t>十四、部门政府购买服务预算表</w:t>
      </w:r>
    </w:p>
    <w:p w14:paraId="0480F12C">
      <w:pPr>
        <w:jc w:val="left"/>
        <w:rPr>
          <w:rFonts w:eastAsia="仿宋_GB2312"/>
          <w:sz w:val="30"/>
          <w:szCs w:val="30"/>
        </w:rPr>
      </w:pPr>
      <w:r>
        <w:rPr>
          <w:rFonts w:hint="eastAsia" w:eastAsia="仿宋_GB2312"/>
          <w:sz w:val="30"/>
          <w:szCs w:val="30"/>
        </w:rPr>
        <w:t>十五、部门整体支出绩效目标表</w:t>
      </w:r>
    </w:p>
    <w:p w14:paraId="1723F9BD">
      <w:pPr>
        <w:jc w:val="left"/>
        <w:rPr>
          <w:rFonts w:eastAsia="仿宋_GB2312"/>
          <w:sz w:val="30"/>
          <w:szCs w:val="30"/>
        </w:rPr>
      </w:pPr>
      <w:r>
        <w:rPr>
          <w:rFonts w:hint="eastAsia" w:eastAsia="仿宋_GB2312"/>
          <w:sz w:val="30"/>
          <w:szCs w:val="30"/>
        </w:rPr>
        <w:t>十六、部门基本信息表</w:t>
      </w:r>
    </w:p>
    <w:p w14:paraId="20D3DD19">
      <w:pPr>
        <w:jc w:val="left"/>
        <w:rPr>
          <w:rFonts w:eastAsia="仿宋_GB2312"/>
          <w:sz w:val="30"/>
          <w:szCs w:val="30"/>
        </w:rPr>
      </w:pPr>
      <w:r>
        <w:rPr>
          <w:rFonts w:hint="eastAsia" w:eastAsia="仿宋_GB2312"/>
          <w:sz w:val="30"/>
          <w:szCs w:val="30"/>
        </w:rPr>
        <w:t>十七、行政事业单位资产情况表</w:t>
      </w:r>
    </w:p>
    <w:p w14:paraId="1C891C99">
      <w:pPr>
        <w:widowControl/>
        <w:jc w:val="center"/>
        <w:rPr>
          <w:rFonts w:eastAsia="方正小标宋简体"/>
          <w:kern w:val="0"/>
          <w:sz w:val="36"/>
          <w:szCs w:val="36"/>
        </w:rPr>
      </w:pPr>
    </w:p>
    <w:p w14:paraId="1F90B1A0">
      <w:pPr>
        <w:widowControl/>
        <w:jc w:val="center"/>
        <w:rPr>
          <w:rFonts w:eastAsia="方正小标宋简体"/>
          <w:kern w:val="0"/>
          <w:sz w:val="36"/>
          <w:szCs w:val="36"/>
        </w:rPr>
      </w:pPr>
    </w:p>
    <w:p w14:paraId="40810C94">
      <w:pPr>
        <w:widowControl/>
        <w:jc w:val="center"/>
        <w:rPr>
          <w:rFonts w:eastAsia="方正小标宋简体"/>
          <w:kern w:val="0"/>
          <w:sz w:val="36"/>
          <w:szCs w:val="36"/>
        </w:rPr>
      </w:pPr>
      <w:r>
        <w:rPr>
          <w:rFonts w:eastAsia="方正小标宋简体"/>
          <w:kern w:val="0"/>
          <w:sz w:val="36"/>
          <w:szCs w:val="36"/>
        </w:rPr>
        <w:t>中共昆明市盘龙区委组织部2020年部门</w:t>
      </w:r>
    </w:p>
    <w:p w14:paraId="3944C6EF">
      <w:pPr>
        <w:widowControl/>
        <w:jc w:val="center"/>
        <w:rPr>
          <w:rFonts w:eastAsia="方正小标宋简体"/>
          <w:kern w:val="0"/>
          <w:sz w:val="36"/>
          <w:szCs w:val="36"/>
        </w:rPr>
      </w:pPr>
      <w:r>
        <w:rPr>
          <w:rFonts w:eastAsia="方正小标宋简体"/>
          <w:kern w:val="0"/>
          <w:sz w:val="36"/>
          <w:szCs w:val="36"/>
        </w:rPr>
        <w:t>预算</w:t>
      </w:r>
      <w:r>
        <w:rPr>
          <w:rFonts w:hint="eastAsia" w:eastAsia="方正小标宋简体"/>
          <w:kern w:val="0"/>
          <w:sz w:val="36"/>
          <w:szCs w:val="36"/>
        </w:rPr>
        <w:t>公开</w:t>
      </w:r>
      <w:r>
        <w:rPr>
          <w:rFonts w:eastAsia="方正小标宋简体"/>
          <w:kern w:val="0"/>
          <w:sz w:val="36"/>
          <w:szCs w:val="36"/>
        </w:rPr>
        <w:t>编制说明</w:t>
      </w:r>
    </w:p>
    <w:p w14:paraId="7A4089BC">
      <w:pPr>
        <w:widowControl/>
        <w:jc w:val="left"/>
        <w:rPr>
          <w:rFonts w:eastAsia="黑体"/>
          <w:kern w:val="0"/>
          <w:sz w:val="30"/>
          <w:szCs w:val="30"/>
        </w:rPr>
      </w:pPr>
    </w:p>
    <w:p w14:paraId="5255C535">
      <w:pPr>
        <w:widowControl/>
        <w:ind w:firstLine="450" w:firstLineChars="150"/>
        <w:jc w:val="left"/>
        <w:rPr>
          <w:rFonts w:eastAsia="黑体"/>
          <w:kern w:val="0"/>
          <w:sz w:val="30"/>
          <w:szCs w:val="30"/>
        </w:rPr>
      </w:pPr>
      <w:r>
        <w:rPr>
          <w:rFonts w:hAnsi="黑体" w:eastAsia="黑体"/>
          <w:kern w:val="0"/>
          <w:sz w:val="30"/>
          <w:szCs w:val="30"/>
        </w:rPr>
        <w:t>一、基本职能及主要工作</w:t>
      </w:r>
    </w:p>
    <w:p w14:paraId="1DF27807">
      <w:pPr>
        <w:widowControl/>
        <w:ind w:firstLine="300" w:firstLineChars="100"/>
        <w:jc w:val="left"/>
        <w:rPr>
          <w:rFonts w:eastAsia="楷体_GB2312"/>
          <w:b/>
          <w:kern w:val="0"/>
          <w:sz w:val="30"/>
          <w:szCs w:val="30"/>
        </w:rPr>
      </w:pPr>
      <w:r>
        <w:rPr>
          <w:rFonts w:eastAsia="楷体_GB2312"/>
          <w:kern w:val="0"/>
          <w:sz w:val="30"/>
          <w:szCs w:val="30"/>
        </w:rPr>
        <w:t>（一）部门主要职责</w:t>
      </w:r>
    </w:p>
    <w:p w14:paraId="22549C13">
      <w:pPr>
        <w:widowControl/>
        <w:snapToGrid w:val="0"/>
        <w:spacing w:line="560" w:lineRule="exact"/>
        <w:ind w:firstLine="600"/>
        <w:rPr>
          <w:rFonts w:eastAsia="仿宋_GB2312"/>
          <w:kern w:val="0"/>
          <w:sz w:val="30"/>
          <w:szCs w:val="30"/>
        </w:rPr>
      </w:pPr>
      <w:r>
        <w:rPr>
          <w:rFonts w:eastAsia="仿宋_GB2312"/>
          <w:kern w:val="0"/>
          <w:sz w:val="30"/>
          <w:szCs w:val="30"/>
        </w:rPr>
        <w:t>中共昆明市盘龙区委组织部是区委主管全区党建、干部和人才的职能部门，贯彻执行党的组织和干部工作路线、方针、政策以及省、市、区委的有关规定；制定全区党建工作意见并组织实施；指导全区党组织建设工作；制定全区基层领导班子和领导干部的思想、组织、作风建设意见并进行监督检查；制定全区发展党员计划和措施，组织党建调研工作；研究制定全区干部队伍建设的具体政策和规定，组织落实培养选拔中青年干部、妇女干部、少数民族干部、党外干部工作；协调、指导和检查全区党员教育工作；协调抓好科级干部的教育、培训工作；负责制定全区组织干部和基层支部书记的业务培训计划并组织实施；指导、检查、协调全区人才工作；组织优秀专家和人才开展有关活动；督办和直接办理严重违反干部选拔任用工作规定和组织人事纪律的案件；负责全区干部、党员和党组织统计工作及区管干部档案的管理工作,完成区委和上级组织部门交办的其他工作。</w:t>
      </w:r>
    </w:p>
    <w:p w14:paraId="68135201">
      <w:pPr>
        <w:widowControl/>
        <w:ind w:firstLine="300" w:firstLineChars="100"/>
        <w:jc w:val="left"/>
        <w:rPr>
          <w:rFonts w:eastAsia="楷体_GB2312"/>
          <w:kern w:val="0"/>
          <w:sz w:val="30"/>
          <w:szCs w:val="30"/>
        </w:rPr>
      </w:pPr>
      <w:r>
        <w:rPr>
          <w:rFonts w:eastAsia="楷体_GB2312"/>
          <w:kern w:val="0"/>
          <w:sz w:val="30"/>
          <w:szCs w:val="30"/>
        </w:rPr>
        <w:t>（二）机构设置情况</w:t>
      </w:r>
    </w:p>
    <w:p w14:paraId="007CBE02">
      <w:pPr>
        <w:widowControl/>
        <w:snapToGrid w:val="0"/>
        <w:spacing w:line="560" w:lineRule="exact"/>
        <w:ind w:firstLine="600"/>
        <w:rPr>
          <w:rFonts w:eastAsia="仿宋_GB2312"/>
          <w:kern w:val="0"/>
          <w:sz w:val="30"/>
          <w:szCs w:val="30"/>
        </w:rPr>
      </w:pPr>
      <w:r>
        <w:rPr>
          <w:rFonts w:eastAsia="仿宋_GB2312"/>
          <w:kern w:val="0"/>
          <w:sz w:val="30"/>
          <w:szCs w:val="30"/>
        </w:rPr>
        <w:t>中共昆明市盘龙区委组织部下设11个内设机构（分别为：办公室、基层党建办、干部科、组织科、干监科、干教科、人才科、老干部服务管理科、公务员管理科、工资福利科、区委“两新”组织工委办公室）；</w:t>
      </w:r>
      <w:r>
        <w:rPr>
          <w:rFonts w:ascii="仿宋_GB2312" w:hAnsi="宋体" w:eastAsia="仿宋_GB2312" w:cs="仿宋_GB2312"/>
          <w:i w:val="0"/>
          <w:iCs w:val="0"/>
          <w:caps w:val="0"/>
          <w:color w:val="000000"/>
          <w:spacing w:val="0"/>
          <w:sz w:val="30"/>
          <w:szCs w:val="30"/>
        </w:rPr>
        <w:t>下设一个参公事业单位（党员电教中心），共有编制</w:t>
      </w:r>
      <w:r>
        <w:rPr>
          <w:rFonts w:ascii="微软雅黑" w:hAnsi="微软雅黑" w:eastAsia="微软雅黑" w:cs="微软雅黑"/>
          <w:i w:val="0"/>
          <w:iCs w:val="0"/>
          <w:caps w:val="0"/>
          <w:color w:val="000000"/>
          <w:spacing w:val="0"/>
          <w:sz w:val="30"/>
          <w:szCs w:val="30"/>
        </w:rPr>
        <w:t>45</w:t>
      </w:r>
      <w:r>
        <w:rPr>
          <w:rFonts w:hint="eastAsia" w:ascii="仿宋_GB2312" w:hAnsi="宋体" w:eastAsia="仿宋_GB2312" w:cs="仿宋_GB2312"/>
          <w:i w:val="0"/>
          <w:iCs w:val="0"/>
          <w:caps w:val="0"/>
          <w:color w:val="000000"/>
          <w:spacing w:val="0"/>
          <w:sz w:val="30"/>
          <w:szCs w:val="30"/>
        </w:rPr>
        <w:t>人，行政编制 27人，参公事业编制18人。​实际在岗</w:t>
      </w:r>
      <w:r>
        <w:rPr>
          <w:rFonts w:hint="eastAsia" w:ascii="微软雅黑" w:hAnsi="微软雅黑" w:eastAsia="微软雅黑" w:cs="微软雅黑"/>
          <w:i w:val="0"/>
          <w:iCs w:val="0"/>
          <w:caps w:val="0"/>
          <w:color w:val="000000"/>
          <w:spacing w:val="0"/>
          <w:sz w:val="30"/>
          <w:szCs w:val="30"/>
        </w:rPr>
        <w:t>32</w:t>
      </w:r>
      <w:r>
        <w:rPr>
          <w:rFonts w:hint="eastAsia" w:ascii="仿宋_GB2312" w:hAnsi="宋体" w:eastAsia="仿宋_GB2312" w:cs="仿宋_GB2312"/>
          <w:i w:val="0"/>
          <w:iCs w:val="0"/>
          <w:caps w:val="0"/>
          <w:color w:val="000000"/>
          <w:spacing w:val="0"/>
          <w:sz w:val="30"/>
          <w:szCs w:val="30"/>
        </w:rPr>
        <w:t>人，行政23人，参公事业9人。</w:t>
      </w:r>
      <w:r>
        <w:rPr>
          <w:rFonts w:eastAsia="仿宋_GB2312"/>
          <w:kern w:val="0"/>
          <w:sz w:val="30"/>
          <w:szCs w:val="30"/>
        </w:rPr>
        <w:t>离退人员22人，其中：离休11人，退休11人。</w:t>
      </w:r>
    </w:p>
    <w:p w14:paraId="4D41D653">
      <w:pPr>
        <w:widowControl/>
        <w:ind w:firstLine="300" w:firstLineChars="100"/>
        <w:jc w:val="left"/>
        <w:rPr>
          <w:rFonts w:eastAsia="楷体_GB2312"/>
          <w:kern w:val="0"/>
          <w:sz w:val="30"/>
          <w:szCs w:val="30"/>
        </w:rPr>
      </w:pPr>
      <w:r>
        <w:rPr>
          <w:rFonts w:eastAsia="楷体_GB2312"/>
          <w:kern w:val="0"/>
          <w:sz w:val="30"/>
          <w:szCs w:val="30"/>
        </w:rPr>
        <w:t>（三）重点工作概述</w:t>
      </w:r>
    </w:p>
    <w:p w14:paraId="2E1DA70F">
      <w:pPr>
        <w:widowControl/>
        <w:ind w:firstLine="600" w:firstLineChars="200"/>
        <w:jc w:val="left"/>
        <w:rPr>
          <w:rFonts w:eastAsia="仿宋_GB2312"/>
          <w:kern w:val="0"/>
          <w:sz w:val="30"/>
          <w:szCs w:val="30"/>
        </w:rPr>
      </w:pPr>
      <w:r>
        <w:rPr>
          <w:rFonts w:eastAsia="仿宋_GB2312"/>
          <w:kern w:val="0"/>
          <w:sz w:val="30"/>
          <w:szCs w:val="30"/>
        </w:rPr>
        <w:t>2020年，全区组织工作的总体要求是：以习近平新时代中国特色社会主义思想为指导，树牢“四个意识”、坚定“四个自信”、坚决做到“两个维护”，坚持和加强党的全面领导，坚持党要管党、全面从严治党，坚持稳中求进工作总基调，以党的政治建设为统领扎实推进党的组织体系建设，着力培养忠诚干净担当的高素质干部，着力集聚各方面优秀人才，强化责任担当、锐意改革创新、狠抓工作落实，为我区高质量推进区域性国际中心城市核心城区建设提供坚强组织保证和人才支撑。</w:t>
      </w:r>
    </w:p>
    <w:p w14:paraId="4B855244">
      <w:pPr>
        <w:spacing w:line="560" w:lineRule="exact"/>
        <w:ind w:firstLine="600" w:firstLineChars="200"/>
        <w:rPr>
          <w:rFonts w:eastAsia="仿宋_GB2312"/>
          <w:kern w:val="0"/>
          <w:sz w:val="30"/>
          <w:szCs w:val="30"/>
        </w:rPr>
      </w:pPr>
      <w:r>
        <w:rPr>
          <w:rFonts w:eastAsia="黑体"/>
          <w:sz w:val="30"/>
          <w:szCs w:val="30"/>
        </w:rPr>
        <w:t>1.突出践行“两个维护”，强化党的政治建设。</w:t>
      </w:r>
      <w:r>
        <w:rPr>
          <w:rFonts w:eastAsia="仿宋_GB2312"/>
          <w:kern w:val="0"/>
          <w:sz w:val="30"/>
          <w:szCs w:val="30"/>
        </w:rPr>
        <w:t>（1）扎实开展“不忘初心、牢记使命”主题教育。按照中央和省市委统一安排部署，制定方案、明确步骤、组建机构、组织实施。（2）深入推进“两学一做”学习教育常态化制度化。把深入学习贯彻习近平新时代中国特色社会主义思想和党的十九大精神作为首要政治任务和长期工作主题，认真制定“两学一做”学习教育计划，进一步健全完善机制，突出重点、聚焦薄弱，抓好整改提升。（3）抓实抓好党员教育培训。强化集中式教育和经常性教育，着力增强党员教育培训针对性和有效性，分层分类、分领域、分专题抓好各类党员培训。</w:t>
      </w:r>
    </w:p>
    <w:p w14:paraId="3D208979">
      <w:pPr>
        <w:spacing w:line="560" w:lineRule="exact"/>
        <w:ind w:firstLine="600" w:firstLineChars="200"/>
        <w:rPr>
          <w:rFonts w:eastAsia="仿宋_GB2312"/>
          <w:kern w:val="0"/>
          <w:sz w:val="30"/>
          <w:szCs w:val="30"/>
        </w:rPr>
      </w:pPr>
      <w:r>
        <w:rPr>
          <w:rFonts w:eastAsia="黑体"/>
          <w:sz w:val="30"/>
          <w:szCs w:val="30"/>
        </w:rPr>
        <w:t>2.突出忠诚干净担当，培养选拔高素质干部队伍。</w:t>
      </w:r>
      <w:r>
        <w:rPr>
          <w:rFonts w:eastAsia="仿宋_GB2312"/>
          <w:kern w:val="0"/>
          <w:sz w:val="30"/>
          <w:szCs w:val="30"/>
        </w:rPr>
        <w:t>（4）完善干部选拔任用工作体系。研究制定《关于建设忠诚干净担当高素质干部队伍的实施细则》，着力将干部“选育用管”各个环节衔接起来，完善干部选拔任用工作体系，推动选人用人管人更加精准、更加科学、更加到位。（5）做好机构改革干部调整配备。按照机构改革相关要求，合理有序做好涉改单位和部门的领导班子和领导干部的合理调整配备，进一步助力机构改革顺利推进，促进全区干部队伍结构更加科学合理。（6）不断完善干部推荐考察工作。把政治考察摆在干部工作的重中之重。严格落实《盘龙区科级领导干部经常性谈心谈话办法》，做好科级领导班子和领导干部思想政治巡察工作，把对干部的考察评价放在日常。（7）强化年轻干部培养锻炼。制定《盘龙区年轻干部建设五年规划》，完善优化年轻干部培养工作，进一步充实年轻干部队伍，建立优秀年轻干部库，丰富渠道和途径强化年轻干部实践锻炼。（8）完善公务员队伍建设基础性工作。配合做好全区机构改革中公务员转隶工作。积极争取省、市在编制审批、公务员招录等方面的支持，做好公务员公开招聘、选调生招录、大学生村官和优秀社区（村）干部定向考录公务员工作。（9）提高干部档案工作水平。抓好《干部人事档案工作条例》学习宣传和贯彻落实。做好机构改革转隶人员档案移交，进一步规范全区干部、公务员、重点人才档案管理。开展干部人事档案信息化管理工作，完成全区科级领导干部人事档案电子化管理，推行全区公务员档案电子化。（10）加大干部教育培训力度。贯彻落实中央和省、市干部教育培训五年规划，制定《2018-2022年盘龙区干部教育培训规划》，突出理想信念和党性教育，以增强八种本领为重点，强化干部高素质和专业化能力培训。推动</w:t>
      </w:r>
      <w:r>
        <w:rPr>
          <w:rFonts w:hint="eastAsia" w:eastAsia="仿宋_GB2312"/>
          <w:kern w:val="0"/>
          <w:sz w:val="30"/>
          <w:szCs w:val="30"/>
          <w:lang w:eastAsia="zh-CN"/>
        </w:rPr>
        <w:t>学习贯彻习近平新时代中国特色社会主义思想主题教育</w:t>
      </w:r>
      <w:bookmarkStart w:id="0" w:name="_GoBack"/>
      <w:bookmarkEnd w:id="0"/>
      <w:r>
        <w:rPr>
          <w:rFonts w:eastAsia="仿宋_GB2312"/>
          <w:kern w:val="0"/>
          <w:sz w:val="30"/>
          <w:szCs w:val="30"/>
        </w:rPr>
        <w:t>培训深化、转化、常态化。围绕全区中心工作，办好主体班次，针对不同层次、不同领域、不同岗位特点，突出抓好产业发展、金融服务、城市管理、科技创新、乡村振兴、脱贫攻坚等专题培训，弥补知识弱项、能力短板、经验盲区，不断增强推动高质量发展和建设的本领。（11）强化干部管理监督。严格监督并执行好干部选拔任用相关政策规定，完善并执行好干部任前、任中、任后的全程监督机制。（12）促进干部干事创业担当作为。落实区委《关于进一步激励广大干部新时代新担当新作为的实施细则》，执行干部“能上能下”规定，做好干部防错、容错免责和纠错工作，切实关心关爱干部，激励干部担当作为。（13）突出政治统领做好离退休干部工作。牢牢把握离退休干部工作的政治属性，加强离退休干部政治建设、思想建设和党组织建设。用心用情做好离退休干部政治待遇和生活待遇的保障工作，解决离退休干部管理服务中的重点难点问题。</w:t>
      </w:r>
    </w:p>
    <w:p w14:paraId="7A574D3C">
      <w:pPr>
        <w:spacing w:line="560" w:lineRule="exact"/>
        <w:ind w:firstLine="600" w:firstLineChars="200"/>
        <w:rPr>
          <w:rFonts w:eastAsia="仿宋_GB2312"/>
          <w:kern w:val="0"/>
          <w:sz w:val="30"/>
          <w:szCs w:val="30"/>
        </w:rPr>
      </w:pPr>
      <w:r>
        <w:rPr>
          <w:rFonts w:eastAsia="黑体"/>
          <w:sz w:val="30"/>
          <w:szCs w:val="30"/>
        </w:rPr>
        <w:t>3.突出增强政治功能和组织力，扎实推进党的组织体系建设。</w:t>
      </w:r>
      <w:r>
        <w:rPr>
          <w:rFonts w:eastAsia="仿宋_GB2312"/>
          <w:kern w:val="0"/>
          <w:sz w:val="30"/>
          <w:szCs w:val="30"/>
        </w:rPr>
        <w:t>（14）加强组织体系建设。围绕贯彻落实《中国共产党支部工作条例（试行）》，深入推进支部规范化达标创建工作，进一步健全基本组织强化政治功能、建强基本队伍提高整体素质、开展基本活动增强工作实效、落实基本制度实现常态长效、强化基本保障夯实基层基础。（15）实施“基层党建创新提质年”。制定《盘龙区“基层党建创新提质年”实施方案》《盘龙区2019年“基层党建创新提质年”重点任务项目工作清单》。认真贯彻落实《中国共产党农村基层组织工作条例》，着力提高抓党建促脱贫攻坚、促乡村振兴、促基层治理质量。进一步做强街道、做优社区、做实系统、做活治理，构建区域统筹、条块协同、上下联动、共建共享的城市基层党建新格局。持续推进国有企业党建工作重点任务落实，进一步加强国有企业党建。做好机构改革中的党建工作，开展“三亮三表率一模范机关”创建活动，持续整顿机关党建“灯下黑”“两张皮”，提振机关党员干事创业精气神。深入开展“云岭红烛·育人先锋”创建，推动中小学校建设“五强五好”党组织。开展“健康春城 杏林先锋”创建活动，全面加强公立医院党建。以提升党的组织和党的工作覆盖质量为重点，着力提高“两新”组织党建质量。（16）加强党员管理关爱。坚持从严管理，改进党员教育管理方式方法，严格党的组织生活，监督党员切实履行义务，保障党员的权利不受侵犯。做好党内表彰工作，建立健全对老党员、生活困难党员等常态化关爱机制。（17）推进基层党建信息化。积极配合推动省市党员和党组织管理等基础党务信息化。（18）开展基层党建专项整治。对基层党建工作中存在的发展党员违规、党费收缴不规范、软弱涣散基层党组织整顿不到位、党组织设置不规范、党员领导干部落实组织生活制度不经常不认真不严肃、基层党建中形式主义、官僚主义抓基层党建述职评议考核反馈意见问题整改、省市区委巡视巡察反馈意见等问题开展专项整治。（19）推进基层党建领域扫黑除恶专项斗争。提高政治站位，增强政治自觉，扎实开展村（社区）“两委”班子成员任职资格联审和区级备案管理，持续整顿提升软弱涣散基层党组织，严肃整治“村霸”和庸懒滑贪“四类村官”，排查涉黑涉恶干部、党员、“两代表一委员”，不断加强基层党组织建设和党员队伍建设。（20）大力推进党建品牌培育。提升提质“北京路党建示范走廊”建设，持续深化“五级治理”社会治理模式，推进基层党建与水源区生态保护“双提升”。（21）推进抓基层党建促脱贫攻坚。加强农村基层党组织规范化建设，实施村党组织书记带头人整体优化提升行动，深化“领头雁”培养工程，加强第一书记和驻村队员选派管理，创新开展“三讲三评”活动，大力发展壮大村级集体经济。</w:t>
      </w:r>
    </w:p>
    <w:p w14:paraId="2F952E0D">
      <w:pPr>
        <w:spacing w:line="560" w:lineRule="exact"/>
        <w:ind w:firstLine="600" w:firstLineChars="200"/>
        <w:rPr>
          <w:rFonts w:eastAsia="仿宋_GB2312"/>
          <w:kern w:val="0"/>
          <w:sz w:val="30"/>
          <w:szCs w:val="30"/>
        </w:rPr>
      </w:pPr>
      <w:r>
        <w:rPr>
          <w:rFonts w:eastAsia="黑体"/>
          <w:sz w:val="30"/>
          <w:szCs w:val="30"/>
        </w:rPr>
        <w:t>4.突出政治引领，着力加强各方面优秀人才引育。</w:t>
      </w:r>
      <w:r>
        <w:rPr>
          <w:rFonts w:eastAsia="仿宋_GB2312"/>
          <w:kern w:val="0"/>
          <w:sz w:val="30"/>
          <w:szCs w:val="30"/>
        </w:rPr>
        <w:t>（22）完善党管人才工作运行机制。落实“一把手”抓“第一资源”职责，紧扣现代服务业、科技创新等产业链、创新链布局人才链，把人才工作深嵌到全区发展大局，建立健全科学决策、分工协作、沟通交流、督促落实机制，着力形成统分结合、上下联动、协调高效、整体推进的工作运行机制。（23）深化人才发展体制机制改革。在实行更加积极、开放、有效的政策上下功夫，围绕各类人才引进、培养、激励、使用等办法措施的研究制定，紧贴企业等用人主体需求，聚焦商贸服务、金融服务、生物科技等全区中心工作，紧牵政策“牛鼻子”，把招商引资与招才引智结合起来，依托“项目+人才”为高端产业提供支撑，助力“智汇”盘龙。（24）统筹推进人才队伍建设。统筹做好昆明市“春城计划”高层次人才引进和培养工作，加强“高精尖缺”人才培养储备。开展名医、名家、名师的“三名”人才培养工程，加大科技、教育、医疗卫生、文化创意、现代服务业等人才开发力度，突出柔性引才。深化人才扶贫和技能扶贫2个专项活动，培育乡村振兴人才。（25）加快多元化人才平台建设。充实盘龙区“人才驿站”功能，打造综合性人才服务平台。统筹做好各类院士专家工作站、专家基层科研工作站、研究所、孵化器、众创空间等人才创新载体建设，开展特色人才工作项目以及人才工作示范点、示范基地创建活动，拓展建设人才培养实训基地、重点楼宇人才（人事）直通服务站、名站长工作室、劳模创新工作室、名医工作室、名书记工作室、非遗传承人工作室等载体建设，弘扬工匠精神。（26）营造人才工作氛围。加强政治引领，认真组织开展“弘扬爱国奋斗精神，建功立业新时代”活动，落实区委联系服务专家制度，加大“盘龙英才”管理服务力度，探索个性化人才服务方式。</w:t>
      </w:r>
    </w:p>
    <w:p w14:paraId="12A31655">
      <w:pPr>
        <w:spacing w:line="540" w:lineRule="exact"/>
        <w:ind w:firstLine="600" w:firstLineChars="200"/>
        <w:rPr>
          <w:szCs w:val="32"/>
        </w:rPr>
      </w:pPr>
      <w:r>
        <w:rPr>
          <w:rFonts w:eastAsia="黑体"/>
          <w:sz w:val="30"/>
          <w:szCs w:val="30"/>
        </w:rPr>
        <w:t>5.突出政治涵养，着力打造模范部门和过硬队伍。</w:t>
      </w:r>
      <w:r>
        <w:rPr>
          <w:rFonts w:eastAsia="仿宋_GB2312"/>
          <w:kern w:val="0"/>
          <w:sz w:val="30"/>
          <w:szCs w:val="30"/>
        </w:rPr>
        <w:t>（27）深化政治建设。坚持政治建部、服务立部、实干兴部、依规治部、文化强部，以优秀政治文化引领组织部门的信仰文化、专业文、人梯文化、清正文化。加强部机关干部思想政治建设和党组织建设，带头开展</w:t>
      </w:r>
      <w:r>
        <w:rPr>
          <w:rFonts w:hint="eastAsia" w:eastAsia="仿宋_GB2312"/>
          <w:kern w:val="0"/>
          <w:sz w:val="30"/>
          <w:szCs w:val="30"/>
          <w:lang w:eastAsia="zh-CN"/>
        </w:rPr>
        <w:t>“不忘初心、牢记使命”主题教育</w:t>
      </w:r>
      <w:r>
        <w:rPr>
          <w:rFonts w:eastAsia="仿宋_GB2312"/>
          <w:kern w:val="0"/>
          <w:sz w:val="30"/>
          <w:szCs w:val="30"/>
        </w:rPr>
        <w:t>，开展好“三会一课”“主题党日”等活动，抓好党支部规范化建设。（28）提高组工干部专业素养。通过跟班学习、挂职锻炼、开设“组工讲坛”等多渠道加大组工干部教育培训力度，提升专业能力、锤炼专业作风、塑造专业精神。创造学习教育和实践锻炼机会，引导组工干部在研究状态下工作。教育引导组工干部做“政治坚定的模范、公道正派的表率、知人善任的能手、清正廉洁的标兵”。（29）持续推进作风转变。深化组工干部直接联系服务群众制度和随机调研制度，通过上门走访、随机调研、挂钩包点、结对共建等多种形式，近距离服务党员、干部、人才和群众，推动工作落地见效，真正把组织部门建设成为“党员之家、干部之家、人才之家”。（30）加强组织工作研究宣传。强化对好经验好做法的总结提炼、面上推广工作，组织好重点课题研究和成果转化。开展好信息简报、网评、网宣和网络监测工作，积极向党报党刊投稿，加大组织工作宣传力度。</w:t>
      </w:r>
    </w:p>
    <w:p w14:paraId="1F49A309">
      <w:pPr>
        <w:widowControl/>
        <w:ind w:firstLine="600" w:firstLineChars="200"/>
        <w:jc w:val="left"/>
        <w:rPr>
          <w:rFonts w:eastAsia="黑体"/>
          <w:kern w:val="0"/>
          <w:sz w:val="30"/>
          <w:szCs w:val="30"/>
        </w:rPr>
      </w:pPr>
      <w:r>
        <w:rPr>
          <w:rFonts w:hAnsi="黑体" w:eastAsia="黑体"/>
          <w:kern w:val="0"/>
          <w:sz w:val="30"/>
          <w:szCs w:val="30"/>
        </w:rPr>
        <w:t>二、预算单位基本情况</w:t>
      </w:r>
    </w:p>
    <w:p w14:paraId="335F0536">
      <w:pPr>
        <w:widowControl/>
        <w:ind w:firstLine="600" w:firstLineChars="200"/>
        <w:jc w:val="left"/>
        <w:rPr>
          <w:rFonts w:eastAsia="仿宋_GB2312"/>
          <w:kern w:val="0"/>
          <w:sz w:val="30"/>
          <w:szCs w:val="30"/>
        </w:rPr>
      </w:pPr>
      <w:r>
        <w:rPr>
          <w:rFonts w:eastAsia="仿宋_GB2312"/>
          <w:kern w:val="0"/>
          <w:sz w:val="30"/>
          <w:szCs w:val="30"/>
        </w:rPr>
        <w:t>中共昆明市盘龙区委组织部编制2020年部门预算单位共3个</w:t>
      </w:r>
      <w:r>
        <w:rPr>
          <w:rFonts w:hint="eastAsia" w:eastAsia="仿宋_GB2312"/>
          <w:kern w:val="0"/>
          <w:sz w:val="30"/>
          <w:szCs w:val="30"/>
        </w:rPr>
        <w:t>，</w:t>
      </w:r>
      <w:r>
        <w:rPr>
          <w:rFonts w:eastAsia="仿宋_GB2312"/>
          <w:kern w:val="0"/>
          <w:sz w:val="30"/>
          <w:szCs w:val="30"/>
        </w:rPr>
        <w:t>分别是中共昆明市盘龙区委组织部、区委老干部活动中心、区委党员教育中心。其中：财政全供给单位3个；部分供给单位0个；特殊供给单位0个；自收自支单位0个。财政全供给单位中行政单位1个；参公管理事业单位2个；非参公管理事业单位0个。截止2019年11月统计，部门基本情况如下：</w:t>
      </w:r>
    </w:p>
    <w:p w14:paraId="1CBF9CE6">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rPr>
        <w:t>45</w:t>
      </w:r>
      <w:r>
        <w:rPr>
          <w:rFonts w:eastAsia="仿宋_GB2312"/>
          <w:kern w:val="0"/>
          <w:sz w:val="30"/>
          <w:szCs w:val="30"/>
        </w:rPr>
        <w:t xml:space="preserve">人，其中：行政编制 </w:t>
      </w:r>
      <w:r>
        <w:rPr>
          <w:rFonts w:hint="eastAsia" w:eastAsia="仿宋_GB2312"/>
          <w:kern w:val="0"/>
          <w:sz w:val="30"/>
          <w:szCs w:val="30"/>
        </w:rPr>
        <w:t>27</w:t>
      </w:r>
      <w:r>
        <w:rPr>
          <w:rFonts w:eastAsia="仿宋_GB2312"/>
          <w:kern w:val="0"/>
          <w:sz w:val="30"/>
          <w:szCs w:val="30"/>
        </w:rPr>
        <w:t>人，参公事业编制</w:t>
      </w:r>
      <w:r>
        <w:rPr>
          <w:rFonts w:hint="eastAsia" w:eastAsia="仿宋_GB2312"/>
          <w:kern w:val="0"/>
          <w:sz w:val="30"/>
          <w:szCs w:val="30"/>
        </w:rPr>
        <w:t>18</w:t>
      </w:r>
      <w:r>
        <w:rPr>
          <w:rFonts w:eastAsia="仿宋_GB2312"/>
          <w:kern w:val="0"/>
          <w:sz w:val="30"/>
          <w:szCs w:val="30"/>
        </w:rPr>
        <w:t>人。在职实有</w:t>
      </w:r>
      <w:r>
        <w:rPr>
          <w:rFonts w:hint="eastAsia" w:eastAsia="仿宋_GB2312"/>
          <w:kern w:val="0"/>
          <w:sz w:val="30"/>
          <w:szCs w:val="30"/>
        </w:rPr>
        <w:t>32</w:t>
      </w:r>
      <w:r>
        <w:rPr>
          <w:rFonts w:eastAsia="仿宋_GB2312"/>
          <w:kern w:val="0"/>
          <w:sz w:val="30"/>
          <w:szCs w:val="30"/>
        </w:rPr>
        <w:t xml:space="preserve">人，其中：财政全供养 </w:t>
      </w:r>
      <w:r>
        <w:rPr>
          <w:rFonts w:hint="eastAsia" w:eastAsia="仿宋_GB2312"/>
          <w:kern w:val="0"/>
          <w:sz w:val="30"/>
          <w:szCs w:val="30"/>
        </w:rPr>
        <w:t>32</w:t>
      </w:r>
      <w:r>
        <w:rPr>
          <w:rFonts w:eastAsia="仿宋_GB2312"/>
          <w:kern w:val="0"/>
          <w:sz w:val="30"/>
          <w:szCs w:val="30"/>
        </w:rPr>
        <w:t>人</w:t>
      </w:r>
      <w:r>
        <w:rPr>
          <w:rFonts w:hint="eastAsia" w:eastAsia="仿宋_GB2312"/>
          <w:kern w:val="0"/>
          <w:sz w:val="30"/>
          <w:szCs w:val="30"/>
        </w:rPr>
        <w:t>，财政部分供养0人、非财政供养人员0人。</w:t>
      </w:r>
    </w:p>
    <w:p w14:paraId="2FA9C697">
      <w:pPr>
        <w:widowControl/>
        <w:ind w:firstLine="600" w:firstLineChars="200"/>
        <w:jc w:val="left"/>
        <w:rPr>
          <w:rFonts w:eastAsia="仿宋_GB2312"/>
          <w:kern w:val="0"/>
          <w:sz w:val="30"/>
          <w:szCs w:val="30"/>
        </w:rPr>
      </w:pPr>
      <w:r>
        <w:rPr>
          <w:rFonts w:eastAsia="仿宋_GB2312"/>
          <w:kern w:val="0"/>
          <w:sz w:val="30"/>
          <w:szCs w:val="30"/>
        </w:rPr>
        <w:t>离退休人员</w:t>
      </w:r>
      <w:r>
        <w:rPr>
          <w:rFonts w:hint="eastAsia" w:eastAsia="仿宋_GB2312"/>
          <w:kern w:val="0"/>
          <w:sz w:val="30"/>
          <w:szCs w:val="30"/>
        </w:rPr>
        <w:t>22</w:t>
      </w:r>
      <w:r>
        <w:rPr>
          <w:rFonts w:eastAsia="仿宋_GB2312"/>
          <w:kern w:val="0"/>
          <w:sz w:val="30"/>
          <w:szCs w:val="30"/>
        </w:rPr>
        <w:t>人，其中：离休</w:t>
      </w:r>
      <w:r>
        <w:rPr>
          <w:rFonts w:hint="eastAsia" w:eastAsia="仿宋_GB2312"/>
          <w:kern w:val="0"/>
          <w:sz w:val="30"/>
          <w:szCs w:val="30"/>
        </w:rPr>
        <w:t>11</w:t>
      </w:r>
      <w:r>
        <w:rPr>
          <w:rFonts w:eastAsia="仿宋_GB2312"/>
          <w:kern w:val="0"/>
          <w:sz w:val="30"/>
          <w:szCs w:val="30"/>
        </w:rPr>
        <w:t>人，退休</w:t>
      </w:r>
      <w:r>
        <w:rPr>
          <w:rFonts w:hint="eastAsia" w:eastAsia="仿宋_GB2312"/>
          <w:kern w:val="0"/>
          <w:sz w:val="30"/>
          <w:szCs w:val="30"/>
        </w:rPr>
        <w:t>11</w:t>
      </w:r>
      <w:r>
        <w:rPr>
          <w:rFonts w:eastAsia="仿宋_GB2312"/>
          <w:kern w:val="0"/>
          <w:sz w:val="30"/>
          <w:szCs w:val="30"/>
        </w:rPr>
        <w:t>人。</w:t>
      </w:r>
    </w:p>
    <w:p w14:paraId="4E6112E0">
      <w:pPr>
        <w:widowControl/>
        <w:ind w:firstLine="600" w:firstLineChars="200"/>
        <w:jc w:val="left"/>
        <w:rPr>
          <w:rFonts w:eastAsia="仿宋_GB2312"/>
          <w:color w:val="FF0000"/>
          <w:kern w:val="0"/>
          <w:sz w:val="30"/>
          <w:szCs w:val="30"/>
          <w:u w:val="single"/>
        </w:rPr>
      </w:pPr>
      <w:r>
        <w:rPr>
          <w:rFonts w:eastAsia="仿宋_GB2312"/>
          <w:kern w:val="0"/>
          <w:sz w:val="30"/>
          <w:szCs w:val="30"/>
        </w:rPr>
        <w:t>车辆编制</w:t>
      </w:r>
      <w:r>
        <w:rPr>
          <w:rFonts w:hint="eastAsia" w:eastAsia="仿宋_GB2312"/>
          <w:kern w:val="0"/>
          <w:sz w:val="30"/>
          <w:szCs w:val="30"/>
        </w:rPr>
        <w:t>1</w:t>
      </w:r>
      <w:r>
        <w:rPr>
          <w:rFonts w:eastAsia="仿宋_GB2312"/>
          <w:kern w:val="0"/>
          <w:sz w:val="30"/>
          <w:szCs w:val="30"/>
        </w:rPr>
        <w:t>辆，实有车辆</w:t>
      </w:r>
      <w:r>
        <w:rPr>
          <w:rFonts w:hint="eastAsia" w:eastAsia="仿宋_GB2312"/>
          <w:kern w:val="0"/>
          <w:sz w:val="30"/>
          <w:szCs w:val="30"/>
        </w:rPr>
        <w:t>1</w:t>
      </w:r>
      <w:r>
        <w:rPr>
          <w:rFonts w:eastAsia="仿宋_GB2312"/>
          <w:kern w:val="0"/>
          <w:sz w:val="30"/>
          <w:szCs w:val="30"/>
        </w:rPr>
        <w:t>辆。</w:t>
      </w:r>
    </w:p>
    <w:p w14:paraId="7C9562DA">
      <w:pPr>
        <w:widowControl/>
        <w:ind w:firstLine="600" w:firstLineChars="200"/>
        <w:jc w:val="left"/>
        <w:rPr>
          <w:rFonts w:eastAsia="黑体"/>
          <w:kern w:val="0"/>
          <w:sz w:val="30"/>
          <w:szCs w:val="30"/>
        </w:rPr>
      </w:pPr>
      <w:r>
        <w:rPr>
          <w:rFonts w:hAnsi="黑体" w:eastAsia="黑体"/>
          <w:kern w:val="0"/>
          <w:sz w:val="30"/>
          <w:szCs w:val="30"/>
        </w:rPr>
        <w:t>三、预算单位收入情况</w:t>
      </w:r>
    </w:p>
    <w:p w14:paraId="260BA54E">
      <w:pPr>
        <w:widowControl/>
        <w:ind w:firstLine="450" w:firstLineChars="150"/>
        <w:jc w:val="left"/>
        <w:rPr>
          <w:rFonts w:eastAsia="楷体_GB2312"/>
          <w:kern w:val="0"/>
          <w:sz w:val="30"/>
          <w:szCs w:val="30"/>
        </w:rPr>
      </w:pPr>
      <w:r>
        <w:rPr>
          <w:rFonts w:eastAsia="楷体_GB2312"/>
          <w:kern w:val="0"/>
          <w:sz w:val="30"/>
          <w:szCs w:val="30"/>
        </w:rPr>
        <w:t>（一）部门财务收入情况</w:t>
      </w:r>
    </w:p>
    <w:p w14:paraId="4E980E0E">
      <w:pPr>
        <w:widowControl/>
        <w:ind w:firstLine="750" w:firstLineChars="250"/>
        <w:jc w:val="left"/>
        <w:rPr>
          <w:rFonts w:eastAsia="仿宋_GB2312"/>
          <w:kern w:val="0"/>
          <w:sz w:val="30"/>
          <w:szCs w:val="30"/>
        </w:rPr>
      </w:pPr>
      <w:r>
        <w:rPr>
          <w:rFonts w:hint="eastAsia" w:eastAsia="仿宋_GB2312"/>
          <w:kern w:val="0"/>
          <w:sz w:val="30"/>
          <w:szCs w:val="30"/>
        </w:rPr>
        <w:t>2020</w:t>
      </w:r>
      <w:r>
        <w:rPr>
          <w:rFonts w:eastAsia="仿宋_GB2312"/>
          <w:kern w:val="0"/>
          <w:sz w:val="30"/>
          <w:szCs w:val="30"/>
        </w:rPr>
        <w:t xml:space="preserve">年部门财务总收入 </w:t>
      </w:r>
      <w:r>
        <w:rPr>
          <w:rFonts w:hint="eastAsia" w:eastAsia="仿宋_GB2312"/>
          <w:kern w:val="0"/>
          <w:sz w:val="30"/>
          <w:szCs w:val="30"/>
        </w:rPr>
        <w:t>14,530.96</w:t>
      </w:r>
      <w:r>
        <w:rPr>
          <w:rFonts w:eastAsia="仿宋_GB2312"/>
          <w:kern w:val="0"/>
          <w:sz w:val="30"/>
          <w:szCs w:val="30"/>
        </w:rPr>
        <w:t>万元，其中：一般公共预算财政拨款</w:t>
      </w:r>
      <w:r>
        <w:rPr>
          <w:rFonts w:hint="eastAsia" w:eastAsia="仿宋_GB2312"/>
          <w:kern w:val="0"/>
          <w:sz w:val="30"/>
          <w:szCs w:val="30"/>
        </w:rPr>
        <w:t>14,485.96</w:t>
      </w:r>
      <w:r>
        <w:rPr>
          <w:rFonts w:eastAsia="仿宋_GB2312"/>
          <w:kern w:val="0"/>
          <w:sz w:val="30"/>
          <w:szCs w:val="30"/>
        </w:rPr>
        <w:t>万元，政府性基金预算财政拨款</w:t>
      </w:r>
      <w:r>
        <w:rPr>
          <w:rFonts w:hint="eastAsia" w:eastAsia="仿宋_GB2312"/>
          <w:kern w:val="0"/>
          <w:sz w:val="30"/>
          <w:szCs w:val="30"/>
        </w:rPr>
        <w:t>0</w:t>
      </w:r>
      <w:r>
        <w:rPr>
          <w:rFonts w:eastAsia="仿宋_GB2312"/>
          <w:kern w:val="0"/>
          <w:sz w:val="30"/>
          <w:szCs w:val="30"/>
        </w:rPr>
        <w:t>万元，国有资本经营预算财政拨款</w:t>
      </w:r>
      <w:r>
        <w:rPr>
          <w:rFonts w:hint="eastAsia" w:eastAsia="仿宋_GB2312"/>
          <w:kern w:val="0"/>
          <w:sz w:val="30"/>
          <w:szCs w:val="30"/>
        </w:rPr>
        <w:t>0</w:t>
      </w:r>
      <w:r>
        <w:rPr>
          <w:rFonts w:eastAsia="仿宋_GB2312"/>
          <w:kern w:val="0"/>
          <w:sz w:val="30"/>
          <w:szCs w:val="30"/>
        </w:rPr>
        <w:t>万元，事业收入</w:t>
      </w:r>
      <w:r>
        <w:rPr>
          <w:rFonts w:hint="eastAsia" w:eastAsia="仿宋_GB2312"/>
          <w:kern w:val="0"/>
          <w:sz w:val="30"/>
          <w:szCs w:val="30"/>
        </w:rPr>
        <w:t>45</w:t>
      </w:r>
      <w:r>
        <w:rPr>
          <w:rFonts w:eastAsia="仿宋_GB2312"/>
          <w:kern w:val="0"/>
          <w:sz w:val="30"/>
          <w:szCs w:val="30"/>
        </w:rPr>
        <w:t>万元，事业单位经营收入</w:t>
      </w:r>
      <w:r>
        <w:rPr>
          <w:rFonts w:hint="eastAsia" w:eastAsia="仿宋_GB2312"/>
          <w:kern w:val="0"/>
          <w:sz w:val="30"/>
          <w:szCs w:val="30"/>
        </w:rPr>
        <w:t>0</w:t>
      </w:r>
      <w:r>
        <w:rPr>
          <w:rFonts w:eastAsia="仿宋_GB2312"/>
          <w:kern w:val="0"/>
          <w:sz w:val="30"/>
          <w:szCs w:val="30"/>
        </w:rPr>
        <w:t>万元，其他收入</w:t>
      </w:r>
      <w:r>
        <w:rPr>
          <w:rFonts w:hint="eastAsia" w:eastAsia="仿宋_GB2312"/>
          <w:kern w:val="0"/>
          <w:sz w:val="30"/>
          <w:szCs w:val="30"/>
        </w:rPr>
        <w:t>0</w:t>
      </w:r>
      <w:r>
        <w:rPr>
          <w:rFonts w:eastAsia="仿宋_GB2312"/>
          <w:kern w:val="0"/>
          <w:sz w:val="30"/>
          <w:szCs w:val="30"/>
        </w:rPr>
        <w:t>万元，上年结转</w:t>
      </w:r>
      <w:r>
        <w:rPr>
          <w:rFonts w:hint="eastAsia" w:eastAsia="仿宋_GB2312"/>
          <w:kern w:val="0"/>
          <w:sz w:val="30"/>
          <w:szCs w:val="30"/>
        </w:rPr>
        <w:t>0</w:t>
      </w:r>
      <w:r>
        <w:rPr>
          <w:rFonts w:eastAsia="仿宋_GB2312"/>
          <w:kern w:val="0"/>
          <w:sz w:val="30"/>
          <w:szCs w:val="30"/>
        </w:rPr>
        <w:t>万元。</w:t>
      </w:r>
    </w:p>
    <w:p w14:paraId="084DB7D7">
      <w:pPr>
        <w:widowControl/>
        <w:ind w:firstLine="600" w:firstLineChars="200"/>
        <w:jc w:val="left"/>
        <w:rPr>
          <w:rFonts w:eastAsia="仿宋_GB2312"/>
          <w:kern w:val="0"/>
          <w:sz w:val="30"/>
          <w:szCs w:val="30"/>
        </w:rPr>
      </w:pPr>
      <w:r>
        <w:rPr>
          <w:rFonts w:eastAsia="仿宋_GB2312"/>
          <w:kern w:val="0"/>
          <w:sz w:val="30"/>
          <w:szCs w:val="30"/>
        </w:rPr>
        <w:t>与上年对比一般公共预算财政拨款</w:t>
      </w:r>
      <w:r>
        <w:rPr>
          <w:rFonts w:hint="eastAsia" w:eastAsia="仿宋_GB2312"/>
          <w:kern w:val="0"/>
          <w:sz w:val="30"/>
          <w:szCs w:val="30"/>
        </w:rPr>
        <w:t>增加12,318.71万元，事业收入增加45万，</w:t>
      </w:r>
      <w:r>
        <w:rPr>
          <w:rFonts w:eastAsia="仿宋_GB2312"/>
          <w:kern w:val="0"/>
          <w:sz w:val="30"/>
          <w:szCs w:val="30"/>
        </w:rPr>
        <w:t>主要原因</w:t>
      </w:r>
      <w:r>
        <w:rPr>
          <w:rFonts w:hint="eastAsia" w:eastAsia="仿宋_GB2312"/>
          <w:kern w:val="0"/>
          <w:sz w:val="30"/>
          <w:szCs w:val="30"/>
        </w:rPr>
        <w:t>工资福利支出增加261.94万元，商品和服务支出减少1,748.01万元，对个人和家庭的补助增加11,827.65万元</w:t>
      </w:r>
      <w:r>
        <w:rPr>
          <w:rFonts w:eastAsia="仿宋_GB2312"/>
          <w:kern w:val="0"/>
          <w:sz w:val="30"/>
          <w:szCs w:val="30"/>
        </w:rPr>
        <w:t>。</w:t>
      </w:r>
    </w:p>
    <w:p w14:paraId="44362BC2">
      <w:pPr>
        <w:widowControl/>
        <w:ind w:firstLine="450" w:firstLineChars="150"/>
        <w:jc w:val="left"/>
        <w:rPr>
          <w:rFonts w:eastAsia="楷体_GB2312"/>
          <w:kern w:val="0"/>
          <w:sz w:val="30"/>
          <w:szCs w:val="30"/>
        </w:rPr>
      </w:pPr>
      <w:r>
        <w:rPr>
          <w:rFonts w:eastAsia="楷体_GB2312"/>
          <w:kern w:val="0"/>
          <w:sz w:val="30"/>
          <w:szCs w:val="30"/>
        </w:rPr>
        <w:t>（二）财政拨款收入情况</w:t>
      </w:r>
    </w:p>
    <w:p w14:paraId="2FD299F7">
      <w:pPr>
        <w:widowControl/>
        <w:ind w:firstLine="750" w:firstLineChars="250"/>
        <w:jc w:val="left"/>
        <w:rPr>
          <w:rFonts w:eastAsia="仿宋_GB2312"/>
          <w:kern w:val="0"/>
          <w:sz w:val="30"/>
          <w:szCs w:val="30"/>
        </w:rPr>
      </w:pPr>
      <w:r>
        <w:rPr>
          <w:rFonts w:hint="eastAsia" w:eastAsia="仿宋_GB2312"/>
          <w:kern w:val="0"/>
          <w:sz w:val="30"/>
          <w:szCs w:val="30"/>
        </w:rPr>
        <w:t>2020</w:t>
      </w:r>
      <w:r>
        <w:rPr>
          <w:rFonts w:eastAsia="仿宋_GB2312"/>
          <w:kern w:val="0"/>
          <w:sz w:val="30"/>
          <w:szCs w:val="30"/>
        </w:rPr>
        <w:t xml:space="preserve">年部门财政拨款收入 </w:t>
      </w:r>
      <w:r>
        <w:rPr>
          <w:rFonts w:hint="eastAsia" w:eastAsia="仿宋_GB2312"/>
          <w:kern w:val="0"/>
          <w:sz w:val="30"/>
          <w:szCs w:val="30"/>
        </w:rPr>
        <w:t>14,485.96</w:t>
      </w:r>
      <w:r>
        <w:rPr>
          <w:rFonts w:eastAsia="仿宋_GB2312"/>
          <w:kern w:val="0"/>
          <w:sz w:val="30"/>
          <w:szCs w:val="30"/>
        </w:rPr>
        <w:t xml:space="preserve">万元，其中:本年收入 </w:t>
      </w:r>
      <w:r>
        <w:rPr>
          <w:rFonts w:hint="eastAsia" w:eastAsia="仿宋_GB2312"/>
          <w:kern w:val="0"/>
          <w:sz w:val="30"/>
          <w:szCs w:val="30"/>
        </w:rPr>
        <w:t>14,485.96</w:t>
      </w:r>
      <w:r>
        <w:rPr>
          <w:rFonts w:eastAsia="仿宋_GB2312"/>
          <w:kern w:val="0"/>
          <w:sz w:val="30"/>
          <w:szCs w:val="30"/>
        </w:rPr>
        <w:t>万元，上年结转收入</w:t>
      </w:r>
      <w:r>
        <w:rPr>
          <w:rFonts w:hint="eastAsia" w:eastAsia="仿宋_GB2312"/>
          <w:kern w:val="0"/>
          <w:sz w:val="30"/>
          <w:szCs w:val="30"/>
        </w:rPr>
        <w:t>0</w:t>
      </w:r>
      <w:r>
        <w:rPr>
          <w:rFonts w:eastAsia="仿宋_GB2312"/>
          <w:kern w:val="0"/>
          <w:sz w:val="30"/>
          <w:szCs w:val="30"/>
        </w:rPr>
        <w:t xml:space="preserve">万元。本年收入中，一般公共预算财政拨款 </w:t>
      </w:r>
      <w:r>
        <w:rPr>
          <w:rFonts w:hint="eastAsia" w:eastAsia="仿宋_GB2312"/>
          <w:kern w:val="0"/>
          <w:sz w:val="30"/>
          <w:szCs w:val="30"/>
        </w:rPr>
        <w:t>14,485.96</w:t>
      </w:r>
      <w:r>
        <w:rPr>
          <w:rFonts w:eastAsia="仿宋_GB2312"/>
          <w:kern w:val="0"/>
          <w:sz w:val="30"/>
          <w:szCs w:val="30"/>
        </w:rPr>
        <w:t>万元（本级财力</w:t>
      </w:r>
      <w:r>
        <w:rPr>
          <w:rFonts w:hint="eastAsia" w:eastAsia="仿宋_GB2312"/>
          <w:kern w:val="0"/>
          <w:sz w:val="30"/>
          <w:szCs w:val="30"/>
        </w:rPr>
        <w:t>14,485.966</w:t>
      </w:r>
      <w:r>
        <w:rPr>
          <w:rFonts w:eastAsia="仿宋_GB2312"/>
          <w:kern w:val="0"/>
          <w:sz w:val="30"/>
          <w:szCs w:val="30"/>
        </w:rPr>
        <w:t>万元，专项收入</w:t>
      </w:r>
      <w:r>
        <w:rPr>
          <w:rFonts w:hint="eastAsia" w:eastAsia="仿宋_GB2312"/>
          <w:kern w:val="0"/>
          <w:sz w:val="30"/>
          <w:szCs w:val="30"/>
        </w:rPr>
        <w:t>0</w:t>
      </w:r>
      <w:r>
        <w:rPr>
          <w:rFonts w:eastAsia="仿宋_GB2312"/>
          <w:kern w:val="0"/>
          <w:sz w:val="30"/>
          <w:szCs w:val="30"/>
        </w:rPr>
        <w:t>万元，执法办案补助</w:t>
      </w:r>
      <w:r>
        <w:rPr>
          <w:rFonts w:hint="eastAsia" w:eastAsia="仿宋_GB2312"/>
          <w:kern w:val="0"/>
          <w:sz w:val="30"/>
          <w:szCs w:val="30"/>
        </w:rPr>
        <w:t>0</w:t>
      </w:r>
      <w:r>
        <w:rPr>
          <w:rFonts w:eastAsia="仿宋_GB2312"/>
          <w:kern w:val="0"/>
          <w:sz w:val="30"/>
          <w:szCs w:val="30"/>
        </w:rPr>
        <w:t>万元，收费成本补偿</w:t>
      </w:r>
      <w:r>
        <w:rPr>
          <w:rFonts w:hint="eastAsia" w:eastAsia="仿宋_GB2312"/>
          <w:kern w:val="0"/>
          <w:sz w:val="30"/>
          <w:szCs w:val="30"/>
        </w:rPr>
        <w:t>0</w:t>
      </w:r>
      <w:r>
        <w:rPr>
          <w:rFonts w:eastAsia="仿宋_GB2312"/>
          <w:kern w:val="0"/>
          <w:sz w:val="30"/>
          <w:szCs w:val="30"/>
        </w:rPr>
        <w:t>万元，财政专户管理的收入</w:t>
      </w:r>
      <w:r>
        <w:rPr>
          <w:rFonts w:hint="eastAsia" w:eastAsia="仿宋_GB2312"/>
          <w:kern w:val="0"/>
          <w:sz w:val="30"/>
          <w:szCs w:val="30"/>
        </w:rPr>
        <w:t>0</w:t>
      </w:r>
      <w:r>
        <w:rPr>
          <w:rFonts w:eastAsia="仿宋_GB2312"/>
          <w:kern w:val="0"/>
          <w:sz w:val="30"/>
          <w:szCs w:val="30"/>
        </w:rPr>
        <w:t>万元，国有资源（资产）有偿使用收入</w:t>
      </w:r>
      <w:r>
        <w:rPr>
          <w:rFonts w:hint="eastAsia" w:eastAsia="仿宋_GB2312"/>
          <w:kern w:val="0"/>
          <w:sz w:val="30"/>
          <w:szCs w:val="30"/>
        </w:rPr>
        <w:t>0</w:t>
      </w:r>
      <w:r>
        <w:rPr>
          <w:rFonts w:eastAsia="仿宋_GB2312"/>
          <w:kern w:val="0"/>
          <w:sz w:val="30"/>
          <w:szCs w:val="30"/>
        </w:rPr>
        <w:t>万元），政府性基金财政拨款</w:t>
      </w:r>
      <w:r>
        <w:rPr>
          <w:rFonts w:hint="eastAsia" w:eastAsia="仿宋_GB2312"/>
          <w:kern w:val="0"/>
          <w:sz w:val="30"/>
          <w:szCs w:val="30"/>
        </w:rPr>
        <w:t>0</w:t>
      </w:r>
      <w:r>
        <w:rPr>
          <w:rFonts w:eastAsia="仿宋_GB2312"/>
          <w:kern w:val="0"/>
          <w:sz w:val="30"/>
          <w:szCs w:val="30"/>
        </w:rPr>
        <w:t>万元，国有资本经营预算财政拨款</w:t>
      </w:r>
      <w:r>
        <w:rPr>
          <w:rFonts w:hint="eastAsia" w:eastAsia="仿宋_GB2312"/>
          <w:kern w:val="0"/>
          <w:sz w:val="30"/>
          <w:szCs w:val="30"/>
        </w:rPr>
        <w:t>0</w:t>
      </w:r>
      <w:r>
        <w:rPr>
          <w:rFonts w:eastAsia="仿宋_GB2312"/>
          <w:kern w:val="0"/>
          <w:sz w:val="30"/>
          <w:szCs w:val="30"/>
        </w:rPr>
        <w:t>万元。</w:t>
      </w:r>
    </w:p>
    <w:p w14:paraId="42AFC6EE">
      <w:pPr>
        <w:widowControl/>
        <w:ind w:firstLine="600" w:firstLineChars="200"/>
        <w:jc w:val="left"/>
        <w:rPr>
          <w:rFonts w:eastAsia="仿宋_GB2312"/>
          <w:kern w:val="0"/>
          <w:sz w:val="30"/>
          <w:szCs w:val="30"/>
        </w:rPr>
      </w:pPr>
      <w:r>
        <w:rPr>
          <w:rFonts w:eastAsia="仿宋_GB2312"/>
          <w:kern w:val="0"/>
          <w:sz w:val="30"/>
          <w:szCs w:val="30"/>
        </w:rPr>
        <w:t>与上年对比</w:t>
      </w:r>
      <w:r>
        <w:rPr>
          <w:rFonts w:hint="eastAsia" w:eastAsia="仿宋_GB2312"/>
          <w:kern w:val="0"/>
          <w:sz w:val="30"/>
          <w:szCs w:val="30"/>
        </w:rPr>
        <w:t>部门</w:t>
      </w:r>
      <w:r>
        <w:rPr>
          <w:rFonts w:eastAsia="仿宋_GB2312"/>
          <w:kern w:val="0"/>
          <w:sz w:val="30"/>
          <w:szCs w:val="30"/>
        </w:rPr>
        <w:t>财政拨款</w:t>
      </w:r>
      <w:r>
        <w:rPr>
          <w:rFonts w:hint="eastAsia" w:eastAsia="仿宋_GB2312"/>
          <w:kern w:val="0"/>
          <w:sz w:val="30"/>
          <w:szCs w:val="30"/>
        </w:rPr>
        <w:t>收入增加12,318.71万元，</w:t>
      </w:r>
      <w:r>
        <w:rPr>
          <w:rFonts w:eastAsia="仿宋_GB2312"/>
          <w:kern w:val="0"/>
          <w:sz w:val="30"/>
          <w:szCs w:val="30"/>
        </w:rPr>
        <w:t>主要原因</w:t>
      </w:r>
      <w:r>
        <w:rPr>
          <w:rFonts w:hint="eastAsia" w:eastAsia="仿宋_GB2312"/>
          <w:kern w:val="0"/>
          <w:sz w:val="30"/>
          <w:szCs w:val="30"/>
        </w:rPr>
        <w:t>工资福利支出增加261.94万元，商品和服务支出减少1,748.01万元，对个人和家庭的补助增加11,827.65万元</w:t>
      </w:r>
      <w:r>
        <w:rPr>
          <w:rFonts w:eastAsia="仿宋_GB2312"/>
          <w:kern w:val="0"/>
          <w:sz w:val="30"/>
          <w:szCs w:val="30"/>
        </w:rPr>
        <w:t>。</w:t>
      </w:r>
    </w:p>
    <w:p w14:paraId="5D591229">
      <w:pPr>
        <w:widowControl/>
        <w:numPr>
          <w:ilvl w:val="0"/>
          <w:numId w:val="1"/>
        </w:numPr>
        <w:ind w:firstLine="600" w:firstLineChars="200"/>
        <w:jc w:val="left"/>
        <w:rPr>
          <w:rFonts w:hAnsi="黑体" w:eastAsia="黑体"/>
          <w:color w:val="FF0000"/>
          <w:kern w:val="0"/>
          <w:sz w:val="30"/>
          <w:szCs w:val="30"/>
          <w:u w:val="single"/>
        </w:rPr>
      </w:pPr>
      <w:r>
        <w:rPr>
          <w:rFonts w:hAnsi="黑体" w:eastAsia="黑体"/>
          <w:kern w:val="0"/>
          <w:sz w:val="30"/>
          <w:szCs w:val="30"/>
        </w:rPr>
        <w:t>预算单位支出情况</w:t>
      </w:r>
    </w:p>
    <w:p w14:paraId="11F795C0">
      <w:pPr>
        <w:widowControl/>
        <w:ind w:firstLine="600" w:firstLineChars="200"/>
        <w:jc w:val="left"/>
        <w:rPr>
          <w:rFonts w:eastAsia="仿宋_GB2312"/>
          <w:kern w:val="0"/>
          <w:sz w:val="30"/>
          <w:szCs w:val="30"/>
        </w:rPr>
      </w:pPr>
      <w:r>
        <w:rPr>
          <w:rFonts w:hint="eastAsia" w:eastAsia="仿宋_GB2312"/>
          <w:kern w:val="0"/>
          <w:sz w:val="30"/>
          <w:szCs w:val="30"/>
        </w:rPr>
        <w:t>2020</w:t>
      </w:r>
      <w:r>
        <w:rPr>
          <w:rFonts w:eastAsia="仿宋_GB2312"/>
          <w:kern w:val="0"/>
          <w:sz w:val="30"/>
          <w:szCs w:val="30"/>
        </w:rPr>
        <w:t xml:space="preserve">年部门预算总支出 </w:t>
      </w:r>
      <w:r>
        <w:rPr>
          <w:rFonts w:hint="eastAsia" w:eastAsia="仿宋_GB2312"/>
          <w:kern w:val="0"/>
          <w:sz w:val="30"/>
          <w:szCs w:val="30"/>
        </w:rPr>
        <w:t>14,530.96</w:t>
      </w:r>
      <w:r>
        <w:rPr>
          <w:rFonts w:eastAsia="仿宋_GB2312"/>
          <w:kern w:val="0"/>
          <w:sz w:val="30"/>
          <w:szCs w:val="30"/>
        </w:rPr>
        <w:t xml:space="preserve">万元。财政拨款安排支出  </w:t>
      </w:r>
      <w:r>
        <w:rPr>
          <w:rFonts w:hint="eastAsia" w:eastAsia="仿宋_GB2312"/>
          <w:kern w:val="0"/>
          <w:sz w:val="30"/>
          <w:szCs w:val="30"/>
        </w:rPr>
        <w:t>14,530.96</w:t>
      </w:r>
      <w:r>
        <w:rPr>
          <w:rFonts w:eastAsia="仿宋_GB2312"/>
          <w:kern w:val="0"/>
          <w:sz w:val="30"/>
          <w:szCs w:val="30"/>
        </w:rPr>
        <w:t>万元，其中：基本支出</w:t>
      </w:r>
      <w:r>
        <w:rPr>
          <w:rFonts w:hint="eastAsia" w:eastAsia="仿宋_GB2312"/>
          <w:kern w:val="0"/>
          <w:sz w:val="30"/>
          <w:szCs w:val="30"/>
        </w:rPr>
        <w:t>12,553.82</w:t>
      </w:r>
      <w:r>
        <w:rPr>
          <w:rFonts w:eastAsia="仿宋_GB2312"/>
          <w:kern w:val="0"/>
          <w:sz w:val="30"/>
          <w:szCs w:val="30"/>
        </w:rPr>
        <w:t>万元，与上年对比</w:t>
      </w:r>
      <w:r>
        <w:rPr>
          <w:rFonts w:hint="eastAsia" w:eastAsia="仿宋_GB2312"/>
          <w:kern w:val="0"/>
          <w:sz w:val="30"/>
          <w:szCs w:val="30"/>
        </w:rPr>
        <w:t>增加12,168.63万元</w:t>
      </w:r>
      <w:r>
        <w:rPr>
          <w:rFonts w:eastAsia="仿宋_GB2312"/>
          <w:kern w:val="0"/>
          <w:sz w:val="30"/>
          <w:szCs w:val="30"/>
        </w:rPr>
        <w:t>，主要原因</w:t>
      </w:r>
      <w:r>
        <w:rPr>
          <w:rFonts w:hint="eastAsia" w:eastAsia="仿宋_GB2312"/>
          <w:kern w:val="0"/>
          <w:sz w:val="30"/>
          <w:szCs w:val="30"/>
        </w:rPr>
        <w:t>是行政运行支出增加11,957.66万元</w:t>
      </w:r>
      <w:r>
        <w:rPr>
          <w:rFonts w:eastAsia="仿宋_GB2312"/>
          <w:kern w:val="0"/>
          <w:sz w:val="30"/>
          <w:szCs w:val="30"/>
        </w:rPr>
        <w:t>；项目支出</w:t>
      </w:r>
      <w:r>
        <w:rPr>
          <w:rFonts w:hint="eastAsia" w:eastAsia="仿宋_GB2312"/>
          <w:kern w:val="0"/>
          <w:sz w:val="30"/>
          <w:szCs w:val="30"/>
        </w:rPr>
        <w:t>1,9</w:t>
      </w:r>
      <w:r>
        <w:rPr>
          <w:rFonts w:hint="eastAsia" w:eastAsia="仿宋_GB2312"/>
          <w:kern w:val="0"/>
          <w:sz w:val="30"/>
          <w:szCs w:val="30"/>
          <w:lang w:val="en-US" w:eastAsia="zh-CN"/>
        </w:rPr>
        <w:t>77</w:t>
      </w:r>
      <w:r>
        <w:rPr>
          <w:rFonts w:hint="eastAsia" w:eastAsia="仿宋_GB2312"/>
          <w:kern w:val="0"/>
          <w:sz w:val="30"/>
          <w:szCs w:val="30"/>
        </w:rPr>
        <w:t>.14</w:t>
      </w:r>
      <w:r>
        <w:rPr>
          <w:rFonts w:eastAsia="仿宋_GB2312"/>
          <w:kern w:val="0"/>
          <w:sz w:val="30"/>
          <w:szCs w:val="30"/>
        </w:rPr>
        <w:t>万元，与上年对比</w:t>
      </w:r>
      <w:r>
        <w:rPr>
          <w:rFonts w:hint="eastAsia" w:eastAsia="仿宋_GB2312"/>
          <w:kern w:val="0"/>
          <w:sz w:val="30"/>
          <w:szCs w:val="30"/>
        </w:rPr>
        <w:t>增加1</w:t>
      </w:r>
      <w:r>
        <w:rPr>
          <w:rFonts w:hint="eastAsia" w:eastAsia="仿宋_GB2312"/>
          <w:kern w:val="0"/>
          <w:sz w:val="30"/>
          <w:szCs w:val="30"/>
          <w:lang w:val="en-US" w:eastAsia="zh-CN"/>
        </w:rPr>
        <w:t>50</w:t>
      </w:r>
      <w:r>
        <w:rPr>
          <w:rFonts w:hint="eastAsia" w:eastAsia="仿宋_GB2312"/>
          <w:kern w:val="0"/>
          <w:sz w:val="30"/>
          <w:szCs w:val="30"/>
        </w:rPr>
        <w:t>.08万元</w:t>
      </w:r>
      <w:r>
        <w:rPr>
          <w:rFonts w:eastAsia="仿宋_GB2312"/>
          <w:kern w:val="0"/>
          <w:sz w:val="30"/>
          <w:szCs w:val="30"/>
        </w:rPr>
        <w:t>，主要原因</w:t>
      </w:r>
      <w:r>
        <w:rPr>
          <w:rFonts w:hint="eastAsia" w:eastAsia="仿宋_GB2312"/>
          <w:kern w:val="0"/>
          <w:sz w:val="30"/>
          <w:szCs w:val="30"/>
        </w:rPr>
        <w:t>是离退休人员管理机构支出增加2</w:t>
      </w:r>
      <w:r>
        <w:rPr>
          <w:rFonts w:hint="eastAsia" w:eastAsia="仿宋_GB2312"/>
          <w:kern w:val="0"/>
          <w:sz w:val="30"/>
          <w:szCs w:val="30"/>
          <w:lang w:val="en-US" w:eastAsia="zh-CN"/>
        </w:rPr>
        <w:t>69</w:t>
      </w:r>
      <w:r>
        <w:rPr>
          <w:rFonts w:hint="eastAsia" w:eastAsia="仿宋_GB2312"/>
          <w:kern w:val="0"/>
          <w:sz w:val="30"/>
          <w:szCs w:val="30"/>
        </w:rPr>
        <w:t>.96万元</w:t>
      </w:r>
      <w:r>
        <w:rPr>
          <w:rFonts w:hAnsi="楷体" w:eastAsia="楷体"/>
          <w:kern w:val="0"/>
          <w:sz w:val="30"/>
          <w:szCs w:val="30"/>
        </w:rPr>
        <w:t>。</w:t>
      </w:r>
    </w:p>
    <w:p w14:paraId="696BCBCA">
      <w:pPr>
        <w:widowControl/>
        <w:ind w:firstLine="600" w:firstLineChars="200"/>
        <w:jc w:val="left"/>
        <w:rPr>
          <w:rFonts w:eastAsia="仿宋_GB2312"/>
          <w:kern w:val="0"/>
          <w:sz w:val="30"/>
          <w:szCs w:val="30"/>
        </w:rPr>
      </w:pPr>
      <w:r>
        <w:rPr>
          <w:rFonts w:eastAsia="楷体_GB2312"/>
          <w:kern w:val="0"/>
          <w:sz w:val="30"/>
          <w:szCs w:val="30"/>
        </w:rPr>
        <w:t>（一）财政拨款安排支出按功能科目分类情况</w:t>
      </w:r>
    </w:p>
    <w:p w14:paraId="76DA2A77">
      <w:pPr>
        <w:widowControl/>
        <w:ind w:firstLine="600" w:firstLineChars="200"/>
        <w:rPr>
          <w:rFonts w:hAnsi="仿宋_GB2312" w:eastAsia="仿宋_GB2312"/>
          <w:kern w:val="0"/>
          <w:sz w:val="30"/>
          <w:szCs w:val="30"/>
        </w:rPr>
      </w:pPr>
      <w:r>
        <w:rPr>
          <w:rFonts w:eastAsia="仿宋_GB2312"/>
          <w:kern w:val="0"/>
          <w:sz w:val="30"/>
          <w:szCs w:val="30"/>
        </w:rPr>
        <w:t>财政拨款安排支出</w:t>
      </w:r>
      <w:r>
        <w:rPr>
          <w:rFonts w:hint="eastAsia" w:eastAsia="仿宋_GB2312"/>
          <w:kern w:val="0"/>
          <w:sz w:val="30"/>
          <w:szCs w:val="30"/>
        </w:rPr>
        <w:t>14,530.96</w:t>
      </w:r>
      <w:r>
        <w:rPr>
          <w:rFonts w:eastAsia="仿宋_GB2312"/>
          <w:kern w:val="0"/>
          <w:sz w:val="30"/>
          <w:szCs w:val="30"/>
        </w:rPr>
        <w:t>万元，</w:t>
      </w:r>
      <w:r>
        <w:rPr>
          <w:rFonts w:hint="eastAsia" w:eastAsia="仿宋_GB2312" w:cs="仿宋_GB2312"/>
          <w:kern w:val="0"/>
          <w:sz w:val="30"/>
          <w:szCs w:val="30"/>
        </w:rPr>
        <w:t>按支出功能科目分类，支出分别列</w:t>
      </w:r>
      <w:r>
        <w:rPr>
          <w:rFonts w:eastAsia="仿宋_GB2312"/>
          <w:kern w:val="0"/>
          <w:sz w:val="30"/>
          <w:szCs w:val="30"/>
        </w:rPr>
        <w:t>2010301-</w:t>
      </w:r>
      <w:r>
        <w:rPr>
          <w:rFonts w:hint="eastAsia" w:eastAsia="仿宋_GB2312" w:cs="仿宋_GB2312"/>
          <w:kern w:val="0"/>
          <w:sz w:val="30"/>
          <w:szCs w:val="30"/>
        </w:rPr>
        <w:t>行政运行支出12,214.30万元，主要反映行政支出；</w:t>
      </w:r>
      <w:r>
        <w:rPr>
          <w:rFonts w:eastAsia="仿宋_GB2312"/>
          <w:kern w:val="0"/>
          <w:sz w:val="30"/>
          <w:szCs w:val="30"/>
        </w:rPr>
        <w:t>2010302-</w:t>
      </w:r>
      <w:r>
        <w:rPr>
          <w:rFonts w:hint="eastAsia" w:eastAsia="仿宋_GB2312" w:cs="仿宋_GB2312"/>
          <w:kern w:val="0"/>
          <w:sz w:val="30"/>
          <w:szCs w:val="30"/>
        </w:rPr>
        <w:t>一般</w:t>
      </w:r>
      <w:r>
        <w:rPr>
          <w:rFonts w:hint="eastAsia" w:eastAsia="仿宋_GB2312" w:cs="仿宋_GB2312"/>
          <w:kern w:val="0"/>
          <w:sz w:val="30"/>
          <w:szCs w:val="30"/>
          <w:lang w:eastAsia="zh-CN"/>
        </w:rPr>
        <w:t>行政管理事务</w:t>
      </w:r>
      <w:r>
        <w:rPr>
          <w:rFonts w:hint="eastAsia" w:eastAsia="仿宋_GB2312"/>
          <w:kern w:val="0"/>
          <w:sz w:val="30"/>
          <w:szCs w:val="30"/>
        </w:rPr>
        <w:t>1,699.22</w:t>
      </w:r>
      <w:r>
        <w:rPr>
          <w:rFonts w:hint="eastAsia" w:eastAsia="仿宋_GB2312" w:cs="仿宋_GB2312"/>
          <w:kern w:val="0"/>
          <w:sz w:val="30"/>
          <w:szCs w:val="30"/>
        </w:rPr>
        <w:t>万元，主要反映项目支出；</w:t>
      </w:r>
      <w:r>
        <w:rPr>
          <w:rFonts w:hint="eastAsia" w:eastAsia="仿宋_GB2312"/>
          <w:kern w:val="0"/>
          <w:sz w:val="30"/>
          <w:szCs w:val="30"/>
        </w:rPr>
        <w:t>2060404</w:t>
      </w:r>
      <w:r>
        <w:rPr>
          <w:rFonts w:eastAsia="仿宋_GB2312"/>
          <w:kern w:val="0"/>
          <w:sz w:val="30"/>
          <w:szCs w:val="30"/>
        </w:rPr>
        <w:t>-</w:t>
      </w:r>
      <w:r>
        <w:rPr>
          <w:rFonts w:hint="eastAsia" w:eastAsia="仿宋_GB2312" w:cs="仿宋_GB2312"/>
          <w:kern w:val="0"/>
          <w:sz w:val="30"/>
          <w:szCs w:val="30"/>
        </w:rPr>
        <w:t>科技成果转化与扩散</w:t>
      </w:r>
      <w:r>
        <w:rPr>
          <w:rFonts w:hint="eastAsia" w:eastAsia="仿宋_GB2312"/>
          <w:kern w:val="0"/>
          <w:sz w:val="30"/>
          <w:szCs w:val="30"/>
        </w:rPr>
        <w:t>7.96</w:t>
      </w:r>
      <w:r>
        <w:rPr>
          <w:rFonts w:hint="eastAsia" w:eastAsia="仿宋_GB2312" w:cs="仿宋_GB2312"/>
          <w:kern w:val="0"/>
          <w:sz w:val="30"/>
          <w:szCs w:val="30"/>
        </w:rPr>
        <w:t>万元，主要反映项目支出；</w:t>
      </w:r>
      <w:r>
        <w:rPr>
          <w:rFonts w:hint="eastAsia" w:eastAsia="仿宋_GB2312"/>
          <w:kern w:val="0"/>
          <w:sz w:val="30"/>
          <w:szCs w:val="30"/>
        </w:rPr>
        <w:t>2080503</w:t>
      </w:r>
      <w:r>
        <w:rPr>
          <w:rFonts w:eastAsia="仿宋_GB2312"/>
          <w:kern w:val="0"/>
          <w:sz w:val="30"/>
          <w:szCs w:val="30"/>
        </w:rPr>
        <w:t>-</w:t>
      </w:r>
      <w:r>
        <w:rPr>
          <w:rFonts w:hint="eastAsia" w:eastAsia="仿宋_GB2312" w:cs="仿宋_GB2312"/>
          <w:kern w:val="0"/>
          <w:sz w:val="30"/>
          <w:szCs w:val="30"/>
        </w:rPr>
        <w:t>离退休人员管理机构</w:t>
      </w:r>
      <w:r>
        <w:rPr>
          <w:rFonts w:hint="eastAsia" w:eastAsia="仿宋_GB2312"/>
          <w:kern w:val="0"/>
          <w:sz w:val="30"/>
          <w:szCs w:val="30"/>
        </w:rPr>
        <w:t>4</w:t>
      </w:r>
      <w:r>
        <w:rPr>
          <w:rFonts w:hint="eastAsia" w:eastAsia="仿宋_GB2312"/>
          <w:kern w:val="0"/>
          <w:sz w:val="30"/>
          <w:szCs w:val="30"/>
          <w:lang w:val="en-US" w:eastAsia="zh-CN"/>
        </w:rPr>
        <w:t>50</w:t>
      </w:r>
      <w:r>
        <w:rPr>
          <w:rFonts w:hint="eastAsia" w:eastAsia="仿宋_GB2312"/>
          <w:kern w:val="0"/>
          <w:sz w:val="30"/>
          <w:szCs w:val="30"/>
        </w:rPr>
        <w:t>.88</w:t>
      </w:r>
      <w:r>
        <w:rPr>
          <w:rFonts w:hint="eastAsia" w:eastAsia="仿宋_GB2312" w:cs="仿宋_GB2312"/>
          <w:kern w:val="0"/>
          <w:sz w:val="30"/>
          <w:szCs w:val="30"/>
        </w:rPr>
        <w:t>万元，主要反映离退休人员支出；</w:t>
      </w:r>
      <w:r>
        <w:rPr>
          <w:rFonts w:eastAsia="仿宋_GB2312"/>
          <w:kern w:val="0"/>
          <w:sz w:val="30"/>
          <w:szCs w:val="30"/>
        </w:rPr>
        <w:t>2080505</w:t>
      </w:r>
      <w:r>
        <w:rPr>
          <w:rFonts w:hint="eastAsia" w:eastAsia="仿宋_GB2312"/>
          <w:kern w:val="0"/>
          <w:sz w:val="30"/>
          <w:szCs w:val="30"/>
        </w:rPr>
        <w:t>-</w:t>
      </w:r>
      <w:r>
        <w:rPr>
          <w:rFonts w:hint="eastAsia" w:eastAsia="仿宋_GB2312" w:cs="仿宋_GB2312"/>
          <w:kern w:val="0"/>
          <w:sz w:val="30"/>
          <w:szCs w:val="30"/>
        </w:rPr>
        <w:t>机关事业单位基本养老保险缴费支出</w:t>
      </w:r>
      <w:r>
        <w:rPr>
          <w:rFonts w:hint="eastAsia" w:eastAsia="仿宋_GB2312"/>
          <w:kern w:val="0"/>
          <w:sz w:val="30"/>
          <w:szCs w:val="30"/>
        </w:rPr>
        <w:t>55.49</w:t>
      </w:r>
      <w:r>
        <w:rPr>
          <w:rFonts w:hint="eastAsia" w:eastAsia="仿宋_GB2312" w:cs="仿宋_GB2312"/>
          <w:kern w:val="0"/>
          <w:sz w:val="30"/>
          <w:szCs w:val="30"/>
        </w:rPr>
        <w:t>万元，主要反映养老保险支出；</w:t>
      </w:r>
      <w:r>
        <w:rPr>
          <w:rFonts w:eastAsia="仿宋_GB2312"/>
          <w:kern w:val="0"/>
          <w:sz w:val="30"/>
          <w:szCs w:val="30"/>
        </w:rPr>
        <w:t>2101101</w:t>
      </w:r>
      <w:r>
        <w:rPr>
          <w:rFonts w:hint="eastAsia" w:eastAsia="仿宋_GB2312"/>
          <w:kern w:val="0"/>
          <w:sz w:val="30"/>
          <w:szCs w:val="30"/>
        </w:rPr>
        <w:t>-</w:t>
      </w:r>
      <w:r>
        <w:rPr>
          <w:rFonts w:hint="eastAsia" w:eastAsia="仿宋_GB2312" w:cs="仿宋_GB2312"/>
          <w:kern w:val="0"/>
          <w:sz w:val="30"/>
          <w:szCs w:val="30"/>
        </w:rPr>
        <w:t>行政单位医疗</w:t>
      </w:r>
      <w:r>
        <w:rPr>
          <w:rFonts w:hint="eastAsia" w:eastAsia="仿宋_GB2312"/>
          <w:kern w:val="0"/>
          <w:sz w:val="30"/>
          <w:szCs w:val="30"/>
        </w:rPr>
        <w:t>35.93</w:t>
      </w:r>
      <w:r>
        <w:rPr>
          <w:rFonts w:hint="eastAsia" w:eastAsia="仿宋_GB2312" w:cs="仿宋_GB2312"/>
          <w:kern w:val="0"/>
          <w:sz w:val="30"/>
          <w:szCs w:val="30"/>
        </w:rPr>
        <w:t>万元，主要反映行政单位养老保险缴费；</w:t>
      </w:r>
      <w:r>
        <w:rPr>
          <w:rFonts w:eastAsia="仿宋_GB2312"/>
          <w:kern w:val="0"/>
          <w:sz w:val="30"/>
          <w:szCs w:val="30"/>
        </w:rPr>
        <w:t>2101103</w:t>
      </w:r>
      <w:r>
        <w:rPr>
          <w:rFonts w:hint="eastAsia" w:eastAsia="仿宋_GB2312"/>
          <w:kern w:val="0"/>
          <w:sz w:val="30"/>
          <w:szCs w:val="30"/>
        </w:rPr>
        <w:t>-</w:t>
      </w:r>
      <w:r>
        <w:rPr>
          <w:rFonts w:hint="eastAsia" w:eastAsia="仿宋_GB2312" w:cs="仿宋_GB2312"/>
          <w:kern w:val="0"/>
          <w:sz w:val="30"/>
          <w:szCs w:val="30"/>
        </w:rPr>
        <w:t>公务员医疗补助</w:t>
      </w:r>
      <w:r>
        <w:rPr>
          <w:rFonts w:hint="eastAsia" w:eastAsia="仿宋_GB2312"/>
          <w:kern w:val="0"/>
          <w:sz w:val="30"/>
          <w:szCs w:val="30"/>
        </w:rPr>
        <w:t>20.34</w:t>
      </w:r>
      <w:r>
        <w:rPr>
          <w:rFonts w:hint="eastAsia" w:eastAsia="仿宋_GB2312" w:cs="仿宋_GB2312"/>
          <w:kern w:val="0"/>
          <w:sz w:val="30"/>
          <w:szCs w:val="30"/>
        </w:rPr>
        <w:t>万元，主要反映公务员医疗补助支出；</w:t>
      </w:r>
      <w:r>
        <w:rPr>
          <w:rFonts w:eastAsia="仿宋_GB2312"/>
          <w:kern w:val="0"/>
          <w:sz w:val="30"/>
          <w:szCs w:val="30"/>
        </w:rPr>
        <w:t>2210201-</w:t>
      </w:r>
      <w:r>
        <w:rPr>
          <w:rFonts w:hint="eastAsia" w:eastAsia="仿宋_GB2312" w:cs="仿宋_GB2312"/>
          <w:kern w:val="0"/>
          <w:sz w:val="30"/>
          <w:szCs w:val="30"/>
        </w:rPr>
        <w:t>住房公积金</w:t>
      </w:r>
      <w:r>
        <w:rPr>
          <w:rFonts w:hint="eastAsia" w:eastAsia="仿宋_GB2312"/>
          <w:kern w:val="0"/>
          <w:sz w:val="30"/>
          <w:szCs w:val="30"/>
        </w:rPr>
        <w:t>46.84</w:t>
      </w:r>
      <w:r>
        <w:rPr>
          <w:rFonts w:hint="eastAsia" w:eastAsia="仿宋_GB2312" w:cs="仿宋_GB2312"/>
          <w:kern w:val="0"/>
          <w:sz w:val="30"/>
          <w:szCs w:val="30"/>
        </w:rPr>
        <w:t>万元，主要反映住房公积金支出。</w:t>
      </w:r>
    </w:p>
    <w:p w14:paraId="2C426E84">
      <w:pPr>
        <w:widowControl/>
        <w:numPr>
          <w:ilvl w:val="0"/>
          <w:numId w:val="2"/>
        </w:numPr>
        <w:ind w:firstLine="450" w:firstLineChars="150"/>
        <w:jc w:val="left"/>
        <w:rPr>
          <w:rFonts w:eastAsia="楷体_GB2312"/>
          <w:color w:val="FF0000"/>
          <w:kern w:val="0"/>
          <w:sz w:val="30"/>
          <w:szCs w:val="30"/>
          <w:u w:val="single"/>
        </w:rPr>
      </w:pPr>
      <w:r>
        <w:rPr>
          <w:rFonts w:eastAsia="楷体_GB2312"/>
          <w:kern w:val="0"/>
          <w:sz w:val="30"/>
          <w:szCs w:val="30"/>
        </w:rPr>
        <w:t>本级财力支出按经济科目分类情况</w:t>
      </w:r>
    </w:p>
    <w:p w14:paraId="23FCA5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8" w:lineRule="atLeast"/>
        <w:ind w:left="0" w:right="0" w:firstLine="516"/>
        <w:jc w:val="left"/>
        <w:rPr>
          <w:rFonts w:eastAsia="仿宋_GB2312"/>
          <w:kern w:val="0"/>
          <w:sz w:val="30"/>
          <w:szCs w:val="30"/>
        </w:rPr>
      </w:pPr>
      <w:r>
        <w:rPr>
          <w:rFonts w:hint="eastAsia" w:eastAsia="仿宋_GB2312"/>
          <w:kern w:val="0"/>
          <w:sz w:val="30"/>
          <w:szCs w:val="30"/>
          <w:lang w:val="en-US" w:eastAsia="zh-CN"/>
        </w:rPr>
        <w:t>2020年本级财力支出</w:t>
      </w:r>
      <w:r>
        <w:rPr>
          <w:rFonts w:hint="eastAsia" w:eastAsia="仿宋_GB2312"/>
          <w:kern w:val="0"/>
          <w:sz w:val="30"/>
          <w:szCs w:val="30"/>
        </w:rPr>
        <w:t>14,485.96</w:t>
      </w:r>
      <w:r>
        <w:rPr>
          <w:rFonts w:eastAsia="仿宋_GB2312"/>
          <w:kern w:val="0"/>
          <w:sz w:val="30"/>
          <w:szCs w:val="30"/>
        </w:rPr>
        <w:t>万元</w:t>
      </w:r>
      <w:r>
        <w:rPr>
          <w:rFonts w:hint="eastAsia" w:eastAsia="仿宋_GB2312"/>
          <w:kern w:val="0"/>
          <w:sz w:val="30"/>
          <w:szCs w:val="30"/>
          <w:lang w:eastAsia="zh-CN"/>
        </w:rPr>
        <w:t>，</w:t>
      </w:r>
      <w:r>
        <w:rPr>
          <w:rFonts w:eastAsia="仿宋_GB2312"/>
          <w:kern w:val="0"/>
          <w:sz w:val="30"/>
          <w:szCs w:val="30"/>
        </w:rPr>
        <w:t>其中：基本支出</w:t>
      </w:r>
      <w:r>
        <w:rPr>
          <w:rFonts w:hint="eastAsia" w:eastAsia="仿宋_GB2312"/>
          <w:kern w:val="0"/>
          <w:sz w:val="30"/>
          <w:szCs w:val="30"/>
        </w:rPr>
        <w:t>12,553.82</w:t>
      </w:r>
      <w:r>
        <w:rPr>
          <w:rFonts w:eastAsia="仿宋_GB2312"/>
          <w:kern w:val="0"/>
          <w:sz w:val="30"/>
          <w:szCs w:val="30"/>
        </w:rPr>
        <w:t>万元，项目支出</w:t>
      </w:r>
      <w:r>
        <w:rPr>
          <w:rFonts w:hint="eastAsia" w:eastAsia="仿宋_GB2312"/>
          <w:kern w:val="0"/>
          <w:sz w:val="30"/>
          <w:szCs w:val="30"/>
        </w:rPr>
        <w:t>1,932.14</w:t>
      </w:r>
      <w:r>
        <w:rPr>
          <w:rFonts w:eastAsia="仿宋_GB2312"/>
          <w:kern w:val="0"/>
          <w:sz w:val="30"/>
          <w:szCs w:val="30"/>
        </w:rPr>
        <w:t>万元。</w:t>
      </w:r>
    </w:p>
    <w:p w14:paraId="56EDFF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8" w:lineRule="atLeast"/>
        <w:ind w:left="0" w:right="0" w:firstLine="516"/>
        <w:jc w:val="left"/>
        <w:rPr>
          <w:rFonts w:hint="eastAsia" w:ascii="Times New Roman" w:hAnsi="Times New Roman" w:eastAsia="仿宋_GB2312" w:cs="仿宋_GB2312"/>
          <w:kern w:val="0"/>
          <w:sz w:val="30"/>
          <w:szCs w:val="30"/>
          <w:lang w:val="en-US" w:eastAsia="zh-CN" w:bidi="ar-SA"/>
        </w:rPr>
      </w:pPr>
      <w:r>
        <w:rPr>
          <w:rFonts w:eastAsia="仿宋_GB2312"/>
          <w:kern w:val="0"/>
          <w:sz w:val="30"/>
          <w:szCs w:val="30"/>
        </w:rPr>
        <w:t>基本支出</w:t>
      </w:r>
      <w:r>
        <w:rPr>
          <w:rFonts w:hint="eastAsia" w:ascii="Times New Roman" w:hAnsi="Times New Roman" w:eastAsia="仿宋_GB2312" w:cs="仿宋_GB2312"/>
          <w:kern w:val="0"/>
          <w:sz w:val="30"/>
          <w:szCs w:val="30"/>
          <w:lang w:val="en-US" w:eastAsia="zh-CN" w:bidi="ar-SA"/>
        </w:rPr>
        <w:t>按经济科目分类</w:t>
      </w:r>
    </w:p>
    <w:p w14:paraId="18C08A9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8" w:lineRule="atLeast"/>
        <w:ind w:left="0" w:right="0" w:firstLine="516"/>
        <w:jc w:val="left"/>
        <w:rPr>
          <w:rFonts w:hint="eastAsia" w:ascii="Times New Roman" w:hAnsi="Times New Roman" w:eastAsia="仿宋_GB2312" w:cs="仿宋_GB2312"/>
          <w:kern w:val="0"/>
          <w:sz w:val="30"/>
          <w:szCs w:val="30"/>
          <w:lang w:val="en-US" w:eastAsia="zh-CN" w:bidi="ar-SA"/>
        </w:rPr>
      </w:pPr>
      <w:r>
        <w:rPr>
          <w:rFonts w:hint="eastAsia" w:ascii="Times New Roman" w:hAnsi="Times New Roman" w:eastAsia="仿宋_GB2312" w:cs="仿宋_GB2312"/>
          <w:kern w:val="0"/>
          <w:sz w:val="30"/>
          <w:szCs w:val="30"/>
          <w:lang w:val="en-US" w:eastAsia="zh-CN" w:bidi="ar-SA"/>
        </w:rPr>
        <w:t>301工资福利支出，支出587.27万元，主要反映工资福利支出；</w:t>
      </w:r>
    </w:p>
    <w:p w14:paraId="1122E92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8" w:lineRule="atLeast"/>
        <w:ind w:left="0" w:right="0" w:firstLine="516"/>
        <w:jc w:val="left"/>
        <w:rPr>
          <w:rFonts w:hint="eastAsia" w:ascii="Times New Roman" w:hAnsi="Times New Roman" w:eastAsia="仿宋_GB2312" w:cs="仿宋_GB2312"/>
          <w:kern w:val="0"/>
          <w:sz w:val="30"/>
          <w:szCs w:val="30"/>
          <w:lang w:val="en-US" w:eastAsia="zh-CN" w:bidi="ar-SA"/>
        </w:rPr>
      </w:pPr>
      <w:r>
        <w:rPr>
          <w:rFonts w:hint="eastAsia" w:ascii="Times New Roman" w:hAnsi="Times New Roman" w:eastAsia="仿宋_GB2312" w:cs="仿宋_GB2312"/>
          <w:kern w:val="0"/>
          <w:sz w:val="30"/>
          <w:szCs w:val="30"/>
          <w:lang w:val="en-US" w:eastAsia="zh-CN" w:bidi="ar-SA"/>
        </w:rPr>
        <w:t>302商品和服务支出，支出80.95万元，主要反映办公费、维修费、邮电费、劳务费、福利费等商品服务支出；</w:t>
      </w:r>
    </w:p>
    <w:p w14:paraId="2095037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8" w:lineRule="atLeast"/>
        <w:ind w:left="0" w:right="0" w:firstLine="516"/>
        <w:jc w:val="left"/>
        <w:rPr>
          <w:rFonts w:hint="eastAsia" w:ascii="Times New Roman" w:hAnsi="Times New Roman" w:eastAsia="仿宋_GB2312" w:cs="仿宋_GB2312"/>
          <w:kern w:val="0"/>
          <w:sz w:val="30"/>
          <w:szCs w:val="30"/>
          <w:lang w:val="en-US" w:eastAsia="zh-CN" w:bidi="ar-SA"/>
        </w:rPr>
      </w:pPr>
      <w:r>
        <w:rPr>
          <w:rFonts w:hint="eastAsia" w:ascii="Times New Roman" w:hAnsi="Times New Roman" w:eastAsia="仿宋_GB2312" w:cs="仿宋_GB2312"/>
          <w:kern w:val="0"/>
          <w:sz w:val="30"/>
          <w:szCs w:val="30"/>
          <w:lang w:val="en-US" w:eastAsia="zh-CN" w:bidi="ar-SA"/>
        </w:rPr>
        <w:t>303对个人和家庭的补助，支出11885.60万元，主要反映离休费、生活补助等对个人和家庭的补助支出。</w:t>
      </w:r>
    </w:p>
    <w:p w14:paraId="7CA256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8" w:lineRule="atLeast"/>
        <w:ind w:left="0" w:right="0" w:firstLine="516"/>
        <w:jc w:val="left"/>
        <w:rPr>
          <w:rFonts w:hint="eastAsia" w:ascii="Times New Roman" w:hAnsi="Times New Roman" w:eastAsia="仿宋_GB2312" w:cs="仿宋_GB2312"/>
          <w:kern w:val="0"/>
          <w:sz w:val="30"/>
          <w:szCs w:val="30"/>
          <w:lang w:val="en-US" w:eastAsia="zh-CN" w:bidi="ar-SA"/>
        </w:rPr>
      </w:pPr>
      <w:r>
        <w:rPr>
          <w:rFonts w:eastAsia="仿宋_GB2312"/>
          <w:kern w:val="0"/>
          <w:sz w:val="30"/>
          <w:szCs w:val="30"/>
        </w:rPr>
        <w:t>项目支出</w:t>
      </w:r>
      <w:r>
        <w:rPr>
          <w:rFonts w:hint="eastAsia" w:ascii="Times New Roman" w:hAnsi="Times New Roman" w:eastAsia="仿宋_GB2312" w:cs="仿宋_GB2312"/>
          <w:kern w:val="0"/>
          <w:sz w:val="30"/>
          <w:szCs w:val="30"/>
          <w:lang w:val="en-US" w:eastAsia="zh-CN" w:bidi="ar-SA"/>
        </w:rPr>
        <w:t>按经济科目分类</w:t>
      </w:r>
    </w:p>
    <w:p w14:paraId="624AB63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8" w:lineRule="atLeast"/>
        <w:ind w:left="0" w:right="0" w:firstLine="516"/>
        <w:jc w:val="left"/>
        <w:rPr>
          <w:rFonts w:eastAsia="仿宋_GB2312"/>
          <w:color w:val="FFFFFF" w:themeColor="background1"/>
          <w:kern w:val="0"/>
          <w:sz w:val="30"/>
          <w:szCs w:val="30"/>
          <w:u w:val="single"/>
        </w:rPr>
      </w:pPr>
      <w:r>
        <w:rPr>
          <w:rFonts w:hint="eastAsia" w:ascii="Times New Roman" w:hAnsi="Times New Roman" w:eastAsia="仿宋_GB2312" w:cs="仿宋_GB2312"/>
          <w:kern w:val="0"/>
          <w:sz w:val="30"/>
          <w:szCs w:val="30"/>
          <w:lang w:val="en-US" w:eastAsia="zh-CN" w:bidi="ar-SA"/>
        </w:rPr>
        <w:t>302商品和服务支出，支出</w:t>
      </w:r>
      <w:r>
        <w:rPr>
          <w:rFonts w:hint="eastAsia" w:eastAsia="仿宋_GB2312"/>
          <w:kern w:val="0"/>
          <w:sz w:val="30"/>
          <w:szCs w:val="30"/>
        </w:rPr>
        <w:t>1,932.14</w:t>
      </w:r>
      <w:r>
        <w:rPr>
          <w:rFonts w:hint="eastAsia" w:ascii="Times New Roman" w:hAnsi="Times New Roman" w:eastAsia="仿宋_GB2312" w:cs="仿宋_GB2312"/>
          <w:kern w:val="0"/>
          <w:sz w:val="30"/>
          <w:szCs w:val="30"/>
          <w:lang w:val="en-US" w:eastAsia="zh-CN" w:bidi="ar-SA"/>
        </w:rPr>
        <w:t>万元，主要反映开展专项</w:t>
      </w:r>
      <w:r>
        <w:rPr>
          <w:rFonts w:hint="eastAsia" w:eastAsia="仿宋_GB2312"/>
          <w:kern w:val="0"/>
          <w:sz w:val="30"/>
          <w:szCs w:val="30"/>
        </w:rPr>
        <w:t>教育培训</w:t>
      </w:r>
      <w:r>
        <w:rPr>
          <w:rFonts w:hint="eastAsia" w:ascii="Times New Roman" w:hAnsi="Times New Roman" w:eastAsia="仿宋_GB2312" w:cs="仿宋_GB2312"/>
          <w:kern w:val="0"/>
          <w:sz w:val="30"/>
          <w:szCs w:val="30"/>
          <w:lang w:val="en-US" w:eastAsia="zh-CN" w:bidi="ar-SA"/>
        </w:rPr>
        <w:t>、</w:t>
      </w:r>
      <w:r>
        <w:rPr>
          <w:rFonts w:hint="eastAsia" w:eastAsia="仿宋_GB2312"/>
          <w:kern w:val="0"/>
          <w:sz w:val="30"/>
          <w:szCs w:val="30"/>
        </w:rPr>
        <w:t>“人才特区”建设</w:t>
      </w:r>
      <w:r>
        <w:rPr>
          <w:rFonts w:hint="eastAsia" w:ascii="Times New Roman" w:hAnsi="Times New Roman" w:eastAsia="仿宋_GB2312" w:cs="仿宋_GB2312"/>
          <w:kern w:val="0"/>
          <w:sz w:val="30"/>
          <w:szCs w:val="30"/>
          <w:lang w:val="en-US" w:eastAsia="zh-CN" w:bidi="ar-SA"/>
        </w:rPr>
        <w:t>、</w:t>
      </w:r>
      <w:r>
        <w:rPr>
          <w:rFonts w:hint="eastAsia" w:eastAsia="仿宋_GB2312"/>
          <w:kern w:val="0"/>
          <w:sz w:val="30"/>
          <w:szCs w:val="30"/>
        </w:rPr>
        <w:t>党建工作</w:t>
      </w:r>
      <w:r>
        <w:rPr>
          <w:rFonts w:hint="eastAsia" w:ascii="Times New Roman" w:hAnsi="Times New Roman" w:eastAsia="仿宋_GB2312" w:cs="仿宋_GB2312"/>
          <w:kern w:val="0"/>
          <w:sz w:val="30"/>
          <w:szCs w:val="30"/>
          <w:lang w:val="en-US" w:eastAsia="zh-CN" w:bidi="ar-SA"/>
        </w:rPr>
        <w:t>等商品服务支出。</w:t>
      </w:r>
    </w:p>
    <w:p w14:paraId="2D761286">
      <w:pPr>
        <w:widowControl/>
        <w:numPr>
          <w:ilvl w:val="0"/>
          <w:numId w:val="1"/>
        </w:numPr>
        <w:ind w:firstLine="600" w:firstLineChars="200"/>
        <w:jc w:val="left"/>
        <w:rPr>
          <w:rFonts w:hAnsi="黑体" w:eastAsia="黑体"/>
          <w:color w:val="FF0000"/>
          <w:kern w:val="0"/>
          <w:sz w:val="30"/>
          <w:szCs w:val="30"/>
          <w:u w:val="single"/>
        </w:rPr>
      </w:pPr>
      <w:r>
        <w:rPr>
          <w:rFonts w:hAnsi="黑体" w:eastAsia="黑体"/>
          <w:kern w:val="0"/>
          <w:sz w:val="30"/>
          <w:szCs w:val="30"/>
        </w:rPr>
        <w:t>区对下专项转移支付情况</w:t>
      </w:r>
    </w:p>
    <w:p w14:paraId="2536E6DB">
      <w:pPr>
        <w:widowControl/>
        <w:ind w:firstLine="450" w:firstLineChars="150"/>
        <w:jc w:val="left"/>
        <w:rPr>
          <w:rFonts w:eastAsia="楷体_GB2312"/>
          <w:kern w:val="0"/>
          <w:sz w:val="30"/>
          <w:szCs w:val="30"/>
        </w:rPr>
      </w:pPr>
      <w:r>
        <w:rPr>
          <w:rFonts w:eastAsia="楷体_GB2312"/>
          <w:kern w:val="0"/>
          <w:sz w:val="30"/>
          <w:szCs w:val="30"/>
        </w:rPr>
        <w:t>（一）列入区对下专项转移支付项目清单项目情况</w:t>
      </w:r>
    </w:p>
    <w:p w14:paraId="1B5A21AA">
      <w:pPr>
        <w:widowControl/>
        <w:ind w:firstLine="600" w:firstLineChars="200"/>
        <w:jc w:val="left"/>
        <w:rPr>
          <w:rFonts w:eastAsia="仿宋_GB2312"/>
          <w:kern w:val="0"/>
          <w:sz w:val="30"/>
          <w:szCs w:val="30"/>
        </w:rPr>
      </w:pPr>
      <w:r>
        <w:rPr>
          <w:rFonts w:eastAsia="仿宋_GB2312"/>
          <w:kern w:val="0"/>
          <w:sz w:val="30"/>
          <w:szCs w:val="30"/>
        </w:rPr>
        <w:t>中共昆明市盘龙区委组织部</w:t>
      </w:r>
      <w:r>
        <w:rPr>
          <w:rFonts w:hint="eastAsia" w:eastAsia="仿宋_GB2312" w:cs="仿宋_GB2312"/>
          <w:kern w:val="0"/>
          <w:sz w:val="30"/>
          <w:szCs w:val="30"/>
        </w:rPr>
        <w:t>列入</w:t>
      </w:r>
      <w:r>
        <w:rPr>
          <w:rFonts w:hint="eastAsia" w:eastAsia="仿宋_GB2312" w:cs="仿宋_GB2312"/>
          <w:kern w:val="0"/>
          <w:sz w:val="30"/>
          <w:szCs w:val="30"/>
          <w:lang w:val="en-US" w:eastAsia="zh-CN"/>
        </w:rPr>
        <w:t>区</w:t>
      </w:r>
      <w:r>
        <w:rPr>
          <w:rFonts w:hint="eastAsia" w:eastAsia="仿宋_GB2312" w:cs="仿宋_GB2312"/>
          <w:kern w:val="0"/>
          <w:sz w:val="30"/>
          <w:szCs w:val="30"/>
        </w:rPr>
        <w:t>对下专项转移支付项目清单项目为：金额</w:t>
      </w:r>
      <w:r>
        <w:rPr>
          <w:rFonts w:eastAsia="仿宋_GB2312"/>
          <w:kern w:val="0"/>
          <w:sz w:val="30"/>
          <w:szCs w:val="30"/>
        </w:rPr>
        <w:t>0</w:t>
      </w:r>
      <w:r>
        <w:rPr>
          <w:rFonts w:hint="eastAsia" w:eastAsia="仿宋_GB2312" w:cs="仿宋_GB2312"/>
          <w:kern w:val="0"/>
          <w:sz w:val="30"/>
          <w:szCs w:val="30"/>
        </w:rPr>
        <w:t>万元。</w:t>
      </w:r>
    </w:p>
    <w:p w14:paraId="22CB7592">
      <w:pPr>
        <w:widowControl/>
        <w:ind w:firstLine="450" w:firstLineChars="150"/>
        <w:jc w:val="left"/>
        <w:rPr>
          <w:rFonts w:eastAsia="楷体_GB2312"/>
          <w:kern w:val="0"/>
          <w:sz w:val="30"/>
          <w:szCs w:val="30"/>
        </w:rPr>
      </w:pPr>
      <w:r>
        <w:rPr>
          <w:rFonts w:eastAsia="楷体_GB2312"/>
          <w:kern w:val="0"/>
          <w:sz w:val="30"/>
          <w:szCs w:val="30"/>
        </w:rPr>
        <w:t>（二）与中央配套事项</w:t>
      </w:r>
    </w:p>
    <w:p w14:paraId="215F86D2">
      <w:pPr>
        <w:widowControl/>
        <w:ind w:firstLine="600" w:firstLineChars="200"/>
        <w:jc w:val="left"/>
        <w:rPr>
          <w:rFonts w:eastAsia="仿宋_GB2312"/>
          <w:kern w:val="0"/>
          <w:sz w:val="30"/>
          <w:szCs w:val="30"/>
        </w:rPr>
      </w:pPr>
      <w:r>
        <w:rPr>
          <w:rFonts w:eastAsia="仿宋_GB2312"/>
          <w:kern w:val="0"/>
          <w:sz w:val="30"/>
          <w:szCs w:val="30"/>
        </w:rPr>
        <w:t>中共昆明市盘龙区委组织部</w:t>
      </w:r>
      <w:r>
        <w:rPr>
          <w:rFonts w:hint="eastAsia" w:eastAsia="仿宋_GB2312"/>
          <w:kern w:val="0"/>
          <w:sz w:val="30"/>
          <w:szCs w:val="30"/>
        </w:rPr>
        <w:t>无中央配套事项。</w:t>
      </w:r>
    </w:p>
    <w:p w14:paraId="55B11D0F">
      <w:pPr>
        <w:widowControl/>
        <w:ind w:firstLine="602" w:firstLineChars="200"/>
        <w:jc w:val="left"/>
        <w:rPr>
          <w:rFonts w:eastAsia="仿宋_GB2312"/>
          <w:b/>
          <w:kern w:val="0"/>
          <w:sz w:val="30"/>
          <w:szCs w:val="30"/>
        </w:rPr>
      </w:pPr>
      <w:r>
        <w:rPr>
          <w:rFonts w:eastAsia="仿宋_GB2312"/>
          <w:b/>
          <w:kern w:val="0"/>
          <w:sz w:val="30"/>
          <w:szCs w:val="30"/>
        </w:rPr>
        <w:t>（</w:t>
      </w:r>
      <w:r>
        <w:rPr>
          <w:rFonts w:eastAsia="楷体_GB2312"/>
          <w:kern w:val="0"/>
          <w:sz w:val="30"/>
          <w:szCs w:val="30"/>
        </w:rPr>
        <w:t>三）按既定政策标准测算补助事项</w:t>
      </w:r>
    </w:p>
    <w:p w14:paraId="44E4274B">
      <w:pPr>
        <w:widowControl/>
        <w:ind w:firstLine="600" w:firstLineChars="200"/>
        <w:jc w:val="left"/>
        <w:rPr>
          <w:rFonts w:eastAsia="仿宋_GB2312"/>
          <w:color w:val="000000" w:themeColor="text1"/>
          <w:kern w:val="0"/>
          <w:sz w:val="30"/>
          <w:szCs w:val="30"/>
        </w:rPr>
      </w:pPr>
      <w:r>
        <w:rPr>
          <w:rFonts w:eastAsia="仿宋_GB2312"/>
          <w:kern w:val="0"/>
          <w:sz w:val="30"/>
          <w:szCs w:val="30"/>
        </w:rPr>
        <w:t>中共昆明市盘龙区委组织部</w:t>
      </w:r>
      <w:r>
        <w:rPr>
          <w:rFonts w:hint="eastAsia" w:eastAsia="仿宋_GB2312"/>
          <w:color w:val="000000" w:themeColor="text1"/>
          <w:kern w:val="0"/>
          <w:sz w:val="30"/>
          <w:szCs w:val="30"/>
        </w:rPr>
        <w:t>无既定政策标准测算补助事项</w:t>
      </w:r>
    </w:p>
    <w:p w14:paraId="61050EE8">
      <w:pPr>
        <w:widowControl/>
        <w:ind w:firstLine="600" w:firstLineChars="200"/>
        <w:jc w:val="left"/>
        <w:rPr>
          <w:rFonts w:eastAsia="黑体"/>
          <w:kern w:val="0"/>
          <w:sz w:val="30"/>
          <w:szCs w:val="30"/>
        </w:rPr>
      </w:pPr>
      <w:r>
        <w:rPr>
          <w:rFonts w:hAnsi="黑体" w:eastAsia="黑体"/>
          <w:kern w:val="0"/>
          <w:sz w:val="30"/>
          <w:szCs w:val="30"/>
        </w:rPr>
        <w:t>六、政府采购预算情况</w:t>
      </w:r>
    </w:p>
    <w:p w14:paraId="43A086D8">
      <w:pPr>
        <w:widowControl/>
        <w:ind w:firstLine="600" w:firstLineChars="200"/>
        <w:jc w:val="left"/>
        <w:rPr>
          <w:rFonts w:eastAsia="仿宋_GB2312"/>
          <w:kern w:val="0"/>
          <w:sz w:val="30"/>
          <w:szCs w:val="30"/>
        </w:rPr>
      </w:pPr>
      <w:r>
        <w:rPr>
          <w:rFonts w:eastAsia="仿宋_GB2312"/>
          <w:kern w:val="0"/>
          <w:sz w:val="30"/>
          <w:szCs w:val="30"/>
        </w:rPr>
        <w:t>2020年</w:t>
      </w:r>
      <w:r>
        <w:rPr>
          <w:rFonts w:hint="eastAsia" w:eastAsia="仿宋_GB2312"/>
          <w:kern w:val="0"/>
          <w:sz w:val="30"/>
          <w:szCs w:val="30"/>
        </w:rPr>
        <w:t>中共昆明市盘龙区委组织部</w:t>
      </w:r>
      <w:r>
        <w:rPr>
          <w:rFonts w:eastAsia="仿宋_GB2312"/>
          <w:kern w:val="0"/>
          <w:sz w:val="30"/>
          <w:szCs w:val="30"/>
        </w:rPr>
        <w:t>无政府采购预算</w:t>
      </w:r>
      <w:r>
        <w:rPr>
          <w:rFonts w:hint="eastAsia" w:eastAsia="仿宋_GB2312"/>
          <w:kern w:val="0"/>
          <w:sz w:val="30"/>
          <w:szCs w:val="30"/>
        </w:rPr>
        <w:t>。</w:t>
      </w:r>
    </w:p>
    <w:p w14:paraId="2B336954">
      <w:pPr>
        <w:ind w:firstLine="600" w:firstLineChars="200"/>
        <w:rPr>
          <w:rFonts w:eastAsia="黑体"/>
          <w:sz w:val="30"/>
          <w:szCs w:val="30"/>
        </w:rPr>
      </w:pPr>
      <w:r>
        <w:rPr>
          <w:rFonts w:hAnsi="黑体" w:eastAsia="黑体"/>
          <w:kern w:val="0"/>
          <w:sz w:val="30"/>
          <w:szCs w:val="30"/>
        </w:rPr>
        <w:t>七、部门</w:t>
      </w:r>
      <w:r>
        <w:rPr>
          <w:rFonts w:eastAsia="黑体"/>
          <w:kern w:val="0"/>
          <w:sz w:val="30"/>
          <w:szCs w:val="30"/>
        </w:rPr>
        <w:t>“</w:t>
      </w:r>
      <w:r>
        <w:rPr>
          <w:rFonts w:hAnsi="黑体" w:eastAsia="黑体"/>
          <w:kern w:val="0"/>
          <w:sz w:val="30"/>
          <w:szCs w:val="30"/>
        </w:rPr>
        <w:t>三公</w:t>
      </w:r>
      <w:r>
        <w:rPr>
          <w:rFonts w:eastAsia="黑体"/>
          <w:kern w:val="0"/>
          <w:sz w:val="30"/>
          <w:szCs w:val="30"/>
        </w:rPr>
        <w:t>”</w:t>
      </w:r>
      <w:r>
        <w:rPr>
          <w:rFonts w:hAnsi="黑体" w:eastAsia="黑体"/>
          <w:kern w:val="0"/>
          <w:sz w:val="30"/>
          <w:szCs w:val="30"/>
        </w:rPr>
        <w:t>经费增减变化情况及原因说明</w:t>
      </w:r>
    </w:p>
    <w:p w14:paraId="76D2AFEF">
      <w:pPr>
        <w:widowControl/>
        <w:ind w:firstLine="600" w:firstLineChars="200"/>
        <w:jc w:val="left"/>
        <w:rPr>
          <w:rFonts w:eastAsia="仿宋_GB2312"/>
          <w:kern w:val="0"/>
          <w:sz w:val="30"/>
          <w:szCs w:val="30"/>
        </w:rPr>
      </w:pPr>
      <w:r>
        <w:rPr>
          <w:rFonts w:hint="eastAsia" w:eastAsia="仿宋_GB2312"/>
          <w:kern w:val="0"/>
          <w:sz w:val="30"/>
          <w:szCs w:val="30"/>
        </w:rPr>
        <w:t>中共昆明市盘龙区委组织部</w:t>
      </w:r>
      <w:r>
        <w:rPr>
          <w:rFonts w:eastAsia="仿宋_GB2312"/>
          <w:kern w:val="0"/>
          <w:sz w:val="30"/>
          <w:szCs w:val="30"/>
        </w:rPr>
        <w:t>2020年一般公共预算财政拨款“三公”经费预算合计</w:t>
      </w:r>
      <w:r>
        <w:rPr>
          <w:rFonts w:hint="eastAsia" w:eastAsia="仿宋_GB2312"/>
          <w:kern w:val="0"/>
          <w:sz w:val="30"/>
          <w:szCs w:val="30"/>
        </w:rPr>
        <w:t>7.20</w:t>
      </w:r>
      <w:r>
        <w:rPr>
          <w:rFonts w:eastAsia="仿宋_GB2312"/>
          <w:kern w:val="0"/>
          <w:sz w:val="30"/>
          <w:szCs w:val="30"/>
        </w:rPr>
        <w:t>万元，</w:t>
      </w:r>
      <w:r>
        <w:rPr>
          <w:rFonts w:hint="eastAsia" w:eastAsia="仿宋_GB2312"/>
          <w:kern w:val="0"/>
          <w:sz w:val="30"/>
          <w:szCs w:val="30"/>
        </w:rPr>
        <w:t>较上年增加0万元，增长0%。</w:t>
      </w:r>
    </w:p>
    <w:p w14:paraId="21A31C9E">
      <w:pPr>
        <w:widowControl/>
        <w:ind w:firstLine="600" w:firstLineChars="200"/>
        <w:jc w:val="left"/>
        <w:rPr>
          <w:rFonts w:eastAsia="楷体_GB2312"/>
          <w:kern w:val="0"/>
          <w:sz w:val="30"/>
          <w:szCs w:val="30"/>
        </w:rPr>
      </w:pPr>
      <w:r>
        <w:rPr>
          <w:rFonts w:eastAsia="楷体_GB2312"/>
          <w:kern w:val="0"/>
          <w:sz w:val="30"/>
          <w:szCs w:val="30"/>
        </w:rPr>
        <w:t>（一）因公出国（境）费</w:t>
      </w:r>
    </w:p>
    <w:p w14:paraId="7FCBB70F">
      <w:pPr>
        <w:widowControl/>
        <w:ind w:firstLine="600" w:firstLineChars="200"/>
        <w:jc w:val="left"/>
        <w:rPr>
          <w:rFonts w:eastAsia="仿宋_GB2312"/>
          <w:kern w:val="0"/>
          <w:sz w:val="30"/>
          <w:szCs w:val="30"/>
        </w:rPr>
      </w:pPr>
      <w:r>
        <w:rPr>
          <w:rFonts w:hint="eastAsia" w:eastAsia="仿宋_GB2312"/>
          <w:kern w:val="0"/>
          <w:sz w:val="30"/>
          <w:szCs w:val="30"/>
        </w:rPr>
        <w:t>中共昆明市盘龙区委组织部</w:t>
      </w:r>
      <w:r>
        <w:rPr>
          <w:rFonts w:eastAsia="仿宋_GB2312"/>
          <w:kern w:val="0"/>
          <w:sz w:val="30"/>
          <w:szCs w:val="30"/>
        </w:rPr>
        <w:t>2020年因公出国（境）费预算为</w:t>
      </w:r>
      <w:r>
        <w:rPr>
          <w:rFonts w:hint="eastAsia" w:eastAsia="仿宋_GB2312"/>
          <w:kern w:val="0"/>
          <w:sz w:val="30"/>
          <w:szCs w:val="30"/>
        </w:rPr>
        <w:t>0</w:t>
      </w:r>
      <w:r>
        <w:rPr>
          <w:rFonts w:eastAsia="仿宋_GB2312"/>
          <w:kern w:val="0"/>
          <w:sz w:val="30"/>
          <w:szCs w:val="30"/>
        </w:rPr>
        <w:t>万元，</w:t>
      </w:r>
      <w:r>
        <w:rPr>
          <w:rFonts w:hint="eastAsia" w:eastAsia="仿宋_GB2312"/>
          <w:kern w:val="0"/>
          <w:sz w:val="30"/>
          <w:szCs w:val="30"/>
        </w:rPr>
        <w:t>较上年增加0万元，增长0%</w:t>
      </w:r>
      <w:r>
        <w:rPr>
          <w:rFonts w:eastAsia="仿宋_GB2312"/>
          <w:kern w:val="0"/>
          <w:sz w:val="30"/>
          <w:szCs w:val="30"/>
        </w:rPr>
        <w:t>。</w:t>
      </w:r>
    </w:p>
    <w:p w14:paraId="45F3DD12">
      <w:pPr>
        <w:widowControl/>
        <w:ind w:firstLine="600" w:firstLineChars="200"/>
        <w:jc w:val="left"/>
        <w:rPr>
          <w:rFonts w:eastAsia="楷体_GB2312"/>
          <w:kern w:val="0"/>
          <w:sz w:val="30"/>
          <w:szCs w:val="30"/>
        </w:rPr>
      </w:pPr>
      <w:r>
        <w:rPr>
          <w:rFonts w:eastAsia="楷体_GB2312"/>
          <w:kern w:val="0"/>
          <w:sz w:val="30"/>
          <w:szCs w:val="30"/>
        </w:rPr>
        <w:t>（二）公务接待费</w:t>
      </w:r>
    </w:p>
    <w:p w14:paraId="384CC76F">
      <w:pPr>
        <w:widowControl/>
        <w:ind w:firstLine="600" w:firstLineChars="200"/>
        <w:jc w:val="left"/>
        <w:rPr>
          <w:rFonts w:eastAsia="仿宋_GB2312"/>
          <w:kern w:val="0"/>
          <w:sz w:val="30"/>
          <w:szCs w:val="30"/>
        </w:rPr>
      </w:pPr>
      <w:r>
        <w:rPr>
          <w:rFonts w:hint="eastAsia" w:eastAsia="仿宋_GB2312"/>
          <w:kern w:val="0"/>
          <w:sz w:val="30"/>
          <w:szCs w:val="30"/>
        </w:rPr>
        <w:t>中共昆明市盘龙区委组织部</w:t>
      </w:r>
      <w:r>
        <w:rPr>
          <w:rFonts w:eastAsia="仿宋_GB2312"/>
          <w:kern w:val="0"/>
          <w:sz w:val="30"/>
          <w:szCs w:val="30"/>
        </w:rPr>
        <w:t>部门2020年公务接待费预算为</w:t>
      </w:r>
      <w:r>
        <w:rPr>
          <w:rFonts w:hint="eastAsia" w:eastAsia="仿宋_GB2312"/>
          <w:kern w:val="0"/>
          <w:sz w:val="30"/>
          <w:szCs w:val="30"/>
        </w:rPr>
        <w:t>5.00</w:t>
      </w:r>
      <w:r>
        <w:rPr>
          <w:rFonts w:eastAsia="仿宋_GB2312"/>
          <w:kern w:val="0"/>
          <w:sz w:val="30"/>
          <w:szCs w:val="30"/>
        </w:rPr>
        <w:t>万元，</w:t>
      </w:r>
      <w:r>
        <w:rPr>
          <w:rFonts w:hint="eastAsia" w:eastAsia="仿宋_GB2312"/>
          <w:kern w:val="0"/>
          <w:sz w:val="30"/>
          <w:szCs w:val="30"/>
        </w:rPr>
        <w:t>较上年增加0万元，增长0%</w:t>
      </w:r>
      <w:r>
        <w:rPr>
          <w:rFonts w:eastAsia="仿宋_GB2312"/>
          <w:kern w:val="0"/>
          <w:sz w:val="30"/>
          <w:szCs w:val="30"/>
        </w:rPr>
        <w:t>，国内公务接待批次为</w:t>
      </w:r>
      <w:r>
        <w:rPr>
          <w:rFonts w:hint="eastAsia" w:eastAsia="仿宋_GB2312"/>
          <w:kern w:val="0"/>
          <w:sz w:val="30"/>
          <w:szCs w:val="30"/>
        </w:rPr>
        <w:t>3</w:t>
      </w:r>
      <w:r>
        <w:rPr>
          <w:rFonts w:eastAsia="仿宋_GB2312"/>
          <w:kern w:val="0"/>
          <w:sz w:val="30"/>
          <w:szCs w:val="30"/>
        </w:rPr>
        <w:t>次，共计接待</w:t>
      </w:r>
      <w:r>
        <w:rPr>
          <w:rFonts w:hint="eastAsia" w:eastAsia="仿宋_GB2312"/>
          <w:kern w:val="0"/>
          <w:sz w:val="30"/>
          <w:szCs w:val="30"/>
        </w:rPr>
        <w:t>65</w:t>
      </w:r>
      <w:r>
        <w:rPr>
          <w:rFonts w:eastAsia="仿宋_GB2312"/>
          <w:kern w:val="0"/>
          <w:sz w:val="30"/>
          <w:szCs w:val="30"/>
        </w:rPr>
        <w:t>人次。</w:t>
      </w:r>
    </w:p>
    <w:p w14:paraId="26FFB6EB">
      <w:pPr>
        <w:widowControl/>
        <w:ind w:firstLine="600" w:firstLineChars="200"/>
        <w:jc w:val="left"/>
        <w:rPr>
          <w:rFonts w:eastAsia="楷体_GB2312"/>
          <w:kern w:val="0"/>
          <w:sz w:val="30"/>
          <w:szCs w:val="30"/>
        </w:rPr>
      </w:pPr>
      <w:r>
        <w:rPr>
          <w:rFonts w:eastAsia="楷体_GB2312"/>
          <w:kern w:val="0"/>
          <w:sz w:val="30"/>
          <w:szCs w:val="30"/>
        </w:rPr>
        <w:t>（三）公务用车购置及运行维护费</w:t>
      </w:r>
    </w:p>
    <w:p w14:paraId="5EE5A657">
      <w:pPr>
        <w:widowControl/>
        <w:ind w:firstLine="600" w:firstLineChars="200"/>
        <w:jc w:val="left"/>
        <w:rPr>
          <w:rFonts w:eastAsia="仿宋_GB2312"/>
          <w:kern w:val="0"/>
          <w:sz w:val="30"/>
          <w:szCs w:val="30"/>
        </w:rPr>
      </w:pPr>
      <w:r>
        <w:rPr>
          <w:rFonts w:hint="eastAsia" w:eastAsia="仿宋_GB2312"/>
          <w:kern w:val="0"/>
          <w:sz w:val="30"/>
          <w:szCs w:val="30"/>
        </w:rPr>
        <w:t>中共昆明市盘龙区委组织部</w:t>
      </w:r>
      <w:r>
        <w:rPr>
          <w:rFonts w:eastAsia="仿宋_GB2312"/>
          <w:kern w:val="0"/>
          <w:sz w:val="30"/>
          <w:szCs w:val="30"/>
        </w:rPr>
        <w:t>部门2020年公务用车购置及运行维护费为</w:t>
      </w:r>
      <w:r>
        <w:rPr>
          <w:rFonts w:hint="eastAsia" w:eastAsia="仿宋_GB2312"/>
          <w:kern w:val="0"/>
          <w:sz w:val="30"/>
          <w:szCs w:val="30"/>
        </w:rPr>
        <w:t>2.20</w:t>
      </w:r>
      <w:r>
        <w:rPr>
          <w:rFonts w:eastAsia="仿宋_GB2312"/>
          <w:kern w:val="0"/>
          <w:sz w:val="30"/>
          <w:szCs w:val="30"/>
        </w:rPr>
        <w:t>万元，</w:t>
      </w:r>
      <w:r>
        <w:rPr>
          <w:rFonts w:hint="eastAsia" w:eastAsia="仿宋_GB2312"/>
          <w:kern w:val="0"/>
          <w:sz w:val="30"/>
          <w:szCs w:val="30"/>
        </w:rPr>
        <w:t>较上年增加0万元，增长0%</w:t>
      </w:r>
      <w:r>
        <w:rPr>
          <w:rFonts w:eastAsia="仿宋_GB2312"/>
          <w:kern w:val="0"/>
          <w:sz w:val="30"/>
          <w:szCs w:val="30"/>
        </w:rPr>
        <w:t>。其中：公务用车购置费</w:t>
      </w:r>
      <w:r>
        <w:rPr>
          <w:rFonts w:hint="eastAsia" w:eastAsia="仿宋_GB2312"/>
          <w:kern w:val="0"/>
          <w:sz w:val="30"/>
          <w:szCs w:val="30"/>
        </w:rPr>
        <w:t>0</w:t>
      </w:r>
      <w:r>
        <w:rPr>
          <w:rFonts w:eastAsia="仿宋_GB2312"/>
          <w:kern w:val="0"/>
          <w:sz w:val="30"/>
          <w:szCs w:val="30"/>
        </w:rPr>
        <w:t>万元，</w:t>
      </w:r>
      <w:r>
        <w:rPr>
          <w:rFonts w:hint="eastAsia" w:eastAsia="仿宋_GB2312"/>
          <w:kern w:val="0"/>
          <w:sz w:val="30"/>
          <w:szCs w:val="30"/>
        </w:rPr>
        <w:t>较上年增加0万元，增长0%</w:t>
      </w:r>
      <w:r>
        <w:rPr>
          <w:rFonts w:eastAsia="仿宋_GB2312"/>
          <w:kern w:val="0"/>
          <w:sz w:val="30"/>
          <w:szCs w:val="30"/>
        </w:rPr>
        <w:t>；公务用车运行维护费</w:t>
      </w:r>
      <w:r>
        <w:rPr>
          <w:rFonts w:hint="eastAsia" w:eastAsia="仿宋_GB2312"/>
          <w:kern w:val="0"/>
          <w:sz w:val="30"/>
          <w:szCs w:val="30"/>
        </w:rPr>
        <w:t>2.20</w:t>
      </w:r>
      <w:r>
        <w:rPr>
          <w:rFonts w:eastAsia="仿宋_GB2312"/>
          <w:kern w:val="0"/>
          <w:sz w:val="30"/>
          <w:szCs w:val="30"/>
        </w:rPr>
        <w:t>万元，</w:t>
      </w:r>
      <w:r>
        <w:rPr>
          <w:rFonts w:hint="eastAsia" w:eastAsia="仿宋_GB2312"/>
          <w:kern w:val="0"/>
          <w:sz w:val="30"/>
          <w:szCs w:val="30"/>
        </w:rPr>
        <w:t>较上年增加0万元，增长0%</w:t>
      </w:r>
      <w:r>
        <w:rPr>
          <w:rFonts w:eastAsia="仿宋_GB2312"/>
          <w:kern w:val="0"/>
          <w:sz w:val="30"/>
          <w:szCs w:val="30"/>
        </w:rPr>
        <w:t>。共计购置公务用车</w:t>
      </w:r>
      <w:r>
        <w:rPr>
          <w:rFonts w:hint="eastAsia" w:eastAsia="仿宋_GB2312"/>
          <w:kern w:val="0"/>
          <w:sz w:val="30"/>
          <w:szCs w:val="30"/>
        </w:rPr>
        <w:t>1</w:t>
      </w:r>
      <w:r>
        <w:rPr>
          <w:rFonts w:eastAsia="仿宋_GB2312"/>
          <w:kern w:val="0"/>
          <w:sz w:val="30"/>
          <w:szCs w:val="30"/>
        </w:rPr>
        <w:t>辆，年末公务用车保有量为</w:t>
      </w:r>
      <w:r>
        <w:rPr>
          <w:rFonts w:hint="eastAsia" w:eastAsia="仿宋_GB2312"/>
          <w:kern w:val="0"/>
          <w:sz w:val="30"/>
          <w:szCs w:val="30"/>
        </w:rPr>
        <w:t>1</w:t>
      </w:r>
      <w:r>
        <w:rPr>
          <w:rFonts w:eastAsia="仿宋_GB2312"/>
          <w:kern w:val="0"/>
          <w:sz w:val="30"/>
          <w:szCs w:val="30"/>
        </w:rPr>
        <w:t>辆。</w:t>
      </w:r>
    </w:p>
    <w:p w14:paraId="7B637779">
      <w:pPr>
        <w:widowControl/>
        <w:ind w:firstLine="600" w:firstLineChars="200"/>
        <w:jc w:val="left"/>
        <w:rPr>
          <w:rFonts w:eastAsia="黑体"/>
          <w:kern w:val="0"/>
          <w:sz w:val="30"/>
          <w:szCs w:val="30"/>
        </w:rPr>
      </w:pPr>
      <w:r>
        <w:rPr>
          <w:rFonts w:hAnsi="黑体" w:eastAsia="黑体"/>
          <w:kern w:val="0"/>
          <w:sz w:val="30"/>
          <w:szCs w:val="30"/>
        </w:rPr>
        <w:t>八、重点项目预算绩效目标情况</w:t>
      </w:r>
    </w:p>
    <w:p w14:paraId="4936BE97">
      <w:pPr>
        <w:widowControl/>
        <w:ind w:firstLine="600" w:firstLineChars="200"/>
        <w:jc w:val="left"/>
        <w:rPr>
          <w:rFonts w:eastAsia="仿宋_GB2312"/>
          <w:kern w:val="0"/>
          <w:sz w:val="30"/>
          <w:szCs w:val="30"/>
        </w:rPr>
      </w:pPr>
      <w:r>
        <w:rPr>
          <w:rFonts w:hint="eastAsia" w:eastAsia="仿宋_GB2312"/>
          <w:kern w:val="0"/>
          <w:sz w:val="30"/>
          <w:szCs w:val="30"/>
        </w:rPr>
        <w:t>中共昆明市盘龙区委组织部依据2020年部门预算和各责任科室工作计划，并结合以前年度工作经验，预计常规性费用。对五个重点项目预算进行绩效申报，科学、合理设置数量指标、质量指标、时效指标、成本指标、经济效益指标、社会效益指标、生态效益指标、可持续影响指标及服务对象满意度指标。中共昆明市盘龙区委组织部2020年将严格按单位年度计划，及时、高效地使用各项专项经费，认真完成预算内的各项绩效指标，圆满完成各项工作目标任务。十个重点项目明细如下：</w:t>
      </w:r>
    </w:p>
    <w:p w14:paraId="33A7A18A">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rPr>
        <w:t>党员教育培训经费30.00万元</w:t>
      </w:r>
    </w:p>
    <w:p w14:paraId="5F7EC1F2">
      <w:pPr>
        <w:widowControl/>
        <w:ind w:firstLine="600" w:firstLineChars="200"/>
        <w:jc w:val="left"/>
        <w:rPr>
          <w:rFonts w:eastAsia="仿宋_GB2312"/>
          <w:kern w:val="0"/>
          <w:sz w:val="30"/>
          <w:szCs w:val="30"/>
        </w:rPr>
      </w:pPr>
      <w:r>
        <w:rPr>
          <w:rFonts w:hint="eastAsia" w:eastAsia="仿宋_GB2312"/>
          <w:kern w:val="0"/>
          <w:sz w:val="30"/>
          <w:szCs w:val="30"/>
        </w:rPr>
        <w:t>根据省、市《2014-2018年党员教育规划》，省委组织部《关于加强乡镇（街道）党校建设管理为党员集中培训提供保障的通知》，农村（社区）党员培训经费按每人每年不少于50元标准列入州（市）、县（市、区）年度财政预算，全区农村党员3324，社区党员7750，用于党员教育培训。</w:t>
      </w:r>
    </w:p>
    <w:p w14:paraId="6876CC26">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rPr>
        <w:t>全区干部教育培训经费150.00万</w:t>
      </w:r>
    </w:p>
    <w:p w14:paraId="31920173">
      <w:pPr>
        <w:widowControl/>
        <w:ind w:firstLine="600" w:firstLineChars="200"/>
        <w:jc w:val="left"/>
        <w:rPr>
          <w:rFonts w:eastAsia="仿宋_GB2312"/>
          <w:kern w:val="0"/>
          <w:sz w:val="30"/>
          <w:szCs w:val="30"/>
        </w:rPr>
      </w:pPr>
      <w:r>
        <w:rPr>
          <w:rFonts w:eastAsia="仿宋_GB2312"/>
          <w:kern w:val="0"/>
          <w:sz w:val="30"/>
          <w:szCs w:val="30"/>
        </w:rPr>
        <w:t>结合我区干部队伍建设实际需求，以加强中国特色社会主义理论体系学习为首要任务，全面推进理论武装、理想信念教育、能力培训，有针对性地开展干部教育工作。</w:t>
      </w:r>
    </w:p>
    <w:p w14:paraId="1C34836C">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rPr>
        <w:t>老干部走访经费75.15万元</w:t>
      </w:r>
    </w:p>
    <w:p w14:paraId="5CE563C7">
      <w:pPr>
        <w:widowControl/>
        <w:ind w:firstLine="600" w:firstLineChars="200"/>
        <w:jc w:val="left"/>
        <w:rPr>
          <w:rFonts w:eastAsia="仿宋_GB2312"/>
          <w:kern w:val="0"/>
          <w:sz w:val="30"/>
          <w:szCs w:val="30"/>
        </w:rPr>
      </w:pPr>
      <w:r>
        <w:rPr>
          <w:rFonts w:eastAsia="仿宋_GB2312"/>
          <w:kern w:val="0"/>
          <w:sz w:val="30"/>
          <w:szCs w:val="30"/>
        </w:rPr>
        <w:t>在重大节日期间开展看望慰问老干部的活动，是我们党的优良作风和光荣传统，是党委、政府关心爱护老干部的具体体现。根据省市委组织部关于在春节期间开展走访慰问生活困难党员、老党员和老干部活动的要求，在春节来临之际，切实做好我区春节期间走访慰问全区离退休干部工作。</w:t>
      </w:r>
    </w:p>
    <w:p w14:paraId="4205F2E2">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rPr>
        <w:t>“两新”组织党建工作补助经费332.20万元</w:t>
      </w:r>
    </w:p>
    <w:p w14:paraId="1A0E0E5A">
      <w:pPr>
        <w:widowControl/>
        <w:ind w:firstLine="600" w:firstLineChars="200"/>
        <w:jc w:val="left"/>
        <w:rPr>
          <w:rFonts w:eastAsia="仿宋_GB2312"/>
          <w:kern w:val="0"/>
          <w:sz w:val="30"/>
          <w:szCs w:val="30"/>
        </w:rPr>
      </w:pPr>
      <w:r>
        <w:rPr>
          <w:rFonts w:eastAsia="仿宋_GB2312"/>
          <w:kern w:val="0"/>
          <w:sz w:val="30"/>
          <w:szCs w:val="30"/>
        </w:rPr>
        <w:t>根据《昆明市非公有制经济组织和社会组织“基层党建提升年”实施方案》昆组通〔2017〕30号通知要求，每年给予“两新”组织1万元，党总支5000元，党支部3000元的党建工作补助经费，给予每名身份为“两新”组织正式从业人员的党组织书记每月不少于100元的专项工作津贴，给予每名“两新”组织党员每年不少于100元的教育培训经费。</w:t>
      </w:r>
    </w:p>
    <w:p w14:paraId="2A7E29EF">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rPr>
        <w:t>云岭先锋在盘龙工作经费40.00万元</w:t>
      </w:r>
    </w:p>
    <w:p w14:paraId="3F4078C0">
      <w:pPr>
        <w:widowControl/>
        <w:ind w:firstLine="600" w:firstLineChars="200"/>
        <w:jc w:val="left"/>
        <w:rPr>
          <w:rFonts w:eastAsia="仿宋_GB2312"/>
          <w:kern w:val="0"/>
          <w:sz w:val="30"/>
          <w:szCs w:val="30"/>
        </w:rPr>
      </w:pPr>
      <w:r>
        <w:rPr>
          <w:rFonts w:eastAsia="仿宋_GB2312"/>
          <w:kern w:val="0"/>
          <w:sz w:val="30"/>
          <w:szCs w:val="30"/>
        </w:rPr>
        <w:t>落实党内激励关怀措施，2020年需要帮扶的党员群众得到及时关心和关爱，解决生活中的临时性困难。</w:t>
      </w:r>
    </w:p>
    <w:p w14:paraId="41A54525">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rPr>
        <w:t>“人才特区”建设经费90.00万元</w:t>
      </w:r>
    </w:p>
    <w:p w14:paraId="3332B45A">
      <w:pPr>
        <w:widowControl/>
        <w:ind w:firstLine="600" w:firstLineChars="200"/>
        <w:jc w:val="left"/>
        <w:rPr>
          <w:rFonts w:eastAsia="仿宋_GB2312"/>
          <w:kern w:val="0"/>
          <w:sz w:val="30"/>
          <w:szCs w:val="30"/>
        </w:rPr>
      </w:pPr>
      <w:r>
        <w:rPr>
          <w:rFonts w:eastAsia="仿宋_GB2312"/>
          <w:kern w:val="0"/>
          <w:sz w:val="30"/>
          <w:szCs w:val="30"/>
        </w:rPr>
        <w:t>通过组织实施5-10个“人才之光”服务项目，推动优秀人才开展工作创新、业务攻关、技术革新等促进发展的创造性工作，促进人才队伍持续发展，帮助解决辖区群众生产和生活困难的工作。</w:t>
      </w:r>
    </w:p>
    <w:p w14:paraId="604AF65D">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rPr>
        <w:t>公务员招录工作经费22.00万元</w:t>
      </w:r>
    </w:p>
    <w:p w14:paraId="2C827789">
      <w:pPr>
        <w:widowControl/>
        <w:ind w:firstLine="600" w:firstLineChars="200"/>
        <w:jc w:val="left"/>
        <w:rPr>
          <w:rFonts w:eastAsia="仿宋_GB2312"/>
          <w:kern w:val="0"/>
          <w:sz w:val="30"/>
          <w:szCs w:val="30"/>
        </w:rPr>
      </w:pPr>
      <w:r>
        <w:rPr>
          <w:rFonts w:eastAsia="仿宋_GB2312"/>
          <w:kern w:val="0"/>
          <w:sz w:val="30"/>
          <w:szCs w:val="30"/>
        </w:rPr>
        <w:t>按照《公务员录用规定（试行）》及2020年云南省公务员招考公告及2020年盘龙区公务员选调公告开展2020年盘龙区公务员招录及选调工作。</w:t>
      </w:r>
    </w:p>
    <w:p w14:paraId="3A5B9DDF">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rPr>
        <w:t>对口帮扶贫困地区党建经费100.00万元</w:t>
      </w:r>
    </w:p>
    <w:p w14:paraId="44D63DCE">
      <w:pPr>
        <w:widowControl/>
        <w:ind w:firstLine="600" w:firstLineChars="200"/>
        <w:jc w:val="left"/>
        <w:rPr>
          <w:rFonts w:eastAsia="仿宋_GB2312"/>
          <w:kern w:val="0"/>
          <w:sz w:val="30"/>
          <w:szCs w:val="30"/>
        </w:rPr>
      </w:pPr>
      <w:r>
        <w:rPr>
          <w:rFonts w:eastAsia="仿宋_GB2312"/>
          <w:kern w:val="0"/>
          <w:sz w:val="30"/>
          <w:szCs w:val="30"/>
        </w:rPr>
        <w:t>在盘龙区的支持下，协助香格里拉市党建工作开展，通过协作交流，促使两地基层党组织得到加强、队伍素质有提高、脱贫攻坚有成效。盘龙援助党建项目顺利开展，为民服务取得新成效，基层组织建设进一步加强，边疆社会更加和谐稳定。</w:t>
      </w:r>
    </w:p>
    <w:p w14:paraId="6E1A11C7">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rPr>
        <w:t>离退休干部党组织党建工作经费57.00万元</w:t>
      </w:r>
    </w:p>
    <w:p w14:paraId="646B10C8">
      <w:pPr>
        <w:widowControl/>
        <w:ind w:firstLine="600" w:firstLineChars="200"/>
        <w:jc w:val="left"/>
        <w:rPr>
          <w:rFonts w:eastAsia="仿宋_GB2312"/>
          <w:kern w:val="0"/>
          <w:sz w:val="30"/>
          <w:szCs w:val="30"/>
        </w:rPr>
      </w:pPr>
      <w:r>
        <w:rPr>
          <w:rFonts w:eastAsia="仿宋_GB2312"/>
          <w:kern w:val="0"/>
          <w:sz w:val="30"/>
          <w:szCs w:val="30"/>
        </w:rPr>
        <w:t>1.离退休干部党组织工作经费，截止2018年9月底共有78个离退休干部党支部，每个支部每年经费不少于3000元，离退休干部党组织班子成员工作补贴，78个书记每人每月不少于300元；2.离退休干部“示范党支部”创建工作经费按每年新增3-5个计划，预算50000元，成熟一个创建一个；3.离退休党组织党刊征订经费450份，每份72元。</w:t>
      </w:r>
    </w:p>
    <w:p w14:paraId="2B908971">
      <w:pPr>
        <w:widowControl/>
        <w:numPr>
          <w:ilvl w:val="0"/>
          <w:numId w:val="3"/>
        </w:numPr>
        <w:ind w:firstLine="600" w:firstLineChars="200"/>
        <w:jc w:val="left"/>
        <w:rPr>
          <w:rFonts w:eastAsia="仿宋_GB2312"/>
          <w:kern w:val="0"/>
          <w:sz w:val="30"/>
          <w:szCs w:val="30"/>
        </w:rPr>
      </w:pPr>
      <w:r>
        <w:rPr>
          <w:rFonts w:hint="eastAsia" w:eastAsia="仿宋_GB2312"/>
          <w:kern w:val="0"/>
          <w:sz w:val="30"/>
          <w:szCs w:val="30"/>
        </w:rPr>
        <w:t>区级党建工作经费70.02万元</w:t>
      </w:r>
    </w:p>
    <w:p w14:paraId="7550E032">
      <w:pPr>
        <w:widowControl/>
        <w:ind w:firstLine="600" w:firstLineChars="200"/>
        <w:jc w:val="left"/>
        <w:rPr>
          <w:rFonts w:eastAsia="仿宋_GB2312"/>
          <w:kern w:val="0"/>
          <w:sz w:val="30"/>
          <w:szCs w:val="30"/>
        </w:rPr>
      </w:pPr>
      <w:r>
        <w:rPr>
          <w:rFonts w:eastAsia="仿宋_GB2312"/>
          <w:kern w:val="0"/>
          <w:sz w:val="30"/>
          <w:szCs w:val="30"/>
        </w:rPr>
        <w:t>做好2019年度述职评议考核工作、基层党建考核，党建建设工作领导小组会议、基层党建工作例会、市内学习培训，购买党费证、党员徽章、党内法规条例等，统筹对2020年区级19个党工委党建工作（城市、农村、机关、事业单位、中小学、离退休）进行补助，对各基层党组织的活动场所建设及配套设施等进行补助，对基层党组织开展活动对年度培育的示范点进行补助。</w:t>
      </w:r>
    </w:p>
    <w:p w14:paraId="52C7A50B">
      <w:pPr>
        <w:widowControl/>
        <w:ind w:firstLine="600" w:firstLineChars="200"/>
        <w:jc w:val="left"/>
        <w:rPr>
          <w:rFonts w:eastAsia="仿宋_GB2312"/>
          <w:kern w:val="0"/>
          <w:sz w:val="30"/>
          <w:szCs w:val="30"/>
        </w:rPr>
      </w:pPr>
    </w:p>
    <w:p w14:paraId="53D99DA7">
      <w:pPr>
        <w:widowControl/>
        <w:ind w:firstLine="600" w:firstLineChars="200"/>
        <w:jc w:val="left"/>
        <w:rPr>
          <w:rFonts w:eastAsia="楷体"/>
          <w:kern w:val="0"/>
          <w:sz w:val="30"/>
          <w:szCs w:val="30"/>
        </w:rPr>
      </w:pPr>
      <w:r>
        <w:rPr>
          <w:rFonts w:hAnsi="黑体" w:eastAsia="黑体"/>
          <w:kern w:val="0"/>
          <w:sz w:val="30"/>
          <w:szCs w:val="30"/>
        </w:rPr>
        <w:t>九、其他公开信息</w:t>
      </w:r>
    </w:p>
    <w:p w14:paraId="6BB0630D">
      <w:pPr>
        <w:widowControl/>
        <w:ind w:firstLine="600" w:firstLineChars="200"/>
        <w:jc w:val="left"/>
        <w:rPr>
          <w:rFonts w:eastAsia="楷体_GB2312"/>
          <w:kern w:val="0"/>
          <w:sz w:val="30"/>
          <w:szCs w:val="30"/>
        </w:rPr>
      </w:pPr>
      <w:r>
        <w:rPr>
          <w:rFonts w:eastAsia="楷体_GB2312"/>
          <w:kern w:val="0"/>
          <w:sz w:val="30"/>
          <w:szCs w:val="30"/>
        </w:rPr>
        <w:t>（一）专业名词解释</w:t>
      </w:r>
    </w:p>
    <w:p w14:paraId="5409ACA4">
      <w:pPr>
        <w:widowControl/>
        <w:ind w:firstLine="600" w:firstLineChars="200"/>
        <w:jc w:val="left"/>
        <w:rPr>
          <w:rFonts w:eastAsia="仿宋_GB2312"/>
          <w:b/>
          <w:kern w:val="0"/>
          <w:sz w:val="30"/>
          <w:szCs w:val="30"/>
        </w:rPr>
      </w:pPr>
      <w:r>
        <w:rPr>
          <w:rFonts w:eastAsia="仿宋_GB2312"/>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14:paraId="357B8942">
      <w:pPr>
        <w:widowControl/>
        <w:ind w:firstLine="600" w:firstLineChars="200"/>
        <w:jc w:val="left"/>
        <w:rPr>
          <w:rFonts w:eastAsia="仿宋_GB2312"/>
          <w:kern w:val="0"/>
          <w:sz w:val="30"/>
          <w:szCs w:val="30"/>
        </w:rPr>
      </w:pPr>
      <w:r>
        <w:rPr>
          <w:rFonts w:eastAsia="楷体_GB2312"/>
          <w:kern w:val="0"/>
          <w:sz w:val="30"/>
          <w:szCs w:val="30"/>
        </w:rPr>
        <w:t>（二）机关运行经费安排变化情况及原因说明</w:t>
      </w:r>
    </w:p>
    <w:p w14:paraId="2589E9D8">
      <w:pPr>
        <w:widowControl/>
        <w:ind w:firstLine="600" w:firstLineChars="200"/>
        <w:jc w:val="left"/>
        <w:rPr>
          <w:rFonts w:eastAsia="仿宋_GB2312"/>
          <w:kern w:val="0"/>
          <w:sz w:val="30"/>
          <w:szCs w:val="30"/>
        </w:rPr>
      </w:pPr>
      <w:r>
        <w:rPr>
          <w:rFonts w:hint="eastAsia" w:eastAsia="仿宋_GB2312"/>
          <w:kern w:val="0"/>
          <w:sz w:val="30"/>
          <w:szCs w:val="30"/>
        </w:rPr>
        <w:t>中共昆明市盘龙区委组织部</w:t>
      </w:r>
      <w:r>
        <w:rPr>
          <w:rFonts w:eastAsia="仿宋_GB2312"/>
          <w:kern w:val="0"/>
          <w:sz w:val="30"/>
          <w:szCs w:val="30"/>
        </w:rPr>
        <w:t>2020年机关运行经费安排</w:t>
      </w:r>
      <w:r>
        <w:rPr>
          <w:rFonts w:hint="eastAsia" w:eastAsia="仿宋_GB2312"/>
          <w:kern w:val="0"/>
          <w:sz w:val="30"/>
          <w:szCs w:val="30"/>
        </w:rPr>
        <w:t>12,553.82</w:t>
      </w:r>
      <w:r>
        <w:rPr>
          <w:rFonts w:eastAsia="仿宋_GB2312"/>
          <w:kern w:val="0"/>
          <w:sz w:val="30"/>
          <w:szCs w:val="30"/>
        </w:rPr>
        <w:t>万元，与上年对比</w:t>
      </w:r>
      <w:r>
        <w:rPr>
          <w:rFonts w:hint="eastAsia" w:eastAsia="仿宋_GB2312"/>
          <w:kern w:val="0"/>
          <w:sz w:val="30"/>
          <w:szCs w:val="30"/>
        </w:rPr>
        <w:t>增加12,168.64万元</w:t>
      </w:r>
      <w:r>
        <w:rPr>
          <w:rFonts w:eastAsia="楷体"/>
          <w:kern w:val="0"/>
          <w:sz w:val="30"/>
          <w:szCs w:val="30"/>
        </w:rPr>
        <w:t>，</w:t>
      </w:r>
      <w:r>
        <w:rPr>
          <w:rFonts w:eastAsia="仿宋_GB2312"/>
          <w:kern w:val="0"/>
          <w:sz w:val="30"/>
          <w:szCs w:val="30"/>
        </w:rPr>
        <w:t>主要原因</w:t>
      </w:r>
      <w:r>
        <w:rPr>
          <w:rFonts w:hint="eastAsia" w:eastAsia="仿宋_GB2312"/>
          <w:kern w:val="0"/>
          <w:sz w:val="30"/>
          <w:szCs w:val="30"/>
        </w:rPr>
        <w:t>是对家庭和个人的补助增加11,885.60万元</w:t>
      </w:r>
      <w:r>
        <w:rPr>
          <w:rFonts w:eastAsia="仿宋_GB2312"/>
          <w:kern w:val="0"/>
          <w:sz w:val="30"/>
          <w:szCs w:val="30"/>
        </w:rPr>
        <w:t>。</w:t>
      </w:r>
    </w:p>
    <w:p w14:paraId="0BEC5CCC">
      <w:pPr>
        <w:widowControl/>
        <w:ind w:firstLine="600" w:firstLineChars="200"/>
        <w:jc w:val="left"/>
        <w:rPr>
          <w:rFonts w:eastAsia="楷体_GB2312"/>
          <w:kern w:val="0"/>
          <w:sz w:val="30"/>
          <w:szCs w:val="30"/>
        </w:rPr>
      </w:pPr>
      <w:r>
        <w:rPr>
          <w:rFonts w:eastAsia="楷体_GB2312"/>
          <w:kern w:val="0"/>
          <w:sz w:val="30"/>
          <w:szCs w:val="30"/>
        </w:rPr>
        <w:t>（三）国有资产占用情况</w:t>
      </w:r>
    </w:p>
    <w:p w14:paraId="17E760F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600"/>
        <w:jc w:val="both"/>
        <w:rPr>
          <w:rFonts w:hint="eastAsia" w:ascii="微软雅黑" w:hAnsi="微软雅黑" w:eastAsia="微软雅黑" w:cs="微软雅黑"/>
          <w:i w:val="0"/>
          <w:iCs w:val="0"/>
          <w:caps w:val="0"/>
          <w:color w:val="666666"/>
          <w:spacing w:val="0"/>
          <w:sz w:val="24"/>
          <w:szCs w:val="24"/>
        </w:rPr>
      </w:pPr>
      <w:r>
        <w:rPr>
          <w:rFonts w:hint="eastAsia" w:ascii="仿宋_GB2312" w:hAnsi="微软雅黑" w:eastAsia="仿宋_GB2312" w:cs="仿宋_GB2312"/>
          <w:i w:val="0"/>
          <w:iCs w:val="0"/>
          <w:caps w:val="0"/>
          <w:color w:val="000000"/>
          <w:spacing w:val="0"/>
          <w:sz w:val="30"/>
          <w:szCs w:val="30"/>
          <w:shd w:val="clear" w:fill="FFFFFF"/>
        </w:rPr>
        <w:t>截至2019年12月31日，昆明市盘龙区委员会组织部资产总额748.5</w:t>
      </w:r>
      <w:r>
        <w:rPr>
          <w:rFonts w:hint="eastAsia" w:ascii="仿宋_GB2312" w:hAnsi="微软雅黑" w:eastAsia="仿宋_GB2312" w:cs="仿宋_GB2312"/>
          <w:i w:val="0"/>
          <w:iCs w:val="0"/>
          <w:caps w:val="0"/>
          <w:color w:val="000000"/>
          <w:spacing w:val="0"/>
          <w:sz w:val="30"/>
          <w:szCs w:val="30"/>
          <w:shd w:val="clear" w:fill="FFFFFF"/>
          <w:lang w:val="en-US" w:eastAsia="zh-CN"/>
        </w:rPr>
        <w:t>3</w:t>
      </w:r>
      <w:r>
        <w:rPr>
          <w:rFonts w:hint="eastAsia" w:ascii="仿宋_GB2312" w:hAnsi="微软雅黑" w:eastAsia="仿宋_GB2312" w:cs="仿宋_GB2312"/>
          <w:i w:val="0"/>
          <w:iCs w:val="0"/>
          <w:caps w:val="0"/>
          <w:color w:val="000000"/>
          <w:spacing w:val="0"/>
          <w:sz w:val="30"/>
          <w:szCs w:val="30"/>
          <w:shd w:val="clear" w:fill="FFFFFF"/>
        </w:rPr>
        <w:t>万元，其中，流动资产733.3</w:t>
      </w:r>
      <w:r>
        <w:rPr>
          <w:rFonts w:hint="eastAsia" w:ascii="仿宋_GB2312" w:hAnsi="微软雅黑" w:eastAsia="仿宋_GB2312" w:cs="仿宋_GB2312"/>
          <w:i w:val="0"/>
          <w:iCs w:val="0"/>
          <w:caps w:val="0"/>
          <w:color w:val="000000"/>
          <w:spacing w:val="0"/>
          <w:sz w:val="30"/>
          <w:szCs w:val="30"/>
          <w:shd w:val="clear" w:fill="FFFFFF"/>
          <w:lang w:val="en-US" w:eastAsia="zh-CN"/>
        </w:rPr>
        <w:t>5</w:t>
      </w:r>
      <w:r>
        <w:rPr>
          <w:rFonts w:hint="eastAsia" w:ascii="仿宋_GB2312" w:hAnsi="微软雅黑" w:eastAsia="仿宋_GB2312" w:cs="仿宋_GB2312"/>
          <w:i w:val="0"/>
          <w:iCs w:val="0"/>
          <w:caps w:val="0"/>
          <w:color w:val="000000"/>
          <w:spacing w:val="0"/>
          <w:sz w:val="30"/>
          <w:szCs w:val="30"/>
          <w:shd w:val="clear" w:fill="FFFFFF"/>
        </w:rPr>
        <w:t>万元，固定资产15.18万元，对外投资及有价证券0.00万元，在建工程0.00万元，无形资产0.00万元，其他资产0.00万元（具体内容详见附表）。与上年相比，本年资产总额增加591.08万元，其中固定资产减少5.70万元。处置房屋建筑物0.00平方米，账面原值0.00万元；处置车辆0辆，账面原值0.00万元；报废报损资产0项，账面原值0.00万元，实现资产处置收入0.00万元；出租房屋0.00平方米，账面原值0.00万元，实现资产使用收入0.00万元。</w:t>
      </w:r>
    </w:p>
    <w:tbl>
      <w:tblPr>
        <w:tblStyle w:val="5"/>
        <w:tblW w:w="9646" w:type="dxa"/>
        <w:tblInd w:w="0" w:type="dxa"/>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633"/>
        <w:gridCol w:w="484"/>
        <w:gridCol w:w="687"/>
        <w:gridCol w:w="675"/>
        <w:gridCol w:w="559"/>
        <w:gridCol w:w="592"/>
        <w:gridCol w:w="562"/>
        <w:gridCol w:w="750"/>
        <w:gridCol w:w="225"/>
        <w:gridCol w:w="884"/>
        <w:gridCol w:w="217"/>
        <w:gridCol w:w="927"/>
        <w:gridCol w:w="611"/>
        <w:gridCol w:w="604"/>
        <w:gridCol w:w="200"/>
        <w:gridCol w:w="670"/>
        <w:gridCol w:w="126"/>
        <w:gridCol w:w="240"/>
      </w:tblGrid>
      <w:tr w14:paraId="60E74AA3">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95" w:hRule="atLeast"/>
        </w:trPr>
        <w:tc>
          <w:tcPr>
            <w:tcW w:w="9406" w:type="dxa"/>
            <w:gridSpan w:val="17"/>
            <w:tcBorders>
              <w:top w:val="single" w:color="333333" w:sz="6" w:space="0"/>
              <w:left w:val="single" w:color="333333" w:sz="6" w:space="0"/>
              <w:bottom w:val="single" w:color="333333" w:sz="6" w:space="0"/>
              <w:right w:val="single" w:color="333333" w:sz="6" w:space="0"/>
            </w:tcBorders>
            <w:shd w:val="clear" w:color="auto" w:fill="FFFFFF"/>
            <w:tcMar>
              <w:top w:w="15" w:type="dxa"/>
              <w:left w:w="15" w:type="dxa"/>
              <w:bottom w:w="15" w:type="dxa"/>
              <w:right w:w="15" w:type="dxa"/>
            </w:tcMar>
            <w:vAlign w:val="bottom"/>
          </w:tcPr>
          <w:p w14:paraId="770129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Style w:val="7"/>
                <w:rFonts w:hint="eastAsia" w:ascii="仿宋_GB2312" w:hAnsi="微软雅黑" w:eastAsia="仿宋_GB2312" w:cs="仿宋_GB2312"/>
                <w:b/>
                <w:bCs/>
                <w:i w:val="0"/>
                <w:iCs w:val="0"/>
                <w:caps w:val="0"/>
                <w:color w:val="000000"/>
                <w:spacing w:val="0"/>
                <w:sz w:val="30"/>
                <w:szCs w:val="30"/>
              </w:rPr>
              <w:t>国有资产占有使用情况表</w:t>
            </w:r>
          </w:p>
        </w:tc>
        <w:tc>
          <w:tcPr>
            <w:tcW w:w="240" w:type="dxa"/>
            <w:tcBorders>
              <w:top w:val="single" w:color="333333" w:sz="6" w:space="0"/>
              <w:left w:val="single" w:color="333333" w:sz="6" w:space="0"/>
              <w:bottom w:val="single" w:color="333333" w:sz="6" w:space="0"/>
              <w:right w:val="single" w:color="333333" w:sz="6" w:space="0"/>
            </w:tcBorders>
            <w:shd w:val="clear" w:color="auto" w:fill="FFFFFF"/>
            <w:vAlign w:val="bottom"/>
          </w:tcPr>
          <w:p w14:paraId="34F45ADD">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r>
      <w:tr w14:paraId="12175F27">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345" w:hRule="atLeast"/>
        </w:trPr>
        <w:tc>
          <w:tcPr>
            <w:tcW w:w="4192" w:type="dxa"/>
            <w:gridSpan w:val="7"/>
            <w:tcBorders>
              <w:top w:val="nil"/>
              <w:left w:val="nil"/>
              <w:bottom w:val="single" w:color="808080" w:sz="6" w:space="0"/>
              <w:right w:val="nil"/>
            </w:tcBorders>
            <w:shd w:val="clear" w:color="auto" w:fill="FFFFFF"/>
            <w:tcMar>
              <w:top w:w="15" w:type="dxa"/>
              <w:left w:w="15" w:type="dxa"/>
              <w:bottom w:w="15" w:type="dxa"/>
              <w:right w:w="15" w:type="dxa"/>
            </w:tcMar>
            <w:vAlign w:val="bottom"/>
          </w:tcPr>
          <w:p w14:paraId="2258D633">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975" w:type="dxa"/>
            <w:gridSpan w:val="2"/>
            <w:tcBorders>
              <w:top w:val="nil"/>
              <w:left w:val="nil"/>
              <w:bottom w:val="single" w:color="808080" w:sz="6" w:space="0"/>
              <w:right w:val="nil"/>
            </w:tcBorders>
            <w:shd w:val="clear" w:color="auto" w:fill="FFFFFF"/>
            <w:tcMar>
              <w:top w:w="15" w:type="dxa"/>
              <w:left w:w="15" w:type="dxa"/>
              <w:bottom w:w="15" w:type="dxa"/>
              <w:right w:w="15" w:type="dxa"/>
            </w:tcMar>
            <w:vAlign w:val="bottom"/>
          </w:tcPr>
          <w:p w14:paraId="790AED50">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884" w:type="dxa"/>
            <w:tcBorders>
              <w:top w:val="nil"/>
              <w:left w:val="nil"/>
              <w:bottom w:val="single" w:color="808080" w:sz="6" w:space="0"/>
              <w:right w:val="nil"/>
            </w:tcBorders>
            <w:shd w:val="clear" w:color="auto" w:fill="FFFFFF"/>
            <w:tcMar>
              <w:top w:w="15" w:type="dxa"/>
              <w:left w:w="15" w:type="dxa"/>
              <w:bottom w:w="15" w:type="dxa"/>
              <w:right w:w="15" w:type="dxa"/>
            </w:tcMar>
            <w:vAlign w:val="bottom"/>
          </w:tcPr>
          <w:p w14:paraId="2A5CE574">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217" w:type="dxa"/>
            <w:tcBorders>
              <w:top w:val="nil"/>
              <w:left w:val="nil"/>
              <w:bottom w:val="single" w:color="808080" w:sz="6" w:space="0"/>
              <w:right w:val="nil"/>
            </w:tcBorders>
            <w:shd w:val="clear" w:color="auto" w:fill="FFFFFF"/>
            <w:tcMar>
              <w:top w:w="15" w:type="dxa"/>
              <w:left w:w="15" w:type="dxa"/>
              <w:bottom w:w="15" w:type="dxa"/>
              <w:right w:w="15" w:type="dxa"/>
            </w:tcMar>
            <w:vAlign w:val="bottom"/>
          </w:tcPr>
          <w:p w14:paraId="099BCA57">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927" w:type="dxa"/>
            <w:tcBorders>
              <w:top w:val="nil"/>
              <w:left w:val="nil"/>
              <w:bottom w:val="single" w:color="808080" w:sz="6" w:space="0"/>
              <w:right w:val="nil"/>
            </w:tcBorders>
            <w:shd w:val="clear" w:color="auto" w:fill="FFFFFF"/>
            <w:tcMar>
              <w:top w:w="15" w:type="dxa"/>
              <w:left w:w="15" w:type="dxa"/>
              <w:bottom w:w="15" w:type="dxa"/>
              <w:right w:w="15" w:type="dxa"/>
            </w:tcMar>
            <w:vAlign w:val="bottom"/>
          </w:tcPr>
          <w:p w14:paraId="33A7DF2A">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611" w:type="dxa"/>
            <w:tcBorders>
              <w:top w:val="nil"/>
              <w:left w:val="nil"/>
              <w:bottom w:val="single" w:color="808080" w:sz="6" w:space="0"/>
              <w:right w:val="nil"/>
            </w:tcBorders>
            <w:shd w:val="clear" w:color="auto" w:fill="FFFFFF"/>
            <w:tcMar>
              <w:top w:w="15" w:type="dxa"/>
              <w:left w:w="15" w:type="dxa"/>
              <w:bottom w:w="15" w:type="dxa"/>
              <w:right w:w="15" w:type="dxa"/>
            </w:tcMar>
            <w:vAlign w:val="bottom"/>
          </w:tcPr>
          <w:p w14:paraId="514019B2">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1600" w:type="dxa"/>
            <w:gridSpan w:val="4"/>
            <w:tcBorders>
              <w:top w:val="nil"/>
              <w:left w:val="nil"/>
              <w:bottom w:val="single" w:color="808080" w:sz="6" w:space="0"/>
              <w:right w:val="nil"/>
            </w:tcBorders>
            <w:shd w:val="clear" w:color="auto" w:fill="FFFFFF"/>
            <w:tcMar>
              <w:top w:w="15" w:type="dxa"/>
              <w:left w:w="15" w:type="dxa"/>
              <w:bottom w:w="15" w:type="dxa"/>
              <w:right w:w="15" w:type="dxa"/>
            </w:tcMar>
            <w:vAlign w:val="bottom"/>
          </w:tcPr>
          <w:p w14:paraId="42C665B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right"/>
              <w:textAlignment w:val="center"/>
              <w:rPr>
                <w:sz w:val="24"/>
                <w:szCs w:val="24"/>
              </w:rPr>
            </w:pPr>
            <w:r>
              <w:rPr>
                <w:rFonts w:hint="eastAsia" w:ascii="宋体" w:hAnsi="宋体" w:eastAsia="宋体" w:cs="宋体"/>
                <w:i w:val="0"/>
                <w:iCs w:val="0"/>
                <w:caps w:val="0"/>
                <w:color w:val="000000"/>
                <w:spacing w:val="0"/>
                <w:sz w:val="19"/>
                <w:szCs w:val="19"/>
              </w:rPr>
              <w:t>单位：万元</w:t>
            </w:r>
          </w:p>
        </w:tc>
        <w:tc>
          <w:tcPr>
            <w:tcW w:w="240" w:type="dxa"/>
            <w:tcBorders>
              <w:top w:val="single" w:color="333333" w:sz="6" w:space="0"/>
              <w:left w:val="single" w:color="333333" w:sz="6" w:space="0"/>
              <w:bottom w:val="single" w:color="333333" w:sz="6" w:space="0"/>
              <w:right w:val="single" w:color="333333" w:sz="6" w:space="0"/>
            </w:tcBorders>
            <w:shd w:val="clear" w:color="auto" w:fill="FFFFFF"/>
            <w:vAlign w:val="bottom"/>
          </w:tcPr>
          <w:p w14:paraId="23158109">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r>
      <w:tr w14:paraId="6DE0D09C">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shd w:val="clear" w:color="auto" w:fill="FFFFFF"/>
          <w:tblCellMar>
            <w:top w:w="0" w:type="dxa"/>
            <w:left w:w="0" w:type="dxa"/>
            <w:bottom w:w="0" w:type="dxa"/>
            <w:right w:w="0" w:type="dxa"/>
          </w:tblCellMar>
        </w:tblPrEx>
        <w:trPr>
          <w:trHeight w:val="420" w:hRule="atLeast"/>
        </w:trPr>
        <w:tc>
          <w:tcPr>
            <w:tcW w:w="633" w:type="dxa"/>
            <w:vMerge w:val="restart"/>
            <w:tcBorders>
              <w:top w:val="nil"/>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bottom"/>
          </w:tcPr>
          <w:p w14:paraId="1E7E7C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项目</w:t>
            </w:r>
          </w:p>
        </w:tc>
        <w:tc>
          <w:tcPr>
            <w:tcW w:w="484" w:type="dxa"/>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1440E81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行次</w:t>
            </w:r>
          </w:p>
        </w:tc>
        <w:tc>
          <w:tcPr>
            <w:tcW w:w="687" w:type="dxa"/>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5B73B3E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资产总额</w:t>
            </w:r>
          </w:p>
        </w:tc>
        <w:tc>
          <w:tcPr>
            <w:tcW w:w="675" w:type="dxa"/>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45DD4AE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流动资产</w:t>
            </w:r>
          </w:p>
        </w:tc>
        <w:tc>
          <w:tcPr>
            <w:tcW w:w="3789" w:type="dxa"/>
            <w:gridSpan w:val="7"/>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3C1F30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固定资产</w:t>
            </w:r>
          </w:p>
        </w:tc>
        <w:tc>
          <w:tcPr>
            <w:tcW w:w="927" w:type="dxa"/>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28DA5F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对外投资/有价证券</w:t>
            </w:r>
          </w:p>
        </w:tc>
        <w:tc>
          <w:tcPr>
            <w:tcW w:w="611" w:type="dxa"/>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1DF0B6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在建工程</w:t>
            </w:r>
          </w:p>
        </w:tc>
        <w:tc>
          <w:tcPr>
            <w:tcW w:w="804" w:type="dxa"/>
            <w:gridSpan w:val="2"/>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21CF0B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无形资产</w:t>
            </w:r>
          </w:p>
        </w:tc>
        <w:tc>
          <w:tcPr>
            <w:tcW w:w="796" w:type="dxa"/>
            <w:gridSpan w:val="2"/>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04CA80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其他资产</w:t>
            </w:r>
          </w:p>
        </w:tc>
        <w:tc>
          <w:tcPr>
            <w:tcW w:w="240" w:type="dxa"/>
            <w:tcBorders>
              <w:top w:val="single" w:color="333333" w:sz="6" w:space="0"/>
              <w:left w:val="single" w:color="333333" w:sz="6" w:space="0"/>
              <w:bottom w:val="single" w:color="333333" w:sz="6" w:space="0"/>
              <w:right w:val="single" w:color="333333" w:sz="6" w:space="0"/>
            </w:tcBorders>
            <w:shd w:val="clear" w:color="auto" w:fill="FFFFFF"/>
            <w:vAlign w:val="bottom"/>
          </w:tcPr>
          <w:p w14:paraId="188FAE38">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r>
      <w:tr w14:paraId="2D35EF4E">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45" w:hRule="atLeast"/>
        </w:trPr>
        <w:tc>
          <w:tcPr>
            <w:tcW w:w="633" w:type="dxa"/>
            <w:vMerge w:val="continue"/>
            <w:tcBorders>
              <w:top w:val="nil"/>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bottom"/>
          </w:tcPr>
          <w:p w14:paraId="2EB23F3C">
            <w:pPr>
              <w:jc w:val="center"/>
              <w:rPr>
                <w:rFonts w:hint="eastAsia" w:ascii="微软雅黑" w:hAnsi="微软雅黑" w:eastAsia="微软雅黑" w:cs="微软雅黑"/>
                <w:i w:val="0"/>
                <w:iCs w:val="0"/>
                <w:caps w:val="0"/>
                <w:color w:val="525252"/>
                <w:spacing w:val="0"/>
                <w:sz w:val="21"/>
                <w:szCs w:val="21"/>
              </w:rPr>
            </w:pPr>
          </w:p>
        </w:tc>
        <w:tc>
          <w:tcPr>
            <w:tcW w:w="484"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1F3CEDEF">
            <w:pPr>
              <w:jc w:val="center"/>
              <w:rPr>
                <w:rFonts w:hint="eastAsia" w:ascii="微软雅黑" w:hAnsi="微软雅黑" w:eastAsia="微软雅黑" w:cs="微软雅黑"/>
                <w:i w:val="0"/>
                <w:iCs w:val="0"/>
                <w:caps w:val="0"/>
                <w:color w:val="525252"/>
                <w:spacing w:val="0"/>
                <w:sz w:val="21"/>
                <w:szCs w:val="21"/>
              </w:rPr>
            </w:pPr>
          </w:p>
        </w:tc>
        <w:tc>
          <w:tcPr>
            <w:tcW w:w="687"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7CFD3973">
            <w:pPr>
              <w:jc w:val="center"/>
              <w:rPr>
                <w:rFonts w:hint="eastAsia" w:ascii="微软雅黑" w:hAnsi="微软雅黑" w:eastAsia="微软雅黑" w:cs="微软雅黑"/>
                <w:i w:val="0"/>
                <w:iCs w:val="0"/>
                <w:caps w:val="0"/>
                <w:color w:val="525252"/>
                <w:spacing w:val="0"/>
                <w:sz w:val="21"/>
                <w:szCs w:val="21"/>
              </w:rPr>
            </w:pPr>
          </w:p>
        </w:tc>
        <w:tc>
          <w:tcPr>
            <w:tcW w:w="675"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01935D75">
            <w:pPr>
              <w:jc w:val="center"/>
              <w:rPr>
                <w:rFonts w:hint="eastAsia" w:ascii="微软雅黑" w:hAnsi="微软雅黑" w:eastAsia="微软雅黑" w:cs="微软雅黑"/>
                <w:i w:val="0"/>
                <w:iCs w:val="0"/>
                <w:caps w:val="0"/>
                <w:color w:val="525252"/>
                <w:spacing w:val="0"/>
                <w:sz w:val="21"/>
                <w:szCs w:val="21"/>
              </w:rPr>
            </w:pPr>
          </w:p>
        </w:tc>
        <w:tc>
          <w:tcPr>
            <w:tcW w:w="559" w:type="dxa"/>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3D6DFA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小计</w:t>
            </w:r>
          </w:p>
        </w:tc>
        <w:tc>
          <w:tcPr>
            <w:tcW w:w="592" w:type="dxa"/>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19DDC9B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房屋构筑物</w:t>
            </w:r>
          </w:p>
        </w:tc>
        <w:tc>
          <w:tcPr>
            <w:tcW w:w="562" w:type="dxa"/>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62CDA7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车辆</w:t>
            </w:r>
          </w:p>
        </w:tc>
        <w:tc>
          <w:tcPr>
            <w:tcW w:w="750" w:type="dxa"/>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6102AC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单价200万以上大型设备</w:t>
            </w:r>
          </w:p>
        </w:tc>
        <w:tc>
          <w:tcPr>
            <w:tcW w:w="1326" w:type="dxa"/>
            <w:gridSpan w:val="3"/>
            <w:vMerge w:val="restart"/>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2DDACA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其他固定资产</w:t>
            </w:r>
          </w:p>
        </w:tc>
        <w:tc>
          <w:tcPr>
            <w:tcW w:w="927"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34E89656">
            <w:pPr>
              <w:jc w:val="center"/>
              <w:rPr>
                <w:rFonts w:hint="eastAsia" w:ascii="微软雅黑" w:hAnsi="微软雅黑" w:eastAsia="微软雅黑" w:cs="微软雅黑"/>
                <w:i w:val="0"/>
                <w:iCs w:val="0"/>
                <w:caps w:val="0"/>
                <w:color w:val="525252"/>
                <w:spacing w:val="0"/>
                <w:sz w:val="21"/>
                <w:szCs w:val="21"/>
              </w:rPr>
            </w:pPr>
          </w:p>
        </w:tc>
        <w:tc>
          <w:tcPr>
            <w:tcW w:w="611"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536E7F5A">
            <w:pPr>
              <w:jc w:val="center"/>
              <w:rPr>
                <w:rFonts w:hint="eastAsia" w:ascii="微软雅黑" w:hAnsi="微软雅黑" w:eastAsia="微软雅黑" w:cs="微软雅黑"/>
                <w:i w:val="0"/>
                <w:iCs w:val="0"/>
                <w:caps w:val="0"/>
                <w:color w:val="525252"/>
                <w:spacing w:val="0"/>
                <w:sz w:val="21"/>
                <w:szCs w:val="21"/>
              </w:rPr>
            </w:pPr>
          </w:p>
        </w:tc>
        <w:tc>
          <w:tcPr>
            <w:tcW w:w="804" w:type="dxa"/>
            <w:gridSpan w:val="2"/>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12B62B95">
            <w:pPr>
              <w:jc w:val="center"/>
              <w:rPr>
                <w:rFonts w:hint="eastAsia" w:ascii="微软雅黑" w:hAnsi="微软雅黑" w:eastAsia="微软雅黑" w:cs="微软雅黑"/>
                <w:i w:val="0"/>
                <w:iCs w:val="0"/>
                <w:caps w:val="0"/>
                <w:color w:val="525252"/>
                <w:spacing w:val="0"/>
                <w:sz w:val="21"/>
                <w:szCs w:val="21"/>
              </w:rPr>
            </w:pPr>
          </w:p>
        </w:tc>
        <w:tc>
          <w:tcPr>
            <w:tcW w:w="796" w:type="dxa"/>
            <w:gridSpan w:val="2"/>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7D1D0B74">
            <w:pPr>
              <w:jc w:val="center"/>
              <w:rPr>
                <w:rFonts w:hint="eastAsia" w:ascii="微软雅黑" w:hAnsi="微软雅黑" w:eastAsia="微软雅黑" w:cs="微软雅黑"/>
                <w:i w:val="0"/>
                <w:iCs w:val="0"/>
                <w:caps w:val="0"/>
                <w:color w:val="525252"/>
                <w:spacing w:val="0"/>
                <w:sz w:val="21"/>
                <w:szCs w:val="21"/>
              </w:rPr>
            </w:pPr>
          </w:p>
        </w:tc>
        <w:tc>
          <w:tcPr>
            <w:tcW w:w="240" w:type="dxa"/>
            <w:tcBorders>
              <w:top w:val="single" w:color="333333" w:sz="6" w:space="0"/>
              <w:left w:val="single" w:color="333333" w:sz="6" w:space="0"/>
              <w:bottom w:val="single" w:color="333333" w:sz="6" w:space="0"/>
              <w:right w:val="single" w:color="333333" w:sz="6" w:space="0"/>
            </w:tcBorders>
            <w:shd w:val="clear" w:color="auto" w:fill="FFFFFF"/>
            <w:vAlign w:val="bottom"/>
          </w:tcPr>
          <w:p w14:paraId="5E495667">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r>
      <w:tr w14:paraId="4AA892FD">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90" w:hRule="atLeast"/>
        </w:trPr>
        <w:tc>
          <w:tcPr>
            <w:tcW w:w="633" w:type="dxa"/>
            <w:vMerge w:val="continue"/>
            <w:tcBorders>
              <w:top w:val="nil"/>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bottom"/>
          </w:tcPr>
          <w:p w14:paraId="2B93E7B0">
            <w:pPr>
              <w:jc w:val="center"/>
              <w:rPr>
                <w:rFonts w:hint="eastAsia" w:ascii="微软雅黑" w:hAnsi="微软雅黑" w:eastAsia="微软雅黑" w:cs="微软雅黑"/>
                <w:i w:val="0"/>
                <w:iCs w:val="0"/>
                <w:caps w:val="0"/>
                <w:color w:val="525252"/>
                <w:spacing w:val="0"/>
                <w:sz w:val="21"/>
                <w:szCs w:val="21"/>
              </w:rPr>
            </w:pPr>
          </w:p>
        </w:tc>
        <w:tc>
          <w:tcPr>
            <w:tcW w:w="484"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3335EFDA">
            <w:pPr>
              <w:jc w:val="center"/>
              <w:rPr>
                <w:rFonts w:hint="eastAsia" w:ascii="微软雅黑" w:hAnsi="微软雅黑" w:eastAsia="微软雅黑" w:cs="微软雅黑"/>
                <w:i w:val="0"/>
                <w:iCs w:val="0"/>
                <w:caps w:val="0"/>
                <w:color w:val="525252"/>
                <w:spacing w:val="0"/>
                <w:sz w:val="21"/>
                <w:szCs w:val="21"/>
              </w:rPr>
            </w:pPr>
          </w:p>
        </w:tc>
        <w:tc>
          <w:tcPr>
            <w:tcW w:w="687"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15F894ED">
            <w:pPr>
              <w:jc w:val="center"/>
              <w:rPr>
                <w:rFonts w:hint="eastAsia" w:ascii="微软雅黑" w:hAnsi="微软雅黑" w:eastAsia="微软雅黑" w:cs="微软雅黑"/>
                <w:i w:val="0"/>
                <w:iCs w:val="0"/>
                <w:caps w:val="0"/>
                <w:color w:val="525252"/>
                <w:spacing w:val="0"/>
                <w:sz w:val="21"/>
                <w:szCs w:val="21"/>
              </w:rPr>
            </w:pPr>
          </w:p>
        </w:tc>
        <w:tc>
          <w:tcPr>
            <w:tcW w:w="675"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6FA92ABD">
            <w:pPr>
              <w:jc w:val="center"/>
              <w:rPr>
                <w:rFonts w:hint="eastAsia" w:ascii="微软雅黑" w:hAnsi="微软雅黑" w:eastAsia="微软雅黑" w:cs="微软雅黑"/>
                <w:i w:val="0"/>
                <w:iCs w:val="0"/>
                <w:caps w:val="0"/>
                <w:color w:val="525252"/>
                <w:spacing w:val="0"/>
                <w:sz w:val="21"/>
                <w:szCs w:val="21"/>
              </w:rPr>
            </w:pPr>
          </w:p>
        </w:tc>
        <w:tc>
          <w:tcPr>
            <w:tcW w:w="559"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50870377">
            <w:pPr>
              <w:jc w:val="center"/>
              <w:rPr>
                <w:rFonts w:hint="eastAsia" w:ascii="微软雅黑" w:hAnsi="微软雅黑" w:eastAsia="微软雅黑" w:cs="微软雅黑"/>
                <w:i w:val="0"/>
                <w:iCs w:val="0"/>
                <w:caps w:val="0"/>
                <w:color w:val="525252"/>
                <w:spacing w:val="0"/>
                <w:sz w:val="21"/>
                <w:szCs w:val="21"/>
              </w:rPr>
            </w:pPr>
          </w:p>
        </w:tc>
        <w:tc>
          <w:tcPr>
            <w:tcW w:w="592"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6D35C4C0">
            <w:pPr>
              <w:jc w:val="center"/>
              <w:rPr>
                <w:rFonts w:hint="eastAsia" w:ascii="微软雅黑" w:hAnsi="微软雅黑" w:eastAsia="微软雅黑" w:cs="微软雅黑"/>
                <w:i w:val="0"/>
                <w:iCs w:val="0"/>
                <w:caps w:val="0"/>
                <w:color w:val="525252"/>
                <w:spacing w:val="0"/>
                <w:sz w:val="21"/>
                <w:szCs w:val="21"/>
              </w:rPr>
            </w:pPr>
          </w:p>
        </w:tc>
        <w:tc>
          <w:tcPr>
            <w:tcW w:w="562"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793A520B">
            <w:pPr>
              <w:jc w:val="center"/>
              <w:rPr>
                <w:rFonts w:hint="eastAsia" w:ascii="微软雅黑" w:hAnsi="微软雅黑" w:eastAsia="微软雅黑" w:cs="微软雅黑"/>
                <w:i w:val="0"/>
                <w:iCs w:val="0"/>
                <w:caps w:val="0"/>
                <w:color w:val="525252"/>
                <w:spacing w:val="0"/>
                <w:sz w:val="21"/>
                <w:szCs w:val="21"/>
              </w:rPr>
            </w:pPr>
          </w:p>
        </w:tc>
        <w:tc>
          <w:tcPr>
            <w:tcW w:w="750"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4B52C923">
            <w:pPr>
              <w:jc w:val="center"/>
              <w:rPr>
                <w:rFonts w:hint="eastAsia" w:ascii="微软雅黑" w:hAnsi="微软雅黑" w:eastAsia="微软雅黑" w:cs="微软雅黑"/>
                <w:i w:val="0"/>
                <w:iCs w:val="0"/>
                <w:caps w:val="0"/>
                <w:color w:val="525252"/>
                <w:spacing w:val="0"/>
                <w:sz w:val="21"/>
                <w:szCs w:val="21"/>
              </w:rPr>
            </w:pPr>
          </w:p>
        </w:tc>
        <w:tc>
          <w:tcPr>
            <w:tcW w:w="1326" w:type="dxa"/>
            <w:gridSpan w:val="3"/>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640E275C">
            <w:pPr>
              <w:jc w:val="center"/>
              <w:rPr>
                <w:rFonts w:hint="eastAsia" w:ascii="微软雅黑" w:hAnsi="微软雅黑" w:eastAsia="微软雅黑" w:cs="微软雅黑"/>
                <w:i w:val="0"/>
                <w:iCs w:val="0"/>
                <w:caps w:val="0"/>
                <w:color w:val="525252"/>
                <w:spacing w:val="0"/>
                <w:sz w:val="21"/>
                <w:szCs w:val="21"/>
              </w:rPr>
            </w:pPr>
          </w:p>
        </w:tc>
        <w:tc>
          <w:tcPr>
            <w:tcW w:w="927"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6AF69B37">
            <w:pPr>
              <w:jc w:val="center"/>
              <w:rPr>
                <w:rFonts w:hint="eastAsia" w:ascii="微软雅黑" w:hAnsi="微软雅黑" w:eastAsia="微软雅黑" w:cs="微软雅黑"/>
                <w:i w:val="0"/>
                <w:iCs w:val="0"/>
                <w:caps w:val="0"/>
                <w:color w:val="525252"/>
                <w:spacing w:val="0"/>
                <w:sz w:val="21"/>
                <w:szCs w:val="21"/>
              </w:rPr>
            </w:pPr>
          </w:p>
        </w:tc>
        <w:tc>
          <w:tcPr>
            <w:tcW w:w="611" w:type="dxa"/>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289EF594">
            <w:pPr>
              <w:jc w:val="center"/>
              <w:rPr>
                <w:rFonts w:hint="eastAsia" w:ascii="微软雅黑" w:hAnsi="微软雅黑" w:eastAsia="微软雅黑" w:cs="微软雅黑"/>
                <w:i w:val="0"/>
                <w:iCs w:val="0"/>
                <w:caps w:val="0"/>
                <w:color w:val="525252"/>
                <w:spacing w:val="0"/>
                <w:sz w:val="21"/>
                <w:szCs w:val="21"/>
              </w:rPr>
            </w:pPr>
          </w:p>
        </w:tc>
        <w:tc>
          <w:tcPr>
            <w:tcW w:w="804" w:type="dxa"/>
            <w:gridSpan w:val="2"/>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3AA23A4D">
            <w:pPr>
              <w:jc w:val="center"/>
              <w:rPr>
                <w:rFonts w:hint="eastAsia" w:ascii="微软雅黑" w:hAnsi="微软雅黑" w:eastAsia="微软雅黑" w:cs="微软雅黑"/>
                <w:i w:val="0"/>
                <w:iCs w:val="0"/>
                <w:caps w:val="0"/>
                <w:color w:val="525252"/>
                <w:spacing w:val="0"/>
                <w:sz w:val="21"/>
                <w:szCs w:val="21"/>
              </w:rPr>
            </w:pPr>
          </w:p>
        </w:tc>
        <w:tc>
          <w:tcPr>
            <w:tcW w:w="796" w:type="dxa"/>
            <w:gridSpan w:val="2"/>
            <w:vMerge w:val="continue"/>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0C04BAFB">
            <w:pPr>
              <w:jc w:val="center"/>
              <w:rPr>
                <w:rFonts w:hint="eastAsia" w:ascii="微软雅黑" w:hAnsi="微软雅黑" w:eastAsia="微软雅黑" w:cs="微软雅黑"/>
                <w:i w:val="0"/>
                <w:iCs w:val="0"/>
                <w:caps w:val="0"/>
                <w:color w:val="525252"/>
                <w:spacing w:val="0"/>
                <w:sz w:val="21"/>
                <w:szCs w:val="21"/>
              </w:rPr>
            </w:pPr>
          </w:p>
        </w:tc>
        <w:tc>
          <w:tcPr>
            <w:tcW w:w="240" w:type="dxa"/>
            <w:tcBorders>
              <w:top w:val="single" w:color="333333" w:sz="6" w:space="0"/>
              <w:left w:val="single" w:color="333333" w:sz="6" w:space="0"/>
              <w:bottom w:val="single" w:color="333333" w:sz="6" w:space="0"/>
              <w:right w:val="single" w:color="333333" w:sz="6" w:space="0"/>
            </w:tcBorders>
            <w:shd w:val="clear" w:color="auto" w:fill="FFFFFF"/>
            <w:vAlign w:val="bottom"/>
          </w:tcPr>
          <w:p w14:paraId="5B816B23">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r>
      <w:tr w14:paraId="39B4B0AA">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shd w:val="clear" w:color="auto" w:fill="FFFFFF"/>
          <w:tblCellMar>
            <w:top w:w="0" w:type="dxa"/>
            <w:left w:w="0" w:type="dxa"/>
            <w:bottom w:w="0" w:type="dxa"/>
            <w:right w:w="0" w:type="dxa"/>
          </w:tblCellMar>
        </w:tblPrEx>
        <w:trPr>
          <w:trHeight w:val="360" w:hRule="atLeast"/>
        </w:trPr>
        <w:tc>
          <w:tcPr>
            <w:tcW w:w="633" w:type="dxa"/>
            <w:tcBorders>
              <w:top w:val="nil"/>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bottom"/>
          </w:tcPr>
          <w:p w14:paraId="71E968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栏次</w:t>
            </w:r>
          </w:p>
        </w:tc>
        <w:tc>
          <w:tcPr>
            <w:tcW w:w="484"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6F5F921A">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687"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0F951A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1</w:t>
            </w:r>
          </w:p>
        </w:tc>
        <w:tc>
          <w:tcPr>
            <w:tcW w:w="675"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7C8E1E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2</w:t>
            </w:r>
          </w:p>
        </w:tc>
        <w:tc>
          <w:tcPr>
            <w:tcW w:w="559"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2A297B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3</w:t>
            </w:r>
          </w:p>
        </w:tc>
        <w:tc>
          <w:tcPr>
            <w:tcW w:w="592"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4BEA605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4</w:t>
            </w:r>
          </w:p>
        </w:tc>
        <w:tc>
          <w:tcPr>
            <w:tcW w:w="562"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0190BF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5</w:t>
            </w:r>
          </w:p>
        </w:tc>
        <w:tc>
          <w:tcPr>
            <w:tcW w:w="750"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291E2B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6</w:t>
            </w:r>
          </w:p>
        </w:tc>
        <w:tc>
          <w:tcPr>
            <w:tcW w:w="1326" w:type="dxa"/>
            <w:gridSpan w:val="3"/>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5545C3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7</w:t>
            </w:r>
          </w:p>
        </w:tc>
        <w:tc>
          <w:tcPr>
            <w:tcW w:w="927"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32B90F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8</w:t>
            </w:r>
          </w:p>
        </w:tc>
        <w:tc>
          <w:tcPr>
            <w:tcW w:w="611"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267CF0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9</w:t>
            </w:r>
          </w:p>
        </w:tc>
        <w:tc>
          <w:tcPr>
            <w:tcW w:w="804" w:type="dxa"/>
            <w:gridSpan w:val="2"/>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50D4EA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10</w:t>
            </w:r>
          </w:p>
        </w:tc>
        <w:tc>
          <w:tcPr>
            <w:tcW w:w="796" w:type="dxa"/>
            <w:gridSpan w:val="2"/>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6B4147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11</w:t>
            </w:r>
          </w:p>
        </w:tc>
        <w:tc>
          <w:tcPr>
            <w:tcW w:w="240" w:type="dxa"/>
            <w:tcBorders>
              <w:top w:val="single" w:color="333333" w:sz="6" w:space="0"/>
              <w:left w:val="single" w:color="333333" w:sz="6" w:space="0"/>
              <w:bottom w:val="single" w:color="333333" w:sz="6" w:space="0"/>
              <w:right w:val="single" w:color="333333" w:sz="6" w:space="0"/>
            </w:tcBorders>
            <w:shd w:val="clear" w:color="auto" w:fill="FFFFFF"/>
            <w:vAlign w:val="bottom"/>
          </w:tcPr>
          <w:p w14:paraId="3CA8DF45">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r>
      <w:tr w14:paraId="78773019">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570" w:hRule="atLeast"/>
        </w:trPr>
        <w:tc>
          <w:tcPr>
            <w:tcW w:w="633" w:type="dxa"/>
            <w:tcBorders>
              <w:top w:val="nil"/>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bottom"/>
          </w:tcPr>
          <w:p w14:paraId="114C26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合计</w:t>
            </w:r>
          </w:p>
        </w:tc>
        <w:tc>
          <w:tcPr>
            <w:tcW w:w="484"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5C2E6EE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textAlignment w:val="center"/>
              <w:rPr>
                <w:sz w:val="24"/>
                <w:szCs w:val="24"/>
              </w:rPr>
            </w:pPr>
            <w:r>
              <w:rPr>
                <w:rFonts w:hint="eastAsia" w:ascii="宋体" w:hAnsi="宋体" w:eastAsia="宋体" w:cs="宋体"/>
                <w:i w:val="0"/>
                <w:iCs w:val="0"/>
                <w:caps w:val="0"/>
                <w:color w:val="000000"/>
                <w:spacing w:val="0"/>
                <w:sz w:val="19"/>
                <w:szCs w:val="19"/>
              </w:rPr>
              <w:t>1</w:t>
            </w:r>
          </w:p>
        </w:tc>
        <w:tc>
          <w:tcPr>
            <w:tcW w:w="687"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002DF3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748.53</w:t>
            </w:r>
          </w:p>
        </w:tc>
        <w:tc>
          <w:tcPr>
            <w:tcW w:w="675"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1848EC8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733.35</w:t>
            </w:r>
          </w:p>
        </w:tc>
        <w:tc>
          <w:tcPr>
            <w:tcW w:w="559"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35A9F2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15.18</w:t>
            </w:r>
          </w:p>
        </w:tc>
        <w:tc>
          <w:tcPr>
            <w:tcW w:w="592"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019391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0.00</w:t>
            </w:r>
          </w:p>
        </w:tc>
        <w:tc>
          <w:tcPr>
            <w:tcW w:w="562"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04682D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0.00</w:t>
            </w:r>
          </w:p>
        </w:tc>
        <w:tc>
          <w:tcPr>
            <w:tcW w:w="750"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724253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0.00</w:t>
            </w:r>
          </w:p>
        </w:tc>
        <w:tc>
          <w:tcPr>
            <w:tcW w:w="1326" w:type="dxa"/>
            <w:gridSpan w:val="3"/>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50C769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15.18</w:t>
            </w:r>
          </w:p>
        </w:tc>
        <w:tc>
          <w:tcPr>
            <w:tcW w:w="927"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193220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0.00</w:t>
            </w:r>
          </w:p>
        </w:tc>
        <w:tc>
          <w:tcPr>
            <w:tcW w:w="611" w:type="dxa"/>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184D45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0.00</w:t>
            </w:r>
          </w:p>
        </w:tc>
        <w:tc>
          <w:tcPr>
            <w:tcW w:w="804" w:type="dxa"/>
            <w:gridSpan w:val="2"/>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27490C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0.00</w:t>
            </w:r>
          </w:p>
        </w:tc>
        <w:tc>
          <w:tcPr>
            <w:tcW w:w="796" w:type="dxa"/>
            <w:gridSpan w:val="2"/>
            <w:tcBorders>
              <w:top w:val="nil"/>
              <w:left w:val="nil"/>
              <w:bottom w:val="single" w:color="000000" w:sz="6" w:space="0"/>
              <w:right w:val="single" w:color="000000" w:sz="6" w:space="0"/>
            </w:tcBorders>
            <w:shd w:val="clear" w:color="auto" w:fill="FFFFFF"/>
            <w:tcMar>
              <w:top w:w="15" w:type="dxa"/>
              <w:left w:w="15" w:type="dxa"/>
              <w:bottom w:w="15" w:type="dxa"/>
              <w:right w:w="15" w:type="dxa"/>
            </w:tcMar>
            <w:vAlign w:val="bottom"/>
          </w:tcPr>
          <w:p w14:paraId="15EEDB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center"/>
              <w:rPr>
                <w:sz w:val="24"/>
                <w:szCs w:val="24"/>
              </w:rPr>
            </w:pPr>
            <w:r>
              <w:rPr>
                <w:rFonts w:hint="eastAsia" w:ascii="宋体" w:hAnsi="宋体" w:eastAsia="宋体" w:cs="宋体"/>
                <w:i w:val="0"/>
                <w:iCs w:val="0"/>
                <w:caps w:val="0"/>
                <w:color w:val="000000"/>
                <w:spacing w:val="0"/>
                <w:sz w:val="19"/>
                <w:szCs w:val="19"/>
              </w:rPr>
              <w:t>0.00</w:t>
            </w:r>
          </w:p>
        </w:tc>
        <w:tc>
          <w:tcPr>
            <w:tcW w:w="240" w:type="dxa"/>
            <w:tcBorders>
              <w:top w:val="single" w:color="333333" w:sz="6" w:space="0"/>
              <w:left w:val="single" w:color="333333" w:sz="6" w:space="0"/>
              <w:bottom w:val="single" w:color="333333" w:sz="6" w:space="0"/>
              <w:right w:val="single" w:color="333333" w:sz="6" w:space="0"/>
            </w:tcBorders>
            <w:shd w:val="clear" w:color="auto" w:fill="FFFFFF"/>
            <w:vAlign w:val="bottom"/>
          </w:tcPr>
          <w:p w14:paraId="704038BB">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r>
      <w:tr w14:paraId="522DBF52">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56" w:hRule="atLeast"/>
        </w:trPr>
        <w:tc>
          <w:tcPr>
            <w:tcW w:w="7806" w:type="dxa"/>
            <w:gridSpan w:val="13"/>
            <w:tcBorders>
              <w:top w:val="single" w:color="333333" w:sz="6" w:space="0"/>
              <w:left w:val="single" w:color="333333" w:sz="6" w:space="0"/>
              <w:bottom w:val="single" w:color="333333" w:sz="6" w:space="0"/>
              <w:right w:val="single" w:color="333333" w:sz="6" w:space="0"/>
            </w:tcBorders>
            <w:shd w:val="clear" w:color="auto" w:fill="FFFFFF"/>
            <w:tcMar>
              <w:top w:w="15" w:type="dxa"/>
              <w:left w:w="15" w:type="dxa"/>
              <w:bottom w:w="15" w:type="dxa"/>
              <w:right w:w="15" w:type="dxa"/>
            </w:tcMar>
            <w:vAlign w:val="bottom"/>
          </w:tcPr>
          <w:p w14:paraId="61ABBA1A">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604" w:type="dxa"/>
            <w:tcBorders>
              <w:top w:val="single" w:color="333333" w:sz="6" w:space="0"/>
              <w:left w:val="single" w:color="333333" w:sz="6" w:space="0"/>
              <w:bottom w:val="single" w:color="333333" w:sz="6" w:space="0"/>
              <w:right w:val="single" w:color="333333" w:sz="6" w:space="0"/>
            </w:tcBorders>
            <w:shd w:val="clear" w:color="auto" w:fill="FFFFFF"/>
            <w:tcMar>
              <w:top w:w="15" w:type="dxa"/>
              <w:left w:w="15" w:type="dxa"/>
              <w:bottom w:w="15" w:type="dxa"/>
              <w:right w:w="15" w:type="dxa"/>
            </w:tcMar>
            <w:vAlign w:val="bottom"/>
          </w:tcPr>
          <w:p w14:paraId="348596F6">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870" w:type="dxa"/>
            <w:gridSpan w:val="2"/>
            <w:tcBorders>
              <w:top w:val="single" w:color="333333" w:sz="6" w:space="0"/>
              <w:left w:val="single" w:color="333333" w:sz="6" w:space="0"/>
              <w:bottom w:val="single" w:color="333333" w:sz="6" w:space="0"/>
              <w:right w:val="single" w:color="333333" w:sz="6" w:space="0"/>
            </w:tcBorders>
            <w:shd w:val="clear" w:color="auto" w:fill="FFFFFF"/>
            <w:tcMar>
              <w:top w:w="15" w:type="dxa"/>
              <w:left w:w="15" w:type="dxa"/>
              <w:bottom w:w="15" w:type="dxa"/>
              <w:right w:w="15" w:type="dxa"/>
            </w:tcMar>
            <w:vAlign w:val="bottom"/>
          </w:tcPr>
          <w:p w14:paraId="0B83A04A">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126" w:type="dxa"/>
            <w:tcBorders>
              <w:top w:val="single" w:color="333333" w:sz="6" w:space="0"/>
              <w:left w:val="single" w:color="333333" w:sz="6" w:space="0"/>
              <w:bottom w:val="single" w:color="333333" w:sz="6" w:space="0"/>
              <w:right w:val="single" w:color="333333" w:sz="6" w:space="0"/>
            </w:tcBorders>
            <w:shd w:val="clear" w:color="auto" w:fill="FFFFFF"/>
            <w:vAlign w:val="bottom"/>
          </w:tcPr>
          <w:p w14:paraId="0B891B56">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240" w:type="dxa"/>
            <w:tcBorders>
              <w:top w:val="nil"/>
              <w:left w:val="nil"/>
              <w:bottom w:val="nil"/>
              <w:right w:val="nil"/>
            </w:tcBorders>
            <w:shd w:val="clear" w:color="auto" w:fill="FFFFFF"/>
            <w:vAlign w:val="bottom"/>
          </w:tcPr>
          <w:p w14:paraId="03C08D03">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r>
      <w:tr w14:paraId="0779B4B6">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495" w:hRule="atLeast"/>
        </w:trPr>
        <w:tc>
          <w:tcPr>
            <w:tcW w:w="8610" w:type="dxa"/>
            <w:gridSpan w:val="15"/>
            <w:tcBorders>
              <w:top w:val="single" w:color="333333" w:sz="6" w:space="0"/>
              <w:left w:val="single" w:color="333333" w:sz="6" w:space="0"/>
              <w:bottom w:val="single" w:color="333333" w:sz="6" w:space="0"/>
              <w:right w:val="single" w:color="333333" w:sz="6" w:space="0"/>
            </w:tcBorders>
            <w:shd w:val="clear" w:color="auto" w:fill="FFFFFF"/>
            <w:tcMar>
              <w:top w:w="15" w:type="dxa"/>
              <w:left w:w="15" w:type="dxa"/>
              <w:bottom w:w="15" w:type="dxa"/>
              <w:right w:w="15" w:type="dxa"/>
            </w:tcMar>
            <w:vAlign w:val="bottom"/>
          </w:tcPr>
          <w:p w14:paraId="6466FD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both"/>
              <w:rPr>
                <w:sz w:val="24"/>
                <w:szCs w:val="24"/>
              </w:rPr>
            </w:pPr>
            <w:r>
              <w:rPr>
                <w:rFonts w:hint="eastAsia" w:ascii="宋体" w:hAnsi="宋体" w:eastAsia="宋体" w:cs="宋体"/>
                <w:i w:val="0"/>
                <w:iCs w:val="0"/>
                <w:caps w:val="0"/>
                <w:color w:val="000000"/>
                <w:spacing w:val="0"/>
                <w:sz w:val="19"/>
                <w:szCs w:val="19"/>
              </w:rPr>
              <w:t>填报说明：1.资产总额＝流动资产＋固定资产＋对外投资+有价证券＋在建工程＋无形资产＋其他资产</w:t>
            </w:r>
          </w:p>
          <w:p w14:paraId="5D32D7E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1005"/>
              <w:jc w:val="both"/>
              <w:rPr>
                <w:sz w:val="24"/>
                <w:szCs w:val="24"/>
              </w:rPr>
            </w:pPr>
            <w:r>
              <w:rPr>
                <w:rFonts w:hint="eastAsia" w:ascii="宋体" w:hAnsi="宋体" w:eastAsia="宋体" w:cs="宋体"/>
                <w:i w:val="0"/>
                <w:iCs w:val="0"/>
                <w:caps w:val="0"/>
                <w:color w:val="000000"/>
                <w:spacing w:val="0"/>
                <w:sz w:val="19"/>
                <w:szCs w:val="19"/>
              </w:rPr>
              <w:t>2.固定资产＝房屋构筑物＋车辆＋单价200万元以上大型设备＋其他固定资产</w:t>
            </w:r>
          </w:p>
        </w:tc>
        <w:tc>
          <w:tcPr>
            <w:tcW w:w="796" w:type="dxa"/>
            <w:gridSpan w:val="2"/>
            <w:tcBorders>
              <w:top w:val="single" w:color="333333" w:sz="6" w:space="0"/>
              <w:left w:val="single" w:color="333333" w:sz="6" w:space="0"/>
              <w:bottom w:val="single" w:color="333333" w:sz="6" w:space="0"/>
              <w:right w:val="single" w:color="333333" w:sz="6" w:space="0"/>
            </w:tcBorders>
            <w:shd w:val="clear" w:color="auto" w:fill="FFFFFF"/>
            <w:tcMar>
              <w:top w:w="15" w:type="dxa"/>
              <w:left w:w="15" w:type="dxa"/>
              <w:bottom w:w="15" w:type="dxa"/>
              <w:right w:w="15" w:type="dxa"/>
            </w:tcMar>
            <w:vAlign w:val="bottom"/>
          </w:tcPr>
          <w:p w14:paraId="55A18B12">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c>
          <w:tcPr>
            <w:tcW w:w="240" w:type="dxa"/>
            <w:tcBorders>
              <w:top w:val="single" w:color="333333" w:sz="6" w:space="0"/>
              <w:left w:val="single" w:color="333333" w:sz="6" w:space="0"/>
              <w:bottom w:val="single" w:color="333333" w:sz="6" w:space="0"/>
              <w:right w:val="single" w:color="333333" w:sz="6" w:space="0"/>
            </w:tcBorders>
            <w:shd w:val="clear" w:color="auto" w:fill="FFFFFF"/>
            <w:vAlign w:val="bottom"/>
          </w:tcPr>
          <w:p w14:paraId="70D50DCF">
            <w:pPr>
              <w:keepNext w:val="0"/>
              <w:keepLines w:val="0"/>
              <w:widowControl/>
              <w:suppressLineNumbers w:val="0"/>
              <w:spacing w:before="0" w:beforeAutospacing="0" w:after="0" w:afterAutospacing="0"/>
              <w:ind w:left="0" w:right="0" w:firstLine="0"/>
              <w:jc w:val="center"/>
              <w:textAlignment w:val="bottom"/>
              <w:rPr>
                <w:rFonts w:hint="eastAsia" w:ascii="微软雅黑" w:hAnsi="微软雅黑" w:eastAsia="微软雅黑" w:cs="微软雅黑"/>
                <w:i w:val="0"/>
                <w:iCs w:val="0"/>
                <w:caps w:val="0"/>
                <w:color w:val="525252"/>
                <w:spacing w:val="0"/>
                <w:sz w:val="21"/>
                <w:szCs w:val="21"/>
              </w:rPr>
            </w:pPr>
          </w:p>
        </w:tc>
      </w:tr>
    </w:tbl>
    <w:p w14:paraId="10ADD144">
      <w:pPr>
        <w:widowControl/>
        <w:ind w:firstLine="600" w:firstLineChars="200"/>
        <w:jc w:val="left"/>
        <w:rPr>
          <w:rFonts w:eastAsia="黑体"/>
          <w:kern w:val="0"/>
          <w:sz w:val="30"/>
          <w:szCs w:val="30"/>
        </w:rPr>
      </w:pPr>
      <w:r>
        <w:rPr>
          <w:rFonts w:eastAsia="黑体"/>
          <w:kern w:val="0"/>
          <w:sz w:val="30"/>
          <w:szCs w:val="30"/>
        </w:rPr>
        <w:t>十、预算收支增减变化情况说明</w:t>
      </w:r>
    </w:p>
    <w:p w14:paraId="7F8DD11E">
      <w:pPr>
        <w:widowControl/>
        <w:ind w:firstLine="600" w:firstLineChars="200"/>
        <w:jc w:val="left"/>
        <w:rPr>
          <w:rFonts w:eastAsia="楷体_GB2312"/>
          <w:kern w:val="0"/>
          <w:sz w:val="30"/>
          <w:szCs w:val="30"/>
        </w:rPr>
      </w:pPr>
      <w:r>
        <w:rPr>
          <w:rFonts w:eastAsia="楷体_GB2312"/>
          <w:kern w:val="0"/>
          <w:sz w:val="30"/>
          <w:szCs w:val="30"/>
        </w:rPr>
        <w:t>（一）基本支出预算变动的主要原因</w:t>
      </w:r>
    </w:p>
    <w:p w14:paraId="2DB3A252">
      <w:pPr>
        <w:widowControl/>
        <w:ind w:firstLine="600" w:firstLineChars="200"/>
        <w:jc w:val="left"/>
        <w:rPr>
          <w:rFonts w:eastAsia="仿宋_GB2312"/>
          <w:kern w:val="0"/>
          <w:sz w:val="30"/>
          <w:szCs w:val="30"/>
        </w:rPr>
      </w:pPr>
      <w:r>
        <w:rPr>
          <w:rFonts w:hint="eastAsia" w:eastAsia="仿宋_GB2312"/>
          <w:kern w:val="0"/>
          <w:sz w:val="30"/>
          <w:szCs w:val="30"/>
        </w:rPr>
        <w:t>2020</w:t>
      </w:r>
      <w:r>
        <w:rPr>
          <w:rFonts w:eastAsia="仿宋_GB2312"/>
          <w:kern w:val="0"/>
          <w:sz w:val="30"/>
          <w:szCs w:val="30"/>
        </w:rPr>
        <w:t>年本级财力安排</w:t>
      </w:r>
      <w:r>
        <w:rPr>
          <w:rFonts w:hint="eastAsia" w:eastAsia="仿宋_GB2312"/>
          <w:kern w:val="0"/>
          <w:sz w:val="30"/>
          <w:szCs w:val="30"/>
        </w:rPr>
        <w:t>中共昆明市盘龙区委组织部</w:t>
      </w:r>
      <w:r>
        <w:rPr>
          <w:rFonts w:eastAsia="仿宋_GB2312"/>
          <w:kern w:val="0"/>
          <w:sz w:val="30"/>
          <w:szCs w:val="30"/>
        </w:rPr>
        <w:t>基本支出</w:t>
      </w:r>
      <w:r>
        <w:rPr>
          <w:rFonts w:hint="eastAsia" w:eastAsia="仿宋_GB2312"/>
          <w:kern w:val="0"/>
          <w:sz w:val="30"/>
          <w:szCs w:val="30"/>
        </w:rPr>
        <w:t>12,553.82</w:t>
      </w:r>
      <w:r>
        <w:rPr>
          <w:rFonts w:eastAsia="仿宋_GB2312"/>
          <w:kern w:val="0"/>
          <w:sz w:val="30"/>
          <w:szCs w:val="30"/>
        </w:rPr>
        <w:t>万元，与上年对比增加</w:t>
      </w:r>
      <w:r>
        <w:rPr>
          <w:rFonts w:hint="eastAsia" w:eastAsia="仿宋_GB2312"/>
          <w:kern w:val="0"/>
          <w:sz w:val="30"/>
          <w:szCs w:val="30"/>
        </w:rPr>
        <w:t>12,168.63</w:t>
      </w:r>
      <w:r>
        <w:rPr>
          <w:rFonts w:eastAsia="仿宋_GB2312"/>
          <w:kern w:val="0"/>
          <w:sz w:val="30"/>
          <w:szCs w:val="30"/>
        </w:rPr>
        <w:t>万元，增</w:t>
      </w:r>
      <w:r>
        <w:rPr>
          <w:rFonts w:hint="eastAsia" w:eastAsia="仿宋_GB2312"/>
          <w:kern w:val="0"/>
          <w:sz w:val="30"/>
          <w:szCs w:val="30"/>
        </w:rPr>
        <w:t>加</w:t>
      </w:r>
      <w:r>
        <w:rPr>
          <w:rFonts w:eastAsia="仿宋_GB2312"/>
          <w:kern w:val="0"/>
          <w:sz w:val="30"/>
          <w:szCs w:val="30"/>
        </w:rPr>
        <w:t>变化的原因主要是：</w:t>
      </w:r>
    </w:p>
    <w:p w14:paraId="57CF3B2A">
      <w:pPr>
        <w:widowControl/>
        <w:ind w:firstLine="600" w:firstLineChars="200"/>
        <w:jc w:val="left"/>
        <w:rPr>
          <w:rFonts w:eastAsia="仿宋_GB2312"/>
          <w:kern w:val="0"/>
          <w:sz w:val="30"/>
          <w:szCs w:val="30"/>
        </w:rPr>
      </w:pPr>
      <w:r>
        <w:rPr>
          <w:rFonts w:eastAsia="仿宋_GB2312"/>
          <w:kern w:val="0"/>
          <w:sz w:val="30"/>
          <w:szCs w:val="30"/>
        </w:rPr>
        <w:t>1</w:t>
      </w:r>
      <w:r>
        <w:rPr>
          <w:rFonts w:hint="eastAsia" w:eastAsia="仿宋_GB2312"/>
          <w:kern w:val="0"/>
          <w:sz w:val="30"/>
          <w:szCs w:val="30"/>
        </w:rPr>
        <w:t>.行政运行支出增加11,957.66万元</w:t>
      </w:r>
    </w:p>
    <w:p w14:paraId="6B9E8938">
      <w:pPr>
        <w:widowControl/>
        <w:ind w:firstLine="600" w:firstLineChars="200"/>
        <w:jc w:val="left"/>
        <w:rPr>
          <w:rFonts w:eastAsia="楷体_GB2312"/>
          <w:kern w:val="0"/>
          <w:sz w:val="30"/>
          <w:szCs w:val="30"/>
        </w:rPr>
      </w:pPr>
      <w:r>
        <w:rPr>
          <w:rFonts w:eastAsia="楷体_GB2312"/>
          <w:kern w:val="0"/>
          <w:sz w:val="30"/>
          <w:szCs w:val="30"/>
        </w:rPr>
        <w:t>（二）项目支出预算变动的主要原因</w:t>
      </w:r>
    </w:p>
    <w:p w14:paraId="423E1D32">
      <w:pPr>
        <w:widowControl/>
        <w:ind w:firstLine="600" w:firstLineChars="200"/>
        <w:jc w:val="left"/>
        <w:rPr>
          <w:rFonts w:eastAsia="仿宋_GB2312"/>
          <w:kern w:val="0"/>
          <w:sz w:val="30"/>
          <w:szCs w:val="30"/>
        </w:rPr>
      </w:pPr>
      <w:r>
        <w:rPr>
          <w:rFonts w:hint="eastAsia" w:eastAsia="仿宋_GB2312"/>
          <w:kern w:val="0"/>
          <w:sz w:val="30"/>
          <w:szCs w:val="30"/>
        </w:rPr>
        <w:t>2020</w:t>
      </w:r>
      <w:r>
        <w:rPr>
          <w:rFonts w:eastAsia="仿宋_GB2312"/>
          <w:kern w:val="0"/>
          <w:sz w:val="30"/>
          <w:szCs w:val="30"/>
        </w:rPr>
        <w:t>年本级财力安排</w:t>
      </w:r>
      <w:r>
        <w:rPr>
          <w:rFonts w:hint="eastAsia" w:eastAsia="仿宋_GB2312"/>
          <w:kern w:val="0"/>
          <w:sz w:val="30"/>
          <w:szCs w:val="30"/>
        </w:rPr>
        <w:t>中共昆明市盘龙区委组织部</w:t>
      </w:r>
      <w:r>
        <w:rPr>
          <w:rFonts w:eastAsia="仿宋_GB2312"/>
          <w:kern w:val="0"/>
          <w:sz w:val="30"/>
          <w:szCs w:val="30"/>
        </w:rPr>
        <w:t>项目支出</w:t>
      </w:r>
      <w:r>
        <w:rPr>
          <w:rFonts w:hint="eastAsia" w:eastAsia="仿宋_GB2312"/>
          <w:kern w:val="0"/>
          <w:sz w:val="30"/>
          <w:szCs w:val="30"/>
        </w:rPr>
        <w:t>1,932.14</w:t>
      </w:r>
      <w:r>
        <w:rPr>
          <w:rFonts w:eastAsia="仿宋_GB2312"/>
          <w:kern w:val="0"/>
          <w:sz w:val="30"/>
          <w:szCs w:val="30"/>
        </w:rPr>
        <w:t>万元，与上年对比增加</w:t>
      </w:r>
      <w:r>
        <w:rPr>
          <w:rFonts w:hint="eastAsia" w:eastAsia="仿宋_GB2312"/>
          <w:kern w:val="0"/>
          <w:sz w:val="30"/>
          <w:szCs w:val="30"/>
        </w:rPr>
        <w:t>105.08</w:t>
      </w:r>
      <w:r>
        <w:rPr>
          <w:rFonts w:eastAsia="仿宋_GB2312"/>
          <w:kern w:val="0"/>
          <w:sz w:val="30"/>
          <w:szCs w:val="30"/>
        </w:rPr>
        <w:t>万元，增</w:t>
      </w:r>
      <w:r>
        <w:rPr>
          <w:rFonts w:hint="eastAsia" w:eastAsia="仿宋_GB2312"/>
          <w:kern w:val="0"/>
          <w:sz w:val="30"/>
          <w:szCs w:val="30"/>
        </w:rPr>
        <w:t>加</w:t>
      </w:r>
      <w:r>
        <w:rPr>
          <w:rFonts w:eastAsia="仿宋_GB2312"/>
          <w:kern w:val="0"/>
          <w:sz w:val="30"/>
          <w:szCs w:val="30"/>
        </w:rPr>
        <w:t>变化的原因主要是：</w:t>
      </w:r>
    </w:p>
    <w:p w14:paraId="3F21947B">
      <w:pPr>
        <w:widowControl/>
        <w:ind w:firstLine="600" w:firstLineChars="200"/>
        <w:jc w:val="left"/>
        <w:rPr>
          <w:rFonts w:eastAsia="仿宋_GB2312"/>
          <w:kern w:val="0"/>
          <w:sz w:val="30"/>
          <w:szCs w:val="30"/>
        </w:rPr>
      </w:pPr>
      <w:r>
        <w:rPr>
          <w:rFonts w:eastAsia="仿宋_GB2312"/>
          <w:kern w:val="0"/>
          <w:sz w:val="30"/>
          <w:szCs w:val="30"/>
        </w:rPr>
        <w:t>1.</w:t>
      </w:r>
      <w:r>
        <w:rPr>
          <w:rFonts w:hint="eastAsia" w:eastAsia="仿宋_GB2312"/>
          <w:kern w:val="0"/>
          <w:sz w:val="30"/>
          <w:szCs w:val="30"/>
        </w:rPr>
        <w:t>离退休人员管理机构支出增加224.96万元；</w:t>
      </w:r>
    </w:p>
    <w:p w14:paraId="349EB78A">
      <w:pPr>
        <w:widowControl/>
        <w:ind w:firstLine="600" w:firstLineChars="200"/>
        <w:jc w:val="left"/>
        <w:rPr>
          <w:rFonts w:eastAsia="仿宋_GB2312"/>
          <w:bCs/>
          <w:kern w:val="0"/>
          <w:sz w:val="30"/>
          <w:szCs w:val="30"/>
        </w:rPr>
      </w:pPr>
      <w:r>
        <w:rPr>
          <w:rFonts w:eastAsia="仿宋_GB2312"/>
          <w:bCs/>
          <w:kern w:val="0"/>
          <w:sz w:val="30"/>
          <w:szCs w:val="30"/>
        </w:rPr>
        <w:t>2.</w:t>
      </w:r>
      <w:r>
        <w:rPr>
          <w:rFonts w:hint="eastAsia" w:eastAsia="仿宋_GB2312"/>
          <w:bCs/>
          <w:kern w:val="0"/>
          <w:sz w:val="30"/>
          <w:szCs w:val="30"/>
        </w:rPr>
        <w:t>一般行政管理事务减少112.01万元；</w:t>
      </w:r>
    </w:p>
    <w:p w14:paraId="56A8A658">
      <w:pPr>
        <w:widowControl/>
        <w:ind w:firstLine="600" w:firstLineChars="200"/>
        <w:jc w:val="left"/>
        <w:rPr>
          <w:rFonts w:eastAsia="仿宋_GB2312"/>
          <w:bCs/>
          <w:kern w:val="0"/>
          <w:sz w:val="30"/>
          <w:szCs w:val="30"/>
        </w:rPr>
      </w:pPr>
      <w:r>
        <w:rPr>
          <w:rFonts w:eastAsia="仿宋_GB2312"/>
          <w:bCs/>
          <w:kern w:val="0"/>
          <w:sz w:val="30"/>
          <w:szCs w:val="30"/>
        </w:rPr>
        <w:t>3.</w:t>
      </w:r>
      <w:r>
        <w:rPr>
          <w:rFonts w:hint="eastAsia" w:eastAsia="仿宋_GB2312"/>
          <w:bCs/>
          <w:kern w:val="0"/>
          <w:sz w:val="30"/>
          <w:szCs w:val="30"/>
        </w:rPr>
        <w:t>科技成果转化与扩散减少7.87万元。</w:t>
      </w:r>
    </w:p>
    <w:p w14:paraId="0CE3A7D3">
      <w:pPr>
        <w:widowControl/>
        <w:ind w:firstLine="600" w:firstLineChars="200"/>
        <w:jc w:val="left"/>
        <w:rPr>
          <w:rFonts w:eastAsia="仿宋_GB2312"/>
          <w:bCs/>
          <w:kern w:val="0"/>
          <w:sz w:val="30"/>
          <w:szCs w:val="30"/>
        </w:rPr>
      </w:pPr>
    </w:p>
    <w:p w14:paraId="22552CE7">
      <w:pPr>
        <w:widowControl/>
        <w:ind w:firstLine="600" w:firstLineChars="200"/>
        <w:jc w:val="left"/>
        <w:rPr>
          <w:rFonts w:eastAsia="仿宋_GB2312"/>
          <w:kern w:val="0"/>
          <w:sz w:val="30"/>
          <w:szCs w:val="30"/>
        </w:rPr>
      </w:pPr>
    </w:p>
    <w:p w14:paraId="0B13820D">
      <w:pPr>
        <w:widowControl/>
        <w:ind w:firstLine="600" w:firstLineChars="200"/>
        <w:jc w:val="left"/>
        <w:rPr>
          <w:rFonts w:eastAsia="仿宋_GB2312"/>
          <w:kern w:val="0"/>
          <w:sz w:val="30"/>
          <w:szCs w:val="30"/>
        </w:rPr>
      </w:pPr>
    </w:p>
    <w:p w14:paraId="446B72B2"/>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F496E">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30E84">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8B928"/>
    <w:multiLevelType w:val="singleLevel"/>
    <w:tmpl w:val="98C8B928"/>
    <w:lvl w:ilvl="0" w:tentative="0">
      <w:start w:val="1"/>
      <w:numFmt w:val="chineseCounting"/>
      <w:suff w:val="nothing"/>
      <w:lvlText w:val="（%1）"/>
      <w:lvlJc w:val="left"/>
      <w:rPr>
        <w:rFonts w:hint="eastAsia"/>
      </w:rPr>
    </w:lvl>
  </w:abstractNum>
  <w:abstractNum w:abstractNumId="1">
    <w:nsid w:val="38629D6C"/>
    <w:multiLevelType w:val="singleLevel"/>
    <w:tmpl w:val="38629D6C"/>
    <w:lvl w:ilvl="0" w:tentative="0">
      <w:start w:val="2"/>
      <w:numFmt w:val="chineseCounting"/>
      <w:suff w:val="nothing"/>
      <w:lvlText w:val="（%1）"/>
      <w:lvlJc w:val="left"/>
      <w:rPr>
        <w:rFonts w:hint="eastAsia"/>
        <w:color w:val="0000FF"/>
      </w:rPr>
    </w:lvl>
  </w:abstractNum>
  <w:abstractNum w:abstractNumId="2">
    <w:nsid w:val="70F5A303"/>
    <w:multiLevelType w:val="singleLevel"/>
    <w:tmpl w:val="70F5A303"/>
    <w:lvl w:ilvl="0" w:tentative="0">
      <w:start w:val="4"/>
      <w:numFmt w:val="chineseCounting"/>
      <w:suff w:val="nothing"/>
      <w:lvlText w:val="%1、"/>
      <w:lvlJc w:val="left"/>
      <w:rPr>
        <w:rFonts w:hint="eastAsia"/>
        <w:color w:val="000000" w:themeColor="text1"/>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jU3YWRkZmU5OTJhNGQyMDFmYzgxYmU0MjIxODYxNTUifQ=="/>
  </w:docVars>
  <w:rsids>
    <w:rsidRoot w:val="00794354"/>
    <w:rsid w:val="000145DA"/>
    <w:rsid w:val="00031E2A"/>
    <w:rsid w:val="00057A58"/>
    <w:rsid w:val="00097272"/>
    <w:rsid w:val="000C231A"/>
    <w:rsid w:val="000D315D"/>
    <w:rsid w:val="000E55AC"/>
    <w:rsid w:val="00181EBB"/>
    <w:rsid w:val="00186E75"/>
    <w:rsid w:val="00190903"/>
    <w:rsid w:val="001936E5"/>
    <w:rsid w:val="001B7DE7"/>
    <w:rsid w:val="00282F08"/>
    <w:rsid w:val="0028530E"/>
    <w:rsid w:val="002C322A"/>
    <w:rsid w:val="002D501F"/>
    <w:rsid w:val="002E1E3E"/>
    <w:rsid w:val="002E5795"/>
    <w:rsid w:val="00364E74"/>
    <w:rsid w:val="003919A2"/>
    <w:rsid w:val="003A3075"/>
    <w:rsid w:val="003B2803"/>
    <w:rsid w:val="003D51CC"/>
    <w:rsid w:val="003E4587"/>
    <w:rsid w:val="00412FE2"/>
    <w:rsid w:val="00425D71"/>
    <w:rsid w:val="0043491C"/>
    <w:rsid w:val="004A0403"/>
    <w:rsid w:val="004F0825"/>
    <w:rsid w:val="005916A7"/>
    <w:rsid w:val="005D37A4"/>
    <w:rsid w:val="005F5DD3"/>
    <w:rsid w:val="00622A89"/>
    <w:rsid w:val="00626439"/>
    <w:rsid w:val="006A6826"/>
    <w:rsid w:val="006D16D3"/>
    <w:rsid w:val="006E6709"/>
    <w:rsid w:val="006F6026"/>
    <w:rsid w:val="007037EF"/>
    <w:rsid w:val="007735A4"/>
    <w:rsid w:val="00794354"/>
    <w:rsid w:val="007A0014"/>
    <w:rsid w:val="007A5D71"/>
    <w:rsid w:val="007B2D63"/>
    <w:rsid w:val="007D32FD"/>
    <w:rsid w:val="007D4E01"/>
    <w:rsid w:val="0081628E"/>
    <w:rsid w:val="00827CB9"/>
    <w:rsid w:val="00876408"/>
    <w:rsid w:val="008812EF"/>
    <w:rsid w:val="008B456B"/>
    <w:rsid w:val="008E1739"/>
    <w:rsid w:val="0090442C"/>
    <w:rsid w:val="00921AAE"/>
    <w:rsid w:val="00925F20"/>
    <w:rsid w:val="009267D1"/>
    <w:rsid w:val="00953BB3"/>
    <w:rsid w:val="00960924"/>
    <w:rsid w:val="00985941"/>
    <w:rsid w:val="009B4D39"/>
    <w:rsid w:val="009D2172"/>
    <w:rsid w:val="00A13EBA"/>
    <w:rsid w:val="00A15B4A"/>
    <w:rsid w:val="00A51FE9"/>
    <w:rsid w:val="00A629D6"/>
    <w:rsid w:val="00A908BE"/>
    <w:rsid w:val="00AD002D"/>
    <w:rsid w:val="00B740DD"/>
    <w:rsid w:val="00BA5F7D"/>
    <w:rsid w:val="00BB0895"/>
    <w:rsid w:val="00BC3C82"/>
    <w:rsid w:val="00BC7F6B"/>
    <w:rsid w:val="00BE7EF7"/>
    <w:rsid w:val="00C22B0A"/>
    <w:rsid w:val="00C603C1"/>
    <w:rsid w:val="00C64CA5"/>
    <w:rsid w:val="00CA3ED0"/>
    <w:rsid w:val="00CA5798"/>
    <w:rsid w:val="00CF75AD"/>
    <w:rsid w:val="00D07122"/>
    <w:rsid w:val="00D56790"/>
    <w:rsid w:val="00DB618A"/>
    <w:rsid w:val="00DD00CD"/>
    <w:rsid w:val="00DD7CF9"/>
    <w:rsid w:val="00EF0776"/>
    <w:rsid w:val="00F00A42"/>
    <w:rsid w:val="00F05B87"/>
    <w:rsid w:val="00F44072"/>
    <w:rsid w:val="00F53EFE"/>
    <w:rsid w:val="00F63554"/>
    <w:rsid w:val="00F64926"/>
    <w:rsid w:val="00F83912"/>
    <w:rsid w:val="00FB2370"/>
    <w:rsid w:val="00FB75F3"/>
    <w:rsid w:val="00FB7CC0"/>
    <w:rsid w:val="00FC20EB"/>
    <w:rsid w:val="01762C10"/>
    <w:rsid w:val="02EC5DC8"/>
    <w:rsid w:val="03E94B24"/>
    <w:rsid w:val="087B1C59"/>
    <w:rsid w:val="08A95A20"/>
    <w:rsid w:val="09007361"/>
    <w:rsid w:val="0CE7574C"/>
    <w:rsid w:val="0E1346EE"/>
    <w:rsid w:val="0FCA3916"/>
    <w:rsid w:val="109D2600"/>
    <w:rsid w:val="12B8777B"/>
    <w:rsid w:val="12FC7A14"/>
    <w:rsid w:val="15D214A3"/>
    <w:rsid w:val="18F759C2"/>
    <w:rsid w:val="1BEB1181"/>
    <w:rsid w:val="1D5E48D4"/>
    <w:rsid w:val="1E08520F"/>
    <w:rsid w:val="1E8165CE"/>
    <w:rsid w:val="202857B7"/>
    <w:rsid w:val="23AB2DE5"/>
    <w:rsid w:val="25095BB3"/>
    <w:rsid w:val="28504ACB"/>
    <w:rsid w:val="29A52FC2"/>
    <w:rsid w:val="2A772478"/>
    <w:rsid w:val="334F0EF4"/>
    <w:rsid w:val="34374AD6"/>
    <w:rsid w:val="362E0601"/>
    <w:rsid w:val="3B432AD0"/>
    <w:rsid w:val="3D801F5A"/>
    <w:rsid w:val="44DA79C7"/>
    <w:rsid w:val="454E4830"/>
    <w:rsid w:val="47FA4714"/>
    <w:rsid w:val="4BA005B0"/>
    <w:rsid w:val="4D347238"/>
    <w:rsid w:val="53526E1E"/>
    <w:rsid w:val="543C44B1"/>
    <w:rsid w:val="564F3085"/>
    <w:rsid w:val="594A2716"/>
    <w:rsid w:val="5A335C6A"/>
    <w:rsid w:val="5B087FC3"/>
    <w:rsid w:val="5B5A305A"/>
    <w:rsid w:val="5C6D36D0"/>
    <w:rsid w:val="5DDA3F20"/>
    <w:rsid w:val="5DEA03A1"/>
    <w:rsid w:val="63D03D4C"/>
    <w:rsid w:val="652F69E8"/>
    <w:rsid w:val="65956E89"/>
    <w:rsid w:val="67F20065"/>
    <w:rsid w:val="684751F4"/>
    <w:rsid w:val="6952292F"/>
    <w:rsid w:val="6A40686C"/>
    <w:rsid w:val="6B5F7D7C"/>
    <w:rsid w:val="6E026F0E"/>
    <w:rsid w:val="71A04AC4"/>
    <w:rsid w:val="73F55794"/>
    <w:rsid w:val="77636A19"/>
    <w:rsid w:val="78755156"/>
    <w:rsid w:val="7B7F7603"/>
    <w:rsid w:val="7C104B88"/>
    <w:rsid w:val="7CA60D84"/>
    <w:rsid w:val="7D977396"/>
    <w:rsid w:val="7DC02339"/>
    <w:rsid w:val="7E1B6663"/>
    <w:rsid w:val="7FF51F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autoRedefine/>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autoRedefine/>
    <w:semiHidden/>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autoRedefine/>
    <w:qFormat/>
    <w:uiPriority w:val="0"/>
    <w:rPr>
      <w:b/>
    </w:rPr>
  </w:style>
  <w:style w:type="character" w:customStyle="1" w:styleId="8">
    <w:name w:val="页眉 Char"/>
    <w:basedOn w:val="6"/>
    <w:link w:val="3"/>
    <w:autoRedefine/>
    <w:semiHidden/>
    <w:qFormat/>
    <w:uiPriority w:val="99"/>
    <w:rPr>
      <w:sz w:val="18"/>
      <w:szCs w:val="18"/>
    </w:rPr>
  </w:style>
  <w:style w:type="character" w:customStyle="1" w:styleId="9">
    <w:name w:val="页脚 Char"/>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9008</Words>
  <Characters>9773</Characters>
  <Lines>64</Lines>
  <Paragraphs>18</Paragraphs>
  <TotalTime>2</TotalTime>
  <ScaleCrop>false</ScaleCrop>
  <LinksUpToDate>false</LinksUpToDate>
  <CharactersWithSpaces>9784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2019-01-09T10:04:00Z</dcterms:created>
  <dc:creator>周强</dc:creator>
  <cp:lastModifiedBy>听潮</cp:lastModifiedBy>
  <cp:lastPrinted>2019-02-15T02:07:00Z</cp:lastPrinted>
  <dcterms:modified xsi:type="dcterms:W3CDTF">2024-11-21T09:43:56Z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438881B307CA48369C5BB449284FEC4B</vt:lpwstr>
  </property>
</Properties>
</file>