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3DFD18">
      <w:pPr>
        <w:widowControl/>
        <w:spacing w:line="240" w:lineRule="auto"/>
        <w:jc w:val="left"/>
        <w:rPr>
          <w:rFonts w:ascii="Times New Roman" w:hAnsi="Times New Roman" w:eastAsia="宋体" w:cs="Times New Roman"/>
          <w:b/>
          <w:bCs/>
          <w:kern w:val="0"/>
          <w:sz w:val="28"/>
          <w:szCs w:val="28"/>
        </w:rPr>
      </w:pPr>
    </w:p>
    <w:p w14:paraId="58BC7101">
      <w:pPr>
        <w:pStyle w:val="7"/>
        <w:spacing w:line="520" w:lineRule="atLeast"/>
        <w:ind w:left="630" w:hanging="840"/>
        <w:jc w:val="left"/>
        <w:rPr>
          <w:rFonts w:ascii="方正小标宋_GBK" w:eastAsia="方正小标宋_GBK"/>
          <w:sz w:val="28"/>
          <w:szCs w:val="28"/>
        </w:rPr>
      </w:pPr>
      <w:r>
        <w:rPr>
          <w:rFonts w:hint="eastAsia" w:ascii="方正小标宋_GBK" w:eastAsia="方正小标宋_GBK"/>
          <w:sz w:val="28"/>
          <w:szCs w:val="28"/>
        </w:rPr>
        <w:t>附件5：项目支出绩效评价报告（范本）</w:t>
      </w:r>
    </w:p>
    <w:p w14:paraId="03CFE6D5">
      <w:pPr>
        <w:pStyle w:val="7"/>
        <w:spacing w:before="120" w:after="120" w:line="480" w:lineRule="auto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  <w:r>
        <w:rPr>
          <w:rFonts w:ascii="Times New Roman" w:hAnsi="Times New Roman" w:cs="Times New Roman"/>
          <w:b/>
          <w:bCs/>
          <w:sz w:val="52"/>
          <w:szCs w:val="52"/>
        </w:rPr>
        <w:t xml:space="preserve"> </w:t>
      </w:r>
    </w:p>
    <w:p w14:paraId="563CA1EA">
      <w:pPr>
        <w:pStyle w:val="7"/>
        <w:jc w:val="center"/>
        <w:rPr>
          <w:rFonts w:ascii="黑体" w:hAnsi="黑体" w:eastAsia="黑体"/>
          <w:sz w:val="52"/>
          <w:szCs w:val="52"/>
        </w:rPr>
      </w:pPr>
      <w:r>
        <w:rPr>
          <w:rFonts w:hint="eastAsia" w:ascii="黑体" w:hAnsi="黑体" w:eastAsia="黑体"/>
          <w:sz w:val="52"/>
          <w:szCs w:val="52"/>
        </w:rPr>
        <w:t>20</w:t>
      </w:r>
      <w:r>
        <w:rPr>
          <w:rFonts w:hint="eastAsia" w:ascii="黑体" w:hAnsi="黑体" w:eastAsia="黑体"/>
          <w:sz w:val="52"/>
          <w:szCs w:val="52"/>
          <w:lang w:val="en-US" w:eastAsia="zh-CN"/>
        </w:rPr>
        <w:t>22</w:t>
      </w:r>
      <w:r>
        <w:rPr>
          <w:rFonts w:hint="eastAsia" w:ascii="黑体" w:hAnsi="黑体" w:eastAsia="黑体"/>
          <w:sz w:val="52"/>
          <w:szCs w:val="52"/>
        </w:rPr>
        <w:t>年</w:t>
      </w:r>
      <w:r>
        <w:rPr>
          <w:rFonts w:hint="eastAsia" w:ascii="黑体" w:hAnsi="黑体" w:eastAsia="黑体"/>
          <w:sz w:val="52"/>
          <w:szCs w:val="52"/>
          <w:lang w:eastAsia="zh-CN"/>
        </w:rPr>
        <w:t>综合防火经费</w:t>
      </w:r>
      <w:r>
        <w:rPr>
          <w:rFonts w:hint="eastAsia" w:ascii="黑体" w:hAnsi="黑体" w:eastAsia="黑体"/>
          <w:sz w:val="52"/>
          <w:szCs w:val="52"/>
        </w:rPr>
        <w:t>支出绩效自评报告</w:t>
      </w:r>
    </w:p>
    <w:p w14:paraId="0C2AD079">
      <w:pPr>
        <w:pStyle w:val="7"/>
        <w:jc w:val="center"/>
        <w:rPr>
          <w:rFonts w:ascii="黑体" w:hAnsi="黑体" w:eastAsia="黑体"/>
          <w:sz w:val="52"/>
          <w:szCs w:val="52"/>
        </w:rPr>
      </w:pPr>
      <w:r>
        <w:rPr>
          <w:rFonts w:hint="eastAsia" w:ascii="黑体" w:hAnsi="黑体" w:eastAsia="黑体"/>
          <w:sz w:val="52"/>
          <w:szCs w:val="52"/>
        </w:rPr>
        <w:t>（20</w:t>
      </w:r>
      <w:r>
        <w:rPr>
          <w:rFonts w:hint="eastAsia" w:ascii="黑体" w:hAnsi="黑体" w:eastAsia="黑体"/>
          <w:sz w:val="52"/>
          <w:szCs w:val="52"/>
          <w:lang w:val="en-US" w:eastAsia="zh-CN"/>
        </w:rPr>
        <w:t>22</w:t>
      </w:r>
      <w:r>
        <w:rPr>
          <w:rFonts w:hint="eastAsia" w:ascii="黑体" w:hAnsi="黑体" w:eastAsia="黑体"/>
          <w:sz w:val="52"/>
          <w:szCs w:val="52"/>
        </w:rPr>
        <w:t>年度）</w:t>
      </w:r>
    </w:p>
    <w:p w14:paraId="59477A81">
      <w:pPr>
        <w:pStyle w:val="7"/>
        <w:spacing w:before="120" w:after="120" w:line="480" w:lineRule="auto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  <w:r>
        <w:rPr>
          <w:rFonts w:ascii="Times New Roman" w:hAnsi="Times New Roman" w:cs="Times New Roman"/>
          <w:b/>
          <w:bCs/>
          <w:sz w:val="52"/>
          <w:szCs w:val="52"/>
        </w:rPr>
        <w:t xml:space="preserve"> </w:t>
      </w:r>
    </w:p>
    <w:p w14:paraId="6AF42AA7">
      <w:pPr>
        <w:pStyle w:val="7"/>
        <w:spacing w:before="120" w:after="120" w:line="48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>
        <w:rPr>
          <w:rFonts w:ascii="Times New Roman" w:hAnsi="Times New Roman" w:cs="Times New Roman"/>
          <w:b/>
          <w:bCs/>
          <w:sz w:val="44"/>
          <w:szCs w:val="44"/>
        </w:rPr>
        <w:t xml:space="preserve"> </w:t>
      </w:r>
    </w:p>
    <w:p w14:paraId="6D2EF518">
      <w:pPr>
        <w:pStyle w:val="7"/>
        <w:spacing w:before="120" w:after="120" w:line="48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>
        <w:rPr>
          <w:rFonts w:ascii="Times New Roman" w:hAnsi="Times New Roman" w:cs="Times New Roman"/>
          <w:b/>
          <w:bCs/>
          <w:sz w:val="44"/>
          <w:szCs w:val="44"/>
        </w:rPr>
        <w:t xml:space="preserve"> </w:t>
      </w:r>
    </w:p>
    <w:p w14:paraId="2123B0AB">
      <w:pPr>
        <w:pStyle w:val="7"/>
        <w:spacing w:before="120" w:after="120" w:line="48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>
        <w:rPr>
          <w:rFonts w:ascii="Times New Roman" w:hAnsi="Times New Roman" w:cs="Times New Roman"/>
          <w:b/>
          <w:bCs/>
          <w:sz w:val="44"/>
          <w:szCs w:val="44"/>
        </w:rPr>
        <w:t xml:space="preserve"> </w:t>
      </w:r>
    </w:p>
    <w:p w14:paraId="57C9CF0D">
      <w:pPr>
        <w:pStyle w:val="7"/>
        <w:adjustRightInd w:val="0"/>
        <w:snapToGrid w:val="0"/>
        <w:spacing w:line="360" w:lineRule="auto"/>
        <w:ind w:left="126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hint="eastAsia" w:ascii="黑体" w:hAnsi="黑体" w:eastAsia="黑体"/>
          <w:b/>
          <w:bCs/>
          <w:sz w:val="28"/>
          <w:szCs w:val="28"/>
        </w:rPr>
        <w:t>部门名称（公章）：盘龙区农业农村局</w:t>
      </w:r>
    </w:p>
    <w:p w14:paraId="08B7F2B6">
      <w:pPr>
        <w:pStyle w:val="7"/>
        <w:adjustRightInd w:val="0"/>
        <w:snapToGrid w:val="0"/>
        <w:spacing w:line="360" w:lineRule="auto"/>
        <w:ind w:left="126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hint="eastAsia" w:ascii="黑体" w:hAnsi="黑体" w:eastAsia="黑体"/>
          <w:b/>
          <w:bCs/>
          <w:sz w:val="28"/>
          <w:szCs w:val="28"/>
        </w:rPr>
        <w:t>项目单位：</w:t>
      </w:r>
      <w:r>
        <w:rPr>
          <w:rFonts w:hint="eastAsia" w:ascii="Times New Roman" w:hAnsi="Times New Roman" w:cs="Times New Roman"/>
          <w:b/>
          <w:bCs/>
          <w:sz w:val="28"/>
          <w:szCs w:val="28"/>
        </w:rPr>
        <w:t>盘龙区农业农村局</w:t>
      </w:r>
    </w:p>
    <w:p w14:paraId="3B7AB37D">
      <w:pPr>
        <w:pStyle w:val="7"/>
        <w:adjustRightInd w:val="0"/>
        <w:snapToGrid w:val="0"/>
        <w:spacing w:line="360" w:lineRule="auto"/>
        <w:ind w:left="126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hint="eastAsia" w:ascii="黑体" w:hAnsi="黑体" w:eastAsia="黑体"/>
          <w:b/>
          <w:bCs/>
          <w:sz w:val="28"/>
          <w:szCs w:val="28"/>
        </w:rPr>
        <w:t>主管部门：盘龙区农业农村局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6E0B208D">
      <w:pPr>
        <w:pStyle w:val="7"/>
        <w:adjustRightInd w:val="0"/>
        <w:snapToGrid w:val="0"/>
        <w:spacing w:line="360" w:lineRule="auto"/>
        <w:ind w:left="1260"/>
        <w:rPr>
          <w:rFonts w:hint="eastAsia" w:ascii="黑体" w:hAnsi="黑体" w:eastAsia="黑体"/>
          <w:b/>
          <w:bCs/>
          <w:sz w:val="28"/>
          <w:szCs w:val="28"/>
          <w:lang w:eastAsia="zh-CN"/>
        </w:rPr>
      </w:pPr>
      <w:r>
        <w:rPr>
          <w:rFonts w:hint="eastAsia" w:ascii="黑体" w:hAnsi="黑体" w:eastAsia="黑体"/>
          <w:b/>
          <w:bCs/>
          <w:sz w:val="28"/>
          <w:szCs w:val="28"/>
        </w:rPr>
        <w:t>项目名称：</w:t>
      </w:r>
      <w:r>
        <w:rPr>
          <w:rFonts w:hint="eastAsia" w:ascii="黑体" w:hAnsi="黑体" w:eastAsia="黑体"/>
          <w:b/>
          <w:bCs/>
          <w:sz w:val="28"/>
          <w:szCs w:val="28"/>
          <w:lang w:eastAsia="zh-CN"/>
        </w:rPr>
        <w:t>综合防火经费</w:t>
      </w:r>
    </w:p>
    <w:p w14:paraId="29B4A77A">
      <w:pPr>
        <w:pStyle w:val="7"/>
        <w:adjustRightInd w:val="0"/>
        <w:snapToGrid w:val="0"/>
        <w:spacing w:line="360" w:lineRule="auto"/>
        <w:ind w:left="126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hint="eastAsia" w:ascii="黑体" w:hAnsi="黑体" w:eastAsia="黑体"/>
          <w:b/>
          <w:bCs/>
          <w:sz w:val="28"/>
          <w:szCs w:val="28"/>
        </w:rPr>
        <w:t>绩效自评日期：</w:t>
      </w:r>
      <w:r>
        <w:rPr>
          <w:rFonts w:hint="eastAsia" w:ascii="Times New Roman" w:hAnsi="Times New Roman" w:cs="Times New Roman"/>
          <w:b/>
          <w:bCs/>
          <w:sz w:val="28"/>
          <w:szCs w:val="28"/>
        </w:rPr>
        <w:t>202</w:t>
      </w:r>
      <w:r>
        <w:rPr>
          <w:rFonts w:hint="eastAsia" w:ascii="Times New Roman" w:hAnsi="Times New Roman" w:cs="Times New Roman"/>
          <w:b/>
          <w:bCs/>
          <w:sz w:val="28"/>
          <w:szCs w:val="28"/>
          <w:lang w:val="en-US" w:eastAsia="zh-CN"/>
        </w:rPr>
        <w:t>3</w:t>
      </w:r>
      <w:r>
        <w:rPr>
          <w:rFonts w:hint="eastAsia" w:ascii="Times New Roman" w:hAnsi="Times New Roman" w:cs="Times New Roman"/>
          <w:b/>
          <w:bCs/>
          <w:sz w:val="28"/>
          <w:szCs w:val="28"/>
        </w:rPr>
        <w:t>年</w:t>
      </w:r>
      <w:r>
        <w:rPr>
          <w:rFonts w:hint="eastAsia" w:ascii="Times New Roman" w:hAnsi="Times New Roman" w:cs="Times New Roman"/>
          <w:b/>
          <w:bCs/>
          <w:sz w:val="28"/>
          <w:szCs w:val="28"/>
          <w:lang w:val="en-US" w:eastAsia="zh-CN"/>
        </w:rPr>
        <w:t>4</w:t>
      </w:r>
      <w:r>
        <w:rPr>
          <w:rFonts w:hint="eastAsia" w:ascii="Times New Roman" w:hAnsi="Times New Roman" w:cs="Times New Roman"/>
          <w:b/>
          <w:bCs/>
          <w:sz w:val="28"/>
          <w:szCs w:val="28"/>
        </w:rPr>
        <w:t>月</w:t>
      </w:r>
      <w:r>
        <w:rPr>
          <w:rFonts w:hint="eastAsia" w:ascii="Times New Roman" w:hAnsi="Times New Roman" w:cs="Times New Roman"/>
          <w:b/>
          <w:bCs/>
          <w:sz w:val="28"/>
          <w:szCs w:val="28"/>
          <w:lang w:val="en-US" w:eastAsia="zh-CN"/>
        </w:rPr>
        <w:t>20</w:t>
      </w:r>
      <w:r>
        <w:rPr>
          <w:rFonts w:hint="eastAsia" w:ascii="Times New Roman" w:hAnsi="Times New Roman" w:cs="Times New Roman"/>
          <w:b/>
          <w:bCs/>
          <w:sz w:val="28"/>
          <w:szCs w:val="28"/>
        </w:rPr>
        <w:t>日</w:t>
      </w:r>
    </w:p>
    <w:p w14:paraId="38CE2E79">
      <w:pPr>
        <w:pStyle w:val="7"/>
        <w:spacing w:line="360" w:lineRule="auto"/>
        <w:ind w:left="1218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6E2C18CD">
      <w:pPr>
        <w:pStyle w:val="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20</w:t>
      </w:r>
      <w:r>
        <w:rPr>
          <w:rFonts w:hint="eastAsia" w:ascii="黑体" w:hAnsi="黑体" w:eastAsia="黑体"/>
          <w:b/>
          <w:bCs/>
          <w:sz w:val="28"/>
          <w:szCs w:val="28"/>
        </w:rPr>
        <w:t>2</w:t>
      </w:r>
      <w:r>
        <w:rPr>
          <w:rFonts w:hint="eastAsia" w:ascii="黑体" w:hAnsi="黑体" w:eastAsia="黑体"/>
          <w:b/>
          <w:bCs/>
          <w:sz w:val="28"/>
          <w:szCs w:val="28"/>
          <w:lang w:val="en-US" w:eastAsia="zh-CN"/>
        </w:rPr>
        <w:t>3</w:t>
      </w:r>
      <w:r>
        <w:rPr>
          <w:rFonts w:hint="eastAsia" w:ascii="黑体" w:hAnsi="黑体" w:eastAsia="黑体"/>
          <w:b/>
          <w:bCs/>
          <w:sz w:val="28"/>
          <w:szCs w:val="28"/>
        </w:rPr>
        <w:t>年</w:t>
      </w:r>
      <w:r>
        <w:rPr>
          <w:rFonts w:hint="eastAsia" w:ascii="黑体" w:hAnsi="黑体" w:eastAsia="黑体"/>
          <w:b/>
          <w:bCs/>
          <w:sz w:val="28"/>
          <w:szCs w:val="28"/>
          <w:lang w:val="en-US" w:eastAsia="zh-CN"/>
        </w:rPr>
        <w:t>4</w:t>
      </w:r>
      <w:r>
        <w:rPr>
          <w:rFonts w:hint="eastAsia" w:ascii="黑体" w:hAnsi="黑体" w:eastAsia="黑体"/>
          <w:b/>
          <w:bCs/>
          <w:sz w:val="28"/>
          <w:szCs w:val="28"/>
        </w:rPr>
        <w:t>月</w:t>
      </w:r>
    </w:p>
    <w:p w14:paraId="0EB64C91">
      <w:pPr>
        <w:pStyle w:val="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0E7B56EF">
      <w:pPr>
        <w:widowControl/>
        <w:spacing w:line="240" w:lineRule="auto"/>
        <w:jc w:val="center"/>
        <w:rPr>
          <w:rFonts w:ascii="Times New Roman" w:hAnsi="Times New Roman" w:eastAsia="宋体" w:cs="Times New Roman"/>
          <w:b/>
          <w:bCs/>
          <w:kern w:val="0"/>
          <w:sz w:val="28"/>
          <w:szCs w:val="28"/>
        </w:rPr>
      </w:pPr>
      <w:r>
        <w:rPr>
          <w:rFonts w:ascii="Times New Roman" w:hAnsi="Times New Roman" w:eastAsia="宋体" w:cs="Times New Roman"/>
          <w:b/>
          <w:bCs/>
          <w:kern w:val="0"/>
          <w:sz w:val="28"/>
          <w:szCs w:val="28"/>
        </w:rPr>
        <w:t xml:space="preserve"> </w:t>
      </w:r>
    </w:p>
    <w:p w14:paraId="17188A92">
      <w:pPr>
        <w:widowControl/>
        <w:spacing w:line="240" w:lineRule="auto"/>
        <w:jc w:val="center"/>
        <w:rPr>
          <w:rFonts w:ascii="Times New Roman" w:hAnsi="Times New Roman" w:eastAsia="宋体" w:cs="Times New Roman"/>
          <w:b/>
          <w:bCs/>
          <w:kern w:val="0"/>
          <w:sz w:val="28"/>
          <w:szCs w:val="28"/>
        </w:rPr>
      </w:pPr>
      <w:r>
        <w:rPr>
          <w:rFonts w:ascii="Times New Roman" w:hAnsi="Times New Roman" w:eastAsia="宋体" w:cs="Times New Roman"/>
          <w:b/>
          <w:bCs/>
          <w:kern w:val="0"/>
          <w:sz w:val="28"/>
          <w:szCs w:val="28"/>
        </w:rPr>
        <w:t xml:space="preserve">  </w:t>
      </w:r>
    </w:p>
    <w:p w14:paraId="191F8E7F">
      <w:pPr>
        <w:widowControl/>
        <w:spacing w:line="240" w:lineRule="auto"/>
        <w:jc w:val="left"/>
        <w:rPr>
          <w:rFonts w:ascii="黑体" w:hAnsi="黑体" w:eastAsia="黑体" w:cs="宋体"/>
          <w:kern w:val="0"/>
          <w:sz w:val="24"/>
          <w:szCs w:val="24"/>
        </w:rPr>
        <w:sectPr>
          <w:footerReference r:id="rId5" w:type="default"/>
          <w:pgSz w:w="11906" w:h="16838"/>
          <w:pgMar w:top="1440" w:right="1800" w:bottom="1440" w:left="1800" w:header="720" w:footer="720" w:gutter="0"/>
          <w:cols w:space="720" w:num="1"/>
          <w:docGrid w:type="lines" w:linePitch="312" w:charSpace="0"/>
        </w:sectPr>
      </w:pPr>
    </w:p>
    <w:p w14:paraId="2A9FBA7D">
      <w:pPr>
        <w:widowControl/>
        <w:ind w:left="420"/>
        <w:rPr>
          <w:rFonts w:ascii="Times New Roman" w:hAnsi="Times New Roman" w:eastAsia="宋体" w:cs="Times New Roman"/>
          <w:color w:val="000000"/>
          <w:kern w:val="0"/>
          <w:sz w:val="24"/>
          <w:szCs w:val="24"/>
        </w:rPr>
      </w:pPr>
      <w:r>
        <w:rPr>
          <w:rFonts w:hint="eastAsia" w:ascii="黑体" w:hAnsi="黑体" w:eastAsia="黑体" w:cs="宋体"/>
          <w:color w:val="000000"/>
          <w:kern w:val="0"/>
          <w:sz w:val="24"/>
          <w:szCs w:val="24"/>
        </w:rPr>
        <w:t>评价小组成员：</w:t>
      </w:r>
    </w:p>
    <w:tbl>
      <w:tblPr>
        <w:tblStyle w:val="5"/>
        <w:tblW w:w="8102" w:type="dxa"/>
        <w:tblInd w:w="13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0"/>
        <w:gridCol w:w="1620"/>
        <w:gridCol w:w="1620"/>
        <w:gridCol w:w="1621"/>
        <w:gridCol w:w="1621"/>
      </w:tblGrid>
      <w:tr w14:paraId="3AE9CB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535FF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评价小组</w:t>
            </w:r>
          </w:p>
          <w:p w14:paraId="59C4C26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机构职位</w:t>
            </w:r>
          </w:p>
        </w:tc>
        <w:tc>
          <w:tcPr>
            <w:tcW w:w="16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82704D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16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1A84D9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职务</w:t>
            </w:r>
            <w:r>
              <w:rPr>
                <w:rFonts w:hint="eastAsia" w:ascii="Times New Roman" w:hAnsi="Times New Roman" w:eastAsia="黑体" w:cs="Times New Roman"/>
                <w:color w:val="000000"/>
                <w:kern w:val="0"/>
                <w:sz w:val="24"/>
                <w:szCs w:val="24"/>
              </w:rPr>
              <w:t>/</w:t>
            </w: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职称</w:t>
            </w:r>
          </w:p>
        </w:tc>
        <w:tc>
          <w:tcPr>
            <w:tcW w:w="162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4D750C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所属</w:t>
            </w:r>
          </w:p>
          <w:p w14:paraId="4385BAF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单位</w:t>
            </w:r>
            <w:r>
              <w:rPr>
                <w:rFonts w:hint="eastAsia" w:ascii="Times New Roman" w:hAnsi="Times New Roman" w:eastAsia="黑体" w:cs="Times New Roman"/>
                <w:color w:val="000000"/>
                <w:kern w:val="0"/>
                <w:sz w:val="24"/>
                <w:szCs w:val="24"/>
              </w:rPr>
              <w:t>/</w:t>
            </w: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处室</w:t>
            </w:r>
          </w:p>
        </w:tc>
        <w:tc>
          <w:tcPr>
            <w:tcW w:w="162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BB686D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签字</w:t>
            </w:r>
          </w:p>
        </w:tc>
      </w:tr>
      <w:tr w14:paraId="6F6951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6C476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组长</w:t>
            </w:r>
          </w:p>
        </w:tc>
        <w:tc>
          <w:tcPr>
            <w:tcW w:w="16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024E034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/>
              </w:rPr>
              <w:t>鹿传奇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/>
              </w:rPr>
              <w:t xml:space="preserve"> </w:t>
            </w:r>
          </w:p>
        </w:tc>
        <w:tc>
          <w:tcPr>
            <w:tcW w:w="16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17E5788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局长</w:t>
            </w:r>
          </w:p>
        </w:tc>
        <w:tc>
          <w:tcPr>
            <w:tcW w:w="162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45F6D7E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盘龙区农业农村局</w:t>
            </w:r>
          </w:p>
        </w:tc>
        <w:tc>
          <w:tcPr>
            <w:tcW w:w="162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1298477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3" w:lineRule="auto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14:paraId="0BE7F7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97B9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副组长</w:t>
            </w:r>
          </w:p>
        </w:tc>
        <w:tc>
          <w:tcPr>
            <w:tcW w:w="16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0494CE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/>
              </w:rPr>
              <w:t>陈兴武</w:t>
            </w:r>
          </w:p>
        </w:tc>
        <w:tc>
          <w:tcPr>
            <w:tcW w:w="16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24068A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/>
              </w:rPr>
              <w:t>专职副指挥长</w:t>
            </w:r>
          </w:p>
        </w:tc>
        <w:tc>
          <w:tcPr>
            <w:tcW w:w="162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01DD2F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盘龙区农业农村局</w:t>
            </w:r>
          </w:p>
        </w:tc>
        <w:tc>
          <w:tcPr>
            <w:tcW w:w="162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743AD6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14:paraId="681D4E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4AD1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成员</w:t>
            </w:r>
          </w:p>
        </w:tc>
        <w:tc>
          <w:tcPr>
            <w:tcW w:w="16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773583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/>
              </w:rPr>
              <w:t>段辉</w:t>
            </w:r>
          </w:p>
        </w:tc>
        <w:tc>
          <w:tcPr>
            <w:tcW w:w="16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38D2F7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eastAsia="zh-CN"/>
              </w:rPr>
              <w:t>林业和草原综合科科长</w:t>
            </w:r>
          </w:p>
        </w:tc>
        <w:tc>
          <w:tcPr>
            <w:tcW w:w="162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3C7A38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盘龙区农业农村局</w:t>
            </w:r>
          </w:p>
        </w:tc>
        <w:tc>
          <w:tcPr>
            <w:tcW w:w="162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0F605B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14:paraId="0FF82D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7AC8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……</w:t>
            </w:r>
          </w:p>
        </w:tc>
        <w:tc>
          <w:tcPr>
            <w:tcW w:w="16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250006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3ECAEE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2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3304DD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2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561E22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14:paraId="7CA2B4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9" w:hRule="atLeast"/>
        </w:trPr>
        <w:tc>
          <w:tcPr>
            <w:tcW w:w="810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9FDD4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报告撰写人（签字）：</w:t>
            </w:r>
          </w:p>
          <w:p w14:paraId="1B4C25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  <w:p w14:paraId="69A335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  <w:p w14:paraId="0D8D988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2020年 月</w:t>
            </w: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日</w:t>
            </w:r>
          </w:p>
        </w:tc>
      </w:tr>
      <w:tr w14:paraId="611C7C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1" w:hRule="atLeast"/>
        </w:trPr>
        <w:tc>
          <w:tcPr>
            <w:tcW w:w="810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0100E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评价工作负责人（签字）：</w:t>
            </w:r>
          </w:p>
          <w:p w14:paraId="7B9C31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  <w:p w14:paraId="626356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</w:p>
          <w:p w14:paraId="3C28B97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年  月  日</w:t>
            </w:r>
          </w:p>
        </w:tc>
      </w:tr>
    </w:tbl>
    <w:p w14:paraId="6795B6EF">
      <w:pPr>
        <w:widowControl/>
        <w:ind w:firstLine="566"/>
        <w:rPr>
          <w:rFonts w:ascii="Times New Roman" w:hAnsi="Times New Roman" w:eastAsia="宋体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eastAsia="宋体" w:cs="Times New Roman"/>
          <w:color w:val="000000"/>
          <w:kern w:val="0"/>
          <w:sz w:val="24"/>
          <w:szCs w:val="24"/>
        </w:rPr>
        <w:t xml:space="preserve"> </w:t>
      </w:r>
    </w:p>
    <w:p w14:paraId="3006F5C4">
      <w:pPr>
        <w:widowControl/>
        <w:spacing w:line="240" w:lineRule="auto"/>
        <w:jc w:val="left"/>
        <w:rPr>
          <w:rFonts w:ascii="宋体" w:hAnsi="宋体" w:eastAsia="宋体" w:cs="宋体"/>
          <w:kern w:val="0"/>
          <w:sz w:val="22"/>
        </w:rPr>
        <w:sectPr>
          <w:pgSz w:w="11906" w:h="16838"/>
          <w:pgMar w:top="1440" w:right="1800" w:bottom="1440" w:left="1800" w:header="720" w:footer="720" w:gutter="0"/>
          <w:cols w:space="720" w:num="1"/>
          <w:docGrid w:type="lines" w:linePitch="312" w:charSpace="0"/>
        </w:sectPr>
      </w:pPr>
    </w:p>
    <w:p w14:paraId="7E82C014">
      <w:pPr>
        <w:widowControl/>
        <w:spacing w:line="273" w:lineRule="auto"/>
        <w:jc w:val="center"/>
        <w:rPr>
          <w:rFonts w:ascii="Times New Roman" w:hAnsi="Times New Roman" w:eastAsia="宋体" w:cs="Times New Roman"/>
          <w:b/>
          <w:bCs/>
          <w:color w:val="365F91"/>
          <w:kern w:val="0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color w:val="365F91"/>
          <w:kern w:val="0"/>
          <w:sz w:val="28"/>
          <w:szCs w:val="28"/>
        </w:rPr>
        <w:t>目录</w:t>
      </w:r>
    </w:p>
    <w:p w14:paraId="233CC18B"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>摘要</w:t>
      </w:r>
      <w:r>
        <w:rPr>
          <w:rFonts w:hint="eastAsia" w:ascii="黑体" w:hAnsi="黑体" w:eastAsia="黑体" w:cs="宋体"/>
          <w:kern w:val="0"/>
          <w:szCs w:val="21"/>
        </w:rPr>
        <w:tab/>
      </w:r>
      <w:r>
        <w:rPr>
          <w:rFonts w:hint="eastAsia" w:ascii="黑体" w:hAnsi="黑体" w:eastAsia="黑体" w:cs="宋体"/>
          <w:kern w:val="0"/>
          <w:szCs w:val="21"/>
        </w:rPr>
        <w:t xml:space="preserve"> </w:t>
      </w:r>
    </w:p>
    <w:p w14:paraId="396C18E3"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>一、 项目基本情况</w:t>
      </w:r>
      <w:r>
        <w:rPr>
          <w:rFonts w:hint="eastAsia" w:ascii="黑体" w:hAnsi="黑体" w:eastAsia="黑体" w:cs="宋体"/>
          <w:kern w:val="0"/>
          <w:szCs w:val="21"/>
        </w:rPr>
        <w:tab/>
      </w:r>
      <w:r>
        <w:rPr>
          <w:rFonts w:hint="eastAsia" w:ascii="黑体" w:hAnsi="黑体" w:eastAsia="黑体" w:cs="宋体"/>
          <w:kern w:val="0"/>
          <w:szCs w:val="21"/>
        </w:rPr>
        <w:t xml:space="preserve"> </w:t>
      </w:r>
    </w:p>
    <w:p w14:paraId="4788832D"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>（一）项目立项背景</w:t>
      </w:r>
      <w:r>
        <w:rPr>
          <w:rFonts w:hint="eastAsia" w:ascii="黑体" w:hAnsi="黑体" w:eastAsia="黑体" w:cs="宋体"/>
          <w:kern w:val="0"/>
          <w:szCs w:val="21"/>
        </w:rPr>
        <w:tab/>
      </w:r>
      <w:r>
        <w:rPr>
          <w:rFonts w:hint="eastAsia" w:ascii="黑体" w:hAnsi="黑体" w:eastAsia="黑体" w:cs="宋体"/>
          <w:kern w:val="0"/>
          <w:szCs w:val="21"/>
        </w:rPr>
        <w:t xml:space="preserve"> </w:t>
      </w:r>
    </w:p>
    <w:p w14:paraId="305ECF12"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 xml:space="preserve">（二）项目立项依据 </w:t>
      </w:r>
    </w:p>
    <w:p w14:paraId="3E3DC5DC"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>（三）项目实施内容</w:t>
      </w:r>
      <w:r>
        <w:rPr>
          <w:rFonts w:hint="eastAsia" w:ascii="黑体" w:hAnsi="黑体" w:eastAsia="黑体" w:cs="宋体"/>
          <w:kern w:val="0"/>
          <w:szCs w:val="21"/>
        </w:rPr>
        <w:tab/>
      </w:r>
      <w:r>
        <w:rPr>
          <w:rFonts w:hint="eastAsia" w:ascii="黑体" w:hAnsi="黑体" w:eastAsia="黑体" w:cs="宋体"/>
          <w:kern w:val="0"/>
          <w:szCs w:val="21"/>
        </w:rPr>
        <w:t xml:space="preserve"> </w:t>
      </w:r>
    </w:p>
    <w:p w14:paraId="1D622CE3"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>（四）项目实施计划及完成情况</w:t>
      </w:r>
      <w:r>
        <w:rPr>
          <w:rFonts w:hint="eastAsia" w:ascii="黑体" w:hAnsi="黑体" w:eastAsia="黑体" w:cs="宋体"/>
          <w:kern w:val="0"/>
          <w:szCs w:val="21"/>
        </w:rPr>
        <w:tab/>
      </w:r>
      <w:r>
        <w:rPr>
          <w:rFonts w:hint="eastAsia" w:ascii="黑体" w:hAnsi="黑体" w:eastAsia="黑体" w:cs="宋体"/>
          <w:kern w:val="0"/>
          <w:szCs w:val="21"/>
        </w:rPr>
        <w:t xml:space="preserve"> </w:t>
      </w:r>
    </w:p>
    <w:p w14:paraId="3083661B"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>（五）项目的组织及管理</w:t>
      </w:r>
      <w:r>
        <w:rPr>
          <w:rFonts w:hint="eastAsia" w:ascii="黑体" w:hAnsi="黑体" w:eastAsia="黑体" w:cs="宋体"/>
          <w:kern w:val="0"/>
          <w:szCs w:val="21"/>
        </w:rPr>
        <w:tab/>
      </w:r>
      <w:r>
        <w:rPr>
          <w:rFonts w:hint="eastAsia" w:ascii="黑体" w:hAnsi="黑体" w:eastAsia="黑体" w:cs="宋体"/>
          <w:kern w:val="0"/>
          <w:szCs w:val="21"/>
        </w:rPr>
        <w:t xml:space="preserve"> </w:t>
      </w:r>
    </w:p>
    <w:p w14:paraId="3818ACDB"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 xml:space="preserve">（六）项目绩效目标 </w:t>
      </w:r>
    </w:p>
    <w:p w14:paraId="79201374"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>二、绩效评价工作情况</w:t>
      </w:r>
      <w:r>
        <w:rPr>
          <w:rFonts w:hint="eastAsia" w:ascii="黑体" w:hAnsi="黑体" w:eastAsia="黑体" w:cs="宋体"/>
          <w:kern w:val="0"/>
          <w:szCs w:val="21"/>
        </w:rPr>
        <w:tab/>
      </w:r>
      <w:r>
        <w:rPr>
          <w:rFonts w:hint="eastAsia" w:ascii="黑体" w:hAnsi="黑体" w:eastAsia="黑体" w:cs="宋体"/>
          <w:kern w:val="0"/>
          <w:szCs w:val="21"/>
        </w:rPr>
        <w:t xml:space="preserve"> </w:t>
      </w:r>
    </w:p>
    <w:p w14:paraId="75C7655C"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>(一)评价的目的和依据</w:t>
      </w:r>
      <w:r>
        <w:rPr>
          <w:rFonts w:hint="eastAsia" w:ascii="黑体" w:hAnsi="黑体" w:eastAsia="黑体" w:cs="宋体"/>
          <w:kern w:val="0"/>
          <w:szCs w:val="21"/>
        </w:rPr>
        <w:tab/>
      </w:r>
      <w:r>
        <w:rPr>
          <w:rFonts w:hint="eastAsia" w:ascii="黑体" w:hAnsi="黑体" w:eastAsia="黑体" w:cs="宋体"/>
          <w:kern w:val="0"/>
          <w:szCs w:val="21"/>
        </w:rPr>
        <w:t xml:space="preserve"> </w:t>
      </w:r>
    </w:p>
    <w:p w14:paraId="6CE234D6"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>(二)绩效评价工作方案制定过程</w:t>
      </w:r>
      <w:r>
        <w:rPr>
          <w:rFonts w:hint="eastAsia" w:ascii="黑体" w:hAnsi="黑体" w:eastAsia="黑体" w:cs="宋体"/>
          <w:kern w:val="0"/>
          <w:szCs w:val="21"/>
        </w:rPr>
        <w:tab/>
      </w:r>
      <w:r>
        <w:rPr>
          <w:rFonts w:hint="eastAsia" w:ascii="黑体" w:hAnsi="黑体" w:eastAsia="黑体" w:cs="宋体"/>
          <w:kern w:val="0"/>
          <w:szCs w:val="21"/>
        </w:rPr>
        <w:t xml:space="preserve"> </w:t>
      </w:r>
    </w:p>
    <w:p w14:paraId="04C4A718"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>(三)绩效评价原则、评价方法等</w:t>
      </w:r>
      <w:r>
        <w:rPr>
          <w:rFonts w:hint="eastAsia" w:ascii="黑体" w:hAnsi="黑体" w:eastAsia="黑体" w:cs="宋体"/>
          <w:kern w:val="0"/>
          <w:szCs w:val="21"/>
        </w:rPr>
        <w:tab/>
      </w:r>
    </w:p>
    <w:p w14:paraId="6A63094E"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>(四)绩效评价实施过程</w:t>
      </w:r>
      <w:r>
        <w:rPr>
          <w:rFonts w:hint="eastAsia" w:ascii="黑体" w:hAnsi="黑体" w:eastAsia="黑体" w:cs="宋体"/>
          <w:kern w:val="0"/>
          <w:szCs w:val="21"/>
        </w:rPr>
        <w:tab/>
      </w:r>
      <w:r>
        <w:rPr>
          <w:rFonts w:hint="eastAsia" w:ascii="黑体" w:hAnsi="黑体" w:eastAsia="黑体" w:cs="宋体"/>
          <w:kern w:val="0"/>
          <w:szCs w:val="21"/>
        </w:rPr>
        <w:t xml:space="preserve"> </w:t>
      </w:r>
    </w:p>
    <w:p w14:paraId="49F0AB91"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>(五)绩效评价的局限性</w:t>
      </w:r>
      <w:r>
        <w:rPr>
          <w:rFonts w:hint="eastAsia" w:ascii="黑体" w:hAnsi="黑体" w:eastAsia="黑体" w:cs="宋体"/>
          <w:kern w:val="0"/>
          <w:szCs w:val="21"/>
        </w:rPr>
        <w:tab/>
      </w:r>
      <w:r>
        <w:rPr>
          <w:rFonts w:hint="eastAsia" w:ascii="黑体" w:hAnsi="黑体" w:eastAsia="黑体" w:cs="宋体"/>
          <w:kern w:val="0"/>
          <w:szCs w:val="21"/>
        </w:rPr>
        <w:t xml:space="preserve"> </w:t>
      </w:r>
    </w:p>
    <w:p w14:paraId="6A761472"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 xml:space="preserve">三、评价结论及绩效分析 </w:t>
      </w:r>
    </w:p>
    <w:p w14:paraId="160B70CD"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>(一)评价结论</w:t>
      </w:r>
      <w:r>
        <w:rPr>
          <w:rFonts w:hint="eastAsia" w:ascii="黑体" w:hAnsi="黑体" w:eastAsia="黑体" w:cs="宋体"/>
          <w:kern w:val="0"/>
          <w:szCs w:val="21"/>
        </w:rPr>
        <w:tab/>
      </w:r>
      <w:r>
        <w:rPr>
          <w:rFonts w:hint="eastAsia" w:ascii="黑体" w:hAnsi="黑体" w:eastAsia="黑体" w:cs="宋体"/>
          <w:kern w:val="0"/>
          <w:szCs w:val="21"/>
        </w:rPr>
        <w:t xml:space="preserve"> </w:t>
      </w:r>
    </w:p>
    <w:p w14:paraId="277D8A44"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>(二)绩效分析</w:t>
      </w:r>
      <w:r>
        <w:rPr>
          <w:rFonts w:hint="eastAsia" w:ascii="黑体" w:hAnsi="黑体" w:eastAsia="黑体" w:cs="宋体"/>
          <w:kern w:val="0"/>
          <w:szCs w:val="21"/>
        </w:rPr>
        <w:tab/>
      </w:r>
      <w:r>
        <w:rPr>
          <w:rFonts w:hint="eastAsia" w:ascii="黑体" w:hAnsi="黑体" w:eastAsia="黑体" w:cs="宋体"/>
          <w:kern w:val="0"/>
          <w:szCs w:val="21"/>
        </w:rPr>
        <w:t xml:space="preserve"> </w:t>
      </w:r>
    </w:p>
    <w:p w14:paraId="02562A7C"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 xml:space="preserve">四、项目主要经验及做法、存在的问题和建议 </w:t>
      </w:r>
    </w:p>
    <w:p w14:paraId="5C8127FA"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>(一)主要经验及做法</w:t>
      </w:r>
      <w:r>
        <w:rPr>
          <w:rFonts w:hint="eastAsia" w:ascii="黑体" w:hAnsi="黑体" w:eastAsia="黑体" w:cs="宋体"/>
          <w:kern w:val="0"/>
          <w:szCs w:val="21"/>
        </w:rPr>
        <w:tab/>
      </w:r>
      <w:r>
        <w:rPr>
          <w:rFonts w:hint="eastAsia" w:ascii="黑体" w:hAnsi="黑体" w:eastAsia="黑体" w:cs="宋体"/>
          <w:kern w:val="0"/>
          <w:szCs w:val="21"/>
        </w:rPr>
        <w:t xml:space="preserve"> </w:t>
      </w:r>
    </w:p>
    <w:p w14:paraId="40139A3C"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>(二)存在的问题</w:t>
      </w:r>
      <w:r>
        <w:rPr>
          <w:rFonts w:hint="eastAsia" w:ascii="黑体" w:hAnsi="黑体" w:eastAsia="黑体" w:cs="宋体"/>
          <w:kern w:val="0"/>
          <w:szCs w:val="21"/>
        </w:rPr>
        <w:tab/>
      </w:r>
      <w:r>
        <w:rPr>
          <w:rFonts w:hint="eastAsia" w:ascii="黑体" w:hAnsi="黑体" w:eastAsia="黑体" w:cs="宋体"/>
          <w:kern w:val="0"/>
          <w:szCs w:val="21"/>
        </w:rPr>
        <w:t xml:space="preserve"> </w:t>
      </w:r>
    </w:p>
    <w:p w14:paraId="1EFABBD0"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 xml:space="preserve">(三)建议和改进措施 </w:t>
      </w:r>
    </w:p>
    <w:p w14:paraId="5D70DA96"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>五、附件</w:t>
      </w:r>
      <w:r>
        <w:rPr>
          <w:rFonts w:hint="eastAsia" w:ascii="黑体" w:hAnsi="黑体" w:eastAsia="黑体" w:cs="宋体"/>
          <w:kern w:val="0"/>
          <w:szCs w:val="21"/>
        </w:rPr>
        <w:tab/>
      </w:r>
      <w:r>
        <w:rPr>
          <w:rFonts w:hint="eastAsia" w:ascii="黑体" w:hAnsi="黑体" w:eastAsia="黑体" w:cs="宋体"/>
          <w:kern w:val="0"/>
          <w:szCs w:val="21"/>
        </w:rPr>
        <w:t xml:space="preserve"> </w:t>
      </w:r>
    </w:p>
    <w:p w14:paraId="6C6903BF"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>附件一：指标体系</w:t>
      </w:r>
      <w:r>
        <w:rPr>
          <w:rFonts w:hint="eastAsia" w:ascii="黑体" w:hAnsi="黑体" w:eastAsia="黑体" w:cs="宋体"/>
          <w:kern w:val="0"/>
          <w:szCs w:val="21"/>
        </w:rPr>
        <w:tab/>
      </w:r>
      <w:r>
        <w:rPr>
          <w:rFonts w:hint="eastAsia" w:ascii="黑体" w:hAnsi="黑体" w:eastAsia="黑体" w:cs="宋体"/>
          <w:kern w:val="0"/>
          <w:szCs w:val="21"/>
        </w:rPr>
        <w:t xml:space="preserve"> </w:t>
      </w:r>
    </w:p>
    <w:p w14:paraId="604C56F0"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>附件二：基础数据表</w:t>
      </w:r>
      <w:r>
        <w:rPr>
          <w:rFonts w:hint="eastAsia" w:ascii="黑体" w:hAnsi="黑体" w:eastAsia="黑体" w:cs="宋体"/>
          <w:kern w:val="0"/>
          <w:szCs w:val="21"/>
        </w:rPr>
        <w:tab/>
      </w:r>
      <w:r>
        <w:rPr>
          <w:rFonts w:hint="eastAsia" w:ascii="黑体" w:hAnsi="黑体" w:eastAsia="黑体" w:cs="宋体"/>
          <w:kern w:val="0"/>
          <w:szCs w:val="21"/>
        </w:rPr>
        <w:t xml:space="preserve"> </w:t>
      </w:r>
    </w:p>
    <w:p w14:paraId="1AAB3E32"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>附件三：访谈记录</w:t>
      </w:r>
      <w:r>
        <w:rPr>
          <w:rFonts w:hint="eastAsia" w:ascii="黑体" w:hAnsi="黑体" w:eastAsia="黑体" w:cs="宋体"/>
          <w:kern w:val="0"/>
          <w:szCs w:val="21"/>
        </w:rPr>
        <w:tab/>
      </w:r>
      <w:r>
        <w:rPr>
          <w:rFonts w:hint="eastAsia" w:ascii="黑体" w:hAnsi="黑体" w:eastAsia="黑体" w:cs="宋体"/>
          <w:kern w:val="0"/>
          <w:szCs w:val="21"/>
        </w:rPr>
        <w:t xml:space="preserve"> </w:t>
      </w:r>
    </w:p>
    <w:p w14:paraId="5BF28096"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>附件四：问卷调查分析报告</w:t>
      </w:r>
      <w:r>
        <w:rPr>
          <w:rFonts w:hint="eastAsia" w:ascii="黑体" w:hAnsi="黑体" w:eastAsia="黑体" w:cs="宋体"/>
          <w:kern w:val="0"/>
          <w:szCs w:val="21"/>
        </w:rPr>
        <w:tab/>
      </w:r>
      <w:r>
        <w:rPr>
          <w:rFonts w:hint="eastAsia" w:ascii="黑体" w:hAnsi="黑体" w:eastAsia="黑体" w:cs="宋体"/>
          <w:kern w:val="0"/>
          <w:szCs w:val="21"/>
        </w:rPr>
        <w:t xml:space="preserve"> </w:t>
      </w:r>
    </w:p>
    <w:p w14:paraId="1E855C92">
      <w:pPr>
        <w:widowControl/>
        <w:spacing w:line="40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>附件五：</w:t>
      </w:r>
      <w:r>
        <w:rPr>
          <w:rFonts w:hint="eastAsia" w:ascii="黑体" w:hAnsi="黑体" w:eastAsia="黑体" w:cs="宋体"/>
          <w:kern w:val="0"/>
          <w:sz w:val="24"/>
          <w:szCs w:val="24"/>
        </w:rPr>
        <w:t>……</w:t>
      </w:r>
    </w:p>
    <w:p w14:paraId="41061636">
      <w:pPr>
        <w:widowControl/>
        <w:spacing w:line="440" w:lineRule="atLeast"/>
        <w:ind w:firstLine="420"/>
        <w:jc w:val="left"/>
        <w:rPr>
          <w:rFonts w:ascii="黑体" w:hAnsi="黑体" w:eastAsia="黑体" w:cs="宋体"/>
          <w:kern w:val="0"/>
          <w:szCs w:val="21"/>
        </w:rPr>
      </w:pPr>
      <w:r>
        <w:rPr>
          <w:rFonts w:hint="eastAsia" w:ascii="黑体" w:hAnsi="黑体" w:eastAsia="黑体" w:cs="宋体"/>
          <w:kern w:val="0"/>
          <w:szCs w:val="21"/>
        </w:rPr>
        <w:tab/>
      </w:r>
      <w:r>
        <w:rPr>
          <w:rFonts w:hint="eastAsia" w:ascii="黑体" w:hAnsi="黑体" w:eastAsia="黑体" w:cs="宋体"/>
          <w:kern w:val="0"/>
          <w:szCs w:val="21"/>
        </w:rPr>
        <w:t xml:space="preserve">  </w:t>
      </w:r>
    </w:p>
    <w:p w14:paraId="010880AA">
      <w:pPr>
        <w:widowControl/>
        <w:spacing w:line="540" w:lineRule="atLeast"/>
        <w:rPr>
          <w:rFonts w:ascii="方正小标宋_GBK" w:hAnsi="Calibri" w:eastAsia="方正小标宋_GBK" w:cs="宋体"/>
          <w:kern w:val="0"/>
          <w:szCs w:val="21"/>
        </w:rPr>
      </w:pPr>
      <w:r>
        <w:rPr>
          <w:rFonts w:hint="eastAsia" w:ascii="方正小标宋_GBK" w:hAnsi="Calibri" w:eastAsia="方正小标宋_GBK" w:cs="宋体"/>
          <w:kern w:val="0"/>
          <w:szCs w:val="21"/>
        </w:rPr>
        <w:t xml:space="preserve"> </w:t>
      </w:r>
    </w:p>
    <w:p w14:paraId="3BD0E18C">
      <w:pPr>
        <w:widowControl/>
        <w:spacing w:line="440" w:lineRule="atLeast"/>
        <w:jc w:val="center"/>
        <w:rPr>
          <w:rFonts w:ascii="方正小标宋_GBK" w:hAnsi="Calibri" w:eastAsia="方正小标宋_GBK" w:cs="宋体"/>
          <w:kern w:val="0"/>
          <w:sz w:val="36"/>
          <w:szCs w:val="36"/>
        </w:rPr>
      </w:pPr>
      <w:r>
        <w:rPr>
          <w:rFonts w:hint="eastAsia" w:ascii="方正小标宋_GBK" w:hAnsi="Calibri" w:eastAsia="方正小标宋_GBK" w:cs="宋体"/>
          <w:kern w:val="0"/>
          <w:sz w:val="36"/>
          <w:szCs w:val="36"/>
          <w:lang w:eastAsia="zh-CN"/>
        </w:rPr>
        <w:t>综合防火经费</w:t>
      </w:r>
      <w:r>
        <w:rPr>
          <w:rFonts w:hint="eastAsia" w:ascii="方正小标宋_GBK" w:hAnsi="Calibri" w:eastAsia="方正小标宋_GBK" w:cs="宋体"/>
          <w:kern w:val="0"/>
          <w:sz w:val="36"/>
          <w:szCs w:val="36"/>
        </w:rPr>
        <w:t>支出绩效自评报告</w:t>
      </w:r>
    </w:p>
    <w:p w14:paraId="2E06E373">
      <w:pPr>
        <w:widowControl/>
        <w:spacing w:line="440" w:lineRule="atLeast"/>
        <w:ind w:firstLine="720" w:firstLineChars="200"/>
        <w:jc w:val="left"/>
        <w:rPr>
          <w:rFonts w:ascii="方正小标宋_GBK" w:hAnsi="Calibri" w:eastAsia="方正小标宋_GBK" w:cs="宋体"/>
          <w:kern w:val="0"/>
          <w:sz w:val="36"/>
          <w:szCs w:val="36"/>
        </w:rPr>
      </w:pPr>
    </w:p>
    <w:p w14:paraId="697BD15C">
      <w:pPr>
        <w:widowControl/>
        <w:spacing w:line="440" w:lineRule="atLeast"/>
        <w:ind w:firstLine="720" w:firstLineChars="200"/>
        <w:jc w:val="left"/>
        <w:rPr>
          <w:rFonts w:ascii="仿宋_GB2312" w:hAnsi="Calibri" w:eastAsia="仿宋_GB2312" w:cs="宋体"/>
          <w:kern w:val="0"/>
          <w:sz w:val="32"/>
          <w:szCs w:val="32"/>
        </w:rPr>
      </w:pPr>
      <w:r>
        <w:rPr>
          <w:rFonts w:hint="eastAsia" w:ascii="方正小标宋_GBK" w:hAnsi="Calibri" w:eastAsia="方正小标宋_GBK" w:cs="宋体"/>
          <w:kern w:val="0"/>
          <w:sz w:val="36"/>
          <w:szCs w:val="36"/>
        </w:rPr>
        <w:t>一、</w:t>
      </w:r>
      <w:r>
        <w:rPr>
          <w:rFonts w:hint="eastAsia" w:ascii="黑体" w:hAnsi="黑体" w:eastAsia="黑体" w:cs="宋体"/>
          <w:kern w:val="0"/>
          <w:sz w:val="32"/>
          <w:szCs w:val="32"/>
        </w:rPr>
        <w:t>项目概况：</w:t>
      </w:r>
      <w:r>
        <w:rPr>
          <w:rFonts w:hint="eastAsia" w:ascii="仿宋_GB2312" w:hAnsi="Calibri" w:eastAsia="仿宋_GB2312" w:cs="宋体"/>
          <w:kern w:val="0"/>
          <w:sz w:val="32"/>
          <w:szCs w:val="32"/>
        </w:rPr>
        <w:t>含项目立项背景及目的，预算收支情况。</w:t>
      </w:r>
    </w:p>
    <w:p w14:paraId="67EEC20C">
      <w:pPr>
        <w:ind w:firstLine="640" w:firstLineChars="200"/>
        <w:outlineLvl w:val="0"/>
        <w:rPr>
          <w:rFonts w:ascii="仿宋_GB2312" w:hAnsi="仿宋_GB2312" w:eastAsia="仿宋_GB2312" w:cs="仿宋_GB2312"/>
          <w:bCs/>
          <w:color w:val="000000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根据《森林法》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《云南省森林防火条例》《昆明市森林防火条例》规定，及《昆明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人民政府森林防火目标管理责任状》的要求，每年安排森林防火保障资金，纳入年终考核。盘龙区自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2004年区划以来，区政府每年根据实际，将综合防火经费纳入区级财政预算。2022年综合防火经费预算为160万元，用于森林防火工作（宣传、应急处置、购买防火物资等）。</w:t>
      </w:r>
    </w:p>
    <w:p w14:paraId="535966AA">
      <w:pPr>
        <w:ind w:firstLine="643" w:firstLineChars="200"/>
        <w:outlineLvl w:val="0"/>
        <w:rPr>
          <w:rFonts w:ascii="黑体" w:hAnsi="黑体" w:eastAsia="黑体" w:cs="宋体"/>
          <w:b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</w:rPr>
        <w:t>二、</w:t>
      </w:r>
      <w:r>
        <w:rPr>
          <w:rFonts w:hint="eastAsia" w:ascii="黑体" w:hAnsi="黑体" w:eastAsia="黑体" w:cs="宋体"/>
          <w:b/>
          <w:kern w:val="0"/>
          <w:sz w:val="32"/>
          <w:szCs w:val="32"/>
        </w:rPr>
        <w:t>评价结论</w:t>
      </w:r>
    </w:p>
    <w:p w14:paraId="21CEA254">
      <w:pPr>
        <w:widowControl/>
        <w:spacing w:line="440" w:lineRule="atLeast"/>
        <w:ind w:firstLine="640" w:firstLineChars="200"/>
        <w:jc w:val="left"/>
        <w:rPr>
          <w:rFonts w:hint="eastAsia" w:ascii="仿宋_GB2312" w:hAnsi="黑体" w:eastAsia="仿宋_GB2312" w:cs="宋体"/>
          <w:kern w:val="0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 w:cs="宋体"/>
          <w:kern w:val="0"/>
          <w:sz w:val="32"/>
          <w:szCs w:val="32"/>
          <w:lang w:val="en-US" w:eastAsia="zh-CN"/>
        </w:rPr>
        <w:t>2023年度盘龙区未发生森林火灾，受害率控制在0.8</w:t>
      </w:r>
      <w:r>
        <w:rPr>
          <w:rFonts w:hint="default" w:ascii="Arial" w:hAnsi="Arial" w:eastAsia="仿宋_GB2312" w:cs="Arial"/>
          <w:kern w:val="0"/>
          <w:sz w:val="32"/>
          <w:szCs w:val="32"/>
          <w:lang w:val="en-US" w:eastAsia="zh-CN"/>
        </w:rPr>
        <w:t>‰</w:t>
      </w:r>
      <w:r>
        <w:rPr>
          <w:rFonts w:hint="eastAsia" w:ascii="Arial" w:hAnsi="Arial" w:eastAsia="仿宋_GB2312" w:cs="Arial"/>
          <w:kern w:val="0"/>
          <w:sz w:val="32"/>
          <w:szCs w:val="32"/>
          <w:lang w:val="en-US" w:eastAsia="zh-CN"/>
        </w:rPr>
        <w:t>.</w:t>
      </w:r>
    </w:p>
    <w:p w14:paraId="3B0F7669">
      <w:pPr>
        <w:widowControl/>
        <w:spacing w:line="440" w:lineRule="atLeast"/>
        <w:ind w:firstLine="640" w:firstLineChars="200"/>
        <w:jc w:val="left"/>
        <w:rPr>
          <w:rFonts w:ascii="黑体" w:hAnsi="黑体" w:eastAsia="黑体" w:cs="宋体"/>
          <w:kern w:val="0"/>
          <w:sz w:val="32"/>
          <w:szCs w:val="32"/>
        </w:rPr>
      </w:pPr>
      <w:r>
        <w:rPr>
          <w:rFonts w:hint="eastAsia" w:ascii="黑体" w:hAnsi="黑体" w:eastAsia="黑体" w:cs="宋体"/>
          <w:kern w:val="0"/>
          <w:sz w:val="32"/>
          <w:szCs w:val="32"/>
        </w:rPr>
        <w:t>三、经验、问题和建议</w:t>
      </w:r>
    </w:p>
    <w:p w14:paraId="19BD46C5">
      <w:pPr>
        <w:widowControl/>
        <w:spacing w:line="440" w:lineRule="atLeast"/>
        <w:ind w:firstLine="579" w:firstLineChars="181"/>
        <w:jc w:val="left"/>
        <w:rPr>
          <w:rFonts w:hint="eastAsia" w:ascii="楷体" w:hAnsi="楷体" w:eastAsia="楷体" w:cs="宋体"/>
          <w:kern w:val="0"/>
          <w:sz w:val="32"/>
          <w:szCs w:val="32"/>
        </w:rPr>
      </w:pPr>
      <w:r>
        <w:rPr>
          <w:rFonts w:hint="eastAsia" w:ascii="楷体" w:hAnsi="楷体" w:eastAsia="楷体" w:cs="宋体"/>
          <w:kern w:val="0"/>
          <w:sz w:val="32"/>
          <w:szCs w:val="32"/>
        </w:rPr>
        <w:t>主要经验及做法；</w:t>
      </w:r>
    </w:p>
    <w:p w14:paraId="48D9E0D6">
      <w:pPr>
        <w:keepNext w:val="0"/>
        <w:keepLines w:val="0"/>
        <w:widowControl w:val="0"/>
        <w:suppressLineNumbers w:val="0"/>
        <w:spacing w:before="0" w:beforeAutospacing="0" w:after="0" w:afterAutospacing="0" w:line="600" w:lineRule="exact"/>
        <w:ind w:left="0" w:right="0" w:firstLine="640" w:firstLineChars="200"/>
        <w:jc w:val="both"/>
        <w:outlineLvl w:val="0"/>
        <w:rPr>
          <w:rFonts w:hint="eastAsia" w:ascii="楷体_GB2312" w:hAnsi="楷体_GB2312" w:eastAsia="楷体_GB2312" w:cs="楷体_GB2312"/>
          <w:sz w:val="32"/>
          <w:szCs w:val="32"/>
          <w:lang w:val="en-US"/>
        </w:rPr>
      </w:pPr>
      <w:r>
        <w:rPr>
          <w:rFonts w:hint="eastAsia" w:ascii="楷体_GB2312" w:hAnsi="楷体_GB2312" w:eastAsia="楷体_GB2312" w:cs="楷体_GB2312"/>
          <w:kern w:val="2"/>
          <w:sz w:val="32"/>
          <w:szCs w:val="32"/>
          <w:lang w:val="en-US" w:eastAsia="zh-CN" w:bidi="ar"/>
        </w:rPr>
        <w:t>（一）加强领导、落实责任，消除火灾隐患</w:t>
      </w:r>
    </w:p>
    <w:p w14:paraId="14CFE9A2">
      <w:pPr>
        <w:keepNext w:val="0"/>
        <w:keepLines w:val="0"/>
        <w:widowControl w:val="0"/>
        <w:suppressLineNumbers w:val="0"/>
        <w:spacing w:before="0" w:beforeAutospacing="0" w:after="0" w:afterAutospacing="0" w:line="600" w:lineRule="exact"/>
        <w:ind w:left="0" w:right="0" w:firstLine="640" w:firstLineChars="200"/>
        <w:jc w:val="both"/>
        <w:outlineLvl w:val="0"/>
        <w:rPr>
          <w:rFonts w:hint="eastAsia" w:ascii="楷体_GB2312" w:hAnsi="楷体_GB2312" w:eastAsia="楷体_GB2312" w:cs="楷体_GB2312"/>
          <w:sz w:val="32"/>
          <w:szCs w:val="32"/>
          <w:shd w:val="clear" w:fill="FFFFFF"/>
          <w:lang w:val="en-US"/>
        </w:rPr>
      </w:pPr>
      <w:r>
        <w:rPr>
          <w:rFonts w:hint="eastAsia" w:ascii="楷体_GB2312" w:hAnsi="楷体_GB2312" w:eastAsia="楷体_GB2312" w:cs="楷体_GB2312"/>
          <w:kern w:val="2"/>
          <w:sz w:val="32"/>
          <w:szCs w:val="32"/>
          <w:shd w:val="clear" w:fill="FFFFFF"/>
          <w:lang w:val="en-US" w:eastAsia="zh-CN" w:bidi="ar"/>
        </w:rPr>
        <w:t>（二）强化保障、加大投入，保障工作开展</w:t>
      </w:r>
    </w:p>
    <w:p w14:paraId="4AF79B5A">
      <w:pPr>
        <w:keepNext w:val="0"/>
        <w:keepLines w:val="0"/>
        <w:widowControl w:val="0"/>
        <w:suppressLineNumbers w:val="0"/>
        <w:spacing w:before="0" w:beforeAutospacing="0" w:after="0" w:afterAutospacing="0" w:line="600" w:lineRule="exact"/>
        <w:ind w:left="0" w:right="0" w:firstLine="627" w:firstLineChars="196"/>
        <w:jc w:val="both"/>
        <w:outlineLvl w:val="0"/>
        <w:rPr>
          <w:rFonts w:hint="eastAsia" w:ascii="楷体_GB2312" w:hAnsi="楷体_GB2312" w:eastAsia="楷体_GB2312" w:cs="楷体_GB2312"/>
          <w:bCs/>
          <w:sz w:val="32"/>
          <w:szCs w:val="32"/>
          <w:lang w:val="en-US"/>
        </w:rPr>
      </w:pPr>
      <w:r>
        <w:rPr>
          <w:rFonts w:hint="eastAsia" w:ascii="楷体_GB2312" w:hAnsi="楷体_GB2312" w:eastAsia="楷体_GB2312" w:cs="楷体_GB2312"/>
          <w:bCs/>
          <w:kern w:val="2"/>
          <w:sz w:val="32"/>
          <w:szCs w:val="32"/>
          <w:lang w:val="en-US" w:eastAsia="zh-CN" w:bidi="ar"/>
        </w:rPr>
        <w:t>（三）强化宣传、警钟长鸣，增强防火意识</w:t>
      </w:r>
    </w:p>
    <w:p w14:paraId="58A308AB">
      <w:pPr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600" w:lineRule="exact"/>
        <w:ind w:left="0" w:right="0" w:firstLine="640" w:firstLineChars="200"/>
        <w:jc w:val="left"/>
        <w:outlineLvl w:val="0"/>
        <w:rPr>
          <w:rFonts w:hint="eastAsia" w:ascii="楷体_GB2312" w:hAnsi="楷体_GB2312" w:eastAsia="楷体_GB2312" w:cs="楷体_GB2312"/>
          <w:kern w:val="0"/>
          <w:sz w:val="32"/>
          <w:szCs w:val="32"/>
          <w:shd w:val="clear" w:fill="FFFFFF"/>
          <w:lang w:val="en-US"/>
        </w:rPr>
      </w:pPr>
      <w:r>
        <w:rPr>
          <w:rFonts w:hint="eastAsia" w:ascii="楷体_GB2312" w:hAnsi="楷体_GB2312" w:eastAsia="楷体_GB2312" w:cs="楷体_GB2312"/>
          <w:kern w:val="0"/>
          <w:sz w:val="32"/>
          <w:szCs w:val="32"/>
          <w:shd w:val="clear" w:fill="FFFFFF"/>
          <w:lang w:val="en-US" w:eastAsia="zh-CN" w:bidi="ar"/>
        </w:rPr>
        <w:t>（四）强化措施、加强管控，狠抓火源管理</w:t>
      </w:r>
    </w:p>
    <w:p w14:paraId="76761921">
      <w:pPr>
        <w:keepNext w:val="0"/>
        <w:keepLines w:val="0"/>
        <w:widowControl w:val="0"/>
        <w:suppressLineNumbers w:val="0"/>
        <w:spacing w:before="0" w:beforeAutospacing="0" w:after="0" w:afterAutospacing="0" w:line="600" w:lineRule="exact"/>
        <w:ind w:left="0" w:right="0" w:firstLine="640" w:firstLineChars="200"/>
        <w:jc w:val="both"/>
        <w:outlineLvl w:val="0"/>
        <w:rPr>
          <w:rFonts w:hint="eastAsia" w:ascii="楷体_GB2312" w:hAnsi="楷体_GB2312" w:eastAsia="楷体_GB2312" w:cs="楷体_GB2312"/>
          <w:sz w:val="32"/>
          <w:szCs w:val="32"/>
          <w:lang w:val="en-US"/>
        </w:rPr>
      </w:pPr>
      <w:r>
        <w:rPr>
          <w:rFonts w:hint="eastAsia" w:ascii="楷体_GB2312" w:hAnsi="楷体_GB2312" w:eastAsia="楷体_GB2312" w:cs="楷体_GB2312"/>
          <w:kern w:val="2"/>
          <w:sz w:val="32"/>
          <w:szCs w:val="32"/>
          <w:lang w:val="en-US" w:eastAsia="zh-CN" w:bidi="ar"/>
        </w:rPr>
        <w:t>（五）充实队伍、强化技战，提高扑救能力</w:t>
      </w:r>
    </w:p>
    <w:p w14:paraId="37C1F56B">
      <w:pPr>
        <w:keepNext w:val="0"/>
        <w:keepLines w:val="0"/>
        <w:widowControl w:val="0"/>
        <w:suppressLineNumbers w:val="0"/>
        <w:spacing w:before="0" w:beforeAutospacing="0" w:after="0" w:afterAutospacing="0" w:line="600" w:lineRule="exact"/>
        <w:ind w:left="0" w:right="0" w:firstLine="640" w:firstLineChars="200"/>
        <w:jc w:val="both"/>
        <w:rPr>
          <w:rFonts w:hint="eastAsia" w:ascii="楷体_GB2312" w:hAnsi="楷体_GB2312" w:eastAsia="楷体_GB2312" w:cs="楷体_GB2312"/>
          <w:kern w:val="0"/>
          <w:sz w:val="32"/>
          <w:szCs w:val="32"/>
          <w:lang w:val="en-US"/>
        </w:rPr>
      </w:pPr>
      <w:r>
        <w:rPr>
          <w:rFonts w:hint="eastAsia" w:ascii="楷体_GB2312" w:hAnsi="楷体_GB2312" w:eastAsia="楷体_GB2312" w:cs="楷体_GB2312"/>
          <w:snapToGrid w:val="0"/>
          <w:kern w:val="0"/>
          <w:sz w:val="32"/>
          <w:szCs w:val="32"/>
          <w:lang w:val="en-US" w:eastAsia="zh-CN" w:bidi="ar"/>
        </w:rPr>
        <w:t>（六）强化值班、加强监督，科学防灾救灾</w:t>
      </w:r>
    </w:p>
    <w:p w14:paraId="6C332339">
      <w:pPr>
        <w:widowControl/>
        <w:spacing w:line="440" w:lineRule="atLeast"/>
        <w:ind w:firstLine="736" w:firstLineChars="230"/>
        <w:jc w:val="left"/>
        <w:rPr>
          <w:rFonts w:ascii="楷体" w:hAnsi="楷体" w:eastAsia="楷体" w:cs="宋体"/>
          <w:kern w:val="0"/>
          <w:sz w:val="32"/>
          <w:szCs w:val="32"/>
        </w:rPr>
      </w:pPr>
      <w:r>
        <w:rPr>
          <w:rFonts w:hint="eastAsia" w:ascii="楷体" w:hAnsi="楷体" w:eastAsia="楷体" w:cs="宋体"/>
          <w:kern w:val="0"/>
          <w:sz w:val="32"/>
          <w:szCs w:val="32"/>
        </w:rPr>
        <w:t>2.存在的问题；</w:t>
      </w:r>
    </w:p>
    <w:p w14:paraId="33A5F021">
      <w:pPr>
        <w:ind w:firstLine="640" w:firstLineChars="200"/>
        <w:outlineLvl w:val="0"/>
        <w:rPr>
          <w:rFonts w:ascii="仿宋_GB2312" w:hAnsi="仿宋_GB2312" w:eastAsia="仿宋_GB2312" w:cs="仿宋_GB2312"/>
          <w:snapToGrid w:val="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</w:rPr>
        <w:t>由于区</w:t>
      </w:r>
      <w:r>
        <w:rPr>
          <w:rFonts w:hint="eastAsia" w:ascii="仿宋_GB2312" w:hAnsi="仿宋_GB2312" w:eastAsia="仿宋_GB2312" w:cs="仿宋_GB2312"/>
          <w:snapToGrid w:val="0"/>
          <w:kern w:val="0"/>
          <w:sz w:val="32"/>
          <w:szCs w:val="32"/>
        </w:rPr>
        <w:t>委区政府高度重视</w:t>
      </w:r>
      <w:r>
        <w:rPr>
          <w:rFonts w:hint="eastAsia" w:ascii="仿宋_GB2312" w:hAnsi="仿宋_GB2312" w:eastAsia="仿宋_GB2312" w:cs="仿宋_GB2312"/>
          <w:snapToGrid w:val="0"/>
          <w:kern w:val="0"/>
          <w:sz w:val="32"/>
          <w:szCs w:val="32"/>
          <w:lang w:eastAsia="zh-CN"/>
        </w:rPr>
        <w:t>森林防火工作，</w:t>
      </w:r>
      <w:r>
        <w:rPr>
          <w:rFonts w:hint="eastAsia" w:ascii="仿宋_GB2312" w:hAnsi="仿宋_GB2312" w:eastAsia="仿宋_GB2312" w:cs="仿宋_GB2312"/>
          <w:snapToGrid w:val="0"/>
          <w:kern w:val="0"/>
          <w:sz w:val="32"/>
          <w:szCs w:val="32"/>
        </w:rPr>
        <w:t>20</w:t>
      </w:r>
      <w:r>
        <w:rPr>
          <w:rFonts w:hint="eastAsia" w:ascii="仿宋_GB2312" w:hAnsi="仿宋_GB2312" w:eastAsia="仿宋_GB2312" w:cs="仿宋_GB2312"/>
          <w:snapToGrid w:val="0"/>
          <w:kern w:val="0"/>
          <w:sz w:val="32"/>
          <w:szCs w:val="32"/>
          <w:lang w:val="en-US" w:eastAsia="zh-CN"/>
        </w:rPr>
        <w:t>20</w:t>
      </w:r>
      <w:r>
        <w:rPr>
          <w:rFonts w:hint="eastAsia" w:ascii="仿宋_GB2312" w:hAnsi="仿宋_GB2312" w:eastAsia="仿宋_GB2312" w:cs="仿宋_GB2312"/>
          <w:snapToGrid w:val="0"/>
          <w:kern w:val="0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napToGrid w:val="0"/>
          <w:kern w:val="0"/>
          <w:sz w:val="32"/>
          <w:szCs w:val="32"/>
          <w:lang w:eastAsia="zh-CN"/>
        </w:rPr>
        <w:t>森林防火目标管理责任考核中，评为优秀</w:t>
      </w:r>
      <w:r>
        <w:rPr>
          <w:rFonts w:hint="eastAsia" w:ascii="仿宋_GB2312" w:hAnsi="仿宋_GB2312" w:eastAsia="仿宋_GB2312" w:cs="仿宋_GB2312"/>
          <w:snapToGrid w:val="0"/>
          <w:kern w:val="0"/>
          <w:sz w:val="32"/>
          <w:szCs w:val="32"/>
        </w:rPr>
        <w:t>。</w:t>
      </w:r>
    </w:p>
    <w:p w14:paraId="7E744E31">
      <w:pPr>
        <w:widowControl/>
        <w:spacing w:line="440" w:lineRule="atLeast"/>
        <w:ind w:firstLine="640" w:firstLineChars="200"/>
        <w:jc w:val="left"/>
        <w:rPr>
          <w:rFonts w:ascii="楷体" w:hAnsi="楷体" w:eastAsia="楷体" w:cs="宋体"/>
          <w:kern w:val="0"/>
          <w:sz w:val="32"/>
          <w:szCs w:val="32"/>
        </w:rPr>
      </w:pPr>
      <w:r>
        <w:rPr>
          <w:rFonts w:hint="eastAsia" w:ascii="楷体" w:hAnsi="楷体" w:eastAsia="楷体" w:cs="宋体"/>
          <w:kern w:val="0"/>
          <w:sz w:val="32"/>
          <w:szCs w:val="32"/>
        </w:rPr>
        <w:t>3.改进措施及建议。</w:t>
      </w:r>
    </w:p>
    <w:p w14:paraId="0C49731D">
      <w:pPr>
        <w:widowControl/>
        <w:spacing w:line="440" w:lineRule="atLeast"/>
        <w:ind w:firstLine="640" w:firstLineChars="200"/>
        <w:jc w:val="left"/>
        <w:rPr>
          <w:rFonts w:hint="eastAsia" w:ascii="楷体" w:hAnsi="楷体" w:eastAsia="楷体" w:cs="宋体"/>
          <w:kern w:val="0"/>
          <w:sz w:val="32"/>
          <w:szCs w:val="32"/>
          <w:lang w:eastAsia="zh-CN"/>
        </w:rPr>
      </w:pPr>
      <w:r>
        <w:rPr>
          <w:rFonts w:hint="eastAsia" w:ascii="楷体" w:hAnsi="楷体" w:eastAsia="楷体" w:cs="宋体"/>
          <w:kern w:val="0"/>
          <w:sz w:val="32"/>
          <w:szCs w:val="32"/>
          <w:lang w:eastAsia="zh-CN"/>
        </w:rPr>
        <w:t>无</w:t>
      </w:r>
    </w:p>
    <w:p w14:paraId="70992547">
      <w:pPr>
        <w:widowControl/>
        <w:spacing w:line="440" w:lineRule="atLeast"/>
        <w:ind w:firstLine="640" w:firstLineChars="200"/>
        <w:jc w:val="left"/>
        <w:rPr>
          <w:rFonts w:ascii="楷体" w:hAnsi="楷体" w:eastAsia="楷体" w:cs="宋体"/>
          <w:kern w:val="0"/>
          <w:sz w:val="32"/>
          <w:szCs w:val="32"/>
        </w:rPr>
      </w:pPr>
    </w:p>
    <w:p w14:paraId="49ABD3D6">
      <w:pPr>
        <w:widowControl/>
        <w:spacing w:line="440" w:lineRule="atLeast"/>
        <w:ind w:firstLine="640" w:firstLineChars="200"/>
        <w:jc w:val="left"/>
        <w:rPr>
          <w:rFonts w:ascii="楷体" w:hAnsi="楷体" w:eastAsia="楷体" w:cs="宋体"/>
          <w:kern w:val="0"/>
          <w:sz w:val="32"/>
          <w:szCs w:val="32"/>
        </w:rPr>
      </w:pPr>
    </w:p>
    <w:p w14:paraId="2FA4ABD3">
      <w:pPr>
        <w:widowControl/>
        <w:spacing w:line="440" w:lineRule="atLeast"/>
        <w:ind w:firstLine="420"/>
        <w:jc w:val="left"/>
        <w:rPr>
          <w:rFonts w:hint="eastAsia" w:ascii="楷体" w:hAnsi="楷体" w:eastAsia="楷体" w:cs="宋体"/>
          <w:kern w:val="0"/>
          <w:szCs w:val="21"/>
        </w:rPr>
      </w:pPr>
      <w:r>
        <w:rPr>
          <w:rFonts w:hint="eastAsia" w:ascii="楷体" w:hAnsi="楷体" w:eastAsia="楷体" w:cs="宋体"/>
          <w:kern w:val="0"/>
          <w:szCs w:val="21"/>
        </w:rPr>
        <w:t xml:space="preserve"> </w:t>
      </w:r>
    </w:p>
    <w:p w14:paraId="307EAE38">
      <w:pPr>
        <w:widowControl/>
        <w:spacing w:line="440" w:lineRule="atLeast"/>
        <w:ind w:firstLine="420"/>
        <w:jc w:val="left"/>
        <w:rPr>
          <w:rFonts w:hint="eastAsia" w:ascii="楷体" w:hAnsi="楷体" w:eastAsia="楷体" w:cs="宋体"/>
          <w:kern w:val="0"/>
          <w:szCs w:val="21"/>
        </w:rPr>
      </w:pPr>
    </w:p>
    <w:p w14:paraId="70E8580D">
      <w:pPr>
        <w:widowControl/>
        <w:spacing w:line="440" w:lineRule="atLeast"/>
        <w:ind w:firstLine="420"/>
        <w:jc w:val="left"/>
        <w:rPr>
          <w:rFonts w:hint="eastAsia" w:ascii="楷体" w:hAnsi="楷体" w:eastAsia="楷体" w:cs="宋体"/>
          <w:kern w:val="0"/>
          <w:szCs w:val="21"/>
        </w:rPr>
      </w:pPr>
    </w:p>
    <w:p w14:paraId="01FA8752">
      <w:pPr>
        <w:widowControl/>
        <w:spacing w:line="440" w:lineRule="atLeast"/>
        <w:ind w:firstLine="420"/>
        <w:jc w:val="left"/>
        <w:rPr>
          <w:rFonts w:hint="eastAsia" w:ascii="楷体" w:hAnsi="楷体" w:eastAsia="楷体" w:cs="宋体"/>
          <w:kern w:val="0"/>
          <w:szCs w:val="21"/>
        </w:rPr>
      </w:pPr>
    </w:p>
    <w:p w14:paraId="3A0853F5">
      <w:pPr>
        <w:widowControl/>
        <w:spacing w:line="440" w:lineRule="atLeast"/>
        <w:ind w:firstLine="420"/>
        <w:jc w:val="left"/>
        <w:rPr>
          <w:rFonts w:hint="eastAsia" w:ascii="楷体" w:hAnsi="楷体" w:eastAsia="楷体" w:cs="宋体"/>
          <w:kern w:val="0"/>
          <w:szCs w:val="21"/>
        </w:rPr>
      </w:pPr>
    </w:p>
    <w:p w14:paraId="6F84855D">
      <w:pPr>
        <w:widowControl/>
        <w:spacing w:line="440" w:lineRule="atLeast"/>
        <w:ind w:firstLine="420"/>
        <w:jc w:val="left"/>
        <w:rPr>
          <w:rFonts w:hint="eastAsia" w:ascii="楷体" w:hAnsi="楷体" w:eastAsia="楷体" w:cs="宋体"/>
          <w:kern w:val="0"/>
          <w:szCs w:val="21"/>
        </w:rPr>
      </w:pPr>
    </w:p>
    <w:p w14:paraId="2CF315BC">
      <w:pPr>
        <w:widowControl/>
        <w:spacing w:line="440" w:lineRule="atLeast"/>
        <w:ind w:firstLine="420"/>
        <w:jc w:val="left"/>
        <w:rPr>
          <w:rFonts w:hint="eastAsia" w:ascii="楷体" w:hAnsi="楷体" w:eastAsia="楷体" w:cs="宋体"/>
          <w:kern w:val="0"/>
          <w:szCs w:val="21"/>
        </w:rPr>
      </w:pPr>
    </w:p>
    <w:p w14:paraId="11D0C896">
      <w:pPr>
        <w:widowControl/>
        <w:spacing w:line="440" w:lineRule="atLeast"/>
        <w:ind w:firstLine="420"/>
        <w:jc w:val="left"/>
        <w:rPr>
          <w:rFonts w:hint="eastAsia" w:ascii="楷体" w:hAnsi="楷体" w:eastAsia="楷体" w:cs="宋体"/>
          <w:kern w:val="0"/>
          <w:szCs w:val="21"/>
        </w:rPr>
      </w:pPr>
    </w:p>
    <w:p w14:paraId="0BBFA4D0">
      <w:pPr>
        <w:widowControl/>
        <w:spacing w:line="440" w:lineRule="atLeast"/>
        <w:ind w:firstLine="420"/>
        <w:jc w:val="center"/>
        <w:rPr>
          <w:rFonts w:ascii="黑体" w:hAnsi="黑体" w:eastAsia="黑体" w:cs="宋体"/>
          <w:kern w:val="0"/>
          <w:szCs w:val="21"/>
        </w:rPr>
      </w:pPr>
    </w:p>
    <w:p w14:paraId="249CF2F5">
      <w:pPr>
        <w:widowControl/>
        <w:spacing w:line="440" w:lineRule="atLeast"/>
        <w:ind w:firstLine="420"/>
        <w:jc w:val="center"/>
        <w:rPr>
          <w:rFonts w:ascii="黑体" w:hAnsi="黑体" w:eastAsia="黑体" w:cs="宋体"/>
          <w:kern w:val="0"/>
          <w:szCs w:val="21"/>
        </w:rPr>
      </w:pPr>
    </w:p>
    <w:p w14:paraId="36D1B12A">
      <w:pPr>
        <w:widowControl/>
        <w:spacing w:line="440" w:lineRule="atLeast"/>
        <w:ind w:firstLine="420"/>
        <w:jc w:val="center"/>
        <w:rPr>
          <w:rFonts w:ascii="黑体" w:hAnsi="黑体" w:eastAsia="黑体" w:cs="宋体"/>
          <w:kern w:val="0"/>
          <w:szCs w:val="21"/>
        </w:rPr>
      </w:pPr>
    </w:p>
    <w:p w14:paraId="5CAA768D">
      <w:pPr>
        <w:widowControl/>
        <w:spacing w:line="440" w:lineRule="atLeast"/>
        <w:ind w:firstLine="420"/>
        <w:jc w:val="center"/>
        <w:rPr>
          <w:rFonts w:ascii="黑体" w:hAnsi="黑体" w:eastAsia="黑体" w:cs="宋体"/>
          <w:kern w:val="0"/>
          <w:szCs w:val="21"/>
        </w:rPr>
      </w:pPr>
    </w:p>
    <w:p w14:paraId="46328162">
      <w:pPr>
        <w:widowControl/>
        <w:spacing w:line="440" w:lineRule="atLeast"/>
        <w:ind w:firstLine="420"/>
        <w:jc w:val="center"/>
        <w:rPr>
          <w:rFonts w:ascii="黑体" w:hAnsi="黑体" w:eastAsia="黑体" w:cs="宋体"/>
          <w:kern w:val="0"/>
          <w:szCs w:val="21"/>
        </w:rPr>
      </w:pPr>
    </w:p>
    <w:p w14:paraId="0ED66CBE">
      <w:pPr>
        <w:widowControl/>
        <w:spacing w:line="440" w:lineRule="atLeast"/>
        <w:ind w:firstLine="420"/>
        <w:jc w:val="center"/>
        <w:rPr>
          <w:rFonts w:ascii="黑体" w:hAnsi="黑体" w:eastAsia="黑体" w:cs="宋体"/>
          <w:kern w:val="0"/>
          <w:szCs w:val="21"/>
        </w:rPr>
      </w:pPr>
    </w:p>
    <w:p w14:paraId="6F43BC1D">
      <w:pPr>
        <w:widowControl/>
        <w:spacing w:line="440" w:lineRule="atLeast"/>
        <w:ind w:firstLine="420"/>
        <w:jc w:val="center"/>
        <w:rPr>
          <w:rFonts w:ascii="黑体" w:hAnsi="黑体" w:eastAsia="黑体" w:cs="宋体"/>
          <w:kern w:val="0"/>
          <w:szCs w:val="21"/>
        </w:rPr>
      </w:pPr>
    </w:p>
    <w:p w14:paraId="674DAA62">
      <w:pPr>
        <w:widowControl/>
        <w:spacing w:line="440" w:lineRule="atLeast"/>
        <w:ind w:firstLine="420"/>
        <w:jc w:val="center"/>
        <w:rPr>
          <w:rFonts w:ascii="黑体" w:hAnsi="黑体" w:eastAsia="黑体" w:cs="宋体"/>
          <w:kern w:val="0"/>
          <w:szCs w:val="21"/>
        </w:rPr>
      </w:pPr>
    </w:p>
    <w:p w14:paraId="374BAA2C">
      <w:pPr>
        <w:widowControl/>
        <w:spacing w:line="440" w:lineRule="atLeast"/>
        <w:ind w:firstLine="420"/>
        <w:jc w:val="center"/>
        <w:rPr>
          <w:rFonts w:ascii="黑体" w:hAnsi="黑体" w:eastAsia="黑体" w:cs="宋体"/>
          <w:kern w:val="0"/>
          <w:szCs w:val="21"/>
        </w:rPr>
      </w:pPr>
    </w:p>
    <w:p w14:paraId="2245334E">
      <w:pPr>
        <w:widowControl/>
        <w:spacing w:line="440" w:lineRule="atLeast"/>
        <w:ind w:firstLine="420"/>
        <w:jc w:val="center"/>
        <w:rPr>
          <w:rFonts w:ascii="黑体" w:hAnsi="黑体" w:eastAsia="黑体" w:cs="宋体"/>
          <w:kern w:val="0"/>
          <w:szCs w:val="21"/>
        </w:rPr>
      </w:pPr>
    </w:p>
    <w:p w14:paraId="0AC56296">
      <w:pPr>
        <w:widowControl/>
        <w:spacing w:line="440" w:lineRule="atLeast"/>
        <w:ind w:firstLine="420"/>
        <w:jc w:val="center"/>
        <w:rPr>
          <w:rFonts w:ascii="黑体" w:hAnsi="黑体" w:eastAsia="黑体" w:cs="宋体"/>
          <w:kern w:val="0"/>
          <w:szCs w:val="21"/>
        </w:rPr>
      </w:pPr>
    </w:p>
    <w:p w14:paraId="7BBE8370">
      <w:pPr>
        <w:widowControl/>
        <w:spacing w:line="440" w:lineRule="atLeast"/>
        <w:ind w:firstLine="420"/>
        <w:jc w:val="center"/>
        <w:rPr>
          <w:rFonts w:ascii="黑体" w:hAnsi="黑体" w:eastAsia="黑体" w:cs="宋体"/>
          <w:kern w:val="0"/>
          <w:szCs w:val="21"/>
        </w:rPr>
      </w:pPr>
    </w:p>
    <w:p w14:paraId="3D170263">
      <w:pPr>
        <w:widowControl/>
        <w:spacing w:line="440" w:lineRule="atLeast"/>
        <w:ind w:firstLine="420"/>
        <w:jc w:val="center"/>
        <w:rPr>
          <w:rFonts w:ascii="黑体" w:hAnsi="黑体" w:eastAsia="黑体" w:cs="宋体"/>
          <w:kern w:val="0"/>
          <w:szCs w:val="21"/>
        </w:rPr>
      </w:pPr>
    </w:p>
    <w:p w14:paraId="7BAA0579">
      <w:pPr>
        <w:widowControl/>
        <w:spacing w:line="440" w:lineRule="atLeast"/>
        <w:ind w:firstLine="420"/>
        <w:jc w:val="center"/>
        <w:rPr>
          <w:rFonts w:ascii="黑体" w:hAnsi="黑体" w:eastAsia="黑体" w:cs="宋体"/>
          <w:kern w:val="0"/>
          <w:szCs w:val="21"/>
        </w:rPr>
      </w:pPr>
    </w:p>
    <w:p w14:paraId="5AF68CD0">
      <w:pPr>
        <w:widowControl/>
        <w:spacing w:line="440" w:lineRule="atLeast"/>
        <w:ind w:firstLine="420"/>
        <w:jc w:val="center"/>
        <w:rPr>
          <w:rFonts w:ascii="黑体" w:hAnsi="黑体" w:eastAsia="黑体" w:cs="宋体"/>
          <w:kern w:val="0"/>
          <w:szCs w:val="21"/>
        </w:rPr>
      </w:pPr>
    </w:p>
    <w:p w14:paraId="3EC773B6">
      <w:pPr>
        <w:widowControl/>
        <w:spacing w:line="440" w:lineRule="atLeast"/>
        <w:ind w:firstLine="420"/>
        <w:jc w:val="center"/>
        <w:rPr>
          <w:rFonts w:ascii="黑体" w:hAnsi="黑体" w:eastAsia="黑体" w:cs="宋体"/>
          <w:b/>
          <w:kern w:val="0"/>
          <w:sz w:val="44"/>
          <w:szCs w:val="44"/>
        </w:rPr>
      </w:pPr>
      <w:r>
        <w:rPr>
          <w:rFonts w:hint="eastAsia" w:ascii="黑体" w:hAnsi="黑体" w:eastAsia="黑体" w:cs="宋体"/>
          <w:b/>
          <w:kern w:val="0"/>
          <w:sz w:val="44"/>
          <w:szCs w:val="44"/>
          <w:lang w:eastAsia="zh-CN"/>
        </w:rPr>
        <w:t>综合防火经费</w:t>
      </w:r>
      <w:r>
        <w:rPr>
          <w:rFonts w:hint="eastAsia" w:ascii="黑体" w:hAnsi="黑体" w:eastAsia="黑体" w:cs="宋体"/>
          <w:b/>
          <w:kern w:val="0"/>
          <w:sz w:val="44"/>
          <w:szCs w:val="44"/>
        </w:rPr>
        <w:t>支出绩效自评报告</w:t>
      </w:r>
    </w:p>
    <w:p w14:paraId="26E39EF0">
      <w:pPr>
        <w:widowControl/>
        <w:topLinePunct/>
        <w:spacing w:line="440" w:lineRule="atLeast"/>
        <w:ind w:firstLine="525"/>
        <w:rPr>
          <w:rFonts w:ascii="黑体" w:hAnsi="黑体" w:eastAsia="黑体" w:cs="宋体"/>
          <w:kern w:val="0"/>
          <w:sz w:val="32"/>
          <w:szCs w:val="32"/>
        </w:rPr>
      </w:pPr>
      <w:r>
        <w:rPr>
          <w:rFonts w:hint="eastAsia" w:ascii="黑体" w:hAnsi="黑体" w:eastAsia="黑体" w:cs="宋体"/>
          <w:kern w:val="0"/>
          <w:sz w:val="32"/>
          <w:szCs w:val="32"/>
        </w:rPr>
        <w:t xml:space="preserve"> </w:t>
      </w:r>
    </w:p>
    <w:p w14:paraId="27B37B49">
      <w:pPr>
        <w:widowControl/>
        <w:topLinePunct/>
        <w:spacing w:line="440" w:lineRule="atLeast"/>
        <w:ind w:firstLine="525"/>
        <w:rPr>
          <w:rFonts w:ascii="黑体" w:hAnsi="黑体" w:eastAsia="黑体" w:cs="宋体"/>
          <w:kern w:val="0"/>
          <w:sz w:val="32"/>
          <w:szCs w:val="32"/>
        </w:rPr>
      </w:pPr>
      <w:r>
        <w:rPr>
          <w:rFonts w:hint="eastAsia" w:ascii="黑体" w:hAnsi="黑体" w:eastAsia="黑体" w:cs="宋体"/>
          <w:kern w:val="0"/>
          <w:sz w:val="32"/>
          <w:szCs w:val="32"/>
        </w:rPr>
        <w:t>一、项目基本情况</w:t>
      </w:r>
    </w:p>
    <w:p w14:paraId="7F8E82AA">
      <w:pPr>
        <w:widowControl/>
        <w:topLinePunct/>
        <w:spacing w:line="440" w:lineRule="atLeast"/>
        <w:ind w:firstLine="525"/>
        <w:rPr>
          <w:rFonts w:ascii="楷体" w:hAnsi="楷体" w:eastAsia="楷体" w:cs="宋体"/>
          <w:b/>
          <w:kern w:val="0"/>
          <w:sz w:val="32"/>
          <w:szCs w:val="32"/>
        </w:rPr>
      </w:pPr>
      <w:r>
        <w:rPr>
          <w:rFonts w:hint="eastAsia" w:ascii="楷体" w:hAnsi="楷体" w:eastAsia="楷体" w:cs="宋体"/>
          <w:b/>
          <w:kern w:val="0"/>
          <w:sz w:val="32"/>
          <w:szCs w:val="32"/>
        </w:rPr>
        <w:t>（一）项目概况。</w:t>
      </w:r>
    </w:p>
    <w:p w14:paraId="026099CF">
      <w:pPr>
        <w:widowControl/>
        <w:topLinePunct/>
        <w:spacing w:line="440" w:lineRule="atLeast"/>
        <w:ind w:firstLine="525"/>
        <w:rPr>
          <w:rFonts w:ascii="仿宋_GB2312" w:hAnsi="Calibri" w:eastAsia="仿宋_GB2312" w:cs="宋体"/>
          <w:b/>
          <w:kern w:val="0"/>
          <w:sz w:val="32"/>
          <w:szCs w:val="32"/>
        </w:rPr>
      </w:pPr>
      <w:r>
        <w:rPr>
          <w:rFonts w:hint="eastAsia" w:ascii="仿宋_GB2312" w:hAnsi="Calibri" w:eastAsia="仿宋_GB2312" w:cs="宋体"/>
          <w:b/>
          <w:kern w:val="0"/>
          <w:sz w:val="32"/>
          <w:szCs w:val="32"/>
        </w:rPr>
        <w:t>1.立项背景及目的。</w:t>
      </w:r>
    </w:p>
    <w:p w14:paraId="652BD92C">
      <w:pPr>
        <w:ind w:firstLine="640" w:firstLineChars="200"/>
        <w:outlineLvl w:val="0"/>
        <w:rPr>
          <w:rFonts w:ascii="仿宋_GB2312" w:hAnsi="仿宋_GB2312" w:eastAsia="仿宋_GB2312" w:cs="仿宋_GB2312"/>
          <w:bCs/>
          <w:color w:val="000000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根据《森林法》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《云南省森林防火条例》《昆明市森林防火条例》规定，及《昆明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市</w:t>
      </w:r>
      <w:bookmarkStart w:id="1" w:name="_GoBack"/>
      <w:bookmarkEnd w:id="1"/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人民政府森林防火目标管理责任状》要求，每年安排森林防火保障资金，纳入年终考核。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区政府每年根据实际，将综合防火经费纳入区级财政预算。2022年综合防火经费预算为160万元，用于森林防火工作（宣传、应急处置、购买防火物资等）。</w:t>
      </w:r>
    </w:p>
    <w:p w14:paraId="5E1B6328">
      <w:pPr>
        <w:widowControl/>
        <w:topLinePunct/>
        <w:spacing w:line="440" w:lineRule="atLeast"/>
        <w:ind w:firstLine="525"/>
        <w:rPr>
          <w:rFonts w:ascii="仿宋_GB2312" w:hAnsi="Calibri" w:eastAsia="仿宋_GB2312" w:cs="宋体"/>
          <w:b/>
          <w:kern w:val="0"/>
          <w:sz w:val="32"/>
          <w:szCs w:val="32"/>
        </w:rPr>
      </w:pPr>
      <w:r>
        <w:rPr>
          <w:rFonts w:hint="eastAsia" w:ascii="仿宋_GB2312" w:hAnsi="Calibri" w:eastAsia="仿宋_GB2312" w:cs="宋体"/>
          <w:b/>
          <w:kern w:val="0"/>
          <w:sz w:val="32"/>
          <w:szCs w:val="32"/>
        </w:rPr>
        <w:t>2.项目实施情况。</w:t>
      </w:r>
    </w:p>
    <w:p w14:paraId="262CA363">
      <w:pPr>
        <w:spacing w:line="4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采购宣传物资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20万元，应急处置60万元，森林防火物资储备经费70万元，三三配套经费10万元</w:t>
      </w:r>
      <w:r>
        <w:rPr>
          <w:rFonts w:hint="eastAsia" w:ascii="仿宋_GB2312" w:eastAsia="仿宋_GB2312"/>
          <w:sz w:val="32"/>
          <w:szCs w:val="32"/>
        </w:rPr>
        <w:t>。</w:t>
      </w:r>
    </w:p>
    <w:p w14:paraId="11FC4C78">
      <w:pPr>
        <w:widowControl/>
        <w:topLinePunct/>
        <w:spacing w:line="440" w:lineRule="atLeast"/>
        <w:ind w:firstLine="684" w:firstLineChars="213"/>
        <w:rPr>
          <w:rFonts w:ascii="仿宋_GB2312" w:hAnsi="Calibri" w:eastAsia="仿宋_GB2312" w:cs="宋体"/>
          <w:b/>
          <w:kern w:val="0"/>
          <w:sz w:val="32"/>
          <w:szCs w:val="32"/>
        </w:rPr>
      </w:pPr>
      <w:r>
        <w:rPr>
          <w:rFonts w:hint="eastAsia" w:ascii="仿宋_GB2312" w:hAnsi="Calibri" w:eastAsia="仿宋_GB2312" w:cs="宋体"/>
          <w:b/>
          <w:kern w:val="0"/>
          <w:sz w:val="32"/>
          <w:szCs w:val="32"/>
        </w:rPr>
        <w:t>3.资金来源及使用情况。</w:t>
      </w:r>
    </w:p>
    <w:p w14:paraId="256BC1E5">
      <w:pPr>
        <w:ind w:firstLine="640" w:firstLineChars="200"/>
        <w:outlineLvl w:val="0"/>
        <w:rPr>
          <w:rFonts w:ascii="仿宋_GB2312" w:hAnsi="仿宋_GB2312" w:eastAsia="仿宋_GB2312" w:cs="仿宋_GB2312"/>
          <w:bCs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</w:rPr>
        <w:t>20</w:t>
      </w: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  <w:lang w:val="en-US" w:eastAsia="zh-CN"/>
        </w:rPr>
        <w:t>22</w:t>
      </w: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  <w:lang w:eastAsia="zh-CN"/>
        </w:rPr>
        <w:t>综合防火经费</w:t>
      </w: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</w:rPr>
        <w:t>区级财政安排资金</w:t>
      </w: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  <w:lang w:val="en-US" w:eastAsia="zh-CN"/>
        </w:rPr>
        <w:t>160万元</w:t>
      </w: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</w:rPr>
        <w:t>元主要用于：</w:t>
      </w:r>
    </w:p>
    <w:p w14:paraId="208555E7">
      <w:pPr>
        <w:spacing w:line="460" w:lineRule="exact"/>
        <w:ind w:firstLine="640" w:firstLineChars="200"/>
        <w:rPr>
          <w:rFonts w:hint="eastAsia" w:ascii="仿宋_GB2312" w:eastAsia="仿宋_GB2312"/>
          <w:sz w:val="32"/>
          <w:szCs w:val="32"/>
          <w:lang w:val="en-US" w:eastAsia="zh-CN"/>
        </w:rPr>
      </w:pPr>
      <w:bookmarkStart w:id="0" w:name="OLE_LINK1"/>
      <w:r>
        <w:rPr>
          <w:rFonts w:hint="eastAsia" w:ascii="仿宋_GB2312" w:eastAsia="仿宋_GB2312"/>
          <w:sz w:val="32"/>
          <w:szCs w:val="32"/>
          <w:lang w:val="en-US" w:eastAsia="zh-CN"/>
        </w:rPr>
        <w:t>1.</w:t>
      </w:r>
      <w:r>
        <w:rPr>
          <w:rFonts w:hint="eastAsia" w:ascii="仿宋_GB2312" w:eastAsia="仿宋_GB2312"/>
          <w:sz w:val="32"/>
          <w:szCs w:val="32"/>
          <w:lang w:eastAsia="zh-CN"/>
        </w:rPr>
        <w:t>采购宣传物资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20万元，</w:t>
      </w:r>
    </w:p>
    <w:p w14:paraId="7786D6B5">
      <w:pPr>
        <w:spacing w:line="460" w:lineRule="exact"/>
        <w:ind w:firstLine="640" w:firstLineChars="200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2.应急处置60万元，</w:t>
      </w:r>
    </w:p>
    <w:p w14:paraId="1AC9034F">
      <w:pPr>
        <w:spacing w:line="460" w:lineRule="exact"/>
        <w:ind w:firstLine="640" w:firstLineChars="200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3.森林防火物资储备经费70万元，</w:t>
      </w:r>
    </w:p>
    <w:p w14:paraId="4D4A3E8A">
      <w:pPr>
        <w:spacing w:line="4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4.三三配套经费10万元</w:t>
      </w:r>
      <w:r>
        <w:rPr>
          <w:rFonts w:hint="eastAsia" w:ascii="仿宋_GB2312" w:eastAsia="仿宋_GB2312"/>
          <w:sz w:val="32"/>
          <w:szCs w:val="32"/>
        </w:rPr>
        <w:t>。</w:t>
      </w:r>
    </w:p>
    <w:bookmarkEnd w:id="0"/>
    <w:p w14:paraId="1EFF662D">
      <w:pPr>
        <w:widowControl/>
        <w:topLinePunct/>
        <w:spacing w:line="440" w:lineRule="atLeast"/>
        <w:ind w:firstLine="525"/>
        <w:rPr>
          <w:rFonts w:hint="eastAsia" w:ascii="仿宋_GB2312" w:hAnsi="Calibri" w:eastAsia="仿宋_GB2312" w:cs="宋体"/>
          <w:kern w:val="0"/>
          <w:sz w:val="32"/>
          <w:szCs w:val="32"/>
        </w:rPr>
      </w:pPr>
      <w:r>
        <w:rPr>
          <w:rFonts w:hint="eastAsia" w:ascii="仿宋_GB2312" w:hAnsi="Calibri" w:eastAsia="仿宋_GB2312" w:cs="宋体"/>
          <w:b/>
          <w:kern w:val="0"/>
          <w:sz w:val="32"/>
          <w:szCs w:val="32"/>
        </w:rPr>
        <w:t>4.组织及管理情况。</w:t>
      </w:r>
      <w:r>
        <w:rPr>
          <w:rFonts w:hint="eastAsia" w:ascii="仿宋_GB2312" w:hAnsi="Calibri" w:eastAsia="仿宋_GB2312" w:cs="宋体"/>
          <w:kern w:val="0"/>
          <w:sz w:val="32"/>
          <w:szCs w:val="32"/>
        </w:rPr>
        <w:t>包括项目组织情况、项目实施流程、资金拨付流程。</w:t>
      </w:r>
    </w:p>
    <w:p w14:paraId="7D4810A1">
      <w:pPr>
        <w:widowControl/>
        <w:topLinePunct/>
        <w:spacing w:line="440" w:lineRule="atLeast"/>
        <w:ind w:firstLine="525"/>
        <w:rPr>
          <w:rFonts w:hint="eastAsia" w:ascii="仿宋_GB2312" w:hAnsi="Calibri" w:eastAsia="仿宋_GB2312" w:cs="宋体"/>
          <w:kern w:val="0"/>
          <w:sz w:val="32"/>
          <w:szCs w:val="32"/>
          <w:lang w:eastAsia="zh-CN"/>
        </w:rPr>
      </w:pPr>
      <w:r>
        <w:rPr>
          <w:rFonts w:hint="eastAsia" w:ascii="仿宋_GB2312" w:hAnsi="Calibri" w:eastAsia="仿宋_GB2312" w:cs="宋体"/>
          <w:kern w:val="0"/>
          <w:sz w:val="32"/>
          <w:szCs w:val="32"/>
          <w:lang w:eastAsia="zh-CN"/>
        </w:rPr>
        <w:t>进入防火期后，科室根据工作任务，申请项目计划，报请局党组研究，同意后按照财务规定，组织项目实施及资金拨付。</w:t>
      </w:r>
    </w:p>
    <w:p w14:paraId="3636B775">
      <w:pPr>
        <w:widowControl/>
        <w:topLinePunct/>
        <w:spacing w:line="440" w:lineRule="atLeast"/>
        <w:ind w:firstLine="525"/>
        <w:rPr>
          <w:rFonts w:ascii="楷体" w:hAnsi="楷体" w:eastAsia="楷体" w:cs="宋体"/>
          <w:kern w:val="0"/>
          <w:sz w:val="32"/>
          <w:szCs w:val="32"/>
        </w:rPr>
      </w:pPr>
      <w:r>
        <w:rPr>
          <w:rFonts w:hint="eastAsia" w:ascii="楷体" w:hAnsi="楷体" w:eastAsia="楷体" w:cs="宋体"/>
          <w:kern w:val="0"/>
          <w:sz w:val="32"/>
          <w:szCs w:val="32"/>
        </w:rPr>
        <w:t>（二）绩效目标。</w:t>
      </w:r>
    </w:p>
    <w:p w14:paraId="56CA5FCF">
      <w:pPr>
        <w:widowControl/>
        <w:topLinePunct/>
        <w:spacing w:line="440" w:lineRule="atLeast"/>
        <w:ind w:firstLine="525"/>
        <w:rPr>
          <w:rFonts w:hint="eastAsia" w:ascii="仿宋_GB2312" w:hAnsi="Calibri" w:eastAsia="仿宋_GB2312" w:cs="宋体"/>
          <w:kern w:val="0"/>
          <w:sz w:val="32"/>
          <w:szCs w:val="32"/>
        </w:rPr>
      </w:pPr>
      <w:r>
        <w:rPr>
          <w:rFonts w:hint="eastAsia" w:ascii="仿宋_GB2312" w:hAnsi="Calibri" w:eastAsia="仿宋_GB2312" w:cs="宋体"/>
          <w:kern w:val="0"/>
          <w:sz w:val="32"/>
          <w:szCs w:val="32"/>
        </w:rPr>
        <w:t>1.总目标。</w:t>
      </w:r>
    </w:p>
    <w:p w14:paraId="53C82BBF">
      <w:pPr>
        <w:widowControl/>
        <w:topLinePunct/>
        <w:spacing w:line="440" w:lineRule="atLeast"/>
        <w:ind w:firstLine="525"/>
        <w:rPr>
          <w:rFonts w:hint="eastAsia" w:ascii="仿宋_GB2312" w:hAnsi="Calibri" w:eastAsia="仿宋_GB2312" w:cs="宋体"/>
          <w:kern w:val="0"/>
          <w:sz w:val="32"/>
          <w:szCs w:val="32"/>
          <w:lang w:eastAsia="zh-CN"/>
        </w:rPr>
      </w:pPr>
      <w:r>
        <w:rPr>
          <w:rFonts w:hint="eastAsia" w:ascii="仿宋_GB2312" w:hAnsi="Calibri" w:eastAsia="仿宋_GB2312" w:cs="宋体"/>
          <w:kern w:val="0"/>
          <w:sz w:val="32"/>
          <w:szCs w:val="32"/>
          <w:lang w:eastAsia="zh-CN"/>
        </w:rPr>
        <w:t>确保盘龙区不发生重特大森林火灾，受害率控制在</w:t>
      </w:r>
      <w:r>
        <w:rPr>
          <w:rFonts w:hint="eastAsia" w:ascii="仿宋_GB2312" w:hAnsi="Calibri" w:eastAsia="仿宋_GB2312" w:cs="宋体"/>
          <w:kern w:val="0"/>
          <w:sz w:val="32"/>
          <w:szCs w:val="32"/>
          <w:lang w:val="en-US" w:eastAsia="zh-CN"/>
        </w:rPr>
        <w:t>0.8</w:t>
      </w:r>
      <w:r>
        <w:rPr>
          <w:rFonts w:hint="default" w:ascii="Arial" w:hAnsi="Arial" w:eastAsia="仿宋_GB2312" w:cs="Arial"/>
          <w:kern w:val="0"/>
          <w:sz w:val="32"/>
          <w:szCs w:val="32"/>
          <w:lang w:val="en-US" w:eastAsia="zh-CN"/>
        </w:rPr>
        <w:t>‰</w:t>
      </w:r>
    </w:p>
    <w:p w14:paraId="43D31B71">
      <w:pPr>
        <w:widowControl/>
        <w:numPr>
          <w:ilvl w:val="0"/>
          <w:numId w:val="1"/>
        </w:numPr>
        <w:topLinePunct/>
        <w:spacing w:line="440" w:lineRule="atLeast"/>
        <w:ind w:firstLine="525"/>
        <w:rPr>
          <w:rFonts w:hint="eastAsia" w:ascii="仿宋_GB2312" w:hAnsi="Calibri" w:eastAsia="仿宋_GB2312" w:cs="宋体"/>
          <w:kern w:val="0"/>
          <w:sz w:val="32"/>
          <w:szCs w:val="32"/>
        </w:rPr>
      </w:pPr>
      <w:r>
        <w:rPr>
          <w:rFonts w:hint="eastAsia" w:ascii="仿宋_GB2312" w:hAnsi="Calibri" w:eastAsia="仿宋_GB2312" w:cs="宋体"/>
          <w:kern w:val="0"/>
          <w:sz w:val="32"/>
          <w:szCs w:val="32"/>
        </w:rPr>
        <w:t>年度目标。包括产出目标、效果目标。</w:t>
      </w:r>
    </w:p>
    <w:p w14:paraId="1E1345DE">
      <w:pPr>
        <w:widowControl/>
        <w:topLinePunct/>
        <w:spacing w:line="440" w:lineRule="atLeast"/>
        <w:ind w:firstLine="525"/>
        <w:rPr>
          <w:rFonts w:hint="eastAsia" w:ascii="仿宋_GB2312" w:hAnsi="Calibri" w:eastAsia="仿宋_GB2312" w:cs="宋体"/>
          <w:kern w:val="0"/>
          <w:sz w:val="32"/>
          <w:szCs w:val="32"/>
        </w:rPr>
      </w:pPr>
      <w:r>
        <w:rPr>
          <w:rFonts w:hint="eastAsia" w:ascii="仿宋_GB2312" w:hAnsi="Calibri" w:eastAsia="仿宋_GB2312" w:cs="宋体"/>
          <w:kern w:val="0"/>
          <w:sz w:val="32"/>
          <w:szCs w:val="32"/>
          <w:lang w:eastAsia="zh-CN"/>
        </w:rPr>
        <w:t>确保盘龙区不发生重特大森林火灾，受害率控制在</w:t>
      </w:r>
      <w:r>
        <w:rPr>
          <w:rFonts w:hint="eastAsia" w:ascii="仿宋_GB2312" w:hAnsi="Calibri" w:eastAsia="仿宋_GB2312" w:cs="宋体"/>
          <w:kern w:val="0"/>
          <w:sz w:val="32"/>
          <w:szCs w:val="32"/>
          <w:lang w:val="en-US" w:eastAsia="zh-CN"/>
        </w:rPr>
        <w:t>0.8</w:t>
      </w:r>
      <w:r>
        <w:rPr>
          <w:rFonts w:hint="default" w:ascii="Arial" w:hAnsi="Arial" w:eastAsia="仿宋_GB2312" w:cs="Arial"/>
          <w:kern w:val="0"/>
          <w:sz w:val="32"/>
          <w:szCs w:val="32"/>
          <w:lang w:val="en-US" w:eastAsia="zh-CN"/>
        </w:rPr>
        <w:t>‰</w:t>
      </w:r>
    </w:p>
    <w:p w14:paraId="09856A18">
      <w:pPr>
        <w:widowControl/>
        <w:topLinePunct/>
        <w:spacing w:line="440" w:lineRule="atLeast"/>
        <w:ind w:firstLine="525"/>
        <w:rPr>
          <w:rFonts w:ascii="黑体" w:hAnsi="黑体" w:eastAsia="黑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二、绩效评价工作情况</w:t>
      </w:r>
    </w:p>
    <w:p w14:paraId="00AA1C08">
      <w:pPr>
        <w:widowControl/>
        <w:topLinePunct/>
        <w:spacing w:line="440" w:lineRule="atLeast"/>
        <w:ind w:firstLine="525"/>
        <w:rPr>
          <w:rFonts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（一）绩效评价目的。</w:t>
      </w:r>
    </w:p>
    <w:p w14:paraId="00A3C02B">
      <w:pPr>
        <w:widowControl/>
        <w:topLinePunct/>
        <w:spacing w:line="440" w:lineRule="atLeast"/>
        <w:ind w:firstLine="525"/>
        <w:rPr>
          <w:rFonts w:ascii="仿宋_GB2312" w:hAnsi="Calibri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有没有必要继续实施此项目。</w:t>
      </w:r>
    </w:p>
    <w:p w14:paraId="0BD24B88">
      <w:pPr>
        <w:widowControl/>
        <w:topLinePunct/>
        <w:spacing w:line="440" w:lineRule="atLeast"/>
        <w:ind w:firstLine="525"/>
        <w:rPr>
          <w:rFonts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（二）绩效评价工作方案制定过程。</w:t>
      </w:r>
    </w:p>
    <w:p w14:paraId="660D5B6B">
      <w:pPr>
        <w:widowControl/>
        <w:topLinePunct/>
        <w:spacing w:line="440" w:lineRule="atLeast"/>
        <w:ind w:firstLine="525"/>
        <w:rPr>
          <w:rFonts w:ascii="仿宋_GB2312" w:hAnsi="Calibri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Calibri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1.前期调研。</w:t>
      </w:r>
    </w:p>
    <w:p w14:paraId="175C3F75">
      <w:pPr>
        <w:widowControl/>
        <w:topLinePunct/>
        <w:spacing w:line="440" w:lineRule="atLeast"/>
        <w:ind w:firstLine="525"/>
        <w:rPr>
          <w:rFonts w:ascii="仿宋_GB2312" w:hAnsi="Calibri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Calibri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从200</w:t>
      </w:r>
      <w:r>
        <w:rPr>
          <w:rFonts w:hint="eastAsia" w:ascii="仿宋_GB2312" w:hAnsi="Calibri" w:eastAsia="仿宋_GB2312" w:cs="宋体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仿宋_GB2312" w:hAnsi="Calibri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年盘龙区区划有</w:t>
      </w:r>
      <w:r>
        <w:rPr>
          <w:rFonts w:hint="eastAsia" w:ascii="仿宋_GB2312" w:hAnsi="Calibri" w:eastAsia="仿宋_GB2312" w:cs="宋体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林业</w:t>
      </w:r>
      <w:r>
        <w:rPr>
          <w:rFonts w:hint="eastAsia" w:ascii="仿宋_GB2312" w:hAnsi="Calibri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以来，每年都会出现自然灾害。</w:t>
      </w:r>
    </w:p>
    <w:p w14:paraId="6C44C4E4">
      <w:pPr>
        <w:widowControl/>
        <w:topLinePunct/>
        <w:spacing w:line="440" w:lineRule="atLeast"/>
        <w:ind w:firstLine="525"/>
        <w:rPr>
          <w:rFonts w:ascii="仿宋_GB2312" w:hAnsi="Calibri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Calibri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2.研究文件。</w:t>
      </w:r>
    </w:p>
    <w:p w14:paraId="2661E006">
      <w:pPr>
        <w:widowControl/>
        <w:topLinePunct/>
        <w:spacing w:line="440" w:lineRule="atLeast"/>
        <w:ind w:firstLine="525"/>
        <w:rPr>
          <w:rFonts w:ascii="仿宋_GB2312" w:hAnsi="Calibri" w:eastAsia="仿宋_GB2312" w:cs="宋体"/>
          <w:b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Calibri" w:eastAsia="仿宋_GB2312" w:cs="宋体"/>
          <w:b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确保资金使用安全性、</w:t>
      </w:r>
      <w:r>
        <w:rPr>
          <w:rFonts w:hint="eastAsia" w:ascii="仿宋_GB2312" w:hAnsi="Calibri" w:eastAsia="仿宋_GB2312" w:cs="宋体"/>
          <w:b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保护森林资源</w:t>
      </w:r>
      <w:r>
        <w:rPr>
          <w:rFonts w:hint="eastAsia" w:ascii="仿宋_GB2312" w:hAnsi="Calibri" w:eastAsia="仿宋_GB2312" w:cs="宋体"/>
          <w:b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 w14:paraId="20FC5476">
      <w:pPr>
        <w:widowControl/>
        <w:topLinePunct/>
        <w:spacing w:line="440" w:lineRule="atLeast"/>
        <w:ind w:firstLine="525"/>
        <w:rPr>
          <w:rFonts w:ascii="仿宋_GB2312" w:hAnsi="Calibri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Calibri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3.绩效评价指标体系及工作方案的设计。</w:t>
      </w:r>
    </w:p>
    <w:p w14:paraId="37F7516F">
      <w:pPr>
        <w:widowControl/>
        <w:topLinePunct/>
        <w:spacing w:line="440" w:lineRule="atLeast"/>
        <w:ind w:firstLine="525"/>
        <w:rPr>
          <w:rFonts w:ascii="仿宋_GB2312" w:hAnsi="Calibri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Calibri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主要突出资金的社会效益和经济效益。</w:t>
      </w:r>
    </w:p>
    <w:p w14:paraId="4B53CEF0">
      <w:pPr>
        <w:widowControl/>
        <w:topLinePunct/>
        <w:spacing w:line="440" w:lineRule="atLeast"/>
        <w:ind w:firstLine="525"/>
        <w:rPr>
          <w:rFonts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（三）绩效评价原则、评价方法</w:t>
      </w:r>
    </w:p>
    <w:p w14:paraId="36961756">
      <w:pPr>
        <w:widowControl/>
        <w:topLinePunct/>
        <w:spacing w:line="440" w:lineRule="atLeast"/>
        <w:ind w:firstLine="525"/>
        <w:rPr>
          <w:rFonts w:ascii="仿宋_GB2312" w:hAnsi="Calibri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Calibri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1.绩效评价原则。包括科学规范、公开公正、绩效相关等原则。</w:t>
      </w:r>
    </w:p>
    <w:p w14:paraId="30AB9512">
      <w:pPr>
        <w:widowControl/>
        <w:topLinePunct/>
        <w:spacing w:line="440" w:lineRule="atLeast"/>
        <w:ind w:firstLine="525"/>
        <w:rPr>
          <w:rFonts w:ascii="仿宋_GB2312" w:hAnsi="Calibri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Calibri" w:eastAsia="仿宋_GB2312" w:cs="宋体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根据市级目标管理责任状执行情况考核</w:t>
      </w:r>
      <w:r>
        <w:rPr>
          <w:rFonts w:hint="eastAsia" w:ascii="仿宋_GB2312" w:hAnsi="Calibri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 w14:paraId="382718D3">
      <w:pPr>
        <w:widowControl/>
        <w:topLinePunct/>
        <w:spacing w:line="440" w:lineRule="atLeast"/>
        <w:ind w:firstLine="640" w:firstLineChars="200"/>
        <w:rPr>
          <w:rFonts w:ascii="仿宋_GB2312" w:hAnsi="Calibri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Calibri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2.绩效评价方法。包括指标评价、数据采集和社会调查中所采用的方法。</w:t>
      </w:r>
    </w:p>
    <w:p w14:paraId="0D0E42B5">
      <w:pPr>
        <w:widowControl/>
        <w:topLinePunct/>
        <w:spacing w:line="440" w:lineRule="atLeast"/>
        <w:ind w:firstLine="525"/>
        <w:rPr>
          <w:rFonts w:ascii="仿宋_GB2312" w:hAnsi="Calibri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根据市级对我区森林防火目标管理责任状执行情况进行考核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 w14:paraId="25E2341C">
      <w:pPr>
        <w:widowControl/>
        <w:topLinePunct/>
        <w:spacing w:line="440" w:lineRule="atLeast"/>
        <w:ind w:firstLine="525"/>
        <w:rPr>
          <w:rFonts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（四）绩效评价实施过程</w:t>
      </w:r>
    </w:p>
    <w:p w14:paraId="79E22119">
      <w:pPr>
        <w:widowControl/>
        <w:topLinePunct/>
        <w:spacing w:line="440" w:lineRule="atLeast"/>
        <w:ind w:firstLine="525"/>
        <w:rPr>
          <w:rFonts w:hint="eastAsia" w:ascii="仿宋_GB2312" w:hAnsi="Calibri" w:eastAsia="仿宋_GB2312" w:cs="宋体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Calibri" w:eastAsia="仿宋_GB2312" w:cs="宋体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根据年终森林防火工作考核</w:t>
      </w:r>
    </w:p>
    <w:p w14:paraId="4D45BEB9">
      <w:pPr>
        <w:widowControl/>
        <w:topLinePunct/>
        <w:spacing w:line="440" w:lineRule="atLeast"/>
        <w:ind w:firstLine="525"/>
        <w:rPr>
          <w:rFonts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（五）本次绩效评价的局限性。</w:t>
      </w:r>
    </w:p>
    <w:p w14:paraId="4CDE4FA2">
      <w:pPr>
        <w:widowControl/>
        <w:topLinePunct/>
        <w:spacing w:line="440" w:lineRule="atLeast"/>
        <w:ind w:firstLine="525"/>
        <w:rPr>
          <w:rFonts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宋体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森林防火工作是应急工作，</w:t>
      </w:r>
      <w:r>
        <w:rPr>
          <w:rFonts w:hint="eastAsia"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 w14:paraId="0C8529AD">
      <w:pPr>
        <w:widowControl/>
        <w:topLinePunct/>
        <w:spacing w:line="440" w:lineRule="atLeast"/>
        <w:ind w:firstLine="525"/>
        <w:rPr>
          <w:rFonts w:ascii="黑体" w:hAnsi="黑体" w:eastAsia="黑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三、评价结论和绩效分析</w:t>
      </w:r>
    </w:p>
    <w:p w14:paraId="09446B4F">
      <w:pPr>
        <w:widowControl/>
        <w:topLinePunct/>
        <w:spacing w:line="440" w:lineRule="atLeast"/>
        <w:ind w:firstLine="525"/>
        <w:rPr>
          <w:rFonts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（一）评价结论。</w:t>
      </w:r>
    </w:p>
    <w:p w14:paraId="2180AC41">
      <w:pPr>
        <w:widowControl/>
        <w:topLinePunct/>
        <w:spacing w:line="440" w:lineRule="atLeast"/>
        <w:ind w:firstLine="525"/>
        <w:rPr>
          <w:rFonts w:ascii="仿宋_GB2312" w:hAnsi="Calibri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Calibri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1.评价结果。</w:t>
      </w:r>
    </w:p>
    <w:p w14:paraId="6293F814">
      <w:pPr>
        <w:ind w:firstLine="640" w:firstLineChars="200"/>
        <w:outlineLvl w:val="0"/>
        <w:rPr>
          <w:rFonts w:ascii="仿宋_GB2312" w:hAnsi="仿宋_GB2312" w:eastAsia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Calibri" w:eastAsia="仿宋_GB2312" w:cs="宋体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通过责任落实，加强防火宣传活动，物资储备，扑火力量的应急处置，我区</w:t>
      </w:r>
      <w:r>
        <w:rPr>
          <w:rFonts w:hint="eastAsia" w:ascii="仿宋_GB2312" w:hAnsi="Calibri" w:eastAsia="仿宋_GB2312" w:cs="宋体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2022年未发生重大森林火灾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 w14:paraId="0CFC3B32">
      <w:pPr>
        <w:widowControl/>
        <w:topLinePunct/>
        <w:spacing w:line="440" w:lineRule="atLeast"/>
        <w:ind w:firstLine="525"/>
        <w:rPr>
          <w:rFonts w:ascii="仿宋_GB2312" w:hAnsi="Calibri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Calibri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2.主要绩效。</w:t>
      </w:r>
    </w:p>
    <w:p w14:paraId="0B8642C8">
      <w:pPr>
        <w:widowControl/>
        <w:topLinePunct/>
        <w:spacing w:line="440" w:lineRule="atLeast"/>
        <w:ind w:firstLine="525"/>
        <w:rPr>
          <w:rFonts w:ascii="仿宋" w:hAnsi="仿宋" w:eastAsia="仿宋" w:cs="宋体"/>
          <w:color w:val="FF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　在昆明市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2022年度森林防火目标管理考核中，评为优秀等级。</w:t>
      </w:r>
    </w:p>
    <w:p w14:paraId="203501B3">
      <w:pPr>
        <w:widowControl/>
        <w:topLinePunct/>
        <w:spacing w:line="440" w:lineRule="atLeast"/>
        <w:ind w:firstLine="525"/>
        <w:rPr>
          <w:rFonts w:ascii="黑体" w:hAnsi="黑体" w:eastAsia="黑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四、成本效益分析。</w:t>
      </w:r>
    </w:p>
    <w:p w14:paraId="25CD4456">
      <w:pPr>
        <w:widowControl/>
        <w:topLinePunct/>
        <w:spacing w:line="440" w:lineRule="atLeast"/>
        <w:ind w:firstLine="525"/>
        <w:rPr>
          <w:rFonts w:ascii="仿宋_GB2312" w:hAnsi="Calibri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1、</w:t>
      </w:r>
      <w:r>
        <w:rPr>
          <w:rFonts w:hint="eastAsia" w:ascii="仿宋_GB2312" w:hAnsi="Calibri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对资金使用方向、资金收入和支出结构；</w:t>
      </w:r>
    </w:p>
    <w:p w14:paraId="5F564B50">
      <w:pPr>
        <w:ind w:firstLine="640" w:firstLineChars="200"/>
        <w:outlineLvl w:val="0"/>
        <w:rPr>
          <w:rFonts w:ascii="仿宋_GB2312" w:hAnsi="仿宋_GB2312" w:eastAsia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20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20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综合防火经费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区级财政安排资金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160万元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主要用于：</w:t>
      </w:r>
    </w:p>
    <w:p w14:paraId="525E839C">
      <w:pPr>
        <w:spacing w:line="460" w:lineRule="exact"/>
        <w:ind w:firstLine="640" w:firstLineChars="200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1.</w:t>
      </w:r>
      <w:r>
        <w:rPr>
          <w:rFonts w:hint="eastAsia" w:ascii="仿宋_GB2312" w:eastAsia="仿宋_GB2312"/>
          <w:sz w:val="32"/>
          <w:szCs w:val="32"/>
          <w:lang w:eastAsia="zh-CN"/>
        </w:rPr>
        <w:t>采购宣传物资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20万元，</w:t>
      </w:r>
    </w:p>
    <w:p w14:paraId="1D3FF1BC">
      <w:pPr>
        <w:spacing w:line="460" w:lineRule="exact"/>
        <w:ind w:firstLine="640" w:firstLineChars="200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2.应急处置60万元，</w:t>
      </w:r>
    </w:p>
    <w:p w14:paraId="7E6022A5">
      <w:pPr>
        <w:spacing w:line="460" w:lineRule="exact"/>
        <w:ind w:firstLine="640" w:firstLineChars="200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3.森林防火物资储备经费70万元，</w:t>
      </w:r>
    </w:p>
    <w:p w14:paraId="439D5207">
      <w:pPr>
        <w:spacing w:line="4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4.三三配套经费10万元</w:t>
      </w:r>
      <w:r>
        <w:rPr>
          <w:rFonts w:hint="eastAsia" w:ascii="仿宋_GB2312" w:eastAsia="仿宋_GB2312"/>
          <w:sz w:val="32"/>
          <w:szCs w:val="32"/>
        </w:rPr>
        <w:t>。</w:t>
      </w:r>
    </w:p>
    <w:p w14:paraId="63AD6D1F">
      <w:pPr>
        <w:widowControl/>
        <w:topLinePunct/>
        <w:spacing w:line="440" w:lineRule="atLeast"/>
        <w:ind w:firstLine="525"/>
        <w:rPr>
          <w:rFonts w:ascii="仿宋_GB2312" w:hAnsi="Calibri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2、</w:t>
      </w:r>
      <w:r>
        <w:rPr>
          <w:rFonts w:hint="eastAsia" w:ascii="仿宋_GB2312" w:hAnsi="Calibri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项目和资金管理情况；</w:t>
      </w:r>
    </w:p>
    <w:p w14:paraId="00D289C7">
      <w:pPr>
        <w:ind w:firstLine="600" w:firstLineChars="200"/>
        <w:outlineLvl w:val="0"/>
        <w:rPr>
          <w:rFonts w:ascii="仿宋_GB2312" w:hAnsi="仿宋_GB2312" w:eastAsia="仿宋_GB2312" w:cs="仿宋_GB2312"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根据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科室计划，向局党组提出申请，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局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党组</w:t>
      </w:r>
      <w:r>
        <w:rPr>
          <w:rFonts w:hint="eastAsia" w:ascii="仿宋_GB2312" w:hAnsi="仿宋_GB2312" w:eastAsia="仿宋_GB2312" w:cs="仿宋_GB2312"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讨论、局长审批、财务支付。</w:t>
      </w:r>
    </w:p>
    <w:p w14:paraId="1C954E0E">
      <w:pPr>
        <w:widowControl/>
        <w:topLinePunct/>
        <w:spacing w:line="440" w:lineRule="atLeast"/>
        <w:ind w:firstLine="525"/>
        <w:rPr>
          <w:rFonts w:ascii="黑体" w:hAnsi="黑体" w:eastAsia="黑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五、主要经验及做法、存在的问题和建议</w:t>
      </w:r>
    </w:p>
    <w:p w14:paraId="6BA39C25">
      <w:pPr>
        <w:widowControl/>
        <w:topLinePunct/>
        <w:spacing w:line="440" w:lineRule="atLeast"/>
        <w:ind w:firstLine="525"/>
        <w:rPr>
          <w:rFonts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（一）主要经验及做法；</w:t>
      </w:r>
    </w:p>
    <w:p w14:paraId="6197AB4E">
      <w:pPr>
        <w:ind w:left="640"/>
        <w:jc w:val="left"/>
        <w:rPr>
          <w:rFonts w:hint="eastAsia" w:ascii="仿宋_GB2312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（1）</w:t>
      </w:r>
      <w:r>
        <w:rPr>
          <w:rFonts w:hint="eastAsia" w:ascii="仿宋_GB2312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资金使用。报请局党组研究，同意后，按照财务相关规定，规范使用资金。</w:t>
      </w:r>
    </w:p>
    <w:p w14:paraId="309BBD77">
      <w:pPr>
        <w:ind w:left="640"/>
        <w:jc w:val="left"/>
        <w:rPr>
          <w:rFonts w:hint="eastAsia" w:ascii="仿宋_GB2312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仿宋_GB2312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）建立台账</w:t>
      </w:r>
    </w:p>
    <w:p w14:paraId="34135063">
      <w:pPr>
        <w:widowControl/>
        <w:spacing w:line="440" w:lineRule="atLeast"/>
        <w:ind w:firstLine="420"/>
        <w:jc w:val="left"/>
        <w:rPr>
          <w:rFonts w:ascii="楷体" w:hAnsi="楷体" w:eastAsia="楷体" w:cs="宋体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宋体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（二）存在的问题；</w:t>
      </w:r>
    </w:p>
    <w:p w14:paraId="144147DC">
      <w:pPr>
        <w:ind w:firstLine="640" w:firstLineChars="200"/>
        <w:outlineLvl w:val="0"/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无</w:t>
      </w:r>
    </w:p>
    <w:p w14:paraId="314A1427">
      <w:pPr>
        <w:ind w:firstLine="640" w:firstLineChars="200"/>
        <w:outlineLvl w:val="0"/>
        <w:rPr>
          <w:rFonts w:ascii="仿宋_GB2312" w:hAnsi="仿宋_GB2312" w:eastAsia="仿宋_GB2312" w:cs="仿宋_GB2312"/>
          <w:snapToGrid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（三）建议和改进措施。</w:t>
      </w:r>
    </w:p>
    <w:p w14:paraId="0D08BB1C">
      <w:pPr>
        <w:widowControl/>
        <w:spacing w:line="440" w:lineRule="atLeast"/>
        <w:ind w:firstLine="640" w:firstLineChars="200"/>
        <w:jc w:val="left"/>
        <w:rPr>
          <w:rFonts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宋体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无</w:t>
      </w:r>
    </w:p>
    <w:p w14:paraId="2203E1CF">
      <w:pPr>
        <w:widowControl/>
        <w:spacing w:line="440" w:lineRule="atLeast"/>
        <w:ind w:firstLine="640" w:firstLineChars="200"/>
        <w:jc w:val="left"/>
        <w:rPr>
          <w:rFonts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51C3F3C8">
      <w:pPr>
        <w:widowControl/>
        <w:spacing w:line="440" w:lineRule="atLeast"/>
        <w:ind w:firstLine="640" w:firstLineChars="200"/>
        <w:jc w:val="left"/>
        <w:rPr>
          <w:rFonts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2AF435C2">
      <w:pPr>
        <w:widowControl/>
        <w:spacing w:line="440" w:lineRule="atLeast"/>
        <w:ind w:firstLine="640" w:firstLineChars="200"/>
        <w:jc w:val="right"/>
        <w:rPr>
          <w:rFonts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盘龙区农业农村局</w:t>
      </w:r>
    </w:p>
    <w:p w14:paraId="12EED0EC">
      <w:pPr>
        <w:widowControl/>
        <w:spacing w:line="440" w:lineRule="atLeast"/>
        <w:ind w:right="160" w:firstLine="640" w:firstLineChars="200"/>
        <w:jc w:val="right"/>
        <w:rPr>
          <w:rFonts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楷体" w:hAnsi="楷体" w:eastAsia="楷体" w:cs="宋体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楷体" w:hAnsi="楷体" w:eastAsia="楷体" w:cs="宋体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楷体" w:hAnsi="楷体" w:eastAsia="楷体" w:cs="宋体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28</w:t>
      </w:r>
      <w:r>
        <w:rPr>
          <w:rFonts w:hint="eastAsia" w:ascii="楷体" w:hAnsi="楷体" w:eastAsia="楷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日</w:t>
      </w:r>
    </w:p>
    <w:p w14:paraId="1EEC1F56">
      <w:pPr>
        <w:widowControl/>
        <w:spacing w:line="440" w:lineRule="atLeast"/>
        <w:rPr>
          <w:rFonts w:ascii="Calibri" w:hAnsi="Calibri" w:eastAsia="宋体" w:cs="宋体"/>
          <w:color w:val="FF0000"/>
          <w:kern w:val="0"/>
          <w:sz w:val="32"/>
          <w:szCs w:val="32"/>
        </w:rPr>
      </w:pPr>
    </w:p>
    <w:p w14:paraId="61879D9E">
      <w:pPr>
        <w:rPr>
          <w:color w:val="FF0000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0017191"/>
    </w:sdtPr>
    <w:sdtContent>
      <w:p w14:paraId="243F3EBD">
        <w:pPr>
          <w:pStyle w:val="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12</w:t>
        </w:r>
        <w:r>
          <w:rPr>
            <w:lang w:val="zh-CN"/>
          </w:rPr>
          <w:fldChar w:fldCharType="end"/>
        </w:r>
      </w:p>
    </w:sdtContent>
  </w:sdt>
  <w:p w14:paraId="121A07B9">
    <w:pPr>
      <w:pStyle w:val="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EA7F9B2"/>
    <w:multiLevelType w:val="singleLevel"/>
    <w:tmpl w:val="5EA7F9B2"/>
    <w:lvl w:ilvl="0" w:tentative="0">
      <w:start w:val="2"/>
      <w:numFmt w:val="decimal"/>
      <w:suff w:val="nothing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25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225"/>
    <w:rsid w:val="00042382"/>
    <w:rsid w:val="001373A7"/>
    <w:rsid w:val="001E4BCF"/>
    <w:rsid w:val="0020186F"/>
    <w:rsid w:val="00227C04"/>
    <w:rsid w:val="00241185"/>
    <w:rsid w:val="00243ECB"/>
    <w:rsid w:val="002C7F09"/>
    <w:rsid w:val="002F1101"/>
    <w:rsid w:val="002F7EBD"/>
    <w:rsid w:val="003044D4"/>
    <w:rsid w:val="00327AD6"/>
    <w:rsid w:val="00370770"/>
    <w:rsid w:val="003C04FB"/>
    <w:rsid w:val="003C2FEC"/>
    <w:rsid w:val="00402D35"/>
    <w:rsid w:val="004263CA"/>
    <w:rsid w:val="00435187"/>
    <w:rsid w:val="00485309"/>
    <w:rsid w:val="004A49F2"/>
    <w:rsid w:val="005C2740"/>
    <w:rsid w:val="00600818"/>
    <w:rsid w:val="0062132F"/>
    <w:rsid w:val="00660D84"/>
    <w:rsid w:val="0069585B"/>
    <w:rsid w:val="006A5163"/>
    <w:rsid w:val="0078104C"/>
    <w:rsid w:val="007B7192"/>
    <w:rsid w:val="007E14D4"/>
    <w:rsid w:val="00813BE9"/>
    <w:rsid w:val="00860225"/>
    <w:rsid w:val="008C7DCA"/>
    <w:rsid w:val="00936BDA"/>
    <w:rsid w:val="00966592"/>
    <w:rsid w:val="00AE255D"/>
    <w:rsid w:val="00B2355B"/>
    <w:rsid w:val="00C16CBC"/>
    <w:rsid w:val="00C44441"/>
    <w:rsid w:val="00C733B1"/>
    <w:rsid w:val="00CA1253"/>
    <w:rsid w:val="00CB1F3D"/>
    <w:rsid w:val="00CB6AE4"/>
    <w:rsid w:val="00CE096D"/>
    <w:rsid w:val="00D12065"/>
    <w:rsid w:val="00D439E0"/>
    <w:rsid w:val="00DB0A1F"/>
    <w:rsid w:val="00E653F0"/>
    <w:rsid w:val="00E728AC"/>
    <w:rsid w:val="00EC69F3"/>
    <w:rsid w:val="00F009E9"/>
    <w:rsid w:val="00F32A28"/>
    <w:rsid w:val="14287F48"/>
    <w:rsid w:val="1CCD55BA"/>
    <w:rsid w:val="28EE5116"/>
    <w:rsid w:val="3D7D4FCF"/>
    <w:rsid w:val="445804EB"/>
    <w:rsid w:val="5BAC34DB"/>
    <w:rsid w:val="5EE27BA5"/>
    <w:rsid w:val="653E4040"/>
    <w:rsid w:val="79FB728C"/>
    <w:rsid w:val="7D2D4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eastAsia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3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4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customStyle="1" w:styleId="7">
    <w:name w:val="p0"/>
    <w:basedOn w:val="1"/>
    <w:qFormat/>
    <w:uiPriority w:val="0"/>
    <w:pPr>
      <w:widowControl/>
      <w:spacing w:line="240" w:lineRule="auto"/>
    </w:pPr>
    <w:rPr>
      <w:rFonts w:ascii="Calibri" w:hAnsi="Calibri" w:eastAsia="宋体" w:cs="宋体"/>
      <w:kern w:val="0"/>
      <w:szCs w:val="21"/>
    </w:rPr>
  </w:style>
  <w:style w:type="paragraph" w:customStyle="1" w:styleId="8">
    <w:name w:val="p15"/>
    <w:basedOn w:val="1"/>
    <w:qFormat/>
    <w:uiPriority w:val="0"/>
    <w:pPr>
      <w:widowControl/>
      <w:spacing w:before="480" w:line="273" w:lineRule="auto"/>
      <w:jc w:val="left"/>
    </w:pPr>
    <w:rPr>
      <w:rFonts w:ascii="Cambria" w:hAnsi="Cambria" w:eastAsia="宋体" w:cs="宋体"/>
      <w:b/>
      <w:bCs/>
      <w:color w:val="365F91"/>
      <w:kern w:val="0"/>
      <w:sz w:val="28"/>
      <w:szCs w:val="28"/>
    </w:rPr>
  </w:style>
  <w:style w:type="paragraph" w:customStyle="1" w:styleId="9">
    <w:name w:val="p16"/>
    <w:basedOn w:val="1"/>
    <w:qFormat/>
    <w:uiPriority w:val="0"/>
    <w:pPr>
      <w:widowControl/>
      <w:spacing w:after="200" w:line="273" w:lineRule="auto"/>
      <w:jc w:val="left"/>
    </w:pPr>
    <w:rPr>
      <w:rFonts w:ascii="Calibri" w:hAnsi="Calibri" w:eastAsia="宋体" w:cs="宋体"/>
      <w:color w:val="000000"/>
      <w:kern w:val="0"/>
      <w:sz w:val="22"/>
    </w:rPr>
  </w:style>
  <w:style w:type="character" w:customStyle="1" w:styleId="10">
    <w:name w:val="批注框文本 Char"/>
    <w:basedOn w:val="6"/>
    <w:link w:val="2"/>
    <w:semiHidden/>
    <w:qFormat/>
    <w:uiPriority w:val="99"/>
    <w:rPr>
      <w:sz w:val="18"/>
      <w:szCs w:val="18"/>
    </w:rPr>
  </w:style>
  <w:style w:type="paragraph" w:customStyle="1" w:styleId="11">
    <w:name w:val="List Paragraph"/>
    <w:basedOn w:val="1"/>
    <w:qFormat/>
    <w:uiPriority w:val="34"/>
    <w:pPr>
      <w:ind w:firstLine="420" w:firstLineChars="200"/>
    </w:pPr>
  </w:style>
  <w:style w:type="character" w:customStyle="1" w:styleId="12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13">
    <w:name w:val="页脚 Char"/>
    <w:basedOn w:val="6"/>
    <w:link w:val="3"/>
    <w:qFormat/>
    <w:uiPriority w:val="99"/>
    <w:rPr>
      <w:sz w:val="18"/>
      <w:szCs w:val="18"/>
    </w:rPr>
  </w:style>
  <w:style w:type="character" w:customStyle="1" w:styleId="14">
    <w:name w:val="ca-0"/>
    <w:basedOn w:val="6"/>
    <w:qFormat/>
    <w:uiPriority w:val="0"/>
  </w:style>
  <w:style w:type="character" w:customStyle="1" w:styleId="15">
    <w:name w:val="style71"/>
    <w:basedOn w:val="6"/>
    <w:qFormat/>
    <w:uiPriority w:val="0"/>
    <w:rPr>
      <w:b/>
      <w:color w:val="D70703"/>
      <w:sz w:val="21"/>
      <w:szCs w:val="21"/>
    </w:rPr>
  </w:style>
  <w:style w:type="character" w:customStyle="1" w:styleId="16">
    <w:name w:val="ca-2"/>
    <w:basedOn w:val="6"/>
    <w:qFormat/>
    <w:uiPriority w:val="0"/>
  </w:style>
  <w:style w:type="paragraph" w:customStyle="1" w:styleId="17">
    <w:name w:val="pa-2"/>
    <w:basedOn w:val="1"/>
    <w:qFormat/>
    <w:uiPriority w:val="0"/>
    <w:pPr>
      <w:keepNext w:val="0"/>
      <w:keepLines w:val="0"/>
      <w:widowControl/>
      <w:suppressLineNumbers w:val="0"/>
      <w:spacing w:before="150" w:beforeAutospacing="0" w:after="150" w:afterAutospacing="0"/>
      <w:ind w:left="0" w:right="0"/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9</Pages>
  <Words>2036</Words>
  <Characters>2139</Characters>
  <Lines>29</Lines>
  <Paragraphs>8</Paragraphs>
  <TotalTime>15</TotalTime>
  <ScaleCrop>false</ScaleCrop>
  <LinksUpToDate>false</LinksUpToDate>
  <CharactersWithSpaces>2213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2020-04-07T06:16:00Z</dcterms:created>
  <dc:creator>xzjd</dc:creator>
  <cp:lastModifiedBy>听潮</cp:lastModifiedBy>
  <dcterms:modified xsi:type="dcterms:W3CDTF">2024-11-22T09:32:21Z</dcterms:modified>
  <cp:revision>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5F90FB938DD445619DEA5A2F25AAC82F_12</vt:lpwstr>
  </property>
</Properties>
</file>