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A02A04">
      <w:pPr>
        <w:spacing w:before="120" w:after="120" w:line="480" w:lineRule="auto"/>
        <w:jc w:val="center"/>
        <w:rPr>
          <w:rFonts w:ascii="Times New Roman" w:hAnsi="Times New Roman" w:eastAsia="黑体"/>
          <w:b/>
          <w:bCs/>
          <w:sz w:val="52"/>
          <w:szCs w:val="52"/>
        </w:rPr>
      </w:pPr>
    </w:p>
    <w:p w14:paraId="71CDF866">
      <w:pPr>
        <w:jc w:val="center"/>
        <w:rPr>
          <w:rFonts w:ascii="黑体" w:hAnsi="黑体" w:eastAsia="黑体" w:cs="黑体"/>
          <w:bCs/>
          <w:sz w:val="52"/>
          <w:szCs w:val="52"/>
        </w:rPr>
      </w:pPr>
      <w:r>
        <w:rPr>
          <w:rFonts w:hint="eastAsia" w:ascii="黑体" w:hAnsi="黑体" w:eastAsia="黑体" w:cs="黑体"/>
          <w:bCs/>
          <w:sz w:val="52"/>
          <w:szCs w:val="52"/>
          <w:lang w:eastAsia="zh-CN"/>
        </w:rPr>
        <w:t>业务补助</w:t>
      </w:r>
      <w:r>
        <w:rPr>
          <w:rFonts w:hint="eastAsia" w:ascii="黑体" w:hAnsi="黑体" w:eastAsia="黑体" w:cs="黑体"/>
          <w:bCs/>
          <w:sz w:val="52"/>
          <w:szCs w:val="52"/>
        </w:rPr>
        <w:t>项目支出绩效自评报告</w:t>
      </w:r>
    </w:p>
    <w:p w14:paraId="739CE721">
      <w:pPr>
        <w:jc w:val="center"/>
        <w:rPr>
          <w:rFonts w:ascii="黑体" w:hAnsi="黑体" w:eastAsia="黑体"/>
          <w:bCs/>
          <w:sz w:val="52"/>
          <w:szCs w:val="52"/>
        </w:rPr>
      </w:pPr>
      <w:r>
        <w:rPr>
          <w:rFonts w:hint="eastAsia" w:ascii="黑体" w:hAnsi="黑体" w:eastAsia="黑体" w:cs="黑体"/>
          <w:bCs/>
          <w:sz w:val="52"/>
          <w:szCs w:val="52"/>
        </w:rPr>
        <w:t>（</w:t>
      </w:r>
      <w:r>
        <w:rPr>
          <w:rFonts w:hint="default" w:ascii="Times New Roman" w:hAnsi="Times New Roman" w:eastAsia="黑体" w:cs="Times New Roman"/>
          <w:bCs/>
          <w:sz w:val="52"/>
          <w:szCs w:val="52"/>
          <w:lang w:val="en-US" w:eastAsia="zh-CN"/>
        </w:rPr>
        <w:t>2022</w:t>
      </w:r>
      <w:r>
        <w:rPr>
          <w:rFonts w:hint="eastAsia" w:ascii="黑体" w:hAnsi="黑体" w:eastAsia="黑体" w:cs="黑体"/>
          <w:bCs/>
          <w:sz w:val="52"/>
          <w:szCs w:val="52"/>
        </w:rPr>
        <w:t>年度）</w:t>
      </w:r>
    </w:p>
    <w:p w14:paraId="54A4D4C3">
      <w:pPr>
        <w:spacing w:before="120" w:after="120" w:line="480" w:lineRule="auto"/>
        <w:jc w:val="center"/>
        <w:rPr>
          <w:rFonts w:ascii="Times New Roman" w:hAnsi="Times New Roman" w:eastAsia="黑体"/>
          <w:b/>
          <w:bCs/>
          <w:sz w:val="52"/>
          <w:szCs w:val="52"/>
        </w:rPr>
      </w:pPr>
    </w:p>
    <w:p w14:paraId="78CDB620">
      <w:pPr>
        <w:spacing w:before="120" w:after="120" w:line="480" w:lineRule="auto"/>
        <w:jc w:val="center"/>
        <w:rPr>
          <w:rFonts w:ascii="Times New Roman" w:hAnsi="Times New Roman"/>
          <w:b/>
          <w:bCs/>
          <w:sz w:val="44"/>
          <w:szCs w:val="44"/>
        </w:rPr>
      </w:pPr>
    </w:p>
    <w:p w14:paraId="1DE720EA">
      <w:pPr>
        <w:spacing w:before="120" w:after="120" w:line="480" w:lineRule="auto"/>
        <w:jc w:val="center"/>
        <w:rPr>
          <w:rFonts w:ascii="Times New Roman" w:hAnsi="Times New Roman"/>
          <w:b/>
          <w:bCs/>
          <w:sz w:val="44"/>
          <w:szCs w:val="44"/>
        </w:rPr>
      </w:pPr>
    </w:p>
    <w:p w14:paraId="4ABC7F95">
      <w:pPr>
        <w:spacing w:before="120" w:after="120" w:line="480" w:lineRule="auto"/>
        <w:jc w:val="center"/>
        <w:rPr>
          <w:rFonts w:ascii="Times New Roman" w:hAnsi="Times New Roman" w:eastAsia="黑体"/>
          <w:b/>
          <w:bCs/>
          <w:sz w:val="44"/>
          <w:szCs w:val="44"/>
        </w:rPr>
      </w:pPr>
    </w:p>
    <w:p w14:paraId="78708B39">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盘龙区机关事务管理服务中心</w:t>
      </w:r>
    </w:p>
    <w:p w14:paraId="26737FE5">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hint="eastAsia" w:ascii="Times New Roman" w:hAnsi="Times New Roman" w:eastAsia="黑体" w:cs="黑体"/>
          <w:b/>
          <w:bCs/>
          <w:sz w:val="28"/>
          <w:szCs w:val="28"/>
          <w:lang w:eastAsia="zh-CN"/>
        </w:rPr>
        <w:t>盘龙区机关事务管理服务中心</w:t>
      </w:r>
      <w:r>
        <w:rPr>
          <w:rFonts w:ascii="Times New Roman" w:hAnsi="Times New Roman" w:eastAsia="黑体" w:cs="黑体"/>
          <w:b/>
          <w:bCs/>
          <w:sz w:val="28"/>
          <w:szCs w:val="28"/>
        </w:rPr>
        <w:t xml:space="preserve"> </w:t>
      </w:r>
    </w:p>
    <w:p w14:paraId="295A1B78">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lang w:eastAsia="zh-CN"/>
        </w:rPr>
        <w:t>盘龙区机关事务管理服务中心</w:t>
      </w:r>
      <w:r>
        <w:rPr>
          <w:rFonts w:ascii="Times New Roman" w:hAnsi="Times New Roman" w:eastAsia="黑体"/>
          <w:b/>
          <w:bCs/>
          <w:sz w:val="28"/>
          <w:szCs w:val="28"/>
        </w:rPr>
        <w:t xml:space="preserve"> </w:t>
      </w:r>
    </w:p>
    <w:p w14:paraId="1ACEFDFF">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lang w:eastAsia="zh-CN"/>
        </w:rPr>
        <w:t>业务补助项目</w:t>
      </w:r>
      <w:r>
        <w:rPr>
          <w:rFonts w:ascii="Times New Roman" w:hAnsi="Times New Roman" w:eastAsia="黑体"/>
          <w:b/>
          <w:bCs/>
          <w:sz w:val="28"/>
          <w:szCs w:val="28"/>
        </w:rPr>
        <w:t xml:space="preserve"> </w:t>
      </w:r>
    </w:p>
    <w:p w14:paraId="5698CFC2">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黑体"/>
          <w:b/>
          <w:bCs/>
          <w:sz w:val="28"/>
          <w:szCs w:val="28"/>
          <w:lang w:val="en-US" w:eastAsia="zh-CN"/>
        </w:rPr>
        <w:t>2023年4月25日</w:t>
      </w:r>
      <w:r>
        <w:rPr>
          <w:rFonts w:ascii="Times New Roman" w:hAnsi="Times New Roman" w:eastAsia="黑体"/>
          <w:b/>
          <w:bCs/>
          <w:sz w:val="28"/>
          <w:szCs w:val="28"/>
        </w:rPr>
        <w:t xml:space="preserve"> </w:t>
      </w:r>
    </w:p>
    <w:p w14:paraId="110D0F13">
      <w:pPr>
        <w:spacing w:line="360" w:lineRule="auto"/>
        <w:ind w:left="1218" w:leftChars="580"/>
        <w:rPr>
          <w:rFonts w:ascii="Times New Roman" w:hAnsi="Times New Roman" w:eastAsia="黑体"/>
          <w:b/>
          <w:bCs/>
          <w:sz w:val="28"/>
          <w:szCs w:val="28"/>
        </w:rPr>
      </w:pPr>
    </w:p>
    <w:p w14:paraId="26A76466">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14:paraId="079AA835">
      <w:pPr>
        <w:jc w:val="center"/>
        <w:rPr>
          <w:rFonts w:ascii="Times New Roman" w:hAnsi="Times New Roman" w:eastAsia="黑体" w:cs="黑体"/>
          <w:b/>
          <w:bCs/>
          <w:sz w:val="28"/>
          <w:szCs w:val="28"/>
        </w:rPr>
      </w:pPr>
    </w:p>
    <w:p w14:paraId="23DCE44A">
      <w:pPr>
        <w:pStyle w:val="2"/>
        <w:sectPr>
          <w:pgSz w:w="11906" w:h="16838"/>
          <w:pgMar w:top="2041" w:right="1531" w:bottom="1928" w:left="1531" w:header="851" w:footer="992" w:gutter="0"/>
          <w:cols w:space="720" w:num="1"/>
          <w:titlePg/>
          <w:docGrid w:type="lines" w:linePitch="312" w:charSpace="0"/>
        </w:sectPr>
      </w:pPr>
    </w:p>
    <w:p w14:paraId="1E5AC46D">
      <w:pPr>
        <w:pStyle w:val="5"/>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3"/>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051"/>
        <w:gridCol w:w="1302"/>
        <w:gridCol w:w="2642"/>
        <w:gridCol w:w="1487"/>
      </w:tblGrid>
      <w:tr w14:paraId="32C4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14:paraId="53C86009">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14:paraId="0ADE37B7">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051" w:type="dxa"/>
            <w:noWrap w:val="0"/>
            <w:vAlign w:val="center"/>
          </w:tcPr>
          <w:p w14:paraId="5210D5CC">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302" w:type="dxa"/>
            <w:noWrap w:val="0"/>
            <w:vAlign w:val="center"/>
          </w:tcPr>
          <w:p w14:paraId="41945CB6">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2642" w:type="dxa"/>
            <w:noWrap w:val="0"/>
            <w:vAlign w:val="center"/>
          </w:tcPr>
          <w:p w14:paraId="5ACEF50D">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14:paraId="1D97E53F">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487" w:type="dxa"/>
            <w:noWrap w:val="0"/>
            <w:vAlign w:val="center"/>
          </w:tcPr>
          <w:p w14:paraId="67DE17A9">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14:paraId="453F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620" w:type="dxa"/>
            <w:noWrap w:val="0"/>
            <w:vAlign w:val="center"/>
          </w:tcPr>
          <w:p w14:paraId="01D629ED">
            <w:pPr>
              <w:pStyle w:val="5"/>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051" w:type="dxa"/>
            <w:noWrap w:val="0"/>
            <w:vAlign w:val="top"/>
          </w:tcPr>
          <w:p w14:paraId="4EF797D5">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杨艳</w:t>
            </w:r>
          </w:p>
        </w:tc>
        <w:tc>
          <w:tcPr>
            <w:tcW w:w="1302" w:type="dxa"/>
            <w:noWrap w:val="0"/>
            <w:vAlign w:val="top"/>
          </w:tcPr>
          <w:p w14:paraId="15C7812B">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2642" w:type="dxa"/>
            <w:noWrap w:val="0"/>
            <w:vAlign w:val="top"/>
          </w:tcPr>
          <w:p w14:paraId="13981FF1">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机关事务管理服务中心</w:t>
            </w:r>
          </w:p>
        </w:tc>
        <w:tc>
          <w:tcPr>
            <w:tcW w:w="1487" w:type="dxa"/>
            <w:noWrap w:val="0"/>
            <w:vAlign w:val="top"/>
          </w:tcPr>
          <w:p w14:paraId="27B86419">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14:paraId="20A1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14:paraId="5E65C2F1">
            <w:pPr>
              <w:pStyle w:val="5"/>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051" w:type="dxa"/>
            <w:noWrap w:val="0"/>
            <w:vAlign w:val="top"/>
          </w:tcPr>
          <w:p w14:paraId="783C4E45">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闫鑫</w:t>
            </w:r>
          </w:p>
        </w:tc>
        <w:tc>
          <w:tcPr>
            <w:tcW w:w="1302" w:type="dxa"/>
            <w:noWrap w:val="0"/>
            <w:vAlign w:val="top"/>
          </w:tcPr>
          <w:p w14:paraId="22BCCF5A">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2642" w:type="dxa"/>
            <w:noWrap w:val="0"/>
            <w:vAlign w:val="top"/>
          </w:tcPr>
          <w:p w14:paraId="29397B0B">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机关事务管理服务中心</w:t>
            </w:r>
          </w:p>
        </w:tc>
        <w:tc>
          <w:tcPr>
            <w:tcW w:w="1487" w:type="dxa"/>
            <w:noWrap w:val="0"/>
            <w:vAlign w:val="top"/>
          </w:tcPr>
          <w:p w14:paraId="287E00AA">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14:paraId="0874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14:paraId="339017DF">
            <w:pPr>
              <w:pStyle w:val="5"/>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051" w:type="dxa"/>
            <w:noWrap w:val="0"/>
            <w:vAlign w:val="top"/>
          </w:tcPr>
          <w:p w14:paraId="3F534EB2">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和娟</w:t>
            </w:r>
          </w:p>
        </w:tc>
        <w:tc>
          <w:tcPr>
            <w:tcW w:w="1302" w:type="dxa"/>
            <w:noWrap w:val="0"/>
            <w:vAlign w:val="top"/>
          </w:tcPr>
          <w:p w14:paraId="28299CA8">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主任</w:t>
            </w:r>
          </w:p>
        </w:tc>
        <w:tc>
          <w:tcPr>
            <w:tcW w:w="2642" w:type="dxa"/>
            <w:noWrap w:val="0"/>
            <w:vAlign w:val="top"/>
          </w:tcPr>
          <w:p w14:paraId="60873104">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办公室</w:t>
            </w:r>
          </w:p>
        </w:tc>
        <w:tc>
          <w:tcPr>
            <w:tcW w:w="1487" w:type="dxa"/>
            <w:noWrap w:val="0"/>
            <w:vAlign w:val="top"/>
          </w:tcPr>
          <w:p w14:paraId="0E0CED58">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14:paraId="1D7F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noWrap w:val="0"/>
            <w:vAlign w:val="center"/>
          </w:tcPr>
          <w:p w14:paraId="1F796A52">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1051" w:type="dxa"/>
            <w:noWrap w:val="0"/>
            <w:vAlign w:val="top"/>
          </w:tcPr>
          <w:p w14:paraId="47F7E35C">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刘荣地</w:t>
            </w:r>
          </w:p>
        </w:tc>
        <w:tc>
          <w:tcPr>
            <w:tcW w:w="1302" w:type="dxa"/>
            <w:noWrap w:val="0"/>
            <w:vAlign w:val="top"/>
          </w:tcPr>
          <w:p w14:paraId="535326CB">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主任</w:t>
            </w:r>
          </w:p>
        </w:tc>
        <w:tc>
          <w:tcPr>
            <w:tcW w:w="2642" w:type="dxa"/>
            <w:noWrap w:val="0"/>
            <w:vAlign w:val="top"/>
          </w:tcPr>
          <w:p w14:paraId="0A4D042C">
            <w:pPr>
              <w:pStyle w:val="5"/>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会议服务中心</w:t>
            </w:r>
          </w:p>
        </w:tc>
        <w:tc>
          <w:tcPr>
            <w:tcW w:w="1487" w:type="dxa"/>
            <w:noWrap w:val="0"/>
            <w:vAlign w:val="top"/>
          </w:tcPr>
          <w:p w14:paraId="78EC49D5">
            <w:pPr>
              <w:pStyle w:val="5"/>
              <w:widowControl w:val="0"/>
              <w:spacing w:after="0" w:line="360" w:lineRule="auto"/>
              <w:jc w:val="center"/>
              <w:rPr>
                <w:rFonts w:hint="eastAsia" w:ascii="Times New Roman" w:hAnsi="Times New Roman" w:eastAsia="黑体" w:cs="黑体"/>
                <w:kern w:val="2"/>
                <w:sz w:val="24"/>
                <w:szCs w:val="24"/>
                <w:lang w:val="zh-TW" w:eastAsia="zh-TW"/>
              </w:rPr>
            </w:pPr>
          </w:p>
        </w:tc>
      </w:tr>
      <w:tr w14:paraId="13C2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noWrap w:val="0"/>
            <w:vAlign w:val="top"/>
          </w:tcPr>
          <w:p w14:paraId="46E6A025">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14:paraId="49B352B1">
            <w:pPr>
              <w:pStyle w:val="5"/>
              <w:widowControl w:val="0"/>
              <w:spacing w:after="0" w:line="360" w:lineRule="auto"/>
              <w:jc w:val="both"/>
              <w:rPr>
                <w:rFonts w:ascii="Times New Roman" w:hAnsi="Times New Roman" w:eastAsia="黑体" w:cs="黑体"/>
                <w:kern w:val="2"/>
                <w:sz w:val="24"/>
                <w:szCs w:val="24"/>
                <w:lang w:val="zh-TW"/>
              </w:rPr>
            </w:pPr>
          </w:p>
          <w:p w14:paraId="65AFE39F">
            <w:pPr>
              <w:pStyle w:val="5"/>
              <w:widowControl w:val="0"/>
              <w:spacing w:after="0" w:line="360" w:lineRule="auto"/>
              <w:jc w:val="both"/>
              <w:rPr>
                <w:rFonts w:ascii="Times New Roman" w:hAnsi="Times New Roman" w:eastAsia="黑体" w:cs="黑体"/>
                <w:kern w:val="2"/>
                <w:sz w:val="24"/>
                <w:szCs w:val="24"/>
                <w:lang w:val="zh-TW"/>
              </w:rPr>
            </w:pPr>
          </w:p>
          <w:p w14:paraId="39C6F94E">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14:paraId="19251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noWrap w:val="0"/>
            <w:vAlign w:val="top"/>
          </w:tcPr>
          <w:p w14:paraId="79573C14">
            <w:pPr>
              <w:pStyle w:val="5"/>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14:paraId="575D09C6">
            <w:pPr>
              <w:pStyle w:val="5"/>
              <w:widowControl w:val="0"/>
              <w:spacing w:after="0" w:line="360" w:lineRule="auto"/>
              <w:jc w:val="both"/>
              <w:rPr>
                <w:rFonts w:ascii="Times New Roman" w:hAnsi="Times New Roman" w:eastAsia="黑体" w:cs="黑体"/>
                <w:kern w:val="2"/>
                <w:sz w:val="24"/>
                <w:szCs w:val="24"/>
                <w:lang w:val="zh-TW"/>
              </w:rPr>
            </w:pPr>
          </w:p>
          <w:p w14:paraId="482765A1">
            <w:pPr>
              <w:pStyle w:val="5"/>
              <w:widowControl w:val="0"/>
              <w:spacing w:after="0" w:line="360" w:lineRule="auto"/>
              <w:jc w:val="both"/>
              <w:rPr>
                <w:rFonts w:ascii="Times New Roman" w:hAnsi="Times New Roman" w:eastAsia="黑体" w:cs="黑体"/>
                <w:kern w:val="2"/>
                <w:sz w:val="24"/>
                <w:szCs w:val="24"/>
                <w:lang w:val="zh-TW"/>
              </w:rPr>
            </w:pPr>
          </w:p>
          <w:p w14:paraId="7CC05D1F">
            <w:pPr>
              <w:pStyle w:val="5"/>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14:paraId="5EF4F7F3">
      <w:pPr>
        <w:pStyle w:val="5"/>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14:paraId="2EB82CB2">
      <w:pPr>
        <w:pStyle w:val="5"/>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14:paraId="593B75F1">
      <w:pPr>
        <w:pStyle w:val="6"/>
        <w:jc w:val="center"/>
        <w:rPr>
          <w:rFonts w:ascii="Times New Roman" w:hAnsi="Times New Roman" w:cs="Times New Roman"/>
          <w:color w:val="auto"/>
        </w:rPr>
      </w:pPr>
      <w:r>
        <w:rPr>
          <w:rFonts w:hint="eastAsia" w:ascii="Times New Roman" w:hAnsi="Times New Roman" w:cs="宋体"/>
          <w:color w:val="auto"/>
          <w:lang w:val="zh-CN"/>
        </w:rPr>
        <w:t>目录</w:t>
      </w:r>
    </w:p>
    <w:p w14:paraId="15679291">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14:paraId="2CA704EA">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14:paraId="00BBB995">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14:paraId="110A5067">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14:paraId="0F8B5654">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14:paraId="4060F86B">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14:paraId="1A8A552E">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14:paraId="472F8F18">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14:paraId="3837A910">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14:paraId="42C3EF30">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14:paraId="73A4EB38">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14:paraId="02BBE808">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14:paraId="3BAA17D0">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14:paraId="28F872B5">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14:paraId="2693DA2B">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14:paraId="79DE3C56">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14:paraId="336B7086">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14:paraId="7CE4658E">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14:paraId="7191FD29">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14:paraId="44B553E3">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14:paraId="0F3D2FC5">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14:paraId="3C11894F">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14:paraId="1D7C37F8">
      <w:pPr>
        <w:spacing w:line="540" w:lineRule="exact"/>
        <w:rPr>
          <w:rFonts w:ascii="方正小标宋_GBK" w:hAnsi="黑体" w:eastAsia="方正小标宋_GBK"/>
          <w:szCs w:val="32"/>
        </w:rPr>
        <w:sectPr>
          <w:pgSz w:w="11906" w:h="16838"/>
          <w:pgMar w:top="1440" w:right="1800" w:bottom="1440" w:left="1800" w:header="851" w:footer="992" w:gutter="0"/>
          <w:cols w:space="425" w:num="1"/>
          <w:docGrid w:type="lines" w:linePitch="312" w:charSpace="0"/>
        </w:sectPr>
      </w:pPr>
    </w:p>
    <w:p w14:paraId="5460A5D6">
      <w:pPr>
        <w:pageBreakBefore w:val="0"/>
        <w:kinsoku/>
        <w:wordWrap/>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业务补助</w:t>
      </w:r>
      <w:r>
        <w:rPr>
          <w:rFonts w:hint="eastAsia" w:ascii="方正小标宋简体" w:hAnsi="方正小标宋简体" w:eastAsia="方正小标宋简体" w:cs="方正小标宋简体"/>
          <w:sz w:val="44"/>
          <w:szCs w:val="44"/>
        </w:rPr>
        <w:t>项目支出绩效自评报告</w:t>
      </w:r>
    </w:p>
    <w:p w14:paraId="602CCC92">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p>
    <w:p w14:paraId="1CA5A490">
      <w:pPr>
        <w:pageBreakBefore w:val="0"/>
        <w:kinsoku/>
        <w:wordWrap/>
        <w:overflowPunct/>
        <w:autoSpaceDE/>
        <w:autoSpaceDN/>
        <w:bidi w:val="0"/>
        <w:adjustRightInd/>
        <w:snapToGrid/>
        <w:spacing w:line="560" w:lineRule="exact"/>
        <w:ind w:firstLine="640" w:firstLineChars="200"/>
        <w:jc w:val="center"/>
        <w:textAlignment w:val="auto"/>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32"/>
        </w:rPr>
        <w:t>摘要</w:t>
      </w:r>
    </w:p>
    <w:p w14:paraId="23E21FAA">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14:paraId="4876409E">
      <w:pPr>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（一）项目立项背景及目的</w:t>
      </w:r>
    </w:p>
    <w:p w14:paraId="493A14FD">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为贯彻党的</w:t>
      </w:r>
      <w:r>
        <w:rPr>
          <w:rFonts w:hint="default" w:ascii="Times New Roman" w:hAnsi="Times New Roman" w:eastAsia="仿宋_GB2312" w:cs="Times New Roman"/>
          <w:color w:val="333333"/>
          <w:kern w:val="0"/>
          <w:sz w:val="32"/>
          <w:szCs w:val="32"/>
          <w:lang w:eastAsia="zh-CN"/>
        </w:rPr>
        <w:t>二十</w:t>
      </w:r>
      <w:r>
        <w:rPr>
          <w:rFonts w:hint="default" w:ascii="Times New Roman" w:hAnsi="Times New Roman" w:eastAsia="仿宋_GB2312" w:cs="Times New Roman"/>
          <w:color w:val="333333"/>
          <w:kern w:val="0"/>
          <w:sz w:val="32"/>
          <w:szCs w:val="32"/>
        </w:rPr>
        <w:t>大精神，围绕区委、区政府中心工作，切实履行各项职责，高效服务，保障区委、区政府的各项工作高效有序运转。根据《中共昆明市盘龙区委机构编制委员会关于撤销盘龙区政府采购中心并调整盘龙区机关事务管理服务中心机构编制相关事项的批复》（盘机编复</w:t>
      </w:r>
      <w:r>
        <w:rPr>
          <w:rFonts w:hint="default" w:ascii="Times New Roman" w:hAnsi="Times New Roman" w:cs="Times New Roman"/>
          <w:color w:val="333333"/>
          <w:kern w:val="0"/>
          <w:sz w:val="32"/>
          <w:szCs w:val="32"/>
        </w:rPr>
        <w:t>﹝</w:t>
      </w:r>
      <w:r>
        <w:rPr>
          <w:rFonts w:hint="default" w:ascii="Times New Roman" w:hAnsi="Times New Roman" w:eastAsia="仿宋_GB2312" w:cs="Times New Roman"/>
          <w:color w:val="333333"/>
          <w:kern w:val="0"/>
          <w:sz w:val="32"/>
          <w:szCs w:val="32"/>
        </w:rPr>
        <w:t>2020</w:t>
      </w:r>
      <w:r>
        <w:rPr>
          <w:rFonts w:hint="default" w:ascii="Times New Roman" w:hAnsi="Times New Roman" w:eastAsia="宋体" w:cs="Times New Roman"/>
          <w:color w:val="333333"/>
          <w:kern w:val="0"/>
          <w:sz w:val="32"/>
          <w:szCs w:val="32"/>
        </w:rPr>
        <w:t>﹞</w:t>
      </w:r>
      <w:r>
        <w:rPr>
          <w:rFonts w:hint="default" w:ascii="Times New Roman" w:hAnsi="Times New Roman" w:eastAsia="仿宋_GB2312" w:cs="Times New Roman"/>
          <w:color w:val="333333"/>
          <w:kern w:val="0"/>
          <w:sz w:val="32"/>
          <w:szCs w:val="32"/>
        </w:rPr>
        <w:t>1号）文件精神，区机关事务管理服务中心主要承担区级机关餐饮保障服务</w:t>
      </w:r>
      <w:r>
        <w:rPr>
          <w:rFonts w:hint="eastAsia" w:ascii="Times New Roman" w:hAnsi="Times New Roman" w:eastAsia="仿宋_GB2312" w:cs="Times New Roman"/>
          <w:color w:val="333333"/>
          <w:kern w:val="0"/>
          <w:sz w:val="32"/>
          <w:szCs w:val="32"/>
          <w:lang w:eastAsia="zh-CN"/>
        </w:rPr>
        <w:t>工作</w:t>
      </w:r>
      <w:r>
        <w:rPr>
          <w:rFonts w:hint="default" w:ascii="Times New Roman" w:hAnsi="Times New Roman" w:eastAsia="仿宋_GB2312" w:cs="Times New Roman"/>
          <w:sz w:val="32"/>
          <w:szCs w:val="32"/>
        </w:rPr>
        <w:t>。</w:t>
      </w:r>
    </w:p>
    <w:p w14:paraId="3C3C2F5D">
      <w:pPr>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（二）预算收支情况</w:t>
      </w:r>
    </w:p>
    <w:p w14:paraId="02E813E8">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lang w:eastAsia="zh-CN"/>
        </w:rPr>
      </w:pPr>
      <w:r>
        <w:rPr>
          <w:rFonts w:hint="default" w:ascii="Times New Roman" w:hAnsi="Times New Roman" w:eastAsia="仿宋_GB2312" w:cs="Times New Roman"/>
          <w:color w:val="333333"/>
          <w:kern w:val="0"/>
          <w:sz w:val="32"/>
          <w:szCs w:val="32"/>
          <w:lang w:val="en-US" w:eastAsia="zh-CN"/>
        </w:rPr>
        <w:t>2022年业务补助项目预算批复数为710.48万元，2022年</w:t>
      </w:r>
      <w:r>
        <w:rPr>
          <w:rFonts w:hint="eastAsia" w:ascii="Times New Roman" w:hAnsi="Times New Roman" w:eastAsia="仿宋_GB2312" w:cs="Times New Roman"/>
          <w:color w:val="333333"/>
          <w:kern w:val="0"/>
          <w:sz w:val="32"/>
          <w:szCs w:val="32"/>
          <w:lang w:val="en-US" w:eastAsia="zh-CN"/>
        </w:rPr>
        <w:t>业务补助经费</w:t>
      </w:r>
      <w:r>
        <w:rPr>
          <w:rFonts w:hint="default" w:ascii="Times New Roman" w:hAnsi="Times New Roman" w:eastAsia="仿宋_GB2312" w:cs="Times New Roman"/>
          <w:color w:val="333333"/>
          <w:kern w:val="0"/>
          <w:sz w:val="32"/>
          <w:szCs w:val="32"/>
          <w:lang w:val="en-US" w:eastAsia="zh-CN"/>
        </w:rPr>
        <w:t>项目一般公共预算财政拨款收入为482.01万元，实际支出为482.01万元，预算执行率为67.84%。</w:t>
      </w:r>
    </w:p>
    <w:p w14:paraId="69358DE1">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二、评价结论</w:t>
      </w:r>
    </w:p>
    <w:p w14:paraId="1BD912DB">
      <w:pPr>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（一）评分结果</w:t>
      </w:r>
    </w:p>
    <w:p w14:paraId="36FC96BC">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rPr>
        <w:t>根据制定的绩效指标考评体系，本次绩效考核得分</w:t>
      </w:r>
      <w:r>
        <w:rPr>
          <w:rFonts w:hint="default" w:ascii="Times New Roman" w:hAnsi="Times New Roman" w:eastAsia="仿宋_GB2312" w:cs="Times New Roman"/>
          <w:color w:val="333333"/>
          <w:kern w:val="0"/>
          <w:sz w:val="32"/>
          <w:szCs w:val="32"/>
          <w:lang w:val="en-US" w:eastAsia="zh-CN"/>
        </w:rPr>
        <w:t>92</w:t>
      </w:r>
      <w:r>
        <w:rPr>
          <w:rFonts w:hint="default" w:ascii="Times New Roman" w:hAnsi="Times New Roman" w:eastAsia="仿宋_GB2312" w:cs="Times New Roman"/>
          <w:color w:val="333333"/>
          <w:kern w:val="0"/>
          <w:sz w:val="32"/>
          <w:szCs w:val="32"/>
        </w:rPr>
        <w:t>分，绩效评价等级为优</w:t>
      </w:r>
      <w:r>
        <w:rPr>
          <w:rFonts w:hint="default" w:ascii="Times New Roman" w:hAnsi="Times New Roman" w:eastAsia="仿宋_GB2312" w:cs="Times New Roman"/>
          <w:color w:val="333333"/>
          <w:kern w:val="0"/>
          <w:sz w:val="32"/>
          <w:szCs w:val="32"/>
          <w:lang w:eastAsia="zh-CN"/>
        </w:rPr>
        <w:t>。</w:t>
      </w:r>
    </w:p>
    <w:p w14:paraId="7D03533E">
      <w:pPr>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（二）主要结论</w:t>
      </w:r>
    </w:p>
    <w:p w14:paraId="644A3DF8">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lang w:val="en-US" w:eastAsia="zh-CN"/>
        </w:rPr>
      </w:pPr>
      <w:r>
        <w:rPr>
          <w:rFonts w:hint="default" w:ascii="Times New Roman" w:hAnsi="Times New Roman" w:eastAsia="仿宋_GB2312" w:cs="Times New Roman"/>
          <w:color w:val="333333"/>
          <w:kern w:val="0"/>
          <w:sz w:val="32"/>
          <w:szCs w:val="32"/>
        </w:rPr>
        <w:t>本项目不属于投资建设类项目，主要内容为我单位管理的机关食堂食材费</w:t>
      </w:r>
      <w:r>
        <w:rPr>
          <w:rFonts w:hint="eastAsia"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color w:val="333333"/>
          <w:kern w:val="0"/>
          <w:sz w:val="32"/>
          <w:szCs w:val="32"/>
        </w:rPr>
        <w:t>电费、煤气费、劳保用品费、材料维修费等支出。202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年度该项工作完成效益较好，保证了区委、区政府各项工作的顺利开展</w:t>
      </w:r>
      <w:r>
        <w:rPr>
          <w:rFonts w:hint="default" w:ascii="Times New Roman" w:hAnsi="Times New Roman" w:eastAsia="仿宋_GB2312" w:cs="Times New Roman"/>
          <w:color w:val="333333"/>
          <w:kern w:val="0"/>
          <w:sz w:val="32"/>
          <w:szCs w:val="32"/>
          <w:lang w:eastAsia="zh-CN"/>
        </w:rPr>
        <w:t>。</w:t>
      </w:r>
    </w:p>
    <w:p w14:paraId="4CD1A35B">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三、经验、问题和建议</w:t>
      </w:r>
    </w:p>
    <w:p w14:paraId="518472B0">
      <w:pPr>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主要经验及做法</w:t>
      </w:r>
    </w:p>
    <w:p w14:paraId="5236D13D">
      <w:pPr>
        <w:pageBreakBefore w:val="0"/>
        <w:kinsoku/>
        <w:wordWrap/>
        <w:overflowPunct/>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333333"/>
          <w:kern w:val="0"/>
          <w:sz w:val="32"/>
          <w:szCs w:val="32"/>
        </w:rPr>
        <w:t>机关事务管理服务中心根据</w:t>
      </w:r>
      <w:r>
        <w:rPr>
          <w:rFonts w:hint="default" w:ascii="Times New Roman" w:hAnsi="Times New Roman" w:eastAsia="仿宋_GB2312" w:cs="Times New Roman"/>
          <w:sz w:val="32"/>
          <w:szCs w:val="32"/>
        </w:rPr>
        <w:t>《盘龙区区级部门预算绩效自评管理暂行办法》《昆明市盘龙区财政局关于开展202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年度区级预算支出绩效自评工作的通知》文件</w:t>
      </w:r>
      <w:r>
        <w:rPr>
          <w:rFonts w:hint="default" w:ascii="Times New Roman" w:hAnsi="Times New Roman" w:eastAsia="仿宋_GB2312" w:cs="Times New Roman"/>
          <w:color w:val="333333"/>
          <w:kern w:val="0"/>
          <w:sz w:val="32"/>
          <w:szCs w:val="32"/>
        </w:rPr>
        <w:t>精神，成立了自评小组，通过前期调研工作，充分了解评价项目有关情况；通过查看资金使用情况，核实202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年业务补助经费的各项支出的合法性、合规性；通过分析目标完成情况，查找存在的问题及总结好的经验方法，较好的完成了自评工作</w:t>
      </w:r>
      <w:r>
        <w:rPr>
          <w:rFonts w:hint="eastAsia" w:ascii="Times New Roman" w:hAnsi="Times New Roman" w:eastAsia="仿宋_GB2312" w:cs="Times New Roman"/>
          <w:color w:val="333333"/>
          <w:kern w:val="0"/>
          <w:sz w:val="32"/>
          <w:szCs w:val="32"/>
          <w:lang w:eastAsia="zh-CN"/>
        </w:rPr>
        <w:t>。</w:t>
      </w:r>
    </w:p>
    <w:p w14:paraId="5CB88B9F">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存在的问题</w:t>
      </w:r>
    </w:p>
    <w:p w14:paraId="3509A99F">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1.业务补助经费主要用于机关食堂运行维护费用支出，因地点分散及服务对象众多，我单位对工作人员和服务的监管相对薄弱，考核评价体系及相应制度有待进一步完善。</w:t>
      </w:r>
    </w:p>
    <w:p w14:paraId="336CCF66">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lang w:val="en-US" w:eastAsia="zh-CN"/>
        </w:rPr>
      </w:pPr>
      <w:r>
        <w:rPr>
          <w:rFonts w:hint="eastAsia" w:ascii="Times New Roman" w:hAnsi="Times New Roman" w:eastAsia="楷体" w:cs="Times New Roman"/>
          <w:sz w:val="32"/>
          <w:szCs w:val="32"/>
          <w:lang w:val="en-US" w:eastAsia="zh-CN"/>
        </w:rPr>
        <w:t>2</w:t>
      </w:r>
      <w:r>
        <w:rPr>
          <w:rFonts w:hint="default" w:ascii="Times New Roman" w:hAnsi="Times New Roman" w:eastAsia="楷体" w:cs="Times New Roman"/>
          <w:sz w:val="32"/>
          <w:szCs w:val="32"/>
          <w:lang w:val="en-US" w:eastAsia="zh-CN"/>
        </w:rPr>
        <w:t>.</w:t>
      </w:r>
      <w:r>
        <w:rPr>
          <w:rFonts w:hint="default" w:ascii="Times New Roman" w:hAnsi="Times New Roman" w:eastAsia="仿宋_GB2312" w:cs="Times New Roman"/>
          <w:sz w:val="32"/>
          <w:szCs w:val="32"/>
          <w:lang w:val="en-US" w:eastAsia="zh-CN"/>
        </w:rPr>
        <w:t>受疫情影响，部分经费未能及时支出，导致预算执行率较低。</w:t>
      </w:r>
    </w:p>
    <w:p w14:paraId="50790A10">
      <w:pPr>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改进措施及建议</w:t>
      </w:r>
    </w:p>
    <w:p w14:paraId="366A9CEF">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1.根据不同的服务内容，制定更加科学、合理、细致的考核评价体系，强化对各类服务人员的日常监管，切实提高服务水平。</w:t>
      </w:r>
    </w:p>
    <w:p w14:paraId="57FA9F46">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楷体" w:cs="Times New Roman"/>
          <w:sz w:val="32"/>
          <w:szCs w:val="32"/>
          <w:lang w:val="en-US" w:eastAsia="zh-CN"/>
        </w:rPr>
        <w:t>2</w:t>
      </w:r>
      <w:r>
        <w:rPr>
          <w:rFonts w:hint="default" w:ascii="Times New Roman" w:hAnsi="Times New Roman" w:eastAsia="楷体" w:cs="Times New Roman"/>
          <w:sz w:val="32"/>
          <w:szCs w:val="32"/>
          <w:lang w:val="en-US" w:eastAsia="zh-CN"/>
        </w:rPr>
        <w:t>.</w:t>
      </w:r>
      <w:r>
        <w:rPr>
          <w:rFonts w:hint="default" w:ascii="Times New Roman" w:hAnsi="Times New Roman" w:eastAsia="仿宋_GB2312" w:cs="Times New Roman"/>
          <w:sz w:val="32"/>
          <w:szCs w:val="32"/>
          <w:lang w:val="en-US" w:eastAsia="zh-CN"/>
        </w:rPr>
        <w:t>合理统筹安排项目资金，进一步加强资金使用效率，及时支出项目资金。</w:t>
      </w:r>
    </w:p>
    <w:p w14:paraId="500FAAF8">
      <w:pPr>
        <w:pageBreakBefore w:val="0"/>
        <w:kinsoku/>
        <w:wordWrap/>
        <w:overflowPunct/>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pPr>
    </w:p>
    <w:p w14:paraId="66420DC0">
      <w:pPr>
        <w:pageBreakBefore w:val="0"/>
        <w:kinsoku/>
        <w:wordWrap/>
        <w:overflowPunct/>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pPr>
    </w:p>
    <w:p w14:paraId="07E2F4FB">
      <w:pPr>
        <w:pageBreakBefore w:val="0"/>
        <w:kinsoku/>
        <w:wordWrap/>
        <w:overflow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正文：</w:t>
      </w:r>
      <w:r>
        <w:rPr>
          <w:rFonts w:hint="eastAsia" w:ascii="方正小标宋简体" w:hAnsi="方正小标宋简体" w:eastAsia="方正小标宋简体" w:cs="方正小标宋简体"/>
          <w:sz w:val="44"/>
          <w:szCs w:val="44"/>
          <w:lang w:eastAsia="zh-CN"/>
        </w:rPr>
        <w:t>业务补助</w:t>
      </w:r>
      <w:r>
        <w:rPr>
          <w:rFonts w:hint="eastAsia" w:ascii="方正小标宋简体" w:hAnsi="方正小标宋简体" w:eastAsia="方正小标宋简体" w:cs="方正小标宋简体"/>
          <w:sz w:val="44"/>
          <w:szCs w:val="44"/>
        </w:rPr>
        <w:t>项目支出绩效自评报告</w:t>
      </w:r>
    </w:p>
    <w:p w14:paraId="639CD803">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p>
    <w:p w14:paraId="5C3BE421">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一、项目基本情况</w:t>
      </w:r>
    </w:p>
    <w:p w14:paraId="76FF025E">
      <w:pPr>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（一）项目概况</w:t>
      </w:r>
    </w:p>
    <w:p w14:paraId="52268A2D">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1.立项背景及目的</w:t>
      </w:r>
    </w:p>
    <w:p w14:paraId="49E0BA20">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机关事务管理服务中心的主要工作职责是为区委、区政府及区级国家机关各部委办局提供机关后勤综合服务。为贯彻党的</w:t>
      </w:r>
      <w:r>
        <w:rPr>
          <w:rFonts w:hint="eastAsia" w:ascii="Times New Roman" w:hAnsi="Times New Roman" w:eastAsia="仿宋_GB2312" w:cs="Times New Roman"/>
          <w:color w:val="333333"/>
          <w:kern w:val="0"/>
          <w:sz w:val="32"/>
          <w:szCs w:val="32"/>
          <w:lang w:eastAsia="zh-CN"/>
        </w:rPr>
        <w:t>二十大精神</w:t>
      </w:r>
      <w:bookmarkStart w:id="1" w:name="_GoBack"/>
      <w:bookmarkEnd w:id="1"/>
      <w:r>
        <w:rPr>
          <w:rFonts w:hint="default" w:ascii="Times New Roman" w:hAnsi="Times New Roman" w:eastAsia="仿宋_GB2312" w:cs="Times New Roman"/>
          <w:color w:val="333333"/>
          <w:kern w:val="0"/>
          <w:sz w:val="32"/>
          <w:szCs w:val="32"/>
        </w:rPr>
        <w:t>，我单位紧紧围绕区委、区政府中心工作，切实履行各项职责，高效服务，力促发展，保障了区委、区政府各项工作高效有序运转。通过机关食堂用餐服务，狠抓日常工作落实及服务监管，为区委、区政府提供了坚强有力的后勤保障服务。</w:t>
      </w:r>
    </w:p>
    <w:p w14:paraId="19AD297F">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cs="Times New Roman"/>
          <w:sz w:val="32"/>
          <w:szCs w:val="32"/>
        </w:rPr>
      </w:pPr>
      <w:r>
        <w:rPr>
          <w:rFonts w:hint="default" w:ascii="Times New Roman" w:hAnsi="Times New Roman" w:eastAsia="仿宋_GB2312" w:cs="Times New Roman"/>
          <w:color w:val="333333"/>
          <w:kern w:val="0"/>
          <w:sz w:val="32"/>
          <w:szCs w:val="32"/>
        </w:rPr>
        <w:t>为确保后勤服务正常开展，上级机关交办事项办理到位，需申请业务</w:t>
      </w:r>
      <w:r>
        <w:rPr>
          <w:rFonts w:hint="eastAsia" w:ascii="Times New Roman" w:hAnsi="Times New Roman" w:eastAsia="仿宋_GB2312" w:cs="Times New Roman"/>
          <w:color w:val="333333"/>
          <w:kern w:val="0"/>
          <w:sz w:val="32"/>
          <w:szCs w:val="32"/>
          <w:lang w:eastAsia="zh-CN"/>
        </w:rPr>
        <w:t>补助</w:t>
      </w:r>
      <w:r>
        <w:rPr>
          <w:rFonts w:hint="default" w:ascii="Times New Roman" w:hAnsi="Times New Roman" w:eastAsia="仿宋_GB2312" w:cs="Times New Roman"/>
          <w:color w:val="333333"/>
          <w:kern w:val="0"/>
          <w:sz w:val="32"/>
          <w:szCs w:val="32"/>
        </w:rPr>
        <w:t>经费</w:t>
      </w:r>
      <w:r>
        <w:rPr>
          <w:rFonts w:hint="default" w:ascii="Times New Roman" w:hAnsi="Times New Roman" w:eastAsia="仿宋_GB2312" w:cs="Times New Roman"/>
          <w:color w:val="333333"/>
          <w:kern w:val="0"/>
          <w:sz w:val="32"/>
          <w:szCs w:val="32"/>
          <w:lang w:val="en-US" w:eastAsia="zh-CN"/>
        </w:rPr>
        <w:t>710.48万</w:t>
      </w:r>
      <w:r>
        <w:rPr>
          <w:rFonts w:hint="default" w:ascii="Times New Roman" w:hAnsi="Times New Roman" w:eastAsia="仿宋_GB2312" w:cs="Times New Roman"/>
          <w:color w:val="333333"/>
          <w:kern w:val="0"/>
          <w:sz w:val="32"/>
          <w:szCs w:val="32"/>
        </w:rPr>
        <w:t>元，用于机关食堂食材费</w:t>
      </w:r>
      <w:r>
        <w:rPr>
          <w:rFonts w:hint="eastAsia"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color w:val="333333"/>
          <w:kern w:val="0"/>
          <w:sz w:val="32"/>
          <w:szCs w:val="32"/>
        </w:rPr>
        <w:t>电费、煤气费、劳保用品费、材料维修费等支出。</w:t>
      </w:r>
    </w:p>
    <w:p w14:paraId="6873269B">
      <w:pPr>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2.项目实施情况</w:t>
      </w:r>
    </w:p>
    <w:p w14:paraId="1C826657">
      <w:pPr>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eastAsia="仿宋_GB2312" w:cs="Times New Roman"/>
          <w:color w:val="333333"/>
          <w:kern w:val="0"/>
          <w:sz w:val="32"/>
          <w:szCs w:val="32"/>
        </w:rPr>
        <w:t>在区委、区政府的正确领导下，机关事务管理服务中心202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年充分调动工作人员的积极性，全年完成</w:t>
      </w:r>
      <w:r>
        <w:rPr>
          <w:rFonts w:hint="default" w:ascii="Times New Roman" w:hAnsi="Times New Roman" w:eastAsia="仿宋_GB2312" w:cs="Times New Roman"/>
          <w:sz w:val="32"/>
          <w:szCs w:val="32"/>
        </w:rPr>
        <w:t>集中办公区干部职工的用餐服务，2022年全年食堂为区机关干部、职工提供早餐173297人次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中餐269500人次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晚餐39132人次。重点保障了党代会、“两会”、全会等重大会议活动的餐饮服务。</w:t>
      </w:r>
    </w:p>
    <w:p w14:paraId="226C2E0A">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3.资金来源及使用情况</w:t>
      </w:r>
    </w:p>
    <w:p w14:paraId="7BE2B3C7">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我单位项目经费来源</w:t>
      </w:r>
      <w:r>
        <w:rPr>
          <w:rFonts w:hint="default" w:ascii="Times New Roman" w:hAnsi="Times New Roman" w:eastAsia="仿宋_GB2312" w:cs="Times New Roman"/>
          <w:color w:val="333333"/>
          <w:kern w:val="0"/>
          <w:sz w:val="32"/>
          <w:szCs w:val="32"/>
        </w:rPr>
        <w:t>根据《</w:t>
      </w:r>
      <w:r>
        <w:rPr>
          <w:rFonts w:hint="default" w:ascii="Times New Roman" w:hAnsi="Times New Roman" w:eastAsia="仿宋_GB2312" w:cs="Times New Roman"/>
          <w:color w:val="333333"/>
          <w:kern w:val="0"/>
          <w:sz w:val="32"/>
          <w:szCs w:val="32"/>
          <w:lang w:eastAsia="zh-CN"/>
        </w:rPr>
        <w:t>昆明市盘龙区财政局关于批复</w:t>
      </w:r>
      <w:r>
        <w:rPr>
          <w:rFonts w:hint="default" w:ascii="Times New Roman" w:hAnsi="Times New Roman" w:eastAsia="仿宋_GB2312" w:cs="Times New Roman"/>
          <w:color w:val="333333"/>
          <w:kern w:val="0"/>
          <w:sz w:val="32"/>
          <w:szCs w:val="32"/>
          <w:lang w:val="en-US" w:eastAsia="zh-CN"/>
        </w:rPr>
        <w:t>2022年部门预算的通知</w:t>
      </w:r>
      <w:r>
        <w:rPr>
          <w:rFonts w:hint="default" w:ascii="Times New Roman" w:hAnsi="Times New Roman" w:eastAsia="仿宋_GB2312" w:cs="Times New Roman"/>
          <w:color w:val="333333"/>
          <w:kern w:val="0"/>
          <w:sz w:val="32"/>
          <w:szCs w:val="32"/>
        </w:rPr>
        <w:t>》（盘财〔</w:t>
      </w:r>
      <w:r>
        <w:rPr>
          <w:rFonts w:hint="default" w:ascii="Times New Roman" w:hAnsi="Times New Roman" w:eastAsia="仿宋_GB2312" w:cs="Times New Roman"/>
          <w:color w:val="333333"/>
          <w:kern w:val="0"/>
          <w:sz w:val="32"/>
          <w:szCs w:val="32"/>
          <w:lang w:val="en-US" w:eastAsia="zh-CN"/>
        </w:rPr>
        <w:t>2022</w:t>
      </w:r>
      <w:r>
        <w:rPr>
          <w:rFonts w:hint="default" w:ascii="Times New Roman" w:hAnsi="Times New Roman" w:eastAsia="仿宋_GB2312" w:cs="Times New Roman"/>
          <w:color w:val="333333"/>
          <w:kern w:val="0"/>
          <w:sz w:val="32"/>
          <w:szCs w:val="32"/>
        </w:rPr>
        <w:t>〕1号）文件安排项目资金</w:t>
      </w:r>
      <w:r>
        <w:rPr>
          <w:rFonts w:hint="eastAsia" w:ascii="Times New Roman" w:hAnsi="Times New Roman" w:eastAsia="仿宋_GB2312" w:cs="Times New Roman"/>
          <w:color w:val="333333"/>
          <w:kern w:val="0"/>
          <w:sz w:val="32"/>
          <w:szCs w:val="32"/>
          <w:lang w:val="en-US" w:eastAsia="zh-CN"/>
        </w:rPr>
        <w:t>710.48</w:t>
      </w:r>
      <w:r>
        <w:rPr>
          <w:rFonts w:hint="default" w:ascii="Times New Roman" w:hAnsi="Times New Roman" w:eastAsia="仿宋_GB2312" w:cs="Times New Roman"/>
          <w:color w:val="333333"/>
          <w:kern w:val="0"/>
          <w:sz w:val="32"/>
          <w:szCs w:val="32"/>
        </w:rPr>
        <w:t>万元，资金来源全部为区级财政拨款。截</w:t>
      </w:r>
      <w:r>
        <w:rPr>
          <w:rFonts w:hint="default" w:ascii="Times New Roman" w:hAnsi="Times New Roman" w:eastAsia="仿宋_GB2312" w:cs="Times New Roman"/>
          <w:color w:val="333333"/>
          <w:kern w:val="0"/>
          <w:sz w:val="32"/>
          <w:szCs w:val="32"/>
          <w:lang w:eastAsia="zh-CN"/>
        </w:rPr>
        <w:t>止</w:t>
      </w:r>
      <w:r>
        <w:rPr>
          <w:rFonts w:hint="default" w:ascii="Times New Roman" w:hAnsi="Times New Roman" w:eastAsia="仿宋_GB2312" w:cs="Times New Roman"/>
          <w:color w:val="333333"/>
          <w:kern w:val="0"/>
          <w:sz w:val="32"/>
          <w:szCs w:val="32"/>
        </w:rPr>
        <w:t>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年12月31日，</w:t>
      </w:r>
      <w:r>
        <w:rPr>
          <w:rFonts w:hint="eastAsia" w:ascii="Times New Roman" w:hAnsi="Times New Roman" w:eastAsia="仿宋_GB2312" w:cs="Times New Roman"/>
          <w:color w:val="333333"/>
          <w:kern w:val="0"/>
          <w:sz w:val="32"/>
          <w:szCs w:val="32"/>
          <w:lang w:eastAsia="zh-CN"/>
        </w:rPr>
        <w:t>业务补助</w:t>
      </w:r>
      <w:r>
        <w:rPr>
          <w:rFonts w:hint="default" w:ascii="Times New Roman" w:hAnsi="Times New Roman" w:eastAsia="仿宋_GB2312" w:cs="Times New Roman"/>
          <w:color w:val="333333"/>
          <w:kern w:val="0"/>
          <w:sz w:val="32"/>
          <w:szCs w:val="32"/>
          <w:lang w:eastAsia="zh-CN"/>
        </w:rPr>
        <w:t>专项</w:t>
      </w:r>
      <w:r>
        <w:rPr>
          <w:rFonts w:hint="default" w:ascii="Times New Roman" w:hAnsi="Times New Roman" w:eastAsia="仿宋_GB2312" w:cs="Times New Roman"/>
          <w:color w:val="333333"/>
          <w:kern w:val="0"/>
          <w:sz w:val="32"/>
          <w:szCs w:val="32"/>
        </w:rPr>
        <w:t>经费</w:t>
      </w:r>
      <w:r>
        <w:rPr>
          <w:rFonts w:hint="default" w:ascii="Times New Roman" w:hAnsi="Times New Roman" w:eastAsia="仿宋_GB2312" w:cs="Times New Roman"/>
          <w:color w:val="333333"/>
          <w:kern w:val="0"/>
          <w:sz w:val="32"/>
          <w:szCs w:val="32"/>
          <w:lang w:eastAsia="zh-CN"/>
        </w:rPr>
        <w:t>已支出</w:t>
      </w:r>
      <w:r>
        <w:rPr>
          <w:rFonts w:hint="eastAsia" w:ascii="Times New Roman" w:hAnsi="Times New Roman" w:eastAsia="仿宋_GB2312" w:cs="Times New Roman"/>
          <w:color w:val="333333"/>
          <w:kern w:val="0"/>
          <w:sz w:val="32"/>
          <w:szCs w:val="32"/>
          <w:lang w:val="en-US" w:eastAsia="zh-CN"/>
        </w:rPr>
        <w:t>482.01</w:t>
      </w:r>
      <w:r>
        <w:rPr>
          <w:rFonts w:hint="default" w:ascii="Times New Roman" w:hAnsi="Times New Roman" w:eastAsia="仿宋_GB2312" w:cs="Times New Roman"/>
          <w:color w:val="333333"/>
          <w:kern w:val="0"/>
          <w:sz w:val="32"/>
          <w:szCs w:val="32"/>
          <w:lang w:val="en-US" w:eastAsia="zh-CN"/>
        </w:rPr>
        <w:t>万元</w:t>
      </w:r>
      <w:r>
        <w:rPr>
          <w:rFonts w:hint="default" w:ascii="Times New Roman" w:hAnsi="Times New Roman" w:eastAsia="仿宋_GB2312" w:cs="Times New Roman"/>
          <w:color w:val="333333"/>
          <w:kern w:val="0"/>
          <w:sz w:val="32"/>
          <w:szCs w:val="32"/>
        </w:rPr>
        <w:t>，主要用于支付机关食堂食材费、电费、煤气费、劳保用品费、材料维修费等</w:t>
      </w:r>
      <w:r>
        <w:rPr>
          <w:rFonts w:hint="default" w:ascii="Times New Roman" w:hAnsi="Times New Roman" w:eastAsia="仿宋_GB2312" w:cs="Times New Roman"/>
          <w:color w:val="333333"/>
          <w:kern w:val="0"/>
          <w:sz w:val="32"/>
          <w:szCs w:val="32"/>
          <w:lang w:eastAsia="zh-CN"/>
        </w:rPr>
        <w:t>。</w:t>
      </w:r>
    </w:p>
    <w:p w14:paraId="4E87CFB2">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4.组织及管理情况</w:t>
      </w:r>
    </w:p>
    <w:p w14:paraId="39630924">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（1）食材费情况</w:t>
      </w:r>
    </w:p>
    <w:p w14:paraId="05BB154F">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我单位负责食堂的运行工作，所有食材的供应均签订了供货协议，食材费在当月供货完成后按月支付。通过对资金支付申请、付款单据等相关原始资料的检查，本项目资金拨付审批手续完整，支出依据合规，未发现虚列套取、截留、挤占、挪用情况和超标准开支的情况。</w:t>
      </w:r>
    </w:p>
    <w:p w14:paraId="65A3C337">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（2）其他费用情况</w:t>
      </w:r>
    </w:p>
    <w:p w14:paraId="70B31FE0">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我单位负责食堂的运行工作，电费、煤气费、劳保用品费、材料维修费等均据实结算。</w:t>
      </w:r>
    </w:p>
    <w:p w14:paraId="13B99BFA">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eastAsia" w:ascii="楷体_GB2312" w:hAnsi="楷体_GB2312" w:eastAsia="楷体_GB2312" w:cs="楷体_GB2312"/>
          <w:sz w:val="32"/>
          <w:szCs w:val="32"/>
        </w:rPr>
        <w:t>（二）绩效目标</w:t>
      </w:r>
    </w:p>
    <w:p w14:paraId="1F07F239">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1.总目标</w:t>
      </w:r>
    </w:p>
    <w:p w14:paraId="5728A2FD">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333333"/>
          <w:kern w:val="0"/>
          <w:sz w:val="32"/>
          <w:szCs w:val="32"/>
        </w:rPr>
        <w:t>确保区委、区政府后勤服务正常开展，上级机关交办事项办理到位，为各集中办公区工作人员提供餐饮服务</w:t>
      </w:r>
      <w:r>
        <w:rPr>
          <w:rFonts w:hint="default" w:ascii="Times New Roman" w:hAnsi="Times New Roman" w:eastAsia="仿宋_GB2312" w:cs="Times New Roman"/>
          <w:color w:val="333333"/>
          <w:kern w:val="0"/>
          <w:sz w:val="32"/>
          <w:szCs w:val="32"/>
          <w:lang w:eastAsia="zh-CN"/>
        </w:rPr>
        <w:t>。</w:t>
      </w:r>
    </w:p>
    <w:p w14:paraId="5E767ED1">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2.年度目标</w:t>
      </w:r>
    </w:p>
    <w:p w14:paraId="3FC9FA60">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完成集中办公区工作人员餐饮服务，做好食品留样工作，确保食品安全，全年组织员工健康体检不少于1次</w:t>
      </w:r>
      <w:r>
        <w:rPr>
          <w:rFonts w:hint="default" w:ascii="Times New Roman" w:hAnsi="Times New Roman" w:eastAsia="仿宋_GB2312" w:cs="Times New Roman"/>
          <w:sz w:val="32"/>
          <w:szCs w:val="32"/>
        </w:rPr>
        <w:t>。</w:t>
      </w:r>
    </w:p>
    <w:p w14:paraId="646C8060">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二、绩效评价工作情况</w:t>
      </w:r>
    </w:p>
    <w:p w14:paraId="0A12E386">
      <w:pPr>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（一）绩效评价目的</w:t>
      </w:r>
    </w:p>
    <w:p w14:paraId="170724F2">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r>
        <w:rPr>
          <w:rFonts w:hint="default" w:ascii="Times New Roman" w:hAnsi="Times New Roman" w:eastAsia="楷体" w:cs="Times New Roman"/>
          <w:sz w:val="32"/>
          <w:szCs w:val="32"/>
        </w:rPr>
        <w:t>。</w:t>
      </w:r>
    </w:p>
    <w:p w14:paraId="46627BF2">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eastAsia" w:ascii="楷体_GB2312" w:hAnsi="楷体_GB2312" w:eastAsia="楷体_GB2312" w:cs="楷体_GB2312"/>
          <w:sz w:val="32"/>
          <w:szCs w:val="32"/>
        </w:rPr>
        <w:t>（二）绩效评价工作方案制定过程</w:t>
      </w:r>
    </w:p>
    <w:p w14:paraId="303C6F96">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1.前期调研</w:t>
      </w:r>
    </w:p>
    <w:p w14:paraId="06DD1960">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本次绩效评价开始前，评价组对项目开展情况、资金使用管理情况、财务账务处理等进行前期调研，掌握项目运行的第一手资料，为该项目绩效评价工作的开展打下坚实的基础</w:t>
      </w:r>
      <w:r>
        <w:rPr>
          <w:rFonts w:hint="default" w:ascii="Times New Roman" w:hAnsi="Times New Roman" w:eastAsia="仿宋_GB2312" w:cs="Times New Roman"/>
          <w:sz w:val="32"/>
          <w:szCs w:val="32"/>
        </w:rPr>
        <w:t>。</w:t>
      </w:r>
    </w:p>
    <w:p w14:paraId="322BC9C0">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2.研究文件</w:t>
      </w:r>
    </w:p>
    <w:p w14:paraId="00151336">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评价组对</w:t>
      </w:r>
      <w:r>
        <w:rPr>
          <w:rFonts w:hint="default" w:ascii="Times New Roman" w:hAnsi="Times New Roman" w:eastAsia="仿宋_GB2312" w:cs="Times New Roman"/>
          <w:sz w:val="32"/>
          <w:szCs w:val="32"/>
        </w:rPr>
        <w:t>《盘龙区区级部门预算绩效自评管理暂行办法》和《昆明市盘龙区财政局关于开展202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年度区级预算支出绩效自评工作的通知》</w:t>
      </w:r>
      <w:r>
        <w:rPr>
          <w:rFonts w:hint="default" w:ascii="Times New Roman" w:hAnsi="Times New Roman" w:eastAsia="仿宋_GB2312" w:cs="Times New Roman"/>
          <w:color w:val="333333"/>
          <w:kern w:val="0"/>
          <w:sz w:val="32"/>
          <w:szCs w:val="32"/>
        </w:rPr>
        <w:t>进行认真研究，以确保绩效评价工作符合区财政局的相关要求</w:t>
      </w:r>
      <w:r>
        <w:rPr>
          <w:rFonts w:hint="default" w:ascii="Times New Roman" w:hAnsi="Times New Roman" w:eastAsia="仿宋_GB2312" w:cs="Times New Roman"/>
          <w:sz w:val="32"/>
          <w:szCs w:val="32"/>
        </w:rPr>
        <w:t>。</w:t>
      </w:r>
    </w:p>
    <w:p w14:paraId="1C072A7D">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3.绩效评价指标体系及工作方案的设计</w:t>
      </w:r>
    </w:p>
    <w:p w14:paraId="34D44D07">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r>
        <w:rPr>
          <w:rFonts w:hint="default" w:ascii="Times New Roman" w:hAnsi="Times New Roman" w:eastAsia="仿宋_GB2312" w:cs="Times New Roman"/>
          <w:sz w:val="32"/>
          <w:szCs w:val="32"/>
        </w:rPr>
        <w:t>。</w:t>
      </w:r>
    </w:p>
    <w:p w14:paraId="5C38B2E6">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eastAsia" w:ascii="楷体_GB2312" w:hAnsi="楷体_GB2312" w:eastAsia="楷体_GB2312" w:cs="楷体_GB2312"/>
          <w:sz w:val="32"/>
          <w:szCs w:val="32"/>
        </w:rPr>
        <w:t>（三）绩效评价原则、评价方法</w:t>
      </w:r>
    </w:p>
    <w:p w14:paraId="27D871D0">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1.绩效评价原则</w:t>
      </w:r>
    </w:p>
    <w:p w14:paraId="78A44AF6">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评价工作组秉承科学规范、客观公正、定性定量的原则，采取计划标准、历史标准相结合的方式开展绩效评价</w:t>
      </w:r>
      <w:r>
        <w:rPr>
          <w:rFonts w:hint="default" w:ascii="Times New Roman" w:hAnsi="Times New Roman" w:eastAsia="仿宋_GB2312" w:cs="Times New Roman"/>
          <w:sz w:val="32"/>
          <w:szCs w:val="32"/>
        </w:rPr>
        <w:t>。</w:t>
      </w:r>
    </w:p>
    <w:p w14:paraId="3893FC25">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2.绩效评价方法</w:t>
      </w:r>
    </w:p>
    <w:p w14:paraId="572F1839">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eastAsia" w:ascii="Times New Roman" w:hAnsi="Times New Roman" w:eastAsia="仿宋_GB2312" w:cs="Times New Roman"/>
          <w:color w:val="333333"/>
          <w:kern w:val="0"/>
          <w:sz w:val="32"/>
          <w:szCs w:val="32"/>
          <w:lang w:eastAsia="zh-CN"/>
        </w:rPr>
      </w:pPr>
      <w:r>
        <w:rPr>
          <w:rFonts w:hint="default" w:ascii="Times New Roman" w:hAnsi="Times New Roman" w:eastAsia="仿宋_GB2312" w:cs="Times New Roman"/>
          <w:color w:val="333333"/>
          <w:kern w:val="0"/>
          <w:sz w:val="32"/>
          <w:szCs w:val="32"/>
        </w:rPr>
        <w:t>此次评价采用</w:t>
      </w:r>
      <w:r>
        <w:rPr>
          <w:rFonts w:hint="default" w:ascii="Times New Roman" w:hAnsi="Times New Roman" w:eastAsia="仿宋_GB2312" w:cs="Times New Roman"/>
          <w:color w:val="333333"/>
          <w:kern w:val="0"/>
          <w:sz w:val="32"/>
          <w:szCs w:val="32"/>
          <w:lang w:eastAsia="zh-CN"/>
        </w:rPr>
        <w:t>比较分析法、访谈法、抽查法、问卷调查法</w:t>
      </w:r>
      <w:r>
        <w:rPr>
          <w:rFonts w:hint="default" w:ascii="Times New Roman" w:hAnsi="Times New Roman" w:eastAsia="仿宋_GB2312" w:cs="Times New Roman"/>
          <w:color w:val="333333"/>
          <w:kern w:val="0"/>
          <w:sz w:val="32"/>
          <w:szCs w:val="32"/>
        </w:rPr>
        <w:t>等方式进行</w:t>
      </w:r>
      <w:r>
        <w:rPr>
          <w:rFonts w:hint="eastAsia" w:ascii="Times New Roman" w:hAnsi="Times New Roman" w:eastAsia="仿宋_GB2312" w:cs="Times New Roman"/>
          <w:color w:val="333333"/>
          <w:kern w:val="0"/>
          <w:sz w:val="32"/>
          <w:szCs w:val="32"/>
          <w:lang w:eastAsia="zh-CN"/>
        </w:rPr>
        <w:t>。</w:t>
      </w:r>
    </w:p>
    <w:p w14:paraId="3674A8F1">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 xml:space="preserve">比较分析法：把两个相互联系的指标数据加以比较分析，借以做出程度性判断，分绝对数比较和相对数比较，如将实际成本与预算成本相比较。 </w:t>
      </w:r>
    </w:p>
    <w:p w14:paraId="3DE744B0">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 xml:space="preserve">访谈法：随机访谈了相关工作人员，根据被询问者的答复搜集客观的、不带偏见的事实材料和评语。 </w:t>
      </w:r>
    </w:p>
    <w:p w14:paraId="20972CFD">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抽查法：抽查全部资金到位情况等。</w:t>
      </w:r>
    </w:p>
    <w:p w14:paraId="0EC34541">
      <w:pPr>
        <w:pageBreakBefore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问卷调查法：围绕财务制度执行情况，相关管理办法是否执行等情况向相关人员开展广泛调查，获取第一手资料</w:t>
      </w:r>
      <w:r>
        <w:rPr>
          <w:rFonts w:hint="default" w:ascii="Times New Roman" w:hAnsi="Times New Roman" w:eastAsia="仿宋_GB2312" w:cs="Times New Roman"/>
          <w:sz w:val="32"/>
          <w:szCs w:val="32"/>
        </w:rPr>
        <w:t>。</w:t>
      </w:r>
    </w:p>
    <w:p w14:paraId="4BBC5C76">
      <w:pPr>
        <w:pageBreakBefore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（四）绩效评价实施过程</w:t>
      </w:r>
    </w:p>
    <w:p w14:paraId="6B468235">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1.数据填报和采集</w:t>
      </w:r>
    </w:p>
    <w:p w14:paraId="69EA7462">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评价组严格按照昆明市盘龙区财政局关于印发《盘龙区区级部门预算绩效自评管理暂行办法》的要求，结合本单位项目支出财务资料和202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年决算资料进行相关数据采集和填报</w:t>
      </w:r>
      <w:r>
        <w:rPr>
          <w:rFonts w:hint="default" w:ascii="Times New Roman" w:hAnsi="Times New Roman" w:eastAsia="仿宋_GB2312" w:cs="Times New Roman"/>
          <w:sz w:val="32"/>
          <w:szCs w:val="32"/>
        </w:rPr>
        <w:t>。</w:t>
      </w:r>
    </w:p>
    <w:p w14:paraId="72FD396B">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.数据分析和撰写报告</w:t>
      </w:r>
    </w:p>
    <w:p w14:paraId="2C509E99">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r>
        <w:rPr>
          <w:rFonts w:hint="default" w:ascii="Times New Roman" w:hAnsi="Times New Roman" w:eastAsia="仿宋_GB2312" w:cs="Times New Roman"/>
          <w:sz w:val="32"/>
          <w:szCs w:val="32"/>
        </w:rPr>
        <w:t>。</w:t>
      </w:r>
    </w:p>
    <w:p w14:paraId="4A247B12">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eastAsia" w:ascii="楷体_GB2312" w:hAnsi="楷体_GB2312" w:eastAsia="楷体_GB2312" w:cs="楷体_GB2312"/>
          <w:sz w:val="32"/>
          <w:szCs w:val="32"/>
        </w:rPr>
        <w:t>（五）本次绩效评价的局限性</w:t>
      </w:r>
    </w:p>
    <w:p w14:paraId="4AB86A55">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color w:val="333333"/>
          <w:kern w:val="0"/>
          <w:sz w:val="32"/>
          <w:szCs w:val="32"/>
        </w:rPr>
        <w:t>由于该项目为</w:t>
      </w:r>
      <w:r>
        <w:rPr>
          <w:rFonts w:hint="default" w:ascii="Times New Roman" w:hAnsi="Times New Roman" w:eastAsia="仿宋_GB2312" w:cs="Times New Roman"/>
          <w:color w:val="333333"/>
          <w:kern w:val="0"/>
          <w:sz w:val="32"/>
          <w:szCs w:val="32"/>
          <w:lang w:eastAsia="zh-CN"/>
        </w:rPr>
        <w:t>经常性</w:t>
      </w:r>
      <w:r>
        <w:rPr>
          <w:rFonts w:hint="default" w:ascii="Times New Roman" w:hAnsi="Times New Roman" w:eastAsia="仿宋_GB2312" w:cs="Times New Roman"/>
          <w:color w:val="333333"/>
          <w:kern w:val="0"/>
          <w:sz w:val="32"/>
          <w:szCs w:val="32"/>
        </w:rPr>
        <w:t>项目，故以本单位实际开展日常工作情况为绩效效果进行考评，且资金管理由本单位进行统一管理</w:t>
      </w:r>
      <w:r>
        <w:rPr>
          <w:rFonts w:hint="default" w:ascii="Times New Roman" w:hAnsi="Times New Roman" w:eastAsia="楷体" w:cs="Times New Roman"/>
          <w:sz w:val="32"/>
          <w:szCs w:val="32"/>
        </w:rPr>
        <w:t>。</w:t>
      </w:r>
    </w:p>
    <w:p w14:paraId="7D980975">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三、评价结论和绩效分析</w:t>
      </w:r>
    </w:p>
    <w:p w14:paraId="2E0C890B">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楷体" w:cs="Times New Roman"/>
          <w:sz w:val="32"/>
          <w:szCs w:val="32"/>
        </w:rPr>
      </w:pPr>
      <w:r>
        <w:rPr>
          <w:rFonts w:hint="eastAsia" w:ascii="楷体_GB2312" w:hAnsi="楷体_GB2312" w:eastAsia="楷体_GB2312" w:cs="楷体_GB2312"/>
          <w:sz w:val="32"/>
          <w:szCs w:val="32"/>
        </w:rPr>
        <w:t>（一）评价结论</w:t>
      </w:r>
    </w:p>
    <w:p w14:paraId="12636FB4">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1.评价结果</w:t>
      </w:r>
    </w:p>
    <w:p w14:paraId="66B49CE8">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14:paraId="4C51146D">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综上，根据《盘龙区区级部门预算绩效自评管理暂行办法》，项目绩效评价得分为</w:t>
      </w:r>
      <w:r>
        <w:rPr>
          <w:rFonts w:hint="default" w:ascii="Times New Roman" w:hAnsi="Times New Roman" w:eastAsia="仿宋_GB2312" w:cs="Times New Roman"/>
          <w:color w:val="333333"/>
          <w:kern w:val="0"/>
          <w:sz w:val="32"/>
          <w:szCs w:val="32"/>
          <w:lang w:val="en-US" w:eastAsia="zh-CN"/>
        </w:rPr>
        <w:t>92</w:t>
      </w:r>
      <w:r>
        <w:rPr>
          <w:rFonts w:hint="default" w:ascii="Times New Roman" w:hAnsi="Times New Roman" w:eastAsia="仿宋_GB2312" w:cs="Times New Roman"/>
          <w:color w:val="333333"/>
          <w:kern w:val="0"/>
          <w:sz w:val="32"/>
          <w:szCs w:val="32"/>
        </w:rPr>
        <w:t>分，自评结果为优</w:t>
      </w:r>
      <w:r>
        <w:rPr>
          <w:rFonts w:hint="default" w:ascii="Times New Roman" w:hAnsi="Times New Roman" w:eastAsia="仿宋_GB2312" w:cs="Times New Roman"/>
          <w:sz w:val="32"/>
          <w:szCs w:val="32"/>
        </w:rPr>
        <w:t>。</w:t>
      </w:r>
    </w:p>
    <w:p w14:paraId="2B304DD8">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2.主要绩效</w:t>
      </w:r>
    </w:p>
    <w:p w14:paraId="591BFFF3">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333333"/>
          <w:kern w:val="0"/>
          <w:sz w:val="32"/>
          <w:szCs w:val="32"/>
        </w:rPr>
        <w:t>本项目不属于投资建设类项目，主要内容为我单位管理的机关食堂食材费、电费、煤气费、劳保用品费、材料维修费等支出。机关事务管理服务中心202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年度该项工作完成效益较好，保证了区委、区政府各项工作的顺利开展</w:t>
      </w:r>
      <w:r>
        <w:rPr>
          <w:rFonts w:hint="default" w:ascii="Times New Roman" w:hAnsi="Times New Roman" w:eastAsia="仿宋_GB2312" w:cs="Times New Roman"/>
          <w:sz w:val="32"/>
          <w:szCs w:val="32"/>
        </w:rPr>
        <w:t>。</w:t>
      </w:r>
    </w:p>
    <w:p w14:paraId="4B7E09D8">
      <w:pPr>
        <w:pageBreakBefore w:val="0"/>
        <w:kinsoku/>
        <w:wordWrap/>
        <w:overflowPunct/>
        <w:topLinePunct/>
        <w:autoSpaceDE/>
        <w:autoSpaceDN/>
        <w:bidi w:val="0"/>
        <w:adjustRightInd/>
        <w:snapToGrid/>
        <w:spacing w:line="560" w:lineRule="exact"/>
        <w:ind w:firstLine="800" w:firstLineChars="250"/>
        <w:textAlignment w:val="auto"/>
        <w:rPr>
          <w:rFonts w:hint="eastAsia" w:ascii="楷体" w:hAnsi="楷体" w:eastAsia="楷体" w:cs="楷体"/>
          <w:sz w:val="32"/>
          <w:szCs w:val="32"/>
        </w:rPr>
      </w:pPr>
      <w:r>
        <w:rPr>
          <w:rFonts w:hint="eastAsia" w:ascii="楷体" w:hAnsi="楷体" w:eastAsia="楷体" w:cs="楷体"/>
          <w:sz w:val="32"/>
          <w:szCs w:val="32"/>
        </w:rPr>
        <w:t>（二）具体绩效分析</w:t>
      </w:r>
    </w:p>
    <w:p w14:paraId="155BD1AA">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color w:val="333333"/>
          <w:kern w:val="0"/>
          <w:sz w:val="32"/>
          <w:szCs w:val="32"/>
        </w:rPr>
        <w:t>具体详见附件1</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sz w:val="32"/>
          <w:szCs w:val="32"/>
        </w:rPr>
        <w:t>项目支出绩效评价共性指标体系框架</w:t>
      </w:r>
      <w:r>
        <w:rPr>
          <w:rFonts w:hint="default" w:ascii="Times New Roman" w:hAnsi="Times New Roman" w:eastAsia="仿宋_GB2312" w:cs="Times New Roman"/>
          <w:color w:val="333333"/>
          <w:kern w:val="0"/>
          <w:sz w:val="32"/>
          <w:szCs w:val="32"/>
          <w:lang w:eastAsia="zh-CN"/>
        </w:rPr>
        <w:t>）</w:t>
      </w:r>
      <w:r>
        <w:rPr>
          <w:rFonts w:hint="default" w:ascii="Times New Roman" w:hAnsi="Times New Roman" w:eastAsia="仿宋" w:cs="Times New Roman"/>
          <w:sz w:val="32"/>
          <w:szCs w:val="32"/>
        </w:rPr>
        <w:t>。</w:t>
      </w:r>
    </w:p>
    <w:p w14:paraId="10DBEBE4">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四、成本效益分析</w:t>
      </w:r>
    </w:p>
    <w:p w14:paraId="0E1D9FA6">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（一）项目经济性分析</w:t>
      </w:r>
    </w:p>
    <w:p w14:paraId="5BB3EF23">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1.项目成本控制情况</w:t>
      </w:r>
    </w:p>
    <w:p w14:paraId="3A2DB589">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根据昆明市盘龙区财政局《关于下达盘龙区202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年部门预算的批复》（盘财〔202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〕1号）下达“业务补助经费”</w:t>
      </w:r>
      <w:r>
        <w:rPr>
          <w:rFonts w:hint="default" w:ascii="Times New Roman" w:hAnsi="Times New Roman" w:eastAsia="仿宋_GB2312" w:cs="Times New Roman"/>
          <w:color w:val="333333"/>
          <w:kern w:val="0"/>
          <w:sz w:val="32"/>
          <w:szCs w:val="32"/>
          <w:lang w:val="en-US" w:eastAsia="zh-CN"/>
        </w:rPr>
        <w:t>710.48</w:t>
      </w:r>
      <w:r>
        <w:rPr>
          <w:rFonts w:hint="default" w:ascii="Times New Roman" w:hAnsi="Times New Roman" w:eastAsia="仿宋_GB2312" w:cs="Times New Roman"/>
          <w:color w:val="333333"/>
          <w:kern w:val="0"/>
          <w:sz w:val="32"/>
          <w:szCs w:val="32"/>
        </w:rPr>
        <w:t>元，</w:t>
      </w:r>
      <w:r>
        <w:rPr>
          <w:rFonts w:hint="default" w:ascii="Times New Roman" w:hAnsi="Times New Roman" w:eastAsia="仿宋_GB2312" w:cs="Times New Roman"/>
          <w:color w:val="333333"/>
          <w:kern w:val="0"/>
          <w:sz w:val="32"/>
          <w:szCs w:val="32"/>
          <w:lang w:val="en-US" w:eastAsia="zh-CN"/>
        </w:rPr>
        <w:t>2022年实际收到财政拨款收入482.01万</w:t>
      </w:r>
      <w:r>
        <w:rPr>
          <w:rFonts w:hint="default" w:ascii="Times New Roman" w:hAnsi="Times New Roman" w:eastAsia="仿宋_GB2312" w:cs="Times New Roman"/>
          <w:color w:val="333333"/>
          <w:kern w:val="0"/>
          <w:sz w:val="32"/>
          <w:szCs w:val="32"/>
        </w:rPr>
        <w:t>元，用于机关食堂食材费、电费、煤气费、劳保用品费、材料维修费等支出。机关事务管理服务中心相关财务资料显示资金支出</w:t>
      </w:r>
      <w:r>
        <w:rPr>
          <w:rFonts w:hint="default" w:ascii="Times New Roman" w:hAnsi="Times New Roman" w:eastAsia="仿宋_GB2312" w:cs="Times New Roman"/>
          <w:color w:val="333333"/>
          <w:kern w:val="0"/>
          <w:sz w:val="32"/>
          <w:szCs w:val="32"/>
          <w:lang w:val="en-US" w:eastAsia="zh-CN"/>
        </w:rPr>
        <w:t>482.01万</w:t>
      </w:r>
      <w:r>
        <w:rPr>
          <w:rFonts w:hint="default" w:ascii="Times New Roman" w:hAnsi="Times New Roman" w:eastAsia="仿宋_GB2312" w:cs="Times New Roman"/>
          <w:color w:val="333333"/>
          <w:kern w:val="0"/>
          <w:sz w:val="32"/>
          <w:szCs w:val="32"/>
        </w:rPr>
        <w:t>元，项目资金使用控制在预算范围内。</w:t>
      </w:r>
    </w:p>
    <w:p w14:paraId="6C77153C">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2.项目的效率性分析</w:t>
      </w:r>
    </w:p>
    <w:p w14:paraId="74E552B5">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根据相关的项目资料显示，截止202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年12月31日，本单位各项工作均有序进行。</w:t>
      </w:r>
      <w:bookmarkStart w:id="0" w:name="_Toc32152"/>
    </w:p>
    <w:p w14:paraId="5A1E9B06">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（二）项目的效益性分析</w:t>
      </w:r>
      <w:bookmarkEnd w:id="0"/>
    </w:p>
    <w:p w14:paraId="61E820CA">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1.经济效益</w:t>
      </w:r>
    </w:p>
    <w:p w14:paraId="59A18C8C">
      <w:pPr>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机关食堂工作是一项后勤保障工作，其直接和间接的经济效益难以计算。在本项目的实施过程中，其直接和间接的经济效益主要体现在以下几个方面：</w:t>
      </w:r>
    </w:p>
    <w:p w14:paraId="0D663A4F">
      <w:pPr>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盘龙区机关食堂本年内进行了服务外包，通过公司完善的用人管理模式，最大限度地降低机关事务管理服务中心人力资源利用成本和风险。如：工资薪酬的发放、社会保险的缴纳、合同的签订、续订和解除，相关问题和争议的处理、日常一系列的人事管理等全部由中标的专业公司负责。机关事务管理服务中心不但提高了管理水平和服务水平，还有效地降低人员运行成本。</w:t>
      </w:r>
    </w:p>
    <w:p w14:paraId="60170DF6">
      <w:pPr>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（2）机关食堂的食品、菜品采购由</w:t>
      </w:r>
      <w:r>
        <w:rPr>
          <w:rFonts w:hint="eastAsia" w:ascii="Times New Roman" w:hAnsi="Times New Roman" w:eastAsia="仿宋_GB2312" w:cs="Times New Roman"/>
          <w:sz w:val="32"/>
          <w:szCs w:val="32"/>
          <w:lang w:eastAsia="zh-CN"/>
        </w:rPr>
        <w:t>综合科</w:t>
      </w:r>
      <w:r>
        <w:rPr>
          <w:rFonts w:hint="default" w:ascii="Times New Roman" w:hAnsi="Times New Roman" w:eastAsia="仿宋_GB2312" w:cs="Times New Roman"/>
          <w:sz w:val="32"/>
          <w:szCs w:val="32"/>
        </w:rPr>
        <w:t>、食堂监管执行，加强了成本控制，节约了成本。</w:t>
      </w:r>
    </w:p>
    <w:p w14:paraId="294DDF1D">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outlineLvl w:val="2"/>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2.社会效益</w:t>
      </w:r>
    </w:p>
    <w:p w14:paraId="17987F81">
      <w:pPr>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（1）为区机关干部职工提供工作用餐，为工作、会议等活动的有序开展提供了保障。</w:t>
      </w:r>
    </w:p>
    <w:p w14:paraId="2B3A81BD">
      <w:pPr>
        <w:pageBreakBefore w:val="0"/>
        <w:kinsoku/>
        <w:wordWrap/>
        <w:overflow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（2）日常会议在食堂用工作餐，是认真贯彻落实中央、省、市关于提倡勤俭节约，杜绝铺张浪费，反对“四风”的具体体现。</w:t>
      </w:r>
    </w:p>
    <w:p w14:paraId="2825ACB5">
      <w:pPr>
        <w:pageBreakBefore w:val="0"/>
        <w:kinsoku/>
        <w:wordWrap/>
        <w:overflowPunct/>
        <w:topLinePunct/>
        <w:autoSpaceDE/>
        <w:autoSpaceDN/>
        <w:bidi w:val="0"/>
        <w:adjustRightInd/>
        <w:snapToGrid/>
        <w:spacing w:line="560" w:lineRule="exact"/>
        <w:ind w:firstLine="800" w:firstLineChars="25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五、主要经验及做法、存在的问题和建议</w:t>
      </w:r>
    </w:p>
    <w:p w14:paraId="0EDD25F5">
      <w:pPr>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主要经验及做法</w:t>
      </w:r>
    </w:p>
    <w:p w14:paraId="2B56F092">
      <w:pPr>
        <w:pageBreakBefore w:val="0"/>
        <w:kinsoku/>
        <w:wordWrap/>
        <w:overflowPunct/>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color w:val="333333"/>
          <w:kern w:val="0"/>
          <w:sz w:val="32"/>
          <w:szCs w:val="32"/>
        </w:rPr>
        <w:t>机关事务管理服务中心根据</w:t>
      </w:r>
      <w:r>
        <w:rPr>
          <w:rFonts w:hint="default" w:ascii="Times New Roman" w:hAnsi="Times New Roman" w:eastAsia="仿宋_GB2312" w:cs="Times New Roman"/>
          <w:sz w:val="32"/>
          <w:szCs w:val="32"/>
        </w:rPr>
        <w:t>《盘龙区区级部门预算绩效自评管理暂行办法》《昆明市盘龙区财政局关于开展202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年度区级预算支出绩效自评工作的通知》文件</w:t>
      </w:r>
      <w:r>
        <w:rPr>
          <w:rFonts w:hint="default" w:ascii="Times New Roman" w:hAnsi="Times New Roman" w:eastAsia="仿宋_GB2312" w:cs="Times New Roman"/>
          <w:color w:val="333333"/>
          <w:kern w:val="0"/>
          <w:sz w:val="32"/>
          <w:szCs w:val="32"/>
        </w:rPr>
        <w:t>精神，成立了自评小组，通过前期调研工作，充分了解评价项目有关情况</w:t>
      </w:r>
      <w:r>
        <w:rPr>
          <w:rFonts w:hint="eastAsia" w:ascii="Times New Roman" w:hAnsi="Times New Roman" w:eastAsia="仿宋_GB2312" w:cs="Times New Roman"/>
          <w:color w:val="333333"/>
          <w:kern w:val="0"/>
          <w:sz w:val="32"/>
          <w:szCs w:val="32"/>
          <w:lang w:eastAsia="zh-CN"/>
        </w:rPr>
        <w:t>；</w:t>
      </w:r>
      <w:r>
        <w:rPr>
          <w:rFonts w:hint="default" w:ascii="Times New Roman" w:hAnsi="Times New Roman" w:eastAsia="仿宋_GB2312" w:cs="Times New Roman"/>
          <w:color w:val="333333"/>
          <w:kern w:val="0"/>
          <w:sz w:val="32"/>
          <w:szCs w:val="32"/>
        </w:rPr>
        <w:t>通过查看资金使用情况，核实202</w:t>
      </w:r>
      <w:r>
        <w:rPr>
          <w:rFonts w:hint="default" w:ascii="Times New Roman" w:hAnsi="Times New Roman" w:eastAsia="仿宋_GB2312" w:cs="Times New Roman"/>
          <w:color w:val="333333"/>
          <w:kern w:val="0"/>
          <w:sz w:val="32"/>
          <w:szCs w:val="32"/>
          <w:lang w:val="en-US" w:eastAsia="zh-CN"/>
        </w:rPr>
        <w:t>2</w:t>
      </w:r>
      <w:r>
        <w:rPr>
          <w:rFonts w:hint="default" w:ascii="Times New Roman" w:hAnsi="Times New Roman" w:eastAsia="仿宋_GB2312" w:cs="Times New Roman"/>
          <w:color w:val="333333"/>
          <w:kern w:val="0"/>
          <w:sz w:val="32"/>
          <w:szCs w:val="32"/>
        </w:rPr>
        <w:t>年业务补助经费的各项支出的合法性、合规性；通过分析目标完成情况，查找存在的问题及总结好的经验方法，较好</w:t>
      </w:r>
      <w:r>
        <w:rPr>
          <w:rFonts w:hint="eastAsia" w:ascii="Times New Roman" w:hAnsi="Times New Roman" w:eastAsia="仿宋_GB2312" w:cs="Times New Roman"/>
          <w:color w:val="333333"/>
          <w:kern w:val="0"/>
          <w:sz w:val="32"/>
          <w:szCs w:val="32"/>
          <w:lang w:eastAsia="zh-CN"/>
        </w:rPr>
        <w:t>地</w:t>
      </w:r>
      <w:r>
        <w:rPr>
          <w:rFonts w:hint="default" w:ascii="Times New Roman" w:hAnsi="Times New Roman" w:eastAsia="仿宋_GB2312" w:cs="Times New Roman"/>
          <w:color w:val="333333"/>
          <w:kern w:val="0"/>
          <w:sz w:val="32"/>
          <w:szCs w:val="32"/>
        </w:rPr>
        <w:t>完成了自评工作</w:t>
      </w:r>
      <w:r>
        <w:rPr>
          <w:rFonts w:hint="eastAsia" w:ascii="Times New Roman" w:hAnsi="Times New Roman" w:eastAsia="仿宋_GB2312" w:cs="Times New Roman"/>
          <w:color w:val="333333"/>
          <w:kern w:val="0"/>
          <w:sz w:val="32"/>
          <w:szCs w:val="32"/>
          <w:lang w:eastAsia="zh-CN"/>
        </w:rPr>
        <w:t>。</w:t>
      </w:r>
    </w:p>
    <w:p w14:paraId="294E7CCB">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存在的问题</w:t>
      </w:r>
    </w:p>
    <w:p w14:paraId="3E5AC5C8">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1.业务补助经费主要用于机关食堂运行维护费用支出，因地点分散及服务对象众多，我单位对工作人员和服务的监管相对薄弱，考核评价体系及相应制度有待进一步完善。</w:t>
      </w:r>
    </w:p>
    <w:p w14:paraId="5D6D9B1B">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p>
    <w:p w14:paraId="79FD9BF9">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楷体" w:cs="Times New Roman"/>
          <w:sz w:val="32"/>
          <w:szCs w:val="32"/>
          <w:lang w:val="en-US" w:eastAsia="zh-CN"/>
        </w:rPr>
      </w:pPr>
      <w:r>
        <w:rPr>
          <w:rFonts w:hint="eastAsia" w:ascii="Times New Roman" w:hAnsi="Times New Roman" w:eastAsia="楷体" w:cs="Times New Roman"/>
          <w:sz w:val="32"/>
          <w:szCs w:val="32"/>
          <w:lang w:val="en-US" w:eastAsia="zh-CN"/>
        </w:rPr>
        <w:t>2</w:t>
      </w:r>
      <w:r>
        <w:rPr>
          <w:rFonts w:hint="default" w:ascii="Times New Roman" w:hAnsi="Times New Roman" w:eastAsia="楷体" w:cs="Times New Roman"/>
          <w:sz w:val="32"/>
          <w:szCs w:val="32"/>
          <w:lang w:val="en-US" w:eastAsia="zh-CN"/>
        </w:rPr>
        <w:t>.</w:t>
      </w:r>
      <w:r>
        <w:rPr>
          <w:rFonts w:hint="default" w:ascii="Times New Roman" w:hAnsi="Times New Roman" w:eastAsia="仿宋_GB2312" w:cs="Times New Roman"/>
          <w:sz w:val="32"/>
          <w:szCs w:val="32"/>
          <w:lang w:val="en-US" w:eastAsia="zh-CN"/>
        </w:rPr>
        <w:t>受疫情影响，部分经费未能及时支出，导致预算执行率较低。</w:t>
      </w:r>
    </w:p>
    <w:p w14:paraId="45086509">
      <w:pPr>
        <w:pageBreakBefore w:val="0"/>
        <w:kinsoku/>
        <w:wordWrap/>
        <w:overflowPunct/>
        <w:autoSpaceDE/>
        <w:autoSpaceDN/>
        <w:bidi w:val="0"/>
        <w:adjustRightInd/>
        <w:snapToGrid/>
        <w:spacing w:line="56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改进措施及建议</w:t>
      </w:r>
    </w:p>
    <w:p w14:paraId="60AC978C">
      <w:pPr>
        <w:pageBreakBefore w:val="0"/>
        <w:widowControl/>
        <w:shd w:val="clear" w:color="auto" w:fill="FFFFFF"/>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1.根据不同的服务内容，制定更加科学、合理、细致的考核评价体系，强化对各类服务人员的日常监管，切实提高服务水平。</w:t>
      </w:r>
    </w:p>
    <w:p w14:paraId="538352F7">
      <w:pPr>
        <w:pageBreakBefore w:val="0"/>
        <w:kinsoku/>
        <w:wordWrap/>
        <w:overflowPunct/>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楷体" w:cs="Times New Roman"/>
          <w:sz w:val="32"/>
          <w:szCs w:val="32"/>
          <w:lang w:val="en-US" w:eastAsia="zh-CN"/>
        </w:rPr>
        <w:t>2</w:t>
      </w:r>
      <w:r>
        <w:rPr>
          <w:rFonts w:hint="default" w:ascii="Times New Roman" w:hAnsi="Times New Roman" w:eastAsia="楷体" w:cs="Times New Roman"/>
          <w:sz w:val="32"/>
          <w:szCs w:val="32"/>
          <w:lang w:val="en-US" w:eastAsia="zh-CN"/>
        </w:rPr>
        <w:t>.</w:t>
      </w:r>
      <w:r>
        <w:rPr>
          <w:rFonts w:hint="default" w:ascii="Times New Roman" w:hAnsi="Times New Roman" w:eastAsia="仿宋_GB2312" w:cs="Times New Roman"/>
          <w:sz w:val="32"/>
          <w:szCs w:val="32"/>
          <w:lang w:val="en-US" w:eastAsia="zh-CN"/>
        </w:rPr>
        <w:t>合理统筹安排项目资金，进一步加强资金使用效率，及时支出项目资金。</w:t>
      </w:r>
    </w:p>
    <w:p w14:paraId="51F0AA34">
      <w:pPr>
        <w:pageBreakBefore w:val="0"/>
        <w:kinsoku/>
        <w:wordWrap/>
        <w:overflowPunct/>
        <w:autoSpaceDE/>
        <w:autoSpaceDN/>
        <w:bidi w:val="0"/>
        <w:adjustRightInd/>
        <w:snapToGrid/>
        <w:spacing w:line="560" w:lineRule="exact"/>
        <w:textAlignment w:val="auto"/>
        <w:rPr>
          <w:rFonts w:hint="default" w:ascii="Times New Roman" w:hAnsi="Times New Roman" w:eastAsia="黑体" w:cs="Times New Roman"/>
          <w:sz w:val="32"/>
          <w:szCs w:val="32"/>
        </w:rPr>
      </w:pPr>
    </w:p>
    <w:p w14:paraId="0CFA7063">
      <w:pPr>
        <w:pageBreakBefore w:val="0"/>
        <w:widowControl/>
        <w:kinsoku/>
        <w:wordWrap/>
        <w:overflowPunct/>
        <w:autoSpaceDE/>
        <w:autoSpaceDN/>
        <w:bidi w:val="0"/>
        <w:adjustRightInd/>
        <w:snapToGrid/>
        <w:spacing w:line="560" w:lineRule="exact"/>
        <w:jc w:val="center"/>
        <w:textAlignment w:val="auto"/>
        <w:rPr>
          <w:rFonts w:ascii="方正小标宋_GBK" w:eastAsia="方正小标宋_GBK"/>
          <w:sz w:val="28"/>
          <w:szCs w:val="28"/>
        </w:rPr>
      </w:pPr>
      <w:r>
        <w:rPr>
          <w:rFonts w:hint="default" w:ascii="Times New Roman" w:hAnsi="Times New Roman" w:cs="Times New Roman"/>
          <w:sz w:val="32"/>
          <w:szCs w:val="32"/>
        </w:rPr>
        <w:br w:type="page"/>
      </w:r>
      <w:r>
        <w:rPr>
          <w:rFonts w:hint="eastAsia" w:ascii="方正小标宋_GBK" w:eastAsia="方正小标宋_GBK"/>
          <w:sz w:val="28"/>
          <w:szCs w:val="28"/>
        </w:rPr>
        <w:t>附件</w:t>
      </w:r>
      <w:r>
        <w:rPr>
          <w:rFonts w:hint="eastAsia" w:ascii="方正小标宋_GBK" w:eastAsia="方正小标宋_GBK"/>
          <w:sz w:val="28"/>
          <w:szCs w:val="28"/>
          <w:lang w:val="en-US" w:eastAsia="zh-CN"/>
        </w:rPr>
        <w:t>1</w:t>
      </w:r>
      <w:r>
        <w:rPr>
          <w:rFonts w:hint="eastAsia" w:ascii="方正小标宋_GBK" w:eastAsia="方正小标宋_GBK"/>
          <w:sz w:val="28"/>
          <w:szCs w:val="28"/>
        </w:rPr>
        <w:t>：项目支出绩效评价共性指标体系框架</w:t>
      </w:r>
    </w:p>
    <w:tbl>
      <w:tblPr>
        <w:tblStyle w:val="3"/>
        <w:tblpPr w:leftFromText="180" w:rightFromText="180" w:vertAnchor="text" w:horzAnchor="page" w:tblpX="1201" w:tblpY="383"/>
        <w:tblW w:w="10412" w:type="dxa"/>
        <w:tblInd w:w="0" w:type="dxa"/>
        <w:tblLayout w:type="autofit"/>
        <w:tblCellMar>
          <w:top w:w="0" w:type="dxa"/>
          <w:left w:w="108" w:type="dxa"/>
          <w:bottom w:w="0" w:type="dxa"/>
          <w:right w:w="108" w:type="dxa"/>
        </w:tblCellMar>
      </w:tblPr>
      <w:tblGrid>
        <w:gridCol w:w="846"/>
        <w:gridCol w:w="970"/>
        <w:gridCol w:w="1143"/>
        <w:gridCol w:w="1091"/>
        <w:gridCol w:w="499"/>
        <w:gridCol w:w="570"/>
        <w:gridCol w:w="2103"/>
        <w:gridCol w:w="1973"/>
        <w:gridCol w:w="1217"/>
      </w:tblGrid>
      <w:tr w14:paraId="690DF81B">
        <w:tblPrEx>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noWrap w:val="0"/>
            <w:vAlign w:val="center"/>
          </w:tcPr>
          <w:p w14:paraId="0AE33C1C">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14:paraId="70EE088E">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38C242E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06EC096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6146261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4FEC629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149D063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7099110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6B2A313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5C343B0C">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14:paraId="0DEE50BE">
        <w:tblPrEx>
          <w:tblCellMar>
            <w:top w:w="0" w:type="dxa"/>
            <w:left w:w="108" w:type="dxa"/>
            <w:bottom w:w="0" w:type="dxa"/>
            <w:right w:w="108" w:type="dxa"/>
          </w:tblCellMar>
        </w:tblPrEx>
        <w:trPr>
          <w:trHeight w:val="900" w:hRule="atLeast"/>
        </w:trPr>
        <w:tc>
          <w:tcPr>
            <w:tcW w:w="846" w:type="dxa"/>
            <w:vMerge w:val="restart"/>
            <w:tcBorders>
              <w:top w:val="single" w:color="auto" w:sz="4" w:space="0"/>
              <w:left w:val="single" w:color="auto" w:sz="4" w:space="0"/>
              <w:bottom w:val="single" w:color="auto" w:sz="4" w:space="0"/>
              <w:right w:val="single" w:color="auto" w:sz="4" w:space="0"/>
            </w:tcBorders>
            <w:noWrap w:val="0"/>
            <w:vAlign w:val="center"/>
          </w:tcPr>
          <w:p w14:paraId="732D2D4B">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14:paraId="578D23E3">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3BEA7F75">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31E03B6B">
            <w:pPr>
              <w:widowControl/>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45B1253D">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759BB8A5">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03093ABA">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20A13255">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191260A4">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14:paraId="6819CC0F">
        <w:tblPrEx>
          <w:tblCellMar>
            <w:top w:w="0" w:type="dxa"/>
            <w:left w:w="108" w:type="dxa"/>
            <w:bottom w:w="0" w:type="dxa"/>
            <w:right w:w="108" w:type="dxa"/>
          </w:tblCellMar>
        </w:tblPrEx>
        <w:trPr>
          <w:trHeight w:val="105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7503AE1C">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26082AA2">
            <w:pPr>
              <w:widowControl/>
              <w:jc w:val="left"/>
              <w:rPr>
                <w:rFonts w:ascii="宋体" w:hAnsi="宋体" w:cs="宋体"/>
                <w:color w:val="000000"/>
                <w:kern w:val="0"/>
                <w:sz w:val="18"/>
                <w:szCs w:val="18"/>
              </w:rPr>
            </w:pP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14:paraId="7C8E1B1F">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0DD85A05">
            <w:pPr>
              <w:widowControl/>
              <w:jc w:val="left"/>
              <w:rPr>
                <w:rFonts w:ascii="宋体" w:hAnsi="宋体" w:cs="宋体"/>
                <w:color w:val="000000"/>
                <w:kern w:val="0"/>
                <w:sz w:val="18"/>
                <w:szCs w:val="18"/>
              </w:rPr>
            </w:pPr>
            <w:r>
              <w:rPr>
                <w:rFonts w:hint="eastAsia" w:ascii="宋体" w:hAnsi="宋体" w:cs="宋体"/>
                <w:color w:val="000000"/>
                <w:kern w:val="0"/>
                <w:sz w:val="18"/>
                <w:szCs w:val="18"/>
              </w:rPr>
              <w:t>A121.与市政府相关规划、决策匹配性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439C0603">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AADC11F">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2AFF80E8">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358878BD">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226D1B47">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14:paraId="120BFEA7">
        <w:tblPrEx>
          <w:tblCellMar>
            <w:top w:w="0" w:type="dxa"/>
            <w:left w:w="108" w:type="dxa"/>
            <w:bottom w:w="0" w:type="dxa"/>
            <w:right w:w="108" w:type="dxa"/>
          </w:tblCellMar>
        </w:tblPrEx>
        <w:trPr>
          <w:trHeight w:val="54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785AE0CB">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65DF7B50">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14:paraId="6472D43E">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44D3F7F5">
            <w:pPr>
              <w:widowControl/>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654ED939">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96E5E8E">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1BD662B4">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73ED0009">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4775C982">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14:paraId="46DC2D1D">
        <w:tblPrEx>
          <w:tblCellMar>
            <w:top w:w="0" w:type="dxa"/>
            <w:left w:w="108" w:type="dxa"/>
            <w:bottom w:w="0" w:type="dxa"/>
            <w:right w:w="108" w:type="dxa"/>
          </w:tblCellMar>
        </w:tblPrEx>
        <w:trPr>
          <w:trHeight w:val="54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284C0879">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0B57FCE3">
            <w:pPr>
              <w:widowControl/>
              <w:jc w:val="left"/>
              <w:rPr>
                <w:rFonts w:ascii="宋体" w:hAnsi="宋体" w:cs="宋体"/>
                <w:color w:val="000000"/>
                <w:kern w:val="0"/>
                <w:sz w:val="18"/>
                <w:szCs w:val="18"/>
              </w:rPr>
            </w:pP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14:paraId="3DDAE82F">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07EE24F9">
            <w:pPr>
              <w:widowControl/>
              <w:jc w:val="left"/>
              <w:rPr>
                <w:rFonts w:ascii="宋体" w:hAnsi="宋体" w:cs="宋体"/>
                <w:color w:val="000000"/>
                <w:kern w:val="0"/>
                <w:sz w:val="18"/>
                <w:szCs w:val="18"/>
              </w:rPr>
            </w:pPr>
            <w:r>
              <w:rPr>
                <w:rFonts w:hint="eastAsia" w:ascii="宋体" w:hAnsi="宋体" w:cs="宋体"/>
                <w:color w:val="000000"/>
                <w:kern w:val="0"/>
                <w:sz w:val="18"/>
                <w:szCs w:val="18"/>
              </w:rPr>
              <w:t>A131.前期调研情况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1A3EB71F">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DBE70A7">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6E3D9486">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43EA1F0E">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48895696">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14:paraId="62BCBDC3">
        <w:tblPrEx>
          <w:tblCellMar>
            <w:top w:w="0" w:type="dxa"/>
            <w:left w:w="108" w:type="dxa"/>
            <w:bottom w:w="0" w:type="dxa"/>
            <w:right w:w="108" w:type="dxa"/>
          </w:tblCellMar>
        </w:tblPrEx>
        <w:trPr>
          <w:trHeight w:val="54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518F76E8">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2ECD21D8">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14:paraId="3403DB6B">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3D7A6AD8">
            <w:pPr>
              <w:widowControl/>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1044BEE2">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B7A9D7B">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2CBFD115">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3055F2CF">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5F309307">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14:paraId="269713D0">
        <w:tblPrEx>
          <w:tblCellMar>
            <w:top w:w="0" w:type="dxa"/>
            <w:left w:w="108" w:type="dxa"/>
            <w:bottom w:w="0" w:type="dxa"/>
            <w:right w:w="108" w:type="dxa"/>
          </w:tblCellMar>
        </w:tblPrEx>
        <w:trPr>
          <w:trHeight w:val="91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1AF93B29">
            <w:pPr>
              <w:widowControl/>
              <w:jc w:val="left"/>
              <w:rPr>
                <w:rFonts w:ascii="宋体" w:hAnsi="宋体" w:cs="宋体"/>
                <w:color w:val="000000"/>
                <w:kern w:val="0"/>
                <w:sz w:val="18"/>
                <w:szCs w:val="18"/>
              </w:rPr>
            </w:pP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14:paraId="1622A5C2">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14:paraId="3C34DBCC">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35EE8245">
            <w:pPr>
              <w:widowControl/>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7AE80765">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7E7192A3">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4C534E0D">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385538A7">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6B834EAD">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14:paraId="604BDB75">
        <w:tblPrEx>
          <w:tblCellMar>
            <w:top w:w="0" w:type="dxa"/>
            <w:left w:w="108" w:type="dxa"/>
            <w:bottom w:w="0" w:type="dxa"/>
            <w:right w:w="108" w:type="dxa"/>
          </w:tblCellMar>
        </w:tblPrEx>
        <w:trPr>
          <w:trHeight w:val="108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1A51BA0C">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59A8A9CC">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14:paraId="1322B9A5">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15C16320">
            <w:pPr>
              <w:widowControl/>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550FEF9E">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B7D9A26">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78CB09E6">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4CEA7EA6">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4B9F15DD">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14:paraId="4E9C212B">
        <w:tblPrEx>
          <w:tblCellMar>
            <w:top w:w="0" w:type="dxa"/>
            <w:left w:w="108" w:type="dxa"/>
            <w:bottom w:w="0" w:type="dxa"/>
            <w:right w:w="108" w:type="dxa"/>
          </w:tblCellMar>
        </w:tblPrEx>
        <w:trPr>
          <w:trHeight w:val="82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652AB886">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5591EC34">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14:paraId="4F99CAF9">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673F47AA">
            <w:pPr>
              <w:widowControl/>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64B14BFE">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D9A27B5">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0D0E1B7F">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4755599F">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1DB93CF4">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14:paraId="1DB1FAE3">
        <w:tblPrEx>
          <w:tblCellMar>
            <w:top w:w="0" w:type="dxa"/>
            <w:left w:w="108" w:type="dxa"/>
            <w:bottom w:w="0" w:type="dxa"/>
            <w:right w:w="108" w:type="dxa"/>
          </w:tblCellMar>
        </w:tblPrEx>
        <w:trPr>
          <w:trHeight w:val="79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25E34509">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27D2D488">
            <w:pPr>
              <w:widowControl/>
              <w:jc w:val="left"/>
              <w:rPr>
                <w:rFonts w:ascii="宋体" w:hAnsi="宋体" w:cs="宋体"/>
                <w:color w:val="000000"/>
                <w:kern w:val="0"/>
                <w:sz w:val="18"/>
                <w:szCs w:val="18"/>
              </w:rPr>
            </w:pP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14:paraId="007B13B0">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784AF89C">
            <w:pPr>
              <w:widowControl/>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7FEF4E9A">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D848730">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2B8DFF10">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2F20385C">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09856663">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14:paraId="7628D615">
        <w:tblPrEx>
          <w:tblCellMar>
            <w:top w:w="0" w:type="dxa"/>
            <w:left w:w="108" w:type="dxa"/>
            <w:bottom w:w="0" w:type="dxa"/>
            <w:right w:w="108" w:type="dxa"/>
          </w:tblCellMar>
        </w:tblPrEx>
        <w:trPr>
          <w:trHeight w:val="88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3B6225D3">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4DC6B3A2">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14:paraId="5BDAEAB2">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25D5D641">
            <w:pPr>
              <w:widowControl/>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07D8BE95">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AA0E72E">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2B1AD9D4">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3AD9E141">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67117D68">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14:paraId="732BAFD3">
        <w:tblPrEx>
          <w:tblCellMar>
            <w:top w:w="0" w:type="dxa"/>
            <w:left w:w="108" w:type="dxa"/>
            <w:bottom w:w="0" w:type="dxa"/>
            <w:right w:w="108" w:type="dxa"/>
          </w:tblCellMar>
        </w:tblPrEx>
        <w:trPr>
          <w:trHeight w:val="720" w:hRule="atLeast"/>
        </w:trPr>
        <w:tc>
          <w:tcPr>
            <w:tcW w:w="846" w:type="dxa"/>
            <w:vMerge w:val="restart"/>
            <w:tcBorders>
              <w:top w:val="single" w:color="auto" w:sz="4" w:space="0"/>
              <w:left w:val="single" w:color="auto" w:sz="4" w:space="0"/>
              <w:bottom w:val="single" w:color="auto" w:sz="4" w:space="0"/>
              <w:right w:val="single" w:color="auto" w:sz="4" w:space="0"/>
            </w:tcBorders>
            <w:noWrap w:val="0"/>
            <w:vAlign w:val="center"/>
          </w:tcPr>
          <w:p w14:paraId="53141E63">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14:paraId="7FD3B6F3">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4BE2BE10">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1F9B44B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248C67BE">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84B31AD">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74FB3BD5">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76FC8E13">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0D0F2C29">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14:paraId="6F9E1510">
        <w:tblPrEx>
          <w:tblCellMar>
            <w:top w:w="0" w:type="dxa"/>
            <w:left w:w="108" w:type="dxa"/>
            <w:bottom w:w="0" w:type="dxa"/>
            <w:right w:w="108" w:type="dxa"/>
          </w:tblCellMar>
        </w:tblPrEx>
        <w:trPr>
          <w:trHeight w:val="81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4F06B960">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4B63CCF8">
            <w:pPr>
              <w:widowControl/>
              <w:jc w:val="left"/>
              <w:rPr>
                <w:rFonts w:ascii="宋体" w:hAnsi="宋体" w:cs="宋体"/>
                <w:color w:val="000000"/>
                <w:kern w:val="0"/>
                <w:sz w:val="18"/>
                <w:szCs w:val="18"/>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14:paraId="7CBD4FD9">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4297941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44534769">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71D08F3">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7A90C32B">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4839840B">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2E2B89A0">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14:paraId="36779615">
        <w:tblPrEx>
          <w:tblCellMar>
            <w:top w:w="0" w:type="dxa"/>
            <w:left w:w="108" w:type="dxa"/>
            <w:bottom w:w="0" w:type="dxa"/>
            <w:right w:w="108" w:type="dxa"/>
          </w:tblCellMar>
        </w:tblPrEx>
        <w:trPr>
          <w:trHeight w:val="123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71BAD0C9">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06EC33A4">
            <w:pPr>
              <w:widowControl/>
              <w:jc w:val="left"/>
              <w:rPr>
                <w:rFonts w:ascii="宋体" w:hAnsi="宋体" w:cs="宋体"/>
                <w:color w:val="000000"/>
                <w:kern w:val="0"/>
                <w:sz w:val="18"/>
                <w:szCs w:val="18"/>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14:paraId="00AD0DEA">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114D7AF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41ECCBF3">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1E48FB8">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65F5DEBD">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11ACD549">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w:t>
            </w:r>
            <w:r>
              <w:rPr>
                <w:rFonts w:hint="eastAsia" w:ascii="宋体" w:hAnsi="宋体" w:cs="宋体"/>
                <w:color w:val="000000"/>
                <w:kern w:val="0"/>
                <w:sz w:val="18"/>
                <w:szCs w:val="18"/>
                <w:lang w:val="en-US" w:eastAsia="zh-CN"/>
              </w:rPr>
              <w:t>0</w:t>
            </w:r>
            <w:r>
              <w:rPr>
                <w:rFonts w:hint="eastAsia" w:ascii="宋体" w:hAnsi="宋体" w:cs="宋体"/>
                <w:color w:val="000000"/>
                <w:kern w:val="0"/>
                <w:sz w:val="18"/>
                <w:szCs w:val="18"/>
              </w:rPr>
              <w:t>%以上，得满分；低于9</w:t>
            </w:r>
            <w:r>
              <w:rPr>
                <w:rFonts w:hint="eastAsia" w:ascii="宋体" w:hAnsi="宋体" w:cs="宋体"/>
                <w:color w:val="000000"/>
                <w:kern w:val="0"/>
                <w:sz w:val="18"/>
                <w:szCs w:val="18"/>
                <w:lang w:val="en-US" w:eastAsia="zh-CN"/>
              </w:rPr>
              <w:t>0</w:t>
            </w:r>
            <w:r>
              <w:rPr>
                <w:rFonts w:hint="eastAsia" w:ascii="宋体" w:hAnsi="宋体" w:cs="宋体"/>
                <w:color w:val="000000"/>
                <w:kern w:val="0"/>
                <w:sz w:val="18"/>
                <w:szCs w:val="18"/>
              </w:rPr>
              <w:t>%，每下降</w:t>
            </w:r>
            <w:r>
              <w:rPr>
                <w:rFonts w:hint="eastAsia" w:ascii="宋体" w:hAnsi="宋体" w:cs="宋体"/>
                <w:color w:val="000000"/>
                <w:kern w:val="0"/>
                <w:sz w:val="18"/>
                <w:szCs w:val="18"/>
                <w:lang w:val="en-US" w:eastAsia="zh-CN"/>
              </w:rPr>
              <w:t>5</w:t>
            </w:r>
            <w:r>
              <w:rPr>
                <w:rFonts w:hint="eastAsia" w:ascii="宋体" w:hAnsi="宋体" w:cs="宋体"/>
                <w:color w:val="000000"/>
                <w:kern w:val="0"/>
                <w:sz w:val="18"/>
                <w:szCs w:val="18"/>
              </w:rPr>
              <w:t>%扣</w:t>
            </w:r>
            <w:r>
              <w:rPr>
                <w:rFonts w:hint="eastAsia" w:ascii="宋体" w:hAnsi="宋体" w:cs="宋体"/>
                <w:color w:val="000000"/>
                <w:kern w:val="0"/>
                <w:sz w:val="18"/>
                <w:szCs w:val="18"/>
                <w:lang w:val="en-US" w:eastAsia="zh-CN"/>
              </w:rPr>
              <w:t>0.2分</w:t>
            </w:r>
            <w:r>
              <w:rPr>
                <w:rFonts w:hint="eastAsia" w:ascii="宋体" w:hAnsi="宋体" w:cs="宋体"/>
                <w:color w:val="000000"/>
                <w:kern w:val="0"/>
                <w:sz w:val="18"/>
                <w:szCs w:val="18"/>
              </w:rPr>
              <w:t>；预算执行率60%以下，不计分。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21BEC15F">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14:paraId="0462051A">
        <w:tblPrEx>
          <w:tblCellMar>
            <w:top w:w="0" w:type="dxa"/>
            <w:left w:w="108" w:type="dxa"/>
            <w:bottom w:w="0" w:type="dxa"/>
            <w:right w:w="108" w:type="dxa"/>
          </w:tblCellMar>
        </w:tblPrEx>
        <w:trPr>
          <w:trHeight w:val="97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3C112F7F">
            <w:pPr>
              <w:widowControl/>
              <w:jc w:val="left"/>
              <w:rPr>
                <w:rFonts w:ascii="宋体" w:hAnsi="宋体" w:cs="宋体"/>
                <w:color w:val="000000"/>
                <w:kern w:val="0"/>
                <w:sz w:val="18"/>
                <w:szCs w:val="18"/>
              </w:rPr>
            </w:pP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14:paraId="45B9875C">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2226C6FE">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78BF012D">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548286F0">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D09BA12">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79B2A4EA">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016EF95D">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64F4100D">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14:paraId="07475597">
        <w:tblPrEx>
          <w:tblCellMar>
            <w:top w:w="0" w:type="dxa"/>
            <w:left w:w="108" w:type="dxa"/>
            <w:bottom w:w="0" w:type="dxa"/>
            <w:right w:w="108" w:type="dxa"/>
          </w:tblCellMar>
        </w:tblPrEx>
        <w:trPr>
          <w:trHeight w:val="228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5B22C877">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4BDB2220">
            <w:pPr>
              <w:widowControl/>
              <w:jc w:val="left"/>
              <w:rPr>
                <w:rFonts w:ascii="宋体" w:hAnsi="宋体" w:cs="宋体"/>
                <w:color w:val="000000"/>
                <w:kern w:val="0"/>
                <w:sz w:val="18"/>
                <w:szCs w:val="18"/>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14:paraId="3487C514">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15343803">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00F0D7BC">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7746E1B2">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589419F9">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3" w:type="dxa"/>
            <w:tcBorders>
              <w:top w:val="single" w:color="auto" w:sz="4" w:space="0"/>
              <w:left w:val="single" w:color="auto" w:sz="4" w:space="0"/>
              <w:bottom w:val="single" w:color="auto" w:sz="4" w:space="0"/>
              <w:right w:val="single" w:color="auto" w:sz="4" w:space="0"/>
            </w:tcBorders>
            <w:noWrap w:val="0"/>
            <w:vAlign w:val="top"/>
          </w:tcPr>
          <w:p w14:paraId="548CD226">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2BD14176">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14:paraId="258ED008">
        <w:tblPrEx>
          <w:tblCellMar>
            <w:top w:w="0" w:type="dxa"/>
            <w:left w:w="108" w:type="dxa"/>
            <w:bottom w:w="0" w:type="dxa"/>
            <w:right w:w="108" w:type="dxa"/>
          </w:tblCellMar>
        </w:tblPrEx>
        <w:trPr>
          <w:trHeight w:val="75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14423E1C">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3C934554">
            <w:pPr>
              <w:widowControl/>
              <w:jc w:val="left"/>
              <w:rPr>
                <w:rFonts w:ascii="宋体" w:hAnsi="宋体" w:cs="宋体"/>
                <w:color w:val="000000"/>
                <w:kern w:val="0"/>
                <w:sz w:val="18"/>
                <w:szCs w:val="18"/>
              </w:rPr>
            </w:pP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14:paraId="716FEFF6">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672437D8">
            <w:pPr>
              <w:widowControl/>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3B8CAA14">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F04555E">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5FA8F411">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17587861">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773A288E">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14:paraId="44AB9ADF">
        <w:tblPrEx>
          <w:tblCellMar>
            <w:top w:w="0" w:type="dxa"/>
            <w:left w:w="108" w:type="dxa"/>
            <w:bottom w:w="0" w:type="dxa"/>
            <w:right w:w="108" w:type="dxa"/>
          </w:tblCellMar>
        </w:tblPrEx>
        <w:trPr>
          <w:trHeight w:val="75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32984CFC">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4333DED3">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14:paraId="631B7F43">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24B13124">
            <w:pPr>
              <w:widowControl/>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79A73E5D">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A8D1663">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2</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415B08F0">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4640A9A2">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5E05F099">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14:paraId="785FA184">
        <w:tblPrEx>
          <w:tblCellMar>
            <w:top w:w="0" w:type="dxa"/>
            <w:left w:w="108" w:type="dxa"/>
            <w:bottom w:w="0" w:type="dxa"/>
            <w:right w:w="108" w:type="dxa"/>
          </w:tblCellMar>
        </w:tblPrEx>
        <w:trPr>
          <w:trHeight w:val="120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39404FD0">
            <w:pPr>
              <w:widowControl/>
              <w:jc w:val="left"/>
              <w:rPr>
                <w:rFonts w:ascii="宋体" w:hAnsi="宋体" w:cs="宋体"/>
                <w:color w:val="000000"/>
                <w:kern w:val="0"/>
                <w:sz w:val="18"/>
                <w:szCs w:val="18"/>
              </w:rPr>
            </w:pP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14:paraId="638C2649">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14:paraId="30BC4D62">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0AAA7359">
            <w:pPr>
              <w:widowControl/>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7A5BFB97">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F13A83C">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053AB34C">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00015906">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1EAD7E42">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14:paraId="15A7E7E1">
        <w:tblPrEx>
          <w:tblCellMar>
            <w:top w:w="0" w:type="dxa"/>
            <w:left w:w="108" w:type="dxa"/>
            <w:bottom w:w="0" w:type="dxa"/>
            <w:right w:w="108" w:type="dxa"/>
          </w:tblCellMar>
        </w:tblPrEx>
        <w:trPr>
          <w:trHeight w:val="97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5115CDED">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2288F3F7">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14:paraId="2AA83687">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18B8EAB2">
            <w:pPr>
              <w:widowControl/>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1177FEDD">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42C494CA">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7B1E4AFC">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45537B51">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1FDF10AF">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14:paraId="48FC12A2">
        <w:tblPrEx>
          <w:tblCellMar>
            <w:top w:w="0" w:type="dxa"/>
            <w:left w:w="108" w:type="dxa"/>
            <w:bottom w:w="0" w:type="dxa"/>
            <w:right w:w="108" w:type="dxa"/>
          </w:tblCellMar>
        </w:tblPrEx>
        <w:trPr>
          <w:trHeight w:val="88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7680181A">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3059DD9E">
            <w:pPr>
              <w:widowControl/>
              <w:jc w:val="left"/>
              <w:rPr>
                <w:rFonts w:ascii="宋体" w:hAnsi="宋体" w:cs="宋体"/>
                <w:color w:val="000000"/>
                <w:kern w:val="0"/>
                <w:sz w:val="18"/>
                <w:szCs w:val="18"/>
              </w:rPr>
            </w:pP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14:paraId="2C5B5EF6">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03B0CB58">
            <w:pPr>
              <w:widowControl/>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7EF9EA21">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41623E35">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177FCC20">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7A431378">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7A2E5E2C">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14:paraId="6BAC0ED4">
        <w:tblPrEx>
          <w:tblCellMar>
            <w:top w:w="0" w:type="dxa"/>
            <w:left w:w="108" w:type="dxa"/>
            <w:bottom w:w="0" w:type="dxa"/>
            <w:right w:w="108" w:type="dxa"/>
          </w:tblCellMar>
        </w:tblPrEx>
        <w:trPr>
          <w:trHeight w:val="94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30F6D8DD">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1AA8745B">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14:paraId="08160CA9">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78E7CC0C">
            <w:pPr>
              <w:widowControl/>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61B3B2C0">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56B10529">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1</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360132EC">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56A37BE4">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59482C3F">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14:paraId="1B910320">
        <w:tblPrEx>
          <w:tblCellMar>
            <w:top w:w="0" w:type="dxa"/>
            <w:left w:w="108" w:type="dxa"/>
            <w:bottom w:w="0" w:type="dxa"/>
            <w:right w:w="108" w:type="dxa"/>
          </w:tblCellMar>
        </w:tblPrEx>
        <w:trPr>
          <w:trHeight w:val="88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5C80D7F7">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2326A40E">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14:paraId="62DA4A52">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2BF6A618">
            <w:pPr>
              <w:widowControl/>
              <w:jc w:val="left"/>
              <w:rPr>
                <w:rFonts w:ascii="宋体" w:hAnsi="宋体" w:cs="宋体"/>
                <w:color w:val="000000"/>
                <w:kern w:val="0"/>
                <w:sz w:val="18"/>
                <w:szCs w:val="18"/>
              </w:rPr>
            </w:pPr>
            <w:r>
              <w:rPr>
                <w:rFonts w:hint="eastAsia" w:ascii="宋体" w:hAnsi="宋体" w:cs="宋体"/>
                <w:color w:val="000000"/>
                <w:kern w:val="0"/>
                <w:sz w:val="18"/>
                <w:szCs w:val="18"/>
              </w:rPr>
              <w:t>B323.合同执行情况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1C2F774D">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2AF5BC76">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255A65A2">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1AC2437F">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5B5F598C">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14:paraId="63A3D82D">
        <w:tblPrEx>
          <w:tblCellMar>
            <w:top w:w="0" w:type="dxa"/>
            <w:left w:w="108" w:type="dxa"/>
            <w:bottom w:w="0" w:type="dxa"/>
            <w:right w:w="108" w:type="dxa"/>
          </w:tblCellMar>
        </w:tblPrEx>
        <w:trPr>
          <w:trHeight w:val="78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117EE5CB">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19C1FF0E">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14:paraId="25C391DA">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7809EA8C">
            <w:pPr>
              <w:widowControl/>
              <w:jc w:val="left"/>
              <w:rPr>
                <w:rFonts w:ascii="宋体" w:hAnsi="宋体" w:cs="宋体"/>
                <w:color w:val="000000"/>
                <w:kern w:val="0"/>
                <w:sz w:val="18"/>
                <w:szCs w:val="18"/>
              </w:rPr>
            </w:pPr>
            <w:r>
              <w:rPr>
                <w:rFonts w:hint="eastAsia" w:ascii="宋体" w:hAnsi="宋体" w:cs="宋体"/>
                <w:color w:val="000000"/>
                <w:kern w:val="0"/>
                <w:sz w:val="18"/>
                <w:szCs w:val="18"/>
              </w:rPr>
              <w:t>B324.台账记录规范性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3A7600C9">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4123AD00">
            <w:pPr>
              <w:widowControl/>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　</w:t>
            </w:r>
            <w:r>
              <w:rPr>
                <w:rFonts w:hint="eastAsia" w:ascii="宋体" w:hAnsi="宋体" w:cs="宋体"/>
                <w:color w:val="000000"/>
                <w:kern w:val="0"/>
                <w:sz w:val="18"/>
                <w:szCs w:val="18"/>
                <w:lang w:val="en-US" w:eastAsia="zh-CN"/>
              </w:rPr>
              <w:t>2</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361A76C1">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41EE7482">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469C41C3">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14:paraId="108BC174">
        <w:tblPrEx>
          <w:tblCellMar>
            <w:top w:w="0" w:type="dxa"/>
            <w:left w:w="108" w:type="dxa"/>
            <w:bottom w:w="0" w:type="dxa"/>
            <w:right w:w="108" w:type="dxa"/>
          </w:tblCellMar>
        </w:tblPrEx>
        <w:trPr>
          <w:trHeight w:val="54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62D99176">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0605EEE4">
            <w:pPr>
              <w:widowControl/>
              <w:jc w:val="left"/>
              <w:rPr>
                <w:rFonts w:ascii="宋体" w:hAnsi="宋体" w:cs="宋体"/>
                <w:color w:val="000000"/>
                <w:kern w:val="0"/>
                <w:sz w:val="18"/>
                <w:szCs w:val="18"/>
              </w:rPr>
            </w:pPr>
          </w:p>
        </w:tc>
        <w:tc>
          <w:tcPr>
            <w:tcW w:w="1143" w:type="dxa"/>
            <w:vMerge w:val="restart"/>
            <w:tcBorders>
              <w:top w:val="single" w:color="auto" w:sz="4" w:space="0"/>
              <w:left w:val="single" w:color="auto" w:sz="4" w:space="0"/>
              <w:bottom w:val="single" w:color="auto" w:sz="4" w:space="0"/>
              <w:right w:val="single" w:color="auto" w:sz="4" w:space="0"/>
            </w:tcBorders>
            <w:noWrap w:val="0"/>
            <w:vAlign w:val="center"/>
          </w:tcPr>
          <w:p w14:paraId="72E55196">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29BBD400">
            <w:pPr>
              <w:widowControl/>
              <w:jc w:val="left"/>
              <w:rPr>
                <w:rFonts w:ascii="宋体" w:hAnsi="宋体" w:cs="宋体"/>
                <w:color w:val="000000"/>
                <w:kern w:val="0"/>
                <w:sz w:val="18"/>
                <w:szCs w:val="18"/>
              </w:rPr>
            </w:pPr>
            <w:r>
              <w:rPr>
                <w:rFonts w:hint="eastAsia" w:ascii="宋体" w:hAnsi="宋体" w:cs="宋体"/>
                <w:color w:val="000000"/>
                <w:kern w:val="0"/>
                <w:sz w:val="18"/>
                <w:szCs w:val="18"/>
              </w:rPr>
              <w:t>B331.采购方式合规性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49F3FDC8">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40E24AA">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11ADCBC1">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11C18DCD">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6125FB11">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14:paraId="794F6016">
        <w:tblPrEx>
          <w:tblCellMar>
            <w:top w:w="0" w:type="dxa"/>
            <w:left w:w="108" w:type="dxa"/>
            <w:bottom w:w="0" w:type="dxa"/>
            <w:right w:w="108" w:type="dxa"/>
          </w:tblCellMar>
        </w:tblPrEx>
        <w:trPr>
          <w:trHeight w:val="54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76E9EE9D">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4DB7D4EC">
            <w:pPr>
              <w:widowControl/>
              <w:jc w:val="left"/>
              <w:rPr>
                <w:rFonts w:ascii="宋体" w:hAnsi="宋体" w:cs="宋体"/>
                <w:color w:val="000000"/>
                <w:kern w:val="0"/>
                <w:sz w:val="18"/>
                <w:szCs w:val="18"/>
              </w:rPr>
            </w:pPr>
          </w:p>
        </w:tc>
        <w:tc>
          <w:tcPr>
            <w:tcW w:w="1143" w:type="dxa"/>
            <w:vMerge w:val="continue"/>
            <w:tcBorders>
              <w:top w:val="single" w:color="auto" w:sz="4" w:space="0"/>
              <w:left w:val="single" w:color="auto" w:sz="4" w:space="0"/>
              <w:bottom w:val="single" w:color="auto" w:sz="4" w:space="0"/>
              <w:right w:val="single" w:color="auto" w:sz="4" w:space="0"/>
            </w:tcBorders>
            <w:noWrap w:val="0"/>
            <w:vAlign w:val="center"/>
          </w:tcPr>
          <w:p w14:paraId="0F6E6FB8">
            <w:pPr>
              <w:widowControl/>
              <w:jc w:val="left"/>
              <w:rPr>
                <w:rFonts w:ascii="宋体" w:hAnsi="宋体" w:cs="宋体"/>
                <w:color w:val="000000"/>
                <w:kern w:val="0"/>
                <w:sz w:val="18"/>
                <w:szCs w:val="18"/>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43BC713F">
            <w:pPr>
              <w:widowControl/>
              <w:jc w:val="left"/>
              <w:rPr>
                <w:rFonts w:ascii="宋体" w:hAnsi="宋体" w:cs="宋体"/>
                <w:color w:val="000000"/>
                <w:kern w:val="0"/>
                <w:sz w:val="18"/>
                <w:szCs w:val="18"/>
              </w:rPr>
            </w:pPr>
            <w:r>
              <w:rPr>
                <w:rFonts w:hint="eastAsia" w:ascii="宋体" w:hAnsi="宋体" w:cs="宋体"/>
                <w:color w:val="000000"/>
                <w:kern w:val="0"/>
                <w:sz w:val="18"/>
                <w:szCs w:val="18"/>
              </w:rPr>
              <w:t>B332.采购流程规范性</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6F882A9B">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631E2828">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596AC700">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572AB8C1">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5136DC2D">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14:paraId="640A146A">
        <w:tblPrEx>
          <w:tblCellMar>
            <w:top w:w="0" w:type="dxa"/>
            <w:left w:w="108" w:type="dxa"/>
            <w:bottom w:w="0" w:type="dxa"/>
            <w:right w:w="108" w:type="dxa"/>
          </w:tblCellMar>
        </w:tblPrEx>
        <w:trPr>
          <w:trHeight w:val="1200" w:hRule="atLeast"/>
        </w:trPr>
        <w:tc>
          <w:tcPr>
            <w:tcW w:w="846" w:type="dxa"/>
            <w:vMerge w:val="restart"/>
            <w:tcBorders>
              <w:top w:val="single" w:color="auto" w:sz="4" w:space="0"/>
              <w:left w:val="single" w:color="auto" w:sz="4" w:space="0"/>
              <w:bottom w:val="single" w:color="auto" w:sz="4" w:space="0"/>
              <w:right w:val="single" w:color="auto" w:sz="4" w:space="0"/>
            </w:tcBorders>
            <w:noWrap w:val="0"/>
            <w:vAlign w:val="center"/>
          </w:tcPr>
          <w:p w14:paraId="5A100992">
            <w:pPr>
              <w:widowControl/>
              <w:jc w:val="center"/>
              <w:rPr>
                <w:rFonts w:ascii="宋体" w:hAnsi="宋体" w:cs="宋体"/>
                <w:color w:val="000000"/>
                <w:kern w:val="0"/>
                <w:sz w:val="18"/>
                <w:szCs w:val="18"/>
              </w:rPr>
            </w:pPr>
            <w:r>
              <w:rPr>
                <w:rFonts w:hint="eastAsia" w:ascii="宋体" w:hAnsi="宋体" w:cs="宋体"/>
                <w:color w:val="000000"/>
                <w:kern w:val="0"/>
                <w:sz w:val="18"/>
                <w:szCs w:val="18"/>
              </w:rPr>
              <w:t>C.项目绩效（60%）</w:t>
            </w: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14:paraId="4FA6871B">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4C33EA17">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c11.项目完成情况</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3050C92D">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C111.</w:t>
            </w:r>
            <w:r>
              <w:rPr>
                <w:rFonts w:hint="eastAsia" w:ascii="宋体" w:hAnsi="宋体" w:cs="宋体"/>
                <w:color w:val="000000"/>
                <w:kern w:val="0"/>
                <w:sz w:val="18"/>
                <w:szCs w:val="18"/>
                <w:lang w:eastAsia="zh-CN"/>
              </w:rPr>
              <w:t>业务补助项目完成情况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4F5BA996">
            <w:pPr>
              <w:widowControl/>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E2D6AD0">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11</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3E093606">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我单位对所管理的食堂的服务情况。</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726C993F">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全部及时支付得满分，未及时支付</w:t>
            </w:r>
            <w:r>
              <w:rPr>
                <w:rFonts w:hint="eastAsia" w:ascii="宋体" w:hAnsi="宋体" w:cs="宋体"/>
                <w:color w:val="000000"/>
                <w:kern w:val="0"/>
                <w:sz w:val="18"/>
                <w:szCs w:val="18"/>
                <w:lang w:val="en-US" w:eastAsia="zh-CN"/>
              </w:rPr>
              <w:t>1次扣2分，扣完为止</w:t>
            </w:r>
            <w:r>
              <w:rPr>
                <w:rFonts w:hint="eastAsia" w:ascii="宋体" w:hAnsi="宋体" w:cs="宋体"/>
                <w:color w:val="000000"/>
                <w:kern w:val="0"/>
                <w:sz w:val="18"/>
                <w:szCs w:val="18"/>
              </w:rPr>
              <w:t>。</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1E235289">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业务补助支付情况</w:t>
            </w:r>
          </w:p>
        </w:tc>
      </w:tr>
      <w:tr w14:paraId="2D810EDD">
        <w:tblPrEx>
          <w:tblCellMar>
            <w:top w:w="0" w:type="dxa"/>
            <w:left w:w="108" w:type="dxa"/>
            <w:bottom w:w="0" w:type="dxa"/>
            <w:right w:w="108" w:type="dxa"/>
          </w:tblCellMar>
        </w:tblPrEx>
        <w:trPr>
          <w:trHeight w:val="780"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09125E96">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7AE1D4B8">
            <w:pPr>
              <w:widowControl/>
              <w:jc w:val="left"/>
              <w:rPr>
                <w:rFonts w:ascii="宋体" w:hAnsi="宋体" w:cs="宋体"/>
                <w:color w:val="000000"/>
                <w:kern w:val="0"/>
                <w:sz w:val="18"/>
                <w:szCs w:val="18"/>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14:paraId="402A6604">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C12.节约成本情况</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67D90172">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C121.节约成本</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52A76A37">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3BDBB139">
            <w:pPr>
              <w:widowControl/>
              <w:jc w:val="center"/>
              <w:rPr>
                <w:rFonts w:hint="default" w:ascii="宋体" w:hAnsi="宋体" w:cs="宋体"/>
                <w:color w:val="000000"/>
                <w:kern w:val="0"/>
                <w:sz w:val="18"/>
                <w:szCs w:val="18"/>
                <w:lang w:val="en-US" w:eastAsia="zh-CN"/>
              </w:rPr>
            </w:pPr>
            <w:r>
              <w:rPr>
                <w:rFonts w:hint="eastAsia" w:ascii="宋体" w:hAnsi="宋体" w:cs="宋体"/>
                <w:color w:val="000000"/>
                <w:kern w:val="0"/>
                <w:sz w:val="18"/>
                <w:szCs w:val="18"/>
                <w:lang w:val="en-US" w:eastAsia="zh-CN"/>
              </w:rPr>
              <w:t>15</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18D2D8E1">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考察我单位资金使用是否在预算批复范围内。</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44ECED20">
            <w:pPr>
              <w:widowControl/>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eastAsia="zh-CN"/>
              </w:rPr>
              <w:t>在预算批复范围内，得满分，每超过</w:t>
            </w:r>
            <w:r>
              <w:rPr>
                <w:rFonts w:hint="eastAsia" w:ascii="宋体" w:hAnsi="宋体" w:cs="宋体"/>
                <w:color w:val="000000"/>
                <w:kern w:val="0"/>
                <w:sz w:val="18"/>
                <w:szCs w:val="18"/>
                <w:lang w:val="en-US" w:eastAsia="zh-CN"/>
              </w:rPr>
              <w:t>1万元扣1分，扣完为止。</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9C237F7">
            <w:pPr>
              <w:widowControl/>
              <w:jc w:val="left"/>
              <w:rPr>
                <w:rFonts w:hint="eastAsia" w:ascii="宋体" w:hAnsi="宋体" w:cs="宋体"/>
                <w:color w:val="000000"/>
                <w:kern w:val="0"/>
                <w:sz w:val="18"/>
                <w:szCs w:val="18"/>
                <w:lang w:eastAsia="zh-CN"/>
              </w:rPr>
            </w:pPr>
            <w:r>
              <w:rPr>
                <w:rFonts w:hint="eastAsia" w:ascii="宋体" w:hAnsi="宋体" w:cs="宋体"/>
                <w:color w:val="000000"/>
                <w:kern w:val="0"/>
                <w:sz w:val="18"/>
                <w:szCs w:val="18"/>
                <w:lang w:eastAsia="zh-CN"/>
              </w:rPr>
              <w:t>成本控制</w:t>
            </w:r>
          </w:p>
        </w:tc>
      </w:tr>
      <w:tr w14:paraId="38ABA357">
        <w:tblPrEx>
          <w:tblCellMar>
            <w:top w:w="0" w:type="dxa"/>
            <w:left w:w="108" w:type="dxa"/>
            <w:bottom w:w="0" w:type="dxa"/>
            <w:right w:w="108" w:type="dxa"/>
          </w:tblCellMar>
        </w:tblPrEx>
        <w:trPr>
          <w:trHeight w:val="271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49F6C713">
            <w:pPr>
              <w:widowControl/>
              <w:jc w:val="left"/>
              <w:rPr>
                <w:rFonts w:ascii="宋体" w:hAnsi="宋体" w:cs="宋体"/>
                <w:color w:val="000000"/>
                <w:kern w:val="0"/>
                <w:sz w:val="18"/>
                <w:szCs w:val="18"/>
              </w:rPr>
            </w:pPr>
          </w:p>
        </w:tc>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14:paraId="6B445935">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C2.项目效益（30%）</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04822E35">
            <w:pPr>
              <w:widowControl/>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13EFC28C">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rPr>
              <w:t>C211.</w:t>
            </w:r>
            <w:r>
              <w:rPr>
                <w:rFonts w:hint="eastAsia" w:ascii="宋体" w:hAnsi="宋体" w:cs="宋体"/>
                <w:color w:val="000000"/>
                <w:kern w:val="0"/>
                <w:sz w:val="18"/>
                <w:szCs w:val="18"/>
                <w:lang w:eastAsia="zh-CN"/>
              </w:rPr>
              <w:t>提供就业岗位</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6FF5DFFD">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7FE0A141">
            <w:pPr>
              <w:widowControl/>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13</w:t>
            </w:r>
            <w:r>
              <w:rPr>
                <w:rFonts w:hint="eastAsia" w:ascii="宋体" w:hAnsi="宋体" w:cs="宋体"/>
                <w:color w:val="000000"/>
                <w:kern w:val="0"/>
                <w:sz w:val="18"/>
                <w:szCs w:val="18"/>
              </w:rPr>
              <w:t>　</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7C2EF18F">
            <w:pPr>
              <w:widowControl/>
              <w:jc w:val="left"/>
              <w:rPr>
                <w:rFonts w:ascii="宋体" w:hAnsi="宋体" w:cs="宋体"/>
                <w:color w:val="000000"/>
                <w:kern w:val="0"/>
                <w:sz w:val="18"/>
                <w:szCs w:val="18"/>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我单位为促进就业提供的劳动岗位</w:t>
            </w:r>
            <w:r>
              <w:rPr>
                <w:rFonts w:hint="eastAsia" w:ascii="宋体" w:hAnsi="宋体" w:cs="宋体"/>
                <w:color w:val="000000"/>
                <w:kern w:val="0"/>
                <w:sz w:val="18"/>
                <w:szCs w:val="18"/>
              </w:rPr>
              <w:t>。</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109B5FB2">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提供就业岗位得满分</w:t>
            </w:r>
            <w:r>
              <w:rPr>
                <w:rFonts w:hint="eastAsia" w:ascii="宋体" w:hAnsi="宋体" w:cs="宋体"/>
                <w:color w:val="000000"/>
                <w:kern w:val="0"/>
                <w:sz w:val="18"/>
                <w:szCs w:val="18"/>
              </w:rPr>
              <w:t>。</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56073BD0">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提供岗位情况</w:t>
            </w:r>
          </w:p>
        </w:tc>
      </w:tr>
      <w:tr w14:paraId="4346BD77">
        <w:tblPrEx>
          <w:tblCellMar>
            <w:top w:w="0" w:type="dxa"/>
            <w:left w:w="108" w:type="dxa"/>
            <w:bottom w:w="0" w:type="dxa"/>
            <w:right w:w="108" w:type="dxa"/>
          </w:tblCellMar>
        </w:tblPrEx>
        <w:trPr>
          <w:trHeight w:val="2325" w:hRule="atLeast"/>
        </w:trPr>
        <w:tc>
          <w:tcPr>
            <w:tcW w:w="846" w:type="dxa"/>
            <w:vMerge w:val="continue"/>
            <w:tcBorders>
              <w:top w:val="single" w:color="auto" w:sz="4" w:space="0"/>
              <w:left w:val="single" w:color="auto" w:sz="4" w:space="0"/>
              <w:bottom w:val="single" w:color="auto" w:sz="4" w:space="0"/>
              <w:right w:val="single" w:color="auto" w:sz="4" w:space="0"/>
            </w:tcBorders>
            <w:noWrap w:val="0"/>
            <w:vAlign w:val="center"/>
          </w:tcPr>
          <w:p w14:paraId="0D645375">
            <w:pPr>
              <w:widowControl/>
              <w:jc w:val="left"/>
              <w:rPr>
                <w:rFonts w:ascii="宋体" w:hAnsi="宋体" w:cs="宋体"/>
                <w:color w:val="000000"/>
                <w:kern w:val="0"/>
                <w:sz w:val="18"/>
                <w:szCs w:val="18"/>
              </w:rPr>
            </w:pPr>
          </w:p>
        </w:tc>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73CA0556">
            <w:pPr>
              <w:widowControl/>
              <w:jc w:val="left"/>
              <w:rPr>
                <w:rFonts w:ascii="宋体" w:hAnsi="宋体" w:cs="宋体"/>
                <w:color w:val="000000"/>
                <w:kern w:val="0"/>
                <w:sz w:val="18"/>
                <w:szCs w:val="18"/>
              </w:rPr>
            </w:pPr>
          </w:p>
        </w:tc>
        <w:tc>
          <w:tcPr>
            <w:tcW w:w="1143" w:type="dxa"/>
            <w:tcBorders>
              <w:top w:val="single" w:color="auto" w:sz="4" w:space="0"/>
              <w:left w:val="single" w:color="auto" w:sz="4" w:space="0"/>
              <w:bottom w:val="single" w:color="auto" w:sz="4" w:space="0"/>
              <w:right w:val="single" w:color="auto" w:sz="4" w:space="0"/>
            </w:tcBorders>
            <w:noWrap w:val="0"/>
            <w:vAlign w:val="center"/>
          </w:tcPr>
          <w:p w14:paraId="76CB7145">
            <w:pPr>
              <w:widowControl/>
              <w:jc w:val="left"/>
              <w:rPr>
                <w:rFonts w:ascii="宋体" w:hAnsi="宋体" w:cs="宋体"/>
                <w:color w:val="000000"/>
                <w:kern w:val="0"/>
                <w:sz w:val="18"/>
                <w:szCs w:val="18"/>
              </w:rPr>
            </w:pPr>
            <w:r>
              <w:rPr>
                <w:rFonts w:hint="eastAsia" w:ascii="宋体" w:hAnsi="宋体" w:cs="宋体"/>
                <w:color w:val="000000"/>
                <w:kern w:val="0"/>
                <w:sz w:val="18"/>
                <w:szCs w:val="18"/>
              </w:rPr>
              <w:t>C22.生态效益</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72759D0F">
            <w:pPr>
              <w:widowControl/>
              <w:jc w:val="left"/>
              <w:rPr>
                <w:rFonts w:ascii="宋体" w:hAnsi="宋体" w:cs="宋体"/>
                <w:color w:val="000000"/>
                <w:kern w:val="0"/>
                <w:sz w:val="18"/>
                <w:szCs w:val="18"/>
              </w:rPr>
            </w:pPr>
            <w:r>
              <w:rPr>
                <w:rFonts w:hint="eastAsia" w:ascii="宋体" w:hAnsi="宋体" w:cs="宋体"/>
                <w:color w:val="000000"/>
                <w:kern w:val="0"/>
                <w:sz w:val="18"/>
                <w:szCs w:val="18"/>
              </w:rPr>
              <w:t>C221.</w:t>
            </w:r>
            <w:r>
              <w:rPr>
                <w:rFonts w:hint="eastAsia" w:ascii="宋体" w:hAnsi="宋体" w:cs="宋体"/>
                <w:color w:val="000000"/>
                <w:kern w:val="0"/>
                <w:sz w:val="18"/>
                <w:szCs w:val="18"/>
                <w:lang w:eastAsia="zh-CN"/>
              </w:rPr>
              <w:t>保障良好的工作、生活环境情况</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6C526DAB">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41B4BD09">
            <w:pPr>
              <w:widowControl/>
              <w:jc w:val="center"/>
              <w:rPr>
                <w:rFonts w:hint="default" w:ascii="宋体" w:hAnsi="宋体" w:cs="宋体"/>
                <w:color w:val="000000"/>
                <w:kern w:val="0"/>
                <w:sz w:val="18"/>
                <w:szCs w:val="18"/>
                <w:lang w:val="en-US"/>
              </w:rPr>
            </w:pPr>
            <w:r>
              <w:rPr>
                <w:rFonts w:hint="eastAsia" w:ascii="宋体" w:hAnsi="宋体" w:cs="宋体"/>
                <w:color w:val="000000"/>
                <w:kern w:val="0"/>
                <w:sz w:val="18"/>
                <w:szCs w:val="18"/>
                <w:lang w:val="en-US" w:eastAsia="zh-CN"/>
              </w:rPr>
              <w:t>14</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5FFA6BCB">
            <w:pPr>
              <w:widowControl/>
              <w:jc w:val="left"/>
              <w:rPr>
                <w:rFonts w:hint="default" w:ascii="宋体" w:hAnsi="宋体" w:cs="宋体"/>
                <w:color w:val="000000"/>
                <w:kern w:val="0"/>
                <w:sz w:val="18"/>
                <w:szCs w:val="18"/>
                <w:lang w:val="en-US"/>
              </w:rPr>
            </w:pPr>
            <w:r>
              <w:rPr>
                <w:rFonts w:hint="eastAsia" w:ascii="宋体" w:hAnsi="宋体" w:cs="宋体"/>
                <w:color w:val="000000"/>
                <w:kern w:val="0"/>
                <w:sz w:val="18"/>
                <w:szCs w:val="18"/>
              </w:rPr>
              <w:t>考察</w:t>
            </w:r>
            <w:r>
              <w:rPr>
                <w:rFonts w:hint="eastAsia" w:ascii="宋体" w:hAnsi="宋体" w:cs="宋体"/>
                <w:color w:val="000000"/>
                <w:kern w:val="0"/>
                <w:sz w:val="18"/>
                <w:szCs w:val="18"/>
                <w:lang w:eastAsia="zh-CN"/>
              </w:rPr>
              <w:t>我单位职工对食堂服务的满意度。</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15BD3C71">
            <w:pPr>
              <w:widowControl/>
              <w:jc w:val="left"/>
              <w:rPr>
                <w:rFonts w:ascii="宋体" w:hAnsi="宋体" w:cs="宋体"/>
                <w:color w:val="000000"/>
                <w:kern w:val="0"/>
                <w:sz w:val="18"/>
                <w:szCs w:val="18"/>
              </w:rPr>
            </w:pPr>
            <w:r>
              <w:rPr>
                <w:rFonts w:hint="eastAsia" w:ascii="宋体" w:hAnsi="宋体" w:cs="宋体"/>
                <w:color w:val="000000"/>
                <w:kern w:val="0"/>
                <w:sz w:val="18"/>
                <w:szCs w:val="18"/>
                <w:lang w:eastAsia="zh-CN"/>
              </w:rPr>
              <w:t>高于</w:t>
            </w:r>
            <w:r>
              <w:rPr>
                <w:rFonts w:hint="eastAsia" w:ascii="宋体" w:hAnsi="宋体" w:cs="宋体"/>
                <w:color w:val="000000"/>
                <w:kern w:val="0"/>
                <w:sz w:val="18"/>
                <w:szCs w:val="18"/>
                <w:lang w:val="en-US" w:eastAsia="zh-CN"/>
              </w:rPr>
              <w:t>95%</w:t>
            </w:r>
            <w:r>
              <w:rPr>
                <w:rFonts w:hint="eastAsia" w:ascii="宋体" w:hAnsi="宋体" w:cs="宋体"/>
                <w:color w:val="000000"/>
                <w:kern w:val="0"/>
                <w:sz w:val="18"/>
                <w:szCs w:val="18"/>
              </w:rPr>
              <w:t>，得满分；每</w:t>
            </w:r>
            <w:r>
              <w:rPr>
                <w:rFonts w:hint="eastAsia" w:ascii="宋体" w:hAnsi="宋体" w:cs="宋体"/>
                <w:color w:val="000000"/>
                <w:kern w:val="0"/>
                <w:sz w:val="18"/>
                <w:szCs w:val="18"/>
                <w:lang w:eastAsia="zh-CN"/>
              </w:rPr>
              <w:t>降低</w:t>
            </w:r>
            <w:r>
              <w:rPr>
                <w:rFonts w:hint="eastAsia" w:ascii="宋体" w:hAnsi="宋体" w:cs="宋体"/>
                <w:color w:val="000000"/>
                <w:kern w:val="0"/>
                <w:sz w:val="18"/>
                <w:szCs w:val="18"/>
                <w:lang w:val="en-US" w:eastAsia="zh-CN"/>
              </w:rPr>
              <w:t>1%扣减1分，扣完为止</w:t>
            </w:r>
            <w:r>
              <w:rPr>
                <w:rFonts w:hint="eastAsia" w:ascii="宋体" w:hAnsi="宋体" w:cs="宋体"/>
                <w:color w:val="000000"/>
                <w:kern w:val="0"/>
                <w:sz w:val="18"/>
                <w:szCs w:val="18"/>
              </w:rPr>
              <w:t>。</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02E71F8E">
            <w:pPr>
              <w:widowControl/>
              <w:jc w:val="left"/>
              <w:rPr>
                <w:rFonts w:hint="eastAsia" w:ascii="宋体" w:hAnsi="宋体" w:eastAsia="宋体" w:cs="宋体"/>
                <w:color w:val="000000"/>
                <w:kern w:val="0"/>
                <w:sz w:val="18"/>
                <w:szCs w:val="18"/>
                <w:lang w:eastAsia="zh-CN"/>
              </w:rPr>
            </w:pPr>
            <w:r>
              <w:rPr>
                <w:rFonts w:hint="eastAsia" w:ascii="宋体" w:hAnsi="宋体" w:cs="宋体"/>
                <w:color w:val="000000"/>
                <w:kern w:val="0"/>
                <w:sz w:val="18"/>
                <w:szCs w:val="18"/>
                <w:lang w:eastAsia="zh-CN"/>
              </w:rPr>
              <w:t>单位、社会人员满意度</w:t>
            </w:r>
          </w:p>
        </w:tc>
      </w:tr>
      <w:tr w14:paraId="020A7B5C">
        <w:tblPrEx>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noWrap w:val="0"/>
            <w:vAlign w:val="center"/>
          </w:tcPr>
          <w:p w14:paraId="2BCDCDBD">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0" w:type="dxa"/>
            <w:tcBorders>
              <w:top w:val="single" w:color="auto" w:sz="4" w:space="0"/>
              <w:left w:val="single" w:color="auto" w:sz="4" w:space="0"/>
              <w:bottom w:val="single" w:color="auto" w:sz="4" w:space="0"/>
              <w:right w:val="single" w:color="auto" w:sz="4" w:space="0"/>
            </w:tcBorders>
            <w:noWrap w:val="0"/>
            <w:vAlign w:val="center"/>
          </w:tcPr>
          <w:p w14:paraId="4A449CDD">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4C1AFE3A">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091" w:type="dxa"/>
            <w:tcBorders>
              <w:top w:val="single" w:color="auto" w:sz="4" w:space="0"/>
              <w:left w:val="single" w:color="auto" w:sz="4" w:space="0"/>
              <w:bottom w:val="single" w:color="auto" w:sz="4" w:space="0"/>
              <w:right w:val="single" w:color="auto" w:sz="4" w:space="0"/>
            </w:tcBorders>
            <w:noWrap w:val="0"/>
            <w:vAlign w:val="center"/>
          </w:tcPr>
          <w:p w14:paraId="523ADC1A">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19C71FD2">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570" w:type="dxa"/>
            <w:tcBorders>
              <w:top w:val="single" w:color="auto" w:sz="4" w:space="0"/>
              <w:left w:val="single" w:color="auto" w:sz="4" w:space="0"/>
              <w:bottom w:val="single" w:color="auto" w:sz="4" w:space="0"/>
              <w:right w:val="single" w:color="auto" w:sz="4" w:space="0"/>
            </w:tcBorders>
            <w:noWrap w:val="0"/>
            <w:vAlign w:val="center"/>
          </w:tcPr>
          <w:p w14:paraId="7A678494">
            <w:pPr>
              <w:widowControl/>
              <w:jc w:val="left"/>
              <w:rPr>
                <w:rFonts w:hint="default" w:ascii="宋体" w:hAnsi="宋体" w:eastAsia="宋体" w:cs="宋体"/>
                <w:b/>
                <w:bCs/>
                <w:color w:val="000000"/>
                <w:kern w:val="0"/>
                <w:sz w:val="18"/>
                <w:szCs w:val="18"/>
                <w:lang w:val="en-US" w:eastAsia="zh-CN"/>
              </w:rPr>
            </w:pPr>
            <w:r>
              <w:rPr>
                <w:rFonts w:hint="eastAsia" w:ascii="宋体" w:hAnsi="宋体" w:cs="宋体"/>
                <w:b/>
                <w:bCs/>
                <w:color w:val="000000"/>
                <w:kern w:val="0"/>
                <w:sz w:val="18"/>
                <w:szCs w:val="18"/>
              </w:rPr>
              <w:t>　</w:t>
            </w:r>
            <w:r>
              <w:rPr>
                <w:rFonts w:hint="eastAsia" w:ascii="宋体" w:hAnsi="宋体" w:cs="宋体"/>
                <w:b/>
                <w:bCs/>
                <w:color w:val="000000"/>
                <w:kern w:val="0"/>
                <w:sz w:val="18"/>
                <w:szCs w:val="18"/>
                <w:lang w:val="en-US" w:eastAsia="zh-CN"/>
              </w:rPr>
              <w:t>92</w:t>
            </w:r>
          </w:p>
        </w:tc>
        <w:tc>
          <w:tcPr>
            <w:tcW w:w="2103" w:type="dxa"/>
            <w:tcBorders>
              <w:top w:val="single" w:color="auto" w:sz="4" w:space="0"/>
              <w:left w:val="single" w:color="auto" w:sz="4" w:space="0"/>
              <w:bottom w:val="single" w:color="auto" w:sz="4" w:space="0"/>
              <w:right w:val="single" w:color="auto" w:sz="4" w:space="0"/>
            </w:tcBorders>
            <w:noWrap w:val="0"/>
            <w:vAlign w:val="center"/>
          </w:tcPr>
          <w:p w14:paraId="30CF9784">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3" w:type="dxa"/>
            <w:tcBorders>
              <w:top w:val="single" w:color="auto" w:sz="4" w:space="0"/>
              <w:left w:val="single" w:color="auto" w:sz="4" w:space="0"/>
              <w:bottom w:val="single" w:color="auto" w:sz="4" w:space="0"/>
              <w:right w:val="single" w:color="auto" w:sz="4" w:space="0"/>
            </w:tcBorders>
            <w:noWrap w:val="0"/>
            <w:vAlign w:val="center"/>
          </w:tcPr>
          <w:p w14:paraId="7288B131">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F2F734A">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14:paraId="0556559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ZTE2NGFjYmU3ODUwM2I0NWMwOWQ5ODI3YjQwMjcifQ=="/>
  </w:docVars>
  <w:rsids>
    <w:rsidRoot w:val="00000000"/>
    <w:rsid w:val="04C919A8"/>
    <w:rsid w:val="0C281A59"/>
    <w:rsid w:val="1CAC783D"/>
    <w:rsid w:val="20B73FDB"/>
    <w:rsid w:val="21E977C7"/>
    <w:rsid w:val="239A25FB"/>
    <w:rsid w:val="2C817482"/>
    <w:rsid w:val="350C1885"/>
    <w:rsid w:val="3A6D7C8F"/>
    <w:rsid w:val="54D70740"/>
    <w:rsid w:val="5E785B2F"/>
    <w:rsid w:val="78DF5F8F"/>
    <w:rsid w:val="7CAC3E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6">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5364</Words>
  <Characters>5628</Characters>
  <Lines>0</Lines>
  <Paragraphs>0</Paragraphs>
  <TotalTime>48</TotalTime>
  <ScaleCrop>false</ScaleCrop>
  <LinksUpToDate>false</LinksUpToDate>
  <CharactersWithSpaces>5697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2023-04-18T06:55:00Z</dcterms:created>
  <dc:creator>Administrator</dc:creator>
  <cp:lastModifiedBy>听潮</cp:lastModifiedBy>
  <cp:lastPrinted>2023-04-25T03:22:00Z</cp:lastPrinted>
  <dcterms:modified xsi:type="dcterms:W3CDTF">2024-12-04T09:37:29Z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7BE27FD0B2964BAFA770580D669CDF6E_12</vt:lpwstr>
  </property>
</Properties>
</file>