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E3AA2E">
      <w:pPr>
        <w:rPr>
          <w:rFonts w:eastAsia="仿宋_GB2312"/>
          <w:color w:val="auto"/>
          <w:sz w:val="36"/>
          <w:szCs w:val="36"/>
        </w:rPr>
      </w:pPr>
    </w:p>
    <w:p w14:paraId="17ACDFB8">
      <w:pPr>
        <w:adjustRightInd w:val="0"/>
        <w:snapToGrid w:val="0"/>
        <w:jc w:val="center"/>
        <w:outlineLvl w:val="0"/>
        <w:rPr>
          <w:rFonts w:eastAsia="方正小标宋_GBK"/>
          <w:bCs/>
          <w:color w:val="auto"/>
          <w:sz w:val="72"/>
          <w:szCs w:val="72"/>
        </w:rPr>
      </w:pPr>
      <w:r>
        <w:rPr>
          <w:rFonts w:eastAsia="方正小标宋_GBK"/>
          <w:bCs/>
          <w:color w:val="auto"/>
          <w:sz w:val="72"/>
          <w:szCs w:val="72"/>
        </w:rPr>
        <w:t>建设项目环境影响报告表</w:t>
      </w:r>
    </w:p>
    <w:p w14:paraId="79655DE2">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14:paraId="0832E003">
      <w:pPr>
        <w:jc w:val="center"/>
        <w:rPr>
          <w:rFonts w:eastAsia="华文仿宋"/>
          <w:color w:val="auto"/>
          <w:kern w:val="44"/>
          <w:sz w:val="44"/>
          <w:szCs w:val="44"/>
        </w:rPr>
      </w:pPr>
    </w:p>
    <w:p w14:paraId="60383A65">
      <w:pPr>
        <w:jc w:val="center"/>
        <w:rPr>
          <w:rFonts w:eastAsia="仿宋"/>
          <w:color w:val="auto"/>
          <w:sz w:val="52"/>
          <w:szCs w:val="52"/>
        </w:rPr>
      </w:pPr>
    </w:p>
    <w:p w14:paraId="4A3AABF1">
      <w:pPr>
        <w:ind w:firstLine="1040"/>
        <w:rPr>
          <w:rFonts w:eastAsia="仿宋"/>
          <w:color w:val="auto"/>
          <w:sz w:val="44"/>
          <w:szCs w:val="44"/>
        </w:rPr>
      </w:pPr>
    </w:p>
    <w:p w14:paraId="3E0C0EB8">
      <w:pPr>
        <w:ind w:firstLine="1040"/>
        <w:rPr>
          <w:rFonts w:eastAsia="仿宋"/>
          <w:color w:val="auto"/>
          <w:sz w:val="44"/>
          <w:szCs w:val="44"/>
        </w:rPr>
      </w:pPr>
    </w:p>
    <w:p w14:paraId="68BD7DFB">
      <w:pPr>
        <w:ind w:firstLine="1040"/>
        <w:rPr>
          <w:rFonts w:eastAsia="仿宋"/>
          <w:color w:val="auto"/>
          <w:sz w:val="44"/>
          <w:szCs w:val="44"/>
        </w:rPr>
      </w:pPr>
    </w:p>
    <w:p w14:paraId="3967127A">
      <w:pPr>
        <w:ind w:firstLine="1040"/>
        <w:rPr>
          <w:rFonts w:eastAsia="仿宋"/>
          <w:color w:val="auto"/>
          <w:sz w:val="44"/>
          <w:szCs w:val="44"/>
        </w:rPr>
      </w:pPr>
    </w:p>
    <w:p w14:paraId="32E89F23">
      <w:pPr>
        <w:adjustRightInd w:val="0"/>
        <w:snapToGrid w:val="0"/>
        <w:spacing w:line="288" w:lineRule="auto"/>
        <w:ind w:firstLine="1040"/>
        <w:jc w:val="center"/>
        <w:rPr>
          <w:rFonts w:eastAsia="仿宋_GB2312"/>
          <w:color w:val="auto"/>
          <w:spacing w:val="-14"/>
          <w:sz w:val="36"/>
          <w:szCs w:val="36"/>
          <w:u w:val="single"/>
        </w:rPr>
      </w:pPr>
      <w:r>
        <w:rPr>
          <w:rFonts w:eastAsia="仿宋_GB2312"/>
          <w:color w:val="auto"/>
          <w:spacing w:val="-14"/>
          <w:sz w:val="36"/>
          <w:szCs w:val="36"/>
        </w:rPr>
        <w:t>项目名称：</w:t>
      </w:r>
      <w:r>
        <w:rPr>
          <w:rFonts w:eastAsia="仿宋_GB2312"/>
          <w:color w:val="auto"/>
          <w:spacing w:val="-14"/>
          <w:sz w:val="36"/>
          <w:szCs w:val="36"/>
          <w:u w:val="single"/>
        </w:rPr>
        <w:t xml:space="preserve"> </w:t>
      </w:r>
      <w:r>
        <w:rPr>
          <w:rFonts w:eastAsia="仿宋_GB2312"/>
          <w:color w:val="auto"/>
          <w:spacing w:val="-6"/>
          <w:sz w:val="36"/>
          <w:szCs w:val="36"/>
          <w:u w:val="single"/>
        </w:rPr>
        <w:t>云南</w:t>
      </w:r>
      <w:r>
        <w:rPr>
          <w:rFonts w:hint="eastAsia" w:eastAsia="仿宋_GB2312"/>
          <w:color w:val="auto"/>
          <w:spacing w:val="-6"/>
          <w:sz w:val="36"/>
          <w:szCs w:val="36"/>
          <w:u w:val="single"/>
          <w:lang w:val="en-US" w:eastAsia="zh-CN"/>
        </w:rPr>
        <w:t>勘</w:t>
      </w:r>
      <w:r>
        <w:rPr>
          <w:rFonts w:eastAsia="仿宋_GB2312"/>
          <w:color w:val="auto"/>
          <w:spacing w:val="-6"/>
          <w:sz w:val="36"/>
          <w:szCs w:val="36"/>
          <w:u w:val="single"/>
        </w:rPr>
        <w:t>中达岩土工程质量检测有限公司实验室建设项目</w:t>
      </w:r>
    </w:p>
    <w:p w14:paraId="71DC8B56">
      <w:pPr>
        <w:adjustRightInd w:val="0"/>
        <w:snapToGrid w:val="0"/>
        <w:spacing w:line="288" w:lineRule="auto"/>
        <w:ind w:firstLine="1040"/>
        <w:jc w:val="center"/>
        <w:rPr>
          <w:rFonts w:eastAsia="仿宋_GB2312"/>
          <w:color w:val="auto"/>
          <w:spacing w:val="-6"/>
          <w:sz w:val="36"/>
          <w:szCs w:val="36"/>
        </w:rPr>
      </w:pPr>
      <w:r>
        <w:rPr>
          <w:rFonts w:eastAsia="仿宋_GB2312"/>
          <w:color w:val="auto"/>
          <w:sz w:val="36"/>
          <w:szCs w:val="36"/>
        </w:rPr>
        <w:t>建设单位（盖章）：</w:t>
      </w:r>
      <w:r>
        <w:rPr>
          <w:rFonts w:eastAsia="仿宋_GB2312"/>
          <w:color w:val="auto"/>
          <w:spacing w:val="-6"/>
          <w:sz w:val="36"/>
          <w:szCs w:val="36"/>
          <w:u w:val="single"/>
        </w:rPr>
        <w:t>云南</w:t>
      </w:r>
      <w:r>
        <w:rPr>
          <w:rFonts w:hint="eastAsia" w:eastAsia="仿宋_GB2312"/>
          <w:color w:val="auto"/>
          <w:spacing w:val="-6"/>
          <w:sz w:val="36"/>
          <w:szCs w:val="36"/>
          <w:u w:val="single"/>
          <w:lang w:eastAsia="zh-CN"/>
        </w:rPr>
        <w:t>勘</w:t>
      </w:r>
      <w:r>
        <w:rPr>
          <w:rFonts w:eastAsia="仿宋_GB2312"/>
          <w:color w:val="auto"/>
          <w:spacing w:val="-6"/>
          <w:sz w:val="36"/>
          <w:szCs w:val="36"/>
          <w:u w:val="single"/>
        </w:rPr>
        <w:t>中达岩土工程质量检测有限公司</w:t>
      </w:r>
    </w:p>
    <w:p w14:paraId="4E63466A">
      <w:pPr>
        <w:adjustRightInd w:val="0"/>
        <w:snapToGrid w:val="0"/>
        <w:spacing w:line="288" w:lineRule="auto"/>
        <w:ind w:firstLine="1040"/>
        <w:rPr>
          <w:rFonts w:eastAsia="仿宋_GB2312"/>
          <w:color w:val="auto"/>
          <w:sz w:val="36"/>
          <w:szCs w:val="36"/>
          <w:u w:val="single"/>
        </w:rPr>
      </w:pPr>
      <w:r>
        <w:rPr>
          <w:rFonts w:eastAsia="仿宋_GB2312"/>
          <w:color w:val="auto"/>
          <w:sz w:val="36"/>
          <w:szCs w:val="36"/>
        </w:rPr>
        <w:t>编制日期：</w:t>
      </w:r>
      <w:r>
        <w:rPr>
          <w:rFonts w:eastAsia="仿宋_GB2312"/>
          <w:color w:val="auto"/>
          <w:sz w:val="36"/>
          <w:szCs w:val="36"/>
          <w:u w:val="single"/>
        </w:rPr>
        <w:t xml:space="preserve"> 2023年</w:t>
      </w:r>
      <w:r>
        <w:rPr>
          <w:rFonts w:hint="eastAsia" w:eastAsia="仿宋_GB2312"/>
          <w:color w:val="auto"/>
          <w:sz w:val="36"/>
          <w:szCs w:val="36"/>
          <w:u w:val="single"/>
          <w:lang w:val="en-US" w:eastAsia="zh-CN"/>
        </w:rPr>
        <w:t>11</w:t>
      </w:r>
      <w:r>
        <w:rPr>
          <w:rFonts w:eastAsia="仿宋_GB2312"/>
          <w:color w:val="auto"/>
          <w:sz w:val="36"/>
          <w:szCs w:val="36"/>
          <w:u w:val="single"/>
        </w:rPr>
        <w:t xml:space="preserve">月                   </w:t>
      </w:r>
    </w:p>
    <w:p w14:paraId="34854019">
      <w:pPr>
        <w:adjustRightInd w:val="0"/>
        <w:snapToGrid w:val="0"/>
        <w:spacing w:line="288" w:lineRule="auto"/>
        <w:ind w:firstLine="1040"/>
        <w:rPr>
          <w:rFonts w:eastAsia="仿宋_GB2312"/>
          <w:color w:val="auto"/>
          <w:sz w:val="36"/>
          <w:szCs w:val="36"/>
          <w:u w:val="single"/>
        </w:rPr>
      </w:pPr>
      <w:bookmarkStart w:id="0" w:name="_Hlk57884087"/>
    </w:p>
    <w:p w14:paraId="13BCF7AC">
      <w:pPr>
        <w:adjustRightInd w:val="0"/>
        <w:snapToGrid w:val="0"/>
        <w:spacing w:line="288" w:lineRule="auto"/>
        <w:ind w:firstLine="1040"/>
        <w:rPr>
          <w:rFonts w:eastAsia="仿宋_GB2312"/>
          <w:color w:val="auto"/>
          <w:sz w:val="36"/>
          <w:szCs w:val="36"/>
        </w:rPr>
      </w:pPr>
    </w:p>
    <w:p w14:paraId="0CEAC6C3">
      <w:pPr>
        <w:adjustRightInd w:val="0"/>
        <w:snapToGrid w:val="0"/>
        <w:spacing w:line="288" w:lineRule="auto"/>
        <w:ind w:firstLine="1040"/>
        <w:rPr>
          <w:rFonts w:eastAsia="仿宋_GB2312"/>
          <w:color w:val="auto"/>
          <w:sz w:val="36"/>
          <w:szCs w:val="36"/>
        </w:rPr>
      </w:pPr>
    </w:p>
    <w:p w14:paraId="2E7A72A5">
      <w:pPr>
        <w:adjustRightInd w:val="0"/>
        <w:snapToGrid w:val="0"/>
        <w:spacing w:line="288" w:lineRule="auto"/>
        <w:ind w:firstLine="1040"/>
        <w:rPr>
          <w:rFonts w:eastAsia="仿宋_GB2312"/>
          <w:color w:val="auto"/>
          <w:sz w:val="36"/>
          <w:szCs w:val="36"/>
        </w:rPr>
      </w:pPr>
    </w:p>
    <w:bookmarkEnd w:id="0"/>
    <w:p w14:paraId="2270C84E">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14:paraId="4C55C065">
      <w:pPr>
        <w:pStyle w:val="2"/>
        <w:rPr>
          <w:rFonts w:hint="eastAsia"/>
          <w:color w:val="auto"/>
        </w:rPr>
      </w:pPr>
    </w:p>
    <w:p w14:paraId="58F85BED">
      <w:pPr>
        <w:adjustRightInd w:val="0"/>
        <w:snapToGrid w:val="0"/>
        <w:spacing w:line="288" w:lineRule="auto"/>
        <w:jc w:val="center"/>
        <w:rPr>
          <w:rFonts w:eastAsia="楷体_GB2312"/>
          <w:color w:val="auto"/>
          <w:sz w:val="36"/>
          <w:szCs w:val="36"/>
        </w:rPr>
      </w:pPr>
      <w:r>
        <w:rPr>
          <w:rFonts w:eastAsia="楷体_GB2312"/>
          <w:color w:val="auto"/>
          <w:sz w:val="36"/>
          <w:szCs w:val="36"/>
        </w:rPr>
        <w:br w:type="page"/>
      </w:r>
    </w:p>
    <w:p w14:paraId="15C8F606">
      <w:pPr>
        <w:pStyle w:val="2"/>
        <w:rPr>
          <w:rFonts w:hint="eastAsia"/>
          <w:color w:val="auto"/>
        </w:rPr>
      </w:pPr>
    </w:p>
    <w:p w14:paraId="1CAF5FF2">
      <w:pPr>
        <w:adjustRightInd w:val="0"/>
        <w:snapToGrid w:val="0"/>
        <w:spacing w:line="288" w:lineRule="auto"/>
        <w:ind w:firstLine="1040"/>
        <w:rPr>
          <w:rFonts w:eastAsia="仿宋_GB2312"/>
          <w:color w:val="auto"/>
          <w:sz w:val="36"/>
          <w:szCs w:val="36"/>
        </w:rPr>
        <w:sectPr>
          <w:footerReference r:id="rId5" w:type="first"/>
          <w:footerReference r:id="rId3" w:type="default"/>
          <w:footerReference r:id="rId4" w:type="even"/>
          <w:pgSz w:w="11906" w:h="16838"/>
          <w:pgMar w:top="1701" w:right="1531" w:bottom="1701" w:left="1531" w:header="851" w:footer="1077" w:gutter="0"/>
          <w:pgNumType w:start="0"/>
          <w:cols w:space="720" w:num="1"/>
          <w:titlePg/>
          <w:docGrid w:linePitch="312" w:charSpace="0"/>
        </w:sectPr>
      </w:pPr>
    </w:p>
    <w:p w14:paraId="57591AE9">
      <w:pPr>
        <w:pStyle w:val="15"/>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98"/>
        <w:gridCol w:w="1970"/>
        <w:gridCol w:w="2263"/>
        <w:gridCol w:w="2639"/>
      </w:tblGrid>
      <w:tr w14:paraId="1E855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4B7C1270">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建设项目名称</w:t>
            </w:r>
          </w:p>
        </w:tc>
        <w:tc>
          <w:tcPr>
            <w:tcW w:w="6872" w:type="dxa"/>
            <w:gridSpan w:val="3"/>
            <w:vAlign w:val="center"/>
          </w:tcPr>
          <w:p w14:paraId="62D2E7C8">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云南</w:t>
            </w:r>
            <w:r>
              <w:rPr>
                <w:rFonts w:hint="eastAsia" w:eastAsiaTheme="minorEastAsia"/>
                <w:color w:val="auto"/>
                <w:sz w:val="24"/>
                <w:lang w:eastAsia="zh-CN"/>
              </w:rPr>
              <w:t>勘</w:t>
            </w:r>
            <w:r>
              <w:rPr>
                <w:rFonts w:hint="default" w:eastAsiaTheme="minorEastAsia"/>
                <w:color w:val="auto"/>
                <w:sz w:val="24"/>
              </w:rPr>
              <w:t>中达岩土工程质量检测有限公司实验室建设项目</w:t>
            </w:r>
          </w:p>
        </w:tc>
      </w:tr>
      <w:tr w14:paraId="0512F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4D575937">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项目代码</w:t>
            </w:r>
          </w:p>
        </w:tc>
        <w:tc>
          <w:tcPr>
            <w:tcW w:w="6872" w:type="dxa"/>
            <w:gridSpan w:val="3"/>
            <w:vAlign w:val="center"/>
          </w:tcPr>
          <w:p w14:paraId="64E7CEAC">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2304-530103-04-02-613463</w:t>
            </w:r>
          </w:p>
        </w:tc>
      </w:tr>
      <w:tr w14:paraId="4E078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4A3FEC6D">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建设单位联系人</w:t>
            </w:r>
          </w:p>
        </w:tc>
        <w:tc>
          <w:tcPr>
            <w:tcW w:w="1970" w:type="dxa"/>
            <w:vAlign w:val="center"/>
          </w:tcPr>
          <w:p w14:paraId="68E92DDE">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张途</w:t>
            </w:r>
          </w:p>
        </w:tc>
        <w:tc>
          <w:tcPr>
            <w:tcW w:w="2263" w:type="dxa"/>
            <w:vAlign w:val="center"/>
          </w:tcPr>
          <w:p w14:paraId="3B658B99">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联系方式</w:t>
            </w:r>
          </w:p>
        </w:tc>
        <w:tc>
          <w:tcPr>
            <w:tcW w:w="2639" w:type="dxa"/>
            <w:vAlign w:val="center"/>
          </w:tcPr>
          <w:p w14:paraId="12AF9F3C">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lang w:val="en-US"/>
              </w:rPr>
              <w:t>/</w:t>
            </w:r>
          </w:p>
        </w:tc>
      </w:tr>
      <w:tr w14:paraId="46336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7AF6FD74">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u w:val="none"/>
              </w:rPr>
            </w:pPr>
            <w:r>
              <w:rPr>
                <w:rFonts w:hint="default" w:eastAsiaTheme="minorEastAsia"/>
                <w:color w:val="auto"/>
                <w:sz w:val="24"/>
                <w:u w:val="none"/>
              </w:rPr>
              <w:t>建设地点</w:t>
            </w:r>
          </w:p>
        </w:tc>
        <w:tc>
          <w:tcPr>
            <w:tcW w:w="6872" w:type="dxa"/>
            <w:gridSpan w:val="3"/>
            <w:vAlign w:val="center"/>
          </w:tcPr>
          <w:p w14:paraId="76C20CDA">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u w:val="none"/>
              </w:rPr>
            </w:pPr>
            <w:r>
              <w:rPr>
                <w:rFonts w:hint="default" w:eastAsiaTheme="minorEastAsia"/>
                <w:color w:val="auto"/>
                <w:sz w:val="24"/>
                <w:u w:val="none"/>
              </w:rPr>
              <w:t>云南省昆明市盘龙区茨坝街道昆机社区龙泉路714附1号（昆明机床厂劳动服务公司</w:t>
            </w:r>
            <w:r>
              <w:rPr>
                <w:rFonts w:hint="eastAsia" w:eastAsiaTheme="minorEastAsia"/>
                <w:color w:val="auto"/>
                <w:sz w:val="24"/>
                <w:u w:val="none"/>
                <w:lang w:val="en-US" w:eastAsia="zh-CN"/>
              </w:rPr>
              <w:t>内</w:t>
            </w:r>
            <w:r>
              <w:rPr>
                <w:rFonts w:hint="default" w:eastAsiaTheme="minorEastAsia"/>
                <w:color w:val="auto"/>
                <w:sz w:val="24"/>
                <w:u w:val="none"/>
              </w:rPr>
              <w:t>）</w:t>
            </w:r>
          </w:p>
        </w:tc>
      </w:tr>
      <w:tr w14:paraId="44E1F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29C89CCD">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地理坐标</w:t>
            </w:r>
          </w:p>
        </w:tc>
        <w:tc>
          <w:tcPr>
            <w:tcW w:w="6872" w:type="dxa"/>
            <w:gridSpan w:val="3"/>
            <w:vAlign w:val="center"/>
          </w:tcPr>
          <w:p w14:paraId="2E6253BC">
            <w:pPr>
              <w:keepNext w:val="0"/>
              <w:keepLines w:val="0"/>
              <w:suppressLineNumbers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w:t>
            </w:r>
            <w:r>
              <w:rPr>
                <w:rFonts w:hint="default" w:eastAsiaTheme="minorEastAsia"/>
                <w:color w:val="auto"/>
                <w:sz w:val="24"/>
                <w:u w:val="single"/>
              </w:rPr>
              <w:t xml:space="preserve"> E 102 </w:t>
            </w:r>
            <w:r>
              <w:rPr>
                <w:rFonts w:hint="default" w:eastAsiaTheme="minorEastAsia"/>
                <w:color w:val="auto"/>
                <w:sz w:val="24"/>
              </w:rPr>
              <w:t>度</w:t>
            </w:r>
            <w:r>
              <w:rPr>
                <w:rFonts w:hint="default" w:eastAsiaTheme="minorEastAsia"/>
                <w:color w:val="auto"/>
                <w:sz w:val="24"/>
                <w:u w:val="single"/>
              </w:rPr>
              <w:t xml:space="preserve"> 44</w:t>
            </w:r>
            <w:r>
              <w:rPr>
                <w:rFonts w:hint="default" w:eastAsiaTheme="minorEastAsia"/>
                <w:color w:val="auto"/>
                <w:sz w:val="24"/>
              </w:rPr>
              <w:t>分</w:t>
            </w:r>
            <w:r>
              <w:rPr>
                <w:rFonts w:hint="default" w:eastAsiaTheme="minorEastAsia"/>
                <w:color w:val="auto"/>
                <w:sz w:val="24"/>
                <w:u w:val="single"/>
              </w:rPr>
              <w:t xml:space="preserve"> 1.076</w:t>
            </w:r>
            <w:r>
              <w:rPr>
                <w:rFonts w:hint="default" w:eastAsiaTheme="minorEastAsia"/>
                <w:color w:val="auto"/>
                <w:sz w:val="24"/>
              </w:rPr>
              <w:t>秒，</w:t>
            </w:r>
            <w:r>
              <w:rPr>
                <w:rFonts w:hint="default" w:eastAsiaTheme="minorEastAsia"/>
                <w:color w:val="auto"/>
                <w:sz w:val="24"/>
                <w:u w:val="single"/>
              </w:rPr>
              <w:t xml:space="preserve"> N 25 </w:t>
            </w:r>
            <w:r>
              <w:rPr>
                <w:rFonts w:hint="default" w:eastAsiaTheme="minorEastAsia"/>
                <w:color w:val="auto"/>
                <w:sz w:val="24"/>
              </w:rPr>
              <w:t>度</w:t>
            </w:r>
            <w:r>
              <w:rPr>
                <w:rFonts w:hint="default" w:eastAsiaTheme="minorEastAsia"/>
                <w:color w:val="auto"/>
                <w:sz w:val="24"/>
                <w:u w:val="single"/>
              </w:rPr>
              <w:t xml:space="preserve"> 9 </w:t>
            </w:r>
            <w:r>
              <w:rPr>
                <w:rFonts w:hint="default" w:eastAsiaTheme="minorEastAsia"/>
                <w:color w:val="auto"/>
                <w:sz w:val="24"/>
              </w:rPr>
              <w:t>分</w:t>
            </w:r>
            <w:r>
              <w:rPr>
                <w:rFonts w:hint="default" w:eastAsiaTheme="minorEastAsia"/>
                <w:color w:val="auto"/>
                <w:sz w:val="24"/>
                <w:u w:val="single"/>
              </w:rPr>
              <w:t xml:space="preserve"> 7.445 </w:t>
            </w:r>
            <w:r>
              <w:rPr>
                <w:rFonts w:hint="default" w:eastAsiaTheme="minorEastAsia"/>
                <w:color w:val="auto"/>
                <w:sz w:val="24"/>
              </w:rPr>
              <w:t>秒）</w:t>
            </w:r>
          </w:p>
        </w:tc>
      </w:tr>
      <w:tr w14:paraId="60113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98" w:type="dxa"/>
            <w:tcMar>
              <w:top w:w="16" w:type="dxa"/>
              <w:left w:w="16" w:type="dxa"/>
              <w:right w:w="16" w:type="dxa"/>
            </w:tcMar>
            <w:vAlign w:val="center"/>
          </w:tcPr>
          <w:p w14:paraId="65A67240">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国民经济</w:t>
            </w:r>
          </w:p>
          <w:p w14:paraId="3F35E6F7">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行业类别</w:t>
            </w:r>
          </w:p>
        </w:tc>
        <w:tc>
          <w:tcPr>
            <w:tcW w:w="1970" w:type="dxa"/>
            <w:vAlign w:val="center"/>
          </w:tcPr>
          <w:p w14:paraId="150273EC">
            <w:pPr>
              <w:keepNext w:val="0"/>
              <w:keepLines w:val="0"/>
              <w:suppressLineNumbers w:val="0"/>
              <w:adjustRightInd w:val="0"/>
              <w:snapToGrid w:val="0"/>
              <w:spacing w:before="0" w:beforeAutospacing="0" w:after="0" w:afterAutospacing="0"/>
              <w:ind w:left="0" w:right="0"/>
              <w:jc w:val="center"/>
              <w:rPr>
                <w:rFonts w:hint="eastAsia"/>
                <w:color w:val="auto"/>
                <w:sz w:val="24"/>
                <w:lang w:val="en-US" w:eastAsia="zh-CN"/>
              </w:rPr>
            </w:pPr>
            <w:r>
              <w:rPr>
                <w:rFonts w:hint="eastAsia"/>
                <w:color w:val="auto"/>
                <w:sz w:val="24"/>
                <w:lang w:val="en-US" w:eastAsia="zh-CN"/>
              </w:rPr>
              <w:t>检测服务</w:t>
            </w:r>
          </w:p>
          <w:p w14:paraId="4C7A2C6C">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color w:val="auto"/>
                <w:sz w:val="24"/>
              </w:rPr>
              <w:t>（M745</w:t>
            </w:r>
            <w:r>
              <w:rPr>
                <w:rFonts w:hint="eastAsia"/>
                <w:color w:val="auto"/>
                <w:sz w:val="24"/>
                <w:lang w:val="en-US" w:eastAsia="zh-CN"/>
              </w:rPr>
              <w:t>2</w:t>
            </w:r>
            <w:r>
              <w:rPr>
                <w:rFonts w:hint="default"/>
                <w:color w:val="auto"/>
                <w:sz w:val="24"/>
              </w:rPr>
              <w:t>）</w:t>
            </w:r>
          </w:p>
        </w:tc>
        <w:tc>
          <w:tcPr>
            <w:tcW w:w="2263" w:type="dxa"/>
            <w:vAlign w:val="center"/>
          </w:tcPr>
          <w:p w14:paraId="0228B7EC">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bookmarkStart w:id="1" w:name="_Hlk49843745"/>
            <w:r>
              <w:rPr>
                <w:rFonts w:hint="default" w:eastAsiaTheme="minorEastAsia"/>
                <w:color w:val="auto"/>
                <w:sz w:val="24"/>
              </w:rPr>
              <w:t>建设项目</w:t>
            </w:r>
          </w:p>
          <w:p w14:paraId="6A9D2D9D">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行业类别</w:t>
            </w:r>
            <w:bookmarkEnd w:id="1"/>
          </w:p>
        </w:tc>
        <w:tc>
          <w:tcPr>
            <w:tcW w:w="2639" w:type="dxa"/>
            <w:vAlign w:val="center"/>
          </w:tcPr>
          <w:p w14:paraId="64390D02">
            <w:pPr>
              <w:keepNext w:val="0"/>
              <w:keepLines w:val="0"/>
              <w:suppressLineNumbers w:val="0"/>
              <w:adjustRightInd w:val="0"/>
              <w:snapToGrid w:val="0"/>
              <w:spacing w:before="0" w:beforeAutospacing="0" w:after="0" w:afterAutospacing="0"/>
              <w:ind w:left="0" w:right="0"/>
              <w:rPr>
                <w:rFonts w:hint="default" w:eastAsiaTheme="minorEastAsia"/>
                <w:color w:val="auto"/>
                <w:sz w:val="24"/>
              </w:rPr>
            </w:pPr>
            <w:r>
              <w:rPr>
                <w:rFonts w:hint="default"/>
                <w:color w:val="auto"/>
                <w:sz w:val="24"/>
              </w:rPr>
              <w:t>四十五、研究和试验发展98专业实验室、研发（试验）基地中其他（不产生实验废气、废水、危险废物的除外）</w:t>
            </w:r>
          </w:p>
        </w:tc>
      </w:tr>
      <w:tr w14:paraId="7614A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98" w:type="dxa"/>
            <w:tcMar>
              <w:top w:w="16" w:type="dxa"/>
              <w:left w:w="16" w:type="dxa"/>
              <w:right w:w="16" w:type="dxa"/>
            </w:tcMar>
            <w:vAlign w:val="center"/>
          </w:tcPr>
          <w:p w14:paraId="6A1015F5">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建设性质</w:t>
            </w:r>
          </w:p>
        </w:tc>
        <w:tc>
          <w:tcPr>
            <w:tcW w:w="1970" w:type="dxa"/>
            <w:vAlign w:val="center"/>
          </w:tcPr>
          <w:p w14:paraId="59BB87FC">
            <w:pPr>
              <w:keepNext w:val="0"/>
              <w:keepLines w:val="0"/>
              <w:suppressLineNumbers w:val="0"/>
              <w:spacing w:before="0" w:beforeAutospacing="0" w:after="0" w:afterAutospacing="0"/>
              <w:ind w:left="0" w:right="0"/>
              <w:jc w:val="left"/>
              <w:rPr>
                <w:rFonts w:hint="default" w:eastAsiaTheme="minorEastAsia"/>
                <w:color w:val="auto"/>
                <w:sz w:val="24"/>
              </w:rPr>
            </w:pPr>
            <w:r>
              <w:rPr>
                <w:rFonts w:hint="default" w:ascii="Segoe UI Emoji" w:hAnsi="Segoe UI Emoji" w:cs="Segoe UI Emoji" w:eastAsiaTheme="minorEastAsia"/>
                <w:color w:val="auto"/>
                <w:sz w:val="24"/>
              </w:rPr>
              <w:t>☑</w:t>
            </w:r>
            <w:r>
              <w:rPr>
                <w:rFonts w:hint="default" w:eastAsiaTheme="minorEastAsia"/>
                <w:color w:val="auto"/>
                <w:sz w:val="24"/>
              </w:rPr>
              <w:t>新建（迁建）</w:t>
            </w:r>
          </w:p>
          <w:p w14:paraId="3ABB8A13">
            <w:pPr>
              <w:keepNext w:val="0"/>
              <w:keepLines w:val="0"/>
              <w:suppressLineNumbers w:val="0"/>
              <w:spacing w:before="0" w:beforeAutospacing="0" w:after="0" w:afterAutospacing="0"/>
              <w:ind w:left="0" w:right="0"/>
              <w:jc w:val="left"/>
              <w:rPr>
                <w:rFonts w:hint="default" w:eastAsiaTheme="minorEastAsia"/>
                <w:color w:val="auto"/>
                <w:sz w:val="24"/>
              </w:rPr>
            </w:pPr>
            <w:r>
              <w:rPr>
                <w:rFonts w:hint="default" w:eastAsiaTheme="minorEastAsia"/>
                <w:color w:val="auto"/>
                <w:sz w:val="24"/>
              </w:rPr>
              <w:t>□改建</w:t>
            </w:r>
          </w:p>
          <w:p w14:paraId="45E815ED">
            <w:pPr>
              <w:keepNext w:val="0"/>
              <w:keepLines w:val="0"/>
              <w:suppressLineNumbers w:val="0"/>
              <w:spacing w:before="0" w:beforeAutospacing="0" w:after="0" w:afterAutospacing="0"/>
              <w:ind w:left="0" w:right="0"/>
              <w:jc w:val="left"/>
              <w:rPr>
                <w:rFonts w:hint="default" w:eastAsiaTheme="minorEastAsia"/>
                <w:color w:val="auto"/>
                <w:sz w:val="24"/>
              </w:rPr>
            </w:pPr>
            <w:r>
              <w:rPr>
                <w:rFonts w:hint="default" w:eastAsiaTheme="minorEastAsia"/>
                <w:color w:val="auto"/>
                <w:sz w:val="24"/>
              </w:rPr>
              <w:t>□扩建</w:t>
            </w:r>
          </w:p>
          <w:p w14:paraId="551C802A">
            <w:pPr>
              <w:keepNext w:val="0"/>
              <w:keepLines w:val="0"/>
              <w:suppressLineNumbers w:val="0"/>
              <w:spacing w:before="0" w:beforeAutospacing="0" w:after="0" w:afterAutospacing="0"/>
              <w:ind w:left="0" w:right="0"/>
              <w:jc w:val="left"/>
              <w:rPr>
                <w:rFonts w:hint="default" w:eastAsiaTheme="minorEastAsia"/>
                <w:color w:val="auto"/>
                <w:sz w:val="24"/>
              </w:rPr>
            </w:pPr>
            <w:r>
              <w:rPr>
                <w:rFonts w:hint="default" w:eastAsiaTheme="minorEastAsia"/>
                <w:color w:val="auto"/>
                <w:sz w:val="24"/>
              </w:rPr>
              <w:t>□技术改造</w:t>
            </w:r>
          </w:p>
        </w:tc>
        <w:tc>
          <w:tcPr>
            <w:tcW w:w="2263" w:type="dxa"/>
            <w:vAlign w:val="center"/>
          </w:tcPr>
          <w:p w14:paraId="6D6A43BB">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建设项目</w:t>
            </w:r>
          </w:p>
          <w:p w14:paraId="59C71562">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申报情形</w:t>
            </w:r>
          </w:p>
        </w:tc>
        <w:tc>
          <w:tcPr>
            <w:tcW w:w="2639" w:type="dxa"/>
            <w:vAlign w:val="center"/>
          </w:tcPr>
          <w:p w14:paraId="54590A39">
            <w:pPr>
              <w:keepNext w:val="0"/>
              <w:keepLines w:val="0"/>
              <w:suppressLineNumbers w:val="0"/>
              <w:spacing w:before="0" w:beforeAutospacing="0" w:after="0" w:afterAutospacing="0"/>
              <w:ind w:left="0" w:right="0"/>
              <w:jc w:val="left"/>
              <w:rPr>
                <w:rFonts w:hint="default" w:eastAsiaTheme="minorEastAsia"/>
                <w:color w:val="auto"/>
                <w:sz w:val="24"/>
              </w:rPr>
            </w:pPr>
            <w:r>
              <w:rPr>
                <w:rFonts w:hint="default"/>
                <w:color w:val="auto"/>
                <w:sz w:val="24"/>
              </w:rPr>
              <w:t>√</w:t>
            </w:r>
            <w:r>
              <w:rPr>
                <w:rFonts w:hint="default" w:eastAsiaTheme="minorEastAsia"/>
                <w:color w:val="auto"/>
                <w:sz w:val="24"/>
              </w:rPr>
              <w:t xml:space="preserve">首次申报项目             </w:t>
            </w:r>
          </w:p>
          <w:p w14:paraId="3B580005">
            <w:pPr>
              <w:keepNext w:val="0"/>
              <w:keepLines w:val="0"/>
              <w:suppressLineNumbers w:val="0"/>
              <w:spacing w:before="0" w:beforeAutospacing="0" w:after="0" w:afterAutospacing="0"/>
              <w:ind w:left="0" w:right="0"/>
              <w:jc w:val="left"/>
              <w:rPr>
                <w:rFonts w:hint="default" w:eastAsiaTheme="minorEastAsia"/>
                <w:color w:val="auto"/>
                <w:sz w:val="24"/>
              </w:rPr>
            </w:pPr>
            <w:r>
              <w:rPr>
                <w:rFonts w:hint="default" w:eastAsiaTheme="minorEastAsia"/>
                <w:color w:val="auto"/>
                <w:sz w:val="24"/>
              </w:rPr>
              <w:t>□不予批准后再次申报项目</w:t>
            </w:r>
          </w:p>
          <w:p w14:paraId="09751AF0">
            <w:pPr>
              <w:keepNext w:val="0"/>
              <w:keepLines w:val="0"/>
              <w:suppressLineNumbers w:val="0"/>
              <w:spacing w:before="0" w:beforeAutospacing="0" w:after="0" w:afterAutospacing="0"/>
              <w:ind w:left="0" w:right="0"/>
              <w:jc w:val="left"/>
              <w:rPr>
                <w:rFonts w:hint="default" w:eastAsiaTheme="minorEastAsia"/>
                <w:color w:val="auto"/>
                <w:sz w:val="24"/>
              </w:rPr>
            </w:pPr>
            <w:r>
              <w:rPr>
                <w:rFonts w:hint="default" w:eastAsiaTheme="minorEastAsia"/>
                <w:color w:val="auto"/>
                <w:sz w:val="24"/>
              </w:rPr>
              <w:t xml:space="preserve">□超五年重新审核项目     </w:t>
            </w:r>
          </w:p>
          <w:p w14:paraId="741F5FA6">
            <w:pPr>
              <w:keepNext w:val="0"/>
              <w:keepLines w:val="0"/>
              <w:suppressLineNumbers w:val="0"/>
              <w:spacing w:before="0" w:beforeAutospacing="0" w:after="0" w:afterAutospacing="0"/>
              <w:ind w:left="0" w:right="0"/>
              <w:jc w:val="left"/>
              <w:rPr>
                <w:rFonts w:hint="default" w:eastAsiaTheme="minorEastAsia"/>
                <w:color w:val="auto"/>
                <w:sz w:val="24"/>
              </w:rPr>
            </w:pPr>
            <w:r>
              <w:rPr>
                <w:rFonts w:hint="default" w:eastAsiaTheme="minorEastAsia"/>
                <w:color w:val="auto"/>
                <w:sz w:val="24"/>
              </w:rPr>
              <w:t>□重大变动重新报批项目</w:t>
            </w:r>
          </w:p>
        </w:tc>
      </w:tr>
      <w:tr w14:paraId="20332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98" w:type="dxa"/>
            <w:tcMar>
              <w:top w:w="16" w:type="dxa"/>
              <w:left w:w="16" w:type="dxa"/>
              <w:right w:w="16" w:type="dxa"/>
            </w:tcMar>
            <w:vAlign w:val="center"/>
          </w:tcPr>
          <w:p w14:paraId="07D6AF7A">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项目审批（核准/</w:t>
            </w:r>
          </w:p>
          <w:p w14:paraId="4B967785">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备案）部门（选填）</w:t>
            </w:r>
          </w:p>
        </w:tc>
        <w:tc>
          <w:tcPr>
            <w:tcW w:w="1970" w:type="dxa"/>
            <w:vAlign w:val="center"/>
          </w:tcPr>
          <w:p w14:paraId="4D7B9068">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无</w:t>
            </w:r>
          </w:p>
        </w:tc>
        <w:tc>
          <w:tcPr>
            <w:tcW w:w="2263" w:type="dxa"/>
            <w:vAlign w:val="center"/>
          </w:tcPr>
          <w:p w14:paraId="36E21F0B">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项目审批（核准/</w:t>
            </w:r>
          </w:p>
          <w:p w14:paraId="0002CD88">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备案）文号（选填）</w:t>
            </w:r>
          </w:p>
        </w:tc>
        <w:tc>
          <w:tcPr>
            <w:tcW w:w="2639" w:type="dxa"/>
            <w:vAlign w:val="center"/>
          </w:tcPr>
          <w:p w14:paraId="6E9E8F3A">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无</w:t>
            </w:r>
          </w:p>
        </w:tc>
      </w:tr>
      <w:tr w14:paraId="5B8B91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5070DC70">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总投资（万元）</w:t>
            </w:r>
          </w:p>
        </w:tc>
        <w:tc>
          <w:tcPr>
            <w:tcW w:w="1970" w:type="dxa"/>
            <w:vAlign w:val="center"/>
          </w:tcPr>
          <w:p w14:paraId="510909A6">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300</w:t>
            </w:r>
          </w:p>
        </w:tc>
        <w:tc>
          <w:tcPr>
            <w:tcW w:w="2263" w:type="dxa"/>
            <w:tcMar>
              <w:top w:w="16" w:type="dxa"/>
              <w:left w:w="16" w:type="dxa"/>
              <w:right w:w="16" w:type="dxa"/>
            </w:tcMar>
            <w:vAlign w:val="center"/>
          </w:tcPr>
          <w:p w14:paraId="7375C36C">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环保投资（万元）</w:t>
            </w:r>
          </w:p>
        </w:tc>
        <w:tc>
          <w:tcPr>
            <w:tcW w:w="2639" w:type="dxa"/>
            <w:vAlign w:val="center"/>
          </w:tcPr>
          <w:p w14:paraId="16B777FC">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 w:val="24"/>
                <w:lang w:eastAsia="zh-CN"/>
              </w:rPr>
            </w:pPr>
            <w:r>
              <w:rPr>
                <w:rFonts w:hint="default" w:eastAsiaTheme="minorEastAsia"/>
                <w:color w:val="auto"/>
                <w:sz w:val="24"/>
              </w:rPr>
              <w:t>21.</w:t>
            </w:r>
            <w:r>
              <w:rPr>
                <w:rFonts w:hint="eastAsia" w:eastAsiaTheme="minorEastAsia"/>
                <w:color w:val="auto"/>
                <w:sz w:val="24"/>
                <w:lang w:val="en-US" w:eastAsia="zh-CN"/>
              </w:rPr>
              <w:t>8</w:t>
            </w:r>
          </w:p>
        </w:tc>
      </w:tr>
      <w:tr w14:paraId="11678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752618D6">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环保投资占比（%）</w:t>
            </w:r>
          </w:p>
        </w:tc>
        <w:tc>
          <w:tcPr>
            <w:tcW w:w="1970" w:type="dxa"/>
            <w:vAlign w:val="center"/>
          </w:tcPr>
          <w:p w14:paraId="2578DE7B">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lang w:val="en-US" w:eastAsia="zh-CN"/>
              </w:rPr>
            </w:pPr>
            <w:r>
              <w:rPr>
                <w:rFonts w:hint="default" w:eastAsiaTheme="minorEastAsia"/>
                <w:color w:val="auto"/>
                <w:sz w:val="24"/>
              </w:rPr>
              <w:t>7.2</w:t>
            </w:r>
            <w:r>
              <w:rPr>
                <w:rFonts w:hint="eastAsia" w:eastAsiaTheme="minorEastAsia"/>
                <w:color w:val="auto"/>
                <w:sz w:val="24"/>
                <w:lang w:val="en-US" w:eastAsia="zh-CN"/>
              </w:rPr>
              <w:t>67</w:t>
            </w:r>
          </w:p>
        </w:tc>
        <w:tc>
          <w:tcPr>
            <w:tcW w:w="2263" w:type="dxa"/>
            <w:tcMar>
              <w:top w:w="16" w:type="dxa"/>
              <w:left w:w="16" w:type="dxa"/>
              <w:right w:w="16" w:type="dxa"/>
            </w:tcMar>
            <w:vAlign w:val="center"/>
          </w:tcPr>
          <w:p w14:paraId="7D4CF5F1">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施工工期</w:t>
            </w:r>
          </w:p>
        </w:tc>
        <w:tc>
          <w:tcPr>
            <w:tcW w:w="2639" w:type="dxa"/>
            <w:vAlign w:val="center"/>
          </w:tcPr>
          <w:p w14:paraId="3312B5F4">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eastAsia" w:eastAsiaTheme="minorEastAsia"/>
                <w:color w:val="auto"/>
                <w:sz w:val="24"/>
                <w:lang w:val="en-US" w:eastAsia="zh-CN"/>
              </w:rPr>
              <w:t>3</w:t>
            </w:r>
            <w:r>
              <w:rPr>
                <w:rFonts w:hint="default" w:eastAsiaTheme="minorEastAsia"/>
                <w:color w:val="auto"/>
                <w:sz w:val="24"/>
              </w:rPr>
              <w:t>个月</w:t>
            </w:r>
          </w:p>
        </w:tc>
      </w:tr>
      <w:tr w14:paraId="0E4CA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14:paraId="6730E45B">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是否开工建设</w:t>
            </w:r>
          </w:p>
        </w:tc>
        <w:tc>
          <w:tcPr>
            <w:tcW w:w="1970" w:type="dxa"/>
            <w:vAlign w:val="center"/>
          </w:tcPr>
          <w:p w14:paraId="0EA1315B">
            <w:pPr>
              <w:keepNext w:val="0"/>
              <w:keepLines w:val="0"/>
              <w:suppressLineNumbers w:val="0"/>
              <w:adjustRightInd w:val="0"/>
              <w:snapToGrid w:val="0"/>
              <w:spacing w:before="0" w:beforeAutospacing="0" w:after="0" w:afterAutospacing="0"/>
              <w:ind w:left="0" w:right="0"/>
              <w:rPr>
                <w:rFonts w:hint="default" w:eastAsiaTheme="minorEastAsia"/>
                <w:color w:val="auto"/>
                <w:sz w:val="24"/>
              </w:rPr>
            </w:pPr>
            <w:r>
              <w:rPr>
                <w:rFonts w:hint="default" w:eastAsiaTheme="minorEastAsia"/>
                <w:color w:val="auto"/>
                <w:sz w:val="24"/>
              </w:rPr>
              <w:t>√否</w:t>
            </w:r>
          </w:p>
          <w:p w14:paraId="26237E19">
            <w:pPr>
              <w:keepNext w:val="0"/>
              <w:keepLines w:val="0"/>
              <w:suppressLineNumbers w:val="0"/>
              <w:adjustRightInd w:val="0"/>
              <w:snapToGrid w:val="0"/>
              <w:spacing w:before="0" w:beforeAutospacing="0" w:after="0" w:afterAutospacing="0"/>
              <w:ind w:left="0" w:right="0"/>
              <w:rPr>
                <w:rFonts w:hint="default" w:eastAsiaTheme="minorEastAsia"/>
                <w:color w:val="auto"/>
                <w:sz w:val="24"/>
              </w:rPr>
            </w:pPr>
            <w:r>
              <w:rPr>
                <w:rFonts w:hint="default" w:eastAsiaTheme="minorEastAsia"/>
                <w:color w:val="auto"/>
                <w:sz w:val="24"/>
              </w:rPr>
              <w:sym w:font="Wingdings 2" w:char="00A3"/>
            </w:r>
            <w:r>
              <w:rPr>
                <w:rFonts w:hint="default" w:eastAsiaTheme="minorEastAsia"/>
                <w:color w:val="auto"/>
                <w:sz w:val="24"/>
              </w:rPr>
              <w:t>是：</w:t>
            </w:r>
            <w:r>
              <w:rPr>
                <w:rFonts w:hint="default" w:eastAsiaTheme="minorEastAsia"/>
                <w:color w:val="auto"/>
                <w:sz w:val="24"/>
                <w:u w:val="single"/>
              </w:rPr>
              <w:t xml:space="preserve">      </w:t>
            </w:r>
          </w:p>
        </w:tc>
        <w:tc>
          <w:tcPr>
            <w:tcW w:w="2263" w:type="dxa"/>
            <w:tcMar>
              <w:top w:w="16" w:type="dxa"/>
              <w:left w:w="16" w:type="dxa"/>
              <w:right w:w="16" w:type="dxa"/>
            </w:tcMar>
            <w:vAlign w:val="center"/>
          </w:tcPr>
          <w:p w14:paraId="6F453A64">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6"/>
                <w:sz w:val="24"/>
              </w:rPr>
            </w:pPr>
            <w:r>
              <w:rPr>
                <w:rFonts w:hint="default" w:eastAsiaTheme="minorEastAsia"/>
                <w:color w:val="auto"/>
                <w:spacing w:val="-6"/>
                <w:sz w:val="24"/>
              </w:rPr>
              <w:t>用地（用海）</w:t>
            </w:r>
          </w:p>
          <w:p w14:paraId="08CC6CBE">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pacing w:val="-6"/>
                <w:sz w:val="24"/>
              </w:rPr>
              <w:t>面积（m</w:t>
            </w:r>
            <w:r>
              <w:rPr>
                <w:rFonts w:hint="default" w:eastAsiaTheme="minorEastAsia"/>
                <w:color w:val="auto"/>
                <w:spacing w:val="-6"/>
                <w:sz w:val="24"/>
                <w:vertAlign w:val="superscript"/>
              </w:rPr>
              <w:t>2</w:t>
            </w:r>
            <w:r>
              <w:rPr>
                <w:rFonts w:hint="default" w:eastAsiaTheme="minorEastAsia"/>
                <w:color w:val="auto"/>
                <w:spacing w:val="-6"/>
                <w:sz w:val="24"/>
              </w:rPr>
              <w:t>）</w:t>
            </w:r>
          </w:p>
        </w:tc>
        <w:tc>
          <w:tcPr>
            <w:tcW w:w="2639" w:type="dxa"/>
            <w:vAlign w:val="center"/>
          </w:tcPr>
          <w:p w14:paraId="736269F3">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3100</w:t>
            </w:r>
          </w:p>
        </w:tc>
      </w:tr>
      <w:tr w14:paraId="659FC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998" w:type="dxa"/>
            <w:vAlign w:val="center"/>
          </w:tcPr>
          <w:p w14:paraId="54AF5E03">
            <w:pPr>
              <w:keepNext w:val="0"/>
              <w:keepLines w:val="0"/>
              <w:suppressLineNumbers w:val="0"/>
              <w:autoSpaceDE w:val="0"/>
              <w:autoSpaceDN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专项评价设置情况</w:t>
            </w:r>
          </w:p>
        </w:tc>
        <w:tc>
          <w:tcPr>
            <w:tcW w:w="6872" w:type="dxa"/>
            <w:gridSpan w:val="3"/>
            <w:vAlign w:val="center"/>
          </w:tcPr>
          <w:p w14:paraId="2C8B66B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根据《建设项目环境影响报告表编制技术指南（污染影响类）》（试行）污染类专项评价设置要求如下：</w:t>
            </w:r>
          </w:p>
          <w:p w14:paraId="57B31EB3">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表1-1   专项评价设置情况表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2397"/>
              <w:gridCol w:w="2307"/>
              <w:gridCol w:w="1016"/>
            </w:tblGrid>
            <w:tr w14:paraId="589A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14:paraId="0FFF3FF9">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专项评价类别</w:t>
                  </w:r>
                </w:p>
              </w:tc>
              <w:tc>
                <w:tcPr>
                  <w:tcW w:w="1803" w:type="pct"/>
                  <w:vAlign w:val="center"/>
                </w:tcPr>
                <w:p w14:paraId="7F151C2F">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设置原则</w:t>
                  </w:r>
                </w:p>
              </w:tc>
              <w:tc>
                <w:tcPr>
                  <w:tcW w:w="1736" w:type="pct"/>
                  <w:vAlign w:val="center"/>
                </w:tcPr>
                <w:p w14:paraId="1E9A7799">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项目情况</w:t>
                  </w:r>
                </w:p>
              </w:tc>
              <w:tc>
                <w:tcPr>
                  <w:tcW w:w="764" w:type="pct"/>
                  <w:vAlign w:val="center"/>
                </w:tcPr>
                <w:p w14:paraId="0FC339D6">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是否设置专项评价</w:t>
                  </w:r>
                </w:p>
              </w:tc>
            </w:tr>
            <w:tr w14:paraId="7996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pct"/>
                  <w:vAlign w:val="center"/>
                </w:tcPr>
                <w:p w14:paraId="18D60A47">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大气</w:t>
                  </w:r>
                </w:p>
              </w:tc>
              <w:tc>
                <w:tcPr>
                  <w:tcW w:w="1803" w:type="pct"/>
                  <w:vAlign w:val="center"/>
                </w:tcPr>
                <w:p w14:paraId="31223BB2">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排放废气含有毒有害污染物、二噁英、苯[α]芘、氰化物、氯气且厂界外500米范围内有环境空气保护目标的建设项目。</w:t>
                  </w:r>
                </w:p>
              </w:tc>
              <w:tc>
                <w:tcPr>
                  <w:tcW w:w="1736" w:type="pct"/>
                  <w:vAlign w:val="center"/>
                </w:tcPr>
                <w:p w14:paraId="38A95CEC">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项目主要的污染物为，硫酸雾、</w:t>
                  </w:r>
                  <w:r>
                    <w:rPr>
                      <w:rFonts w:hint="eastAsia"/>
                      <w:color w:val="auto"/>
                      <w:kern w:val="0"/>
                      <w:szCs w:val="21"/>
                      <w:lang w:val="en-US" w:eastAsia="zh-CN"/>
                    </w:rPr>
                    <w:t>氯化氢</w:t>
                  </w:r>
                  <w:r>
                    <w:rPr>
                      <w:rFonts w:hint="default"/>
                      <w:color w:val="auto"/>
                      <w:kern w:val="0"/>
                      <w:szCs w:val="21"/>
                    </w:rPr>
                    <w:t>、非甲烷总烃、苯并[a]芘。其中苯并[a]芘为有毒有害大气污染物，且项目500m范围内有</w:t>
                  </w:r>
                  <w:r>
                    <w:rPr>
                      <w:rFonts w:hint="eastAsia"/>
                      <w:color w:val="auto"/>
                      <w:kern w:val="0"/>
                      <w:szCs w:val="21"/>
                      <w:lang w:val="en-US" w:eastAsia="zh-CN"/>
                    </w:rPr>
                    <w:t>云南技师学院、花渔沟村、昆重小区、昆明机床厂住宅区等</w:t>
                  </w:r>
                  <w:r>
                    <w:rPr>
                      <w:rFonts w:hint="default"/>
                      <w:color w:val="auto"/>
                      <w:kern w:val="0"/>
                      <w:szCs w:val="21"/>
                    </w:rPr>
                    <w:t>环境保护目标需开展大气专项评价工作。</w:t>
                  </w:r>
                </w:p>
              </w:tc>
              <w:tc>
                <w:tcPr>
                  <w:tcW w:w="764" w:type="pct"/>
                  <w:vAlign w:val="center"/>
                </w:tcPr>
                <w:p w14:paraId="72150DA3">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是</w:t>
                  </w:r>
                </w:p>
              </w:tc>
            </w:tr>
            <w:tr w14:paraId="6A6F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14:paraId="6B8F4941">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地表水</w:t>
                  </w:r>
                </w:p>
              </w:tc>
              <w:tc>
                <w:tcPr>
                  <w:tcW w:w="1803" w:type="pct"/>
                  <w:vAlign w:val="center"/>
                </w:tcPr>
                <w:p w14:paraId="207C2386">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新增工业废水直排建设项目（槽罐车外送污水处理厂的除外）；新增废水直排的污水集中处理厂。</w:t>
                  </w:r>
                </w:p>
              </w:tc>
              <w:tc>
                <w:tcPr>
                  <w:tcW w:w="1736" w:type="pct"/>
                  <w:vAlign w:val="center"/>
                </w:tcPr>
                <w:p w14:paraId="2BBCA1A9">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项目生活废水依托昆明机床厂劳动服务公司</w:t>
                  </w:r>
                  <w:r>
                    <w:rPr>
                      <w:rFonts w:hint="eastAsia"/>
                      <w:color w:val="auto"/>
                      <w:kern w:val="0"/>
                      <w:szCs w:val="21"/>
                      <w:lang w:val="en-US" w:eastAsia="zh-CN"/>
                    </w:rPr>
                    <w:t>内</w:t>
                  </w:r>
                  <w:r>
                    <w:rPr>
                      <w:rFonts w:hint="default"/>
                      <w:color w:val="auto"/>
                      <w:kern w:val="0"/>
                      <w:szCs w:val="21"/>
                    </w:rPr>
                    <w:t>现有化粪池处理，实验</w:t>
                  </w:r>
                  <w:r>
                    <w:rPr>
                      <w:rFonts w:hint="eastAsia"/>
                      <w:color w:val="auto"/>
                      <w:kern w:val="0"/>
                      <w:szCs w:val="21"/>
                      <w:lang w:val="en-US" w:eastAsia="zh-CN"/>
                    </w:rPr>
                    <w:t>楼</w:t>
                  </w:r>
                  <w:r>
                    <w:rPr>
                      <w:rFonts w:hint="default"/>
                      <w:color w:val="auto"/>
                      <w:kern w:val="0"/>
                      <w:szCs w:val="21"/>
                    </w:rPr>
                    <w:t>废水经</w:t>
                  </w:r>
                  <w:r>
                    <w:rPr>
                      <w:rFonts w:hint="eastAsia"/>
                      <w:color w:val="auto"/>
                      <w:kern w:val="0"/>
                      <w:szCs w:val="21"/>
                      <w:lang w:val="en-US" w:eastAsia="zh-CN"/>
                    </w:rPr>
                    <w:t>自建</w:t>
                  </w:r>
                  <w:r>
                    <w:rPr>
                      <w:rFonts w:hint="default"/>
                      <w:color w:val="auto"/>
                      <w:kern w:val="0"/>
                      <w:szCs w:val="21"/>
                    </w:rPr>
                    <w:t>三级</w:t>
                  </w:r>
                  <w:r>
                    <w:rPr>
                      <w:rFonts w:hint="eastAsia"/>
                      <w:color w:val="auto"/>
                      <w:kern w:val="0"/>
                      <w:szCs w:val="21"/>
                      <w:lang w:val="en-US" w:eastAsia="zh-CN"/>
                    </w:rPr>
                    <w:t>三级</w:t>
                  </w:r>
                  <w:r>
                    <w:rPr>
                      <w:rFonts w:hint="default"/>
                      <w:color w:val="auto"/>
                      <w:kern w:val="0"/>
                      <w:szCs w:val="21"/>
                    </w:rPr>
                    <w:t>沉淀池处理后进入</w:t>
                  </w:r>
                  <w:r>
                    <w:rPr>
                      <w:rFonts w:hint="eastAsia"/>
                      <w:color w:val="auto"/>
                      <w:kern w:val="0"/>
                      <w:szCs w:val="21"/>
                      <w:lang w:val="en-US" w:eastAsia="zh-CN"/>
                    </w:rPr>
                    <w:t>龙泉路</w:t>
                  </w:r>
                  <w:r>
                    <w:rPr>
                      <w:rFonts w:hint="default"/>
                      <w:color w:val="auto"/>
                      <w:kern w:val="0"/>
                      <w:szCs w:val="21"/>
                    </w:rPr>
                    <w:t>市政污水管网，最终进入昆明市</w:t>
                  </w:r>
                  <w:r>
                    <w:rPr>
                      <w:rFonts w:hint="eastAsia"/>
                      <w:color w:val="auto"/>
                      <w:kern w:val="0"/>
                      <w:szCs w:val="21"/>
                      <w:lang w:eastAsia="zh-CN"/>
                    </w:rPr>
                    <w:t>第五水质净化厂处理</w:t>
                  </w:r>
                  <w:r>
                    <w:rPr>
                      <w:rFonts w:hint="default"/>
                      <w:color w:val="auto"/>
                      <w:kern w:val="0"/>
                      <w:szCs w:val="21"/>
                    </w:rPr>
                    <w:t>，不直接排入地表水体。</w:t>
                  </w:r>
                </w:p>
              </w:tc>
              <w:tc>
                <w:tcPr>
                  <w:tcW w:w="764" w:type="pct"/>
                  <w:vAlign w:val="center"/>
                </w:tcPr>
                <w:p w14:paraId="5CB20DD6">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否</w:t>
                  </w:r>
                </w:p>
              </w:tc>
            </w:tr>
            <w:tr w14:paraId="1962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14:paraId="1682DDDD">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环境风险</w:t>
                  </w:r>
                </w:p>
              </w:tc>
              <w:tc>
                <w:tcPr>
                  <w:tcW w:w="1803" w:type="pct"/>
                  <w:vAlign w:val="center"/>
                </w:tcPr>
                <w:p w14:paraId="41B81A60">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有毒有害和易燃易爆危险物质存储量超过临界量的建设项目。</w:t>
                  </w:r>
                </w:p>
              </w:tc>
              <w:tc>
                <w:tcPr>
                  <w:tcW w:w="1736" w:type="pct"/>
                  <w:vAlign w:val="center"/>
                </w:tcPr>
                <w:p w14:paraId="32A555FE">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项目涉及的有毒有害和易燃易爆物质储存量均未超过临界量。</w:t>
                  </w:r>
                </w:p>
              </w:tc>
              <w:tc>
                <w:tcPr>
                  <w:tcW w:w="764" w:type="pct"/>
                  <w:vAlign w:val="center"/>
                </w:tcPr>
                <w:p w14:paraId="402FE30D">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否</w:t>
                  </w:r>
                </w:p>
              </w:tc>
            </w:tr>
            <w:tr w14:paraId="7C8C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14:paraId="6D08F638">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生态</w:t>
                  </w:r>
                </w:p>
              </w:tc>
              <w:tc>
                <w:tcPr>
                  <w:tcW w:w="1803" w:type="pct"/>
                  <w:vAlign w:val="center"/>
                </w:tcPr>
                <w:p w14:paraId="211BBAB1">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取水口下游500米范围内有重要水生生物的自然产卵场、索饵场、越冬场和洄游通道的新增河道取水的污染类建设项目。</w:t>
                  </w:r>
                </w:p>
              </w:tc>
              <w:tc>
                <w:tcPr>
                  <w:tcW w:w="1736" w:type="pct"/>
                  <w:vAlign w:val="center"/>
                </w:tcPr>
                <w:p w14:paraId="6E86507E">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项目采用市政管网自来水供给，不涉及向河道取水。</w:t>
                  </w:r>
                </w:p>
              </w:tc>
              <w:tc>
                <w:tcPr>
                  <w:tcW w:w="764" w:type="pct"/>
                  <w:vAlign w:val="center"/>
                </w:tcPr>
                <w:p w14:paraId="264485CE">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否</w:t>
                  </w:r>
                </w:p>
              </w:tc>
            </w:tr>
            <w:tr w14:paraId="40EC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14:paraId="3441B37D">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海洋</w:t>
                  </w:r>
                </w:p>
              </w:tc>
              <w:tc>
                <w:tcPr>
                  <w:tcW w:w="1803" w:type="pct"/>
                  <w:vAlign w:val="center"/>
                </w:tcPr>
                <w:p w14:paraId="76E1640A">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直接向海排放污染物的海洋工程建设项目。</w:t>
                  </w:r>
                </w:p>
              </w:tc>
              <w:tc>
                <w:tcPr>
                  <w:tcW w:w="1736" w:type="pct"/>
                  <w:vAlign w:val="center"/>
                </w:tcPr>
                <w:p w14:paraId="0E237CD2">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项目不涉及向海排放污染物。</w:t>
                  </w:r>
                </w:p>
              </w:tc>
              <w:tc>
                <w:tcPr>
                  <w:tcW w:w="764" w:type="pct"/>
                  <w:vAlign w:val="center"/>
                </w:tcPr>
                <w:p w14:paraId="2BF03CA9">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否</w:t>
                  </w:r>
                </w:p>
              </w:tc>
            </w:tr>
          </w:tbl>
          <w:p w14:paraId="2F84C484">
            <w:pPr>
              <w:keepNext w:val="0"/>
              <w:keepLines w:val="0"/>
              <w:suppressLineNumbers w:val="0"/>
              <w:autoSpaceDE w:val="0"/>
              <w:autoSpaceDN w:val="0"/>
              <w:adjustRightInd w:val="0"/>
              <w:snapToGrid w:val="0"/>
              <w:spacing w:before="0" w:beforeAutospacing="0" w:after="0" w:afterAutospacing="0"/>
              <w:ind w:left="0" w:right="0"/>
              <w:jc w:val="center"/>
              <w:rPr>
                <w:rFonts w:hint="default" w:eastAsiaTheme="minorEastAsia"/>
                <w:color w:val="auto"/>
                <w:kern w:val="0"/>
                <w:sz w:val="24"/>
              </w:rPr>
            </w:pPr>
          </w:p>
        </w:tc>
      </w:tr>
      <w:tr w14:paraId="45C38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vAlign w:val="center"/>
          </w:tcPr>
          <w:p w14:paraId="54A643D2">
            <w:pPr>
              <w:keepNext w:val="0"/>
              <w:keepLines w:val="0"/>
              <w:suppressLineNumbers w:val="0"/>
              <w:autoSpaceDE w:val="0"/>
              <w:autoSpaceDN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sz w:val="24"/>
              </w:rPr>
              <w:t>规划情况</w:t>
            </w:r>
          </w:p>
        </w:tc>
        <w:tc>
          <w:tcPr>
            <w:tcW w:w="6872" w:type="dxa"/>
            <w:gridSpan w:val="3"/>
            <w:vAlign w:val="center"/>
          </w:tcPr>
          <w:p w14:paraId="6F0557D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eastAsiaTheme="minorEastAsia"/>
                <w:color w:val="auto"/>
                <w:kern w:val="0"/>
                <w:sz w:val="24"/>
              </w:rPr>
            </w:pPr>
            <w:r>
              <w:rPr>
                <w:rFonts w:hint="default" w:eastAsiaTheme="minorEastAsia"/>
                <w:color w:val="auto"/>
                <w:kern w:val="0"/>
                <w:sz w:val="24"/>
              </w:rPr>
              <w:t>无</w:t>
            </w:r>
          </w:p>
        </w:tc>
      </w:tr>
      <w:tr w14:paraId="5481D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998" w:type="dxa"/>
            <w:vAlign w:val="center"/>
          </w:tcPr>
          <w:p w14:paraId="03F7741B">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rPr>
            </w:pPr>
            <w:r>
              <w:rPr>
                <w:rFonts w:hint="default" w:eastAsiaTheme="minorEastAsia"/>
                <w:color w:val="auto"/>
                <w:sz w:val="24"/>
              </w:rPr>
              <w:t>规划环境影响</w:t>
            </w:r>
          </w:p>
          <w:p w14:paraId="0C42E0A2">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sz w:val="24"/>
              </w:rPr>
              <w:t>评价情况</w:t>
            </w:r>
          </w:p>
        </w:tc>
        <w:tc>
          <w:tcPr>
            <w:tcW w:w="6872" w:type="dxa"/>
            <w:gridSpan w:val="3"/>
            <w:vAlign w:val="center"/>
          </w:tcPr>
          <w:p w14:paraId="7FEAFE2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eastAsiaTheme="minorEastAsia"/>
                <w:color w:val="auto"/>
                <w:kern w:val="0"/>
                <w:sz w:val="24"/>
              </w:rPr>
            </w:pPr>
            <w:r>
              <w:rPr>
                <w:rFonts w:hint="default" w:eastAsiaTheme="minorEastAsia"/>
                <w:color w:val="auto"/>
                <w:kern w:val="0"/>
                <w:sz w:val="24"/>
              </w:rPr>
              <w:t>无</w:t>
            </w:r>
          </w:p>
        </w:tc>
      </w:tr>
      <w:tr w14:paraId="57F0CB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vAlign w:val="center"/>
          </w:tcPr>
          <w:p w14:paraId="55320CE5">
            <w:pPr>
              <w:keepNext w:val="0"/>
              <w:keepLines w:val="0"/>
              <w:suppressLineNumbers w:val="0"/>
              <w:autoSpaceDE w:val="0"/>
              <w:autoSpaceDN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规划及规划环境</w:t>
            </w:r>
          </w:p>
          <w:p w14:paraId="3118AC78">
            <w:pPr>
              <w:keepNext w:val="0"/>
              <w:keepLines w:val="0"/>
              <w:suppressLineNumbers w:val="0"/>
              <w:autoSpaceDE w:val="0"/>
              <w:autoSpaceDN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影响评价符合性分析</w:t>
            </w:r>
          </w:p>
        </w:tc>
        <w:tc>
          <w:tcPr>
            <w:tcW w:w="6872" w:type="dxa"/>
            <w:gridSpan w:val="3"/>
            <w:vAlign w:val="center"/>
          </w:tcPr>
          <w:p w14:paraId="6D16522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auto"/>
                <w:kern w:val="0"/>
                <w:sz w:val="24"/>
              </w:rPr>
            </w:pPr>
            <w:r>
              <w:rPr>
                <w:rFonts w:hint="default" w:eastAsiaTheme="minorEastAsia"/>
                <w:color w:val="auto"/>
                <w:kern w:val="0"/>
                <w:sz w:val="24"/>
              </w:rPr>
              <w:t>无</w:t>
            </w:r>
          </w:p>
        </w:tc>
      </w:tr>
      <w:tr w14:paraId="1C9DE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vAlign w:val="center"/>
          </w:tcPr>
          <w:p w14:paraId="09CE6F58">
            <w:pPr>
              <w:keepNext w:val="0"/>
              <w:keepLines w:val="0"/>
              <w:suppressLineNumbers w:val="0"/>
              <w:autoSpaceDE w:val="0"/>
              <w:autoSpaceDN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其他符合性分析</w:t>
            </w:r>
          </w:p>
        </w:tc>
        <w:tc>
          <w:tcPr>
            <w:tcW w:w="6872" w:type="dxa"/>
            <w:gridSpan w:val="3"/>
            <w:vAlign w:val="center"/>
          </w:tcPr>
          <w:p w14:paraId="44270413">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1. 产业政策符合性分析</w:t>
            </w:r>
          </w:p>
          <w:p w14:paraId="7A7A81C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eastAsiaTheme="minorEastAsia"/>
                <w:color w:val="auto"/>
                <w:kern w:val="0"/>
                <w:sz w:val="24"/>
              </w:rPr>
              <w:t>本项目</w:t>
            </w:r>
            <w:r>
              <w:rPr>
                <w:rFonts w:hint="eastAsia" w:eastAsiaTheme="minorEastAsia"/>
                <w:color w:val="auto"/>
                <w:kern w:val="0"/>
                <w:sz w:val="24"/>
                <w:lang w:val="en-US" w:eastAsia="zh-CN"/>
              </w:rPr>
              <w:t>为专业实验室，</w:t>
            </w:r>
            <w:r>
              <w:rPr>
                <w:rFonts w:hint="default" w:eastAsiaTheme="minorEastAsia"/>
                <w:color w:val="auto"/>
                <w:kern w:val="0"/>
                <w:sz w:val="24"/>
              </w:rPr>
              <w:t>属于“M745</w:t>
            </w:r>
            <w:r>
              <w:rPr>
                <w:rFonts w:hint="eastAsia" w:eastAsiaTheme="minorEastAsia"/>
                <w:color w:val="auto"/>
                <w:kern w:val="0"/>
                <w:sz w:val="24"/>
                <w:lang w:val="en-US" w:eastAsia="zh-CN"/>
              </w:rPr>
              <w:t>2检测</w:t>
            </w:r>
            <w:r>
              <w:rPr>
                <w:rFonts w:hint="default" w:eastAsiaTheme="minorEastAsia"/>
                <w:color w:val="auto"/>
                <w:kern w:val="0"/>
                <w:sz w:val="24"/>
              </w:rPr>
              <w:t>服务”：指依据相关标准或者技术规范，利用仪器设备、环境设施等技术条件，对产品或者特定对象进行的技术判断，根据</w:t>
            </w:r>
            <w:r>
              <w:rPr>
                <w:rFonts w:hint="default"/>
                <w:color w:val="auto"/>
                <w:kern w:val="0"/>
                <w:sz w:val="24"/>
              </w:rPr>
              <w:t>《产业结构调整指导目录（2019年本）》（2020年1月1日执行），项目属于第一类鼓励类三十一条“科技服务业”中的“6、分析、试验、测试以及相关技术咨询与研发服务”，符合国家产业政策。</w:t>
            </w:r>
          </w:p>
          <w:p w14:paraId="4250E9FE">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2. 与昆明市人民政府关于昆明市“三线一单”生态环境分区管控的实施意见、</w:t>
            </w:r>
            <w:r>
              <w:rPr>
                <w:rFonts w:hint="default"/>
                <w:b/>
                <w:color w:val="auto"/>
                <w:sz w:val="24"/>
              </w:rPr>
              <w:t>昆明市环境管控单元生态环境准入清单</w:t>
            </w:r>
            <w:r>
              <w:rPr>
                <w:rFonts w:hint="default"/>
                <w:b/>
                <w:color w:val="auto"/>
                <w:kern w:val="0"/>
                <w:sz w:val="24"/>
              </w:rPr>
              <w:t>相符性分析</w:t>
            </w:r>
          </w:p>
          <w:p w14:paraId="475AF3F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2021年11月23日，昆明市人民政府发布了“昆明市人民政府关于昆明市‘三线一单’生态环境分区管控的实施意见”（昆政发[2021]21号），该意见中关于生态保护红线、环境质量底线、资源利用上线、生态环境准入清单及生态环境分区管控体系的基本情况及符合性分析见表1-2。</w:t>
            </w:r>
          </w:p>
          <w:p w14:paraId="6F1A027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根据昆明市环境管控单元分类图（附图</w:t>
            </w:r>
            <w:r>
              <w:rPr>
                <w:rFonts w:hint="eastAsia"/>
                <w:color w:val="auto"/>
                <w:kern w:val="0"/>
                <w:sz w:val="24"/>
                <w:lang w:val="en-US" w:eastAsia="zh-CN"/>
              </w:rPr>
              <w:t>6</w:t>
            </w:r>
            <w:r>
              <w:rPr>
                <w:rFonts w:hint="default"/>
                <w:color w:val="auto"/>
                <w:kern w:val="0"/>
                <w:sz w:val="24"/>
              </w:rPr>
              <w:t>），本项目位于盘龙区县城重点管控单元，项目与管控单元环境准入清单符合性分析见下表1-2。</w:t>
            </w:r>
          </w:p>
          <w:p w14:paraId="32E5AA30">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表1-2   与“昆明市人民政府关于昆明市“三线一单”生态环境分区管控的实施意见”、“</w:t>
            </w:r>
            <w:r>
              <w:rPr>
                <w:rFonts w:hint="default"/>
                <w:b/>
                <w:color w:val="auto"/>
                <w:szCs w:val="21"/>
              </w:rPr>
              <w:t>昆明市环境管控单元生态环境准入清单</w:t>
            </w:r>
            <w:r>
              <w:rPr>
                <w:rFonts w:hint="default"/>
                <w:b/>
                <w:color w:val="auto"/>
                <w:kern w:val="0"/>
                <w:szCs w:val="21"/>
              </w:rPr>
              <w:t>”相符性分析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2835"/>
              <w:gridCol w:w="2126"/>
              <w:gridCol w:w="659"/>
            </w:tblGrid>
            <w:tr w14:paraId="282D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Align w:val="center"/>
                </w:tcPr>
                <w:p w14:paraId="2CD71527">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类别</w:t>
                  </w:r>
                </w:p>
              </w:tc>
              <w:tc>
                <w:tcPr>
                  <w:tcW w:w="2835" w:type="dxa"/>
                  <w:vAlign w:val="center"/>
                </w:tcPr>
                <w:p w14:paraId="65395804">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文件要求</w:t>
                  </w:r>
                </w:p>
              </w:tc>
              <w:tc>
                <w:tcPr>
                  <w:tcW w:w="2126" w:type="dxa"/>
                  <w:vAlign w:val="center"/>
                </w:tcPr>
                <w:p w14:paraId="625DAB07">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bCs/>
                      <w:color w:val="auto"/>
                      <w:szCs w:val="21"/>
                    </w:rPr>
                    <w:t>本项目情况</w:t>
                  </w:r>
                </w:p>
              </w:tc>
              <w:tc>
                <w:tcPr>
                  <w:tcW w:w="659" w:type="dxa"/>
                  <w:vAlign w:val="center"/>
                </w:tcPr>
                <w:p w14:paraId="5F3A807C">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相符性</w:t>
                  </w:r>
                </w:p>
              </w:tc>
            </w:tr>
            <w:tr w14:paraId="07C5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Align w:val="center"/>
                </w:tcPr>
                <w:p w14:paraId="400B4BD1">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生态保护红线和一般生态空间</w:t>
                  </w:r>
                </w:p>
              </w:tc>
              <w:tc>
                <w:tcPr>
                  <w:tcW w:w="2835" w:type="dxa"/>
                  <w:vAlign w:val="center"/>
                </w:tcPr>
                <w:p w14:paraId="24AD1320">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14:paraId="37E81AB2">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立足已形成的生态保护红线划定工作成果，遵循生态优先原则，将未划入生态保护 红线的自然保护地、饮用水水源保护区、重要湿地、基本草原、生态公益林、天然林等生态功能重要、生态环境敏感区域划为一般生态空间，全市一般生态空间面积为4606.43平方公里，占全市国土面积的21.92%。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 上按照原管控要求进行管理，其他一般生态空间根据用途分区，依法依规进行生态环境管控。</w:t>
                  </w:r>
                </w:p>
              </w:tc>
              <w:tc>
                <w:tcPr>
                  <w:tcW w:w="2126" w:type="dxa"/>
                  <w:vAlign w:val="center"/>
                </w:tcPr>
                <w:p w14:paraId="56BFDED2">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根据《昆明市人民政府关于昆明市“三线一单”生态环境分区管控的实施意见》，昆明市生态保护红线执行云南省人民政府发布的《云南省生态保护红线》。项目位于</w:t>
                  </w:r>
                  <w:r>
                    <w:rPr>
                      <w:rFonts w:hint="default"/>
                      <w:color w:val="auto"/>
                      <w:szCs w:val="21"/>
                    </w:rPr>
                    <w:t>昆明市盘龙区茨坝街道昆机社区龙泉路714号附1号（昆明机床厂劳动服务公司</w:t>
                  </w:r>
                  <w:r>
                    <w:rPr>
                      <w:rFonts w:hint="eastAsia"/>
                      <w:color w:val="auto"/>
                      <w:szCs w:val="21"/>
                      <w:lang w:val="en-US" w:eastAsia="zh-CN"/>
                    </w:rPr>
                    <w:t>内</w:t>
                  </w:r>
                  <w:r>
                    <w:rPr>
                      <w:rFonts w:hint="default"/>
                      <w:color w:val="auto"/>
                      <w:szCs w:val="21"/>
                    </w:rPr>
                    <w:t>）</w:t>
                  </w:r>
                  <w:r>
                    <w:rPr>
                      <w:rFonts w:hint="default"/>
                      <w:color w:val="auto"/>
                      <w:kern w:val="0"/>
                      <w:szCs w:val="21"/>
                    </w:rPr>
                    <w:t>，不在生态保护红线范围内。</w:t>
                  </w:r>
                </w:p>
              </w:tc>
              <w:tc>
                <w:tcPr>
                  <w:tcW w:w="659" w:type="dxa"/>
                  <w:vAlign w:val="center"/>
                </w:tcPr>
                <w:p w14:paraId="2B7EC21B">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符合</w:t>
                  </w:r>
                </w:p>
              </w:tc>
            </w:tr>
            <w:tr w14:paraId="79E7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Align w:val="center"/>
                </w:tcPr>
                <w:p w14:paraId="40F03942">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环境质量底线</w:t>
                  </w:r>
                </w:p>
              </w:tc>
              <w:tc>
                <w:tcPr>
                  <w:tcW w:w="2835" w:type="dxa"/>
                  <w:vAlign w:val="center"/>
                </w:tcPr>
                <w:p w14:paraId="3536664A">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到2025年，全市生态环境质量持续改善，生态空间得到优化和有效保护，区域生态安全屏障更加牢固。全市环境空气质量总体保持优良，主城建成区空气质量优良天数占比达99%以上，二氧化硫（SO</w:t>
                  </w:r>
                  <w:r>
                    <w:rPr>
                      <w:rFonts w:hint="default"/>
                      <w:color w:val="auto"/>
                      <w:kern w:val="0"/>
                      <w:szCs w:val="21"/>
                      <w:vertAlign w:val="subscript"/>
                    </w:rPr>
                    <w:t>2</w:t>
                  </w:r>
                  <w:r>
                    <w:rPr>
                      <w:rFonts w:hint="default"/>
                      <w:color w:val="auto"/>
                      <w:kern w:val="0"/>
                      <w:szCs w:val="21"/>
                    </w:rPr>
                    <w:t>）和氮氧化物（NOx）排放总量控制在省下达的目标以内，主城区空气中颗粒物（PM</w:t>
                  </w:r>
                  <w:r>
                    <w:rPr>
                      <w:rFonts w:hint="default"/>
                      <w:color w:val="auto"/>
                      <w:kern w:val="0"/>
                      <w:szCs w:val="21"/>
                      <w:vertAlign w:val="subscript"/>
                    </w:rPr>
                    <w:t>10</w:t>
                  </w:r>
                  <w:r>
                    <w:rPr>
                      <w:rFonts w:hint="default"/>
                      <w:color w:val="auto"/>
                      <w:kern w:val="0"/>
                      <w:szCs w:val="21"/>
                    </w:rPr>
                    <w:t>、PM</w:t>
                  </w:r>
                  <w:r>
                    <w:rPr>
                      <w:rFonts w:hint="default"/>
                      <w:color w:val="auto"/>
                      <w:kern w:val="0"/>
                      <w:szCs w:val="21"/>
                      <w:vertAlign w:val="subscript"/>
                    </w:rPr>
                    <w:t>2.5</w:t>
                  </w:r>
                  <w:r>
                    <w:rPr>
                      <w:rFonts w:hint="default"/>
                      <w:color w:val="auto"/>
                      <w:kern w:val="0"/>
                      <w:szCs w:val="21"/>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 得到基本管控。污染地块安全利用率、耕地土壤环境质量达到国家和云南省考核要求。</w:t>
                  </w:r>
                </w:p>
                <w:p w14:paraId="511BE3D5">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2126" w:type="dxa"/>
                  <w:vAlign w:val="center"/>
                </w:tcPr>
                <w:p w14:paraId="41AC3056">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根据环境质量调查，项目所在区域的环境空气、地表水、声环境等环境现状均能满足相应的标准要求。项目建成运营后建设单位在严格采取本环评所提措施后，项目不会改变区域环境功能，符合环境质量底线要求，因此项目所在区域环境质量良好，未超出环境质量底线。</w:t>
                  </w:r>
                </w:p>
              </w:tc>
              <w:tc>
                <w:tcPr>
                  <w:tcW w:w="659" w:type="dxa"/>
                  <w:vAlign w:val="center"/>
                </w:tcPr>
                <w:p w14:paraId="281248FA">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p>
              </w:tc>
            </w:tr>
            <w:tr w14:paraId="5609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Align w:val="center"/>
                </w:tcPr>
                <w:p w14:paraId="0B6591FD">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资源利用上线</w:t>
                  </w:r>
                </w:p>
              </w:tc>
              <w:tc>
                <w:tcPr>
                  <w:tcW w:w="2835" w:type="dxa"/>
                  <w:vAlign w:val="center"/>
                </w:tcPr>
                <w:p w14:paraId="6E613584">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126" w:type="dxa"/>
                  <w:vAlign w:val="center"/>
                </w:tcPr>
                <w:p w14:paraId="4EAE04FE">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项目位于</w:t>
                  </w:r>
                  <w:r>
                    <w:rPr>
                      <w:rFonts w:hint="default"/>
                      <w:color w:val="auto"/>
                    </w:rPr>
                    <w:t>昆明机床厂劳动服务公司</w:t>
                  </w:r>
                  <w:r>
                    <w:rPr>
                      <w:rFonts w:hint="default"/>
                      <w:color w:val="auto"/>
                      <w:kern w:val="0"/>
                      <w:szCs w:val="21"/>
                    </w:rPr>
                    <w:t>内，不新增占地，不涉及基本农田。项目运营过程中消耗一定量的电源、水源等能源，项目资源消耗量相对区域利用总量较少，因此，项目符合资源利用上限要求。</w:t>
                  </w:r>
                </w:p>
              </w:tc>
              <w:tc>
                <w:tcPr>
                  <w:tcW w:w="659" w:type="dxa"/>
                  <w:vAlign w:val="center"/>
                </w:tcPr>
                <w:p w14:paraId="5ACE5DE4">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符合</w:t>
                  </w:r>
                </w:p>
              </w:tc>
            </w:tr>
            <w:tr w14:paraId="2EB1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restart"/>
                  <w:vAlign w:val="center"/>
                </w:tcPr>
                <w:p w14:paraId="082A2B97">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盘龙区县城重点管控单元生态环境准入清单</w:t>
                  </w:r>
                </w:p>
              </w:tc>
              <w:tc>
                <w:tcPr>
                  <w:tcW w:w="2835" w:type="dxa"/>
                  <w:vAlign w:val="center"/>
                </w:tcPr>
                <w:p w14:paraId="10C68765">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b/>
                      <w:color w:val="auto"/>
                      <w:kern w:val="0"/>
                      <w:szCs w:val="21"/>
                    </w:rPr>
                    <w:t>污染物排放管控：</w:t>
                  </w:r>
                  <w:r>
                    <w:rPr>
                      <w:rFonts w:hint="default"/>
                      <w:color w:val="auto"/>
                      <w:szCs w:val="21"/>
                    </w:rPr>
                    <w:t>1.大气环境质量保持在国家大气环境质量二级标准以内。2.加强施工工地的扬尘控制和移动源大气环境污染管理；加强对汽车尾气综合处理，减轻汽车尾气污染和光化学污染。3.城市污水管网尚未配套的地区，房地产开发项目应自行建设污水处理设施，污水处理后达标排放。4.完善生活污水收集处理系统，改造截污干管，杜绝生活污水直接进入城区河道及湖库，生活污水集中处理率达到95%以上。5.按国家、省、市相关标准要求建设、改造、提升满足实际需求的生活垃圾处理厂（场）、粪便处理厂、厨余垃圾处理厂、建筑垃圾（渣土）处理场、垃圾转运站、公共厕所、生活垃圾分类设施等环卫基础设施。</w:t>
                  </w:r>
                </w:p>
              </w:tc>
              <w:tc>
                <w:tcPr>
                  <w:tcW w:w="2126" w:type="dxa"/>
                  <w:vAlign w:val="center"/>
                </w:tcPr>
                <w:p w14:paraId="453BCCBA">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本项目属于实验室项目，不属于管控要求中所列出的限制发展项目。</w:t>
                  </w:r>
                </w:p>
              </w:tc>
              <w:tc>
                <w:tcPr>
                  <w:tcW w:w="659" w:type="dxa"/>
                  <w:vAlign w:val="center"/>
                </w:tcPr>
                <w:p w14:paraId="447E9C2C">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符合</w:t>
                  </w:r>
                </w:p>
              </w:tc>
            </w:tr>
            <w:tr w14:paraId="6F66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vAlign w:val="center"/>
                </w:tcPr>
                <w:p w14:paraId="214DDAD0">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p>
              </w:tc>
              <w:tc>
                <w:tcPr>
                  <w:tcW w:w="2835" w:type="dxa"/>
                  <w:vAlign w:val="center"/>
                </w:tcPr>
                <w:p w14:paraId="3BF93D6A">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b/>
                      <w:color w:val="auto"/>
                      <w:kern w:val="0"/>
                      <w:szCs w:val="21"/>
                    </w:rPr>
                    <w:t>环境风险管控：</w:t>
                  </w:r>
                  <w:r>
                    <w:rPr>
                      <w:rFonts w:hint="default"/>
                      <w:bCs/>
                      <w:color w:val="auto"/>
                      <w:kern w:val="0"/>
                      <w:szCs w:val="21"/>
                    </w:rPr>
                    <w:t>1.危险废物必须进行集中处置。收集、贮存危险废物，必须按照危险废物标准进行分类，禁止混合收集、贮存、运输、处置性质不相同而未经安全性处置的危险废物，禁止将危险废物混入非危险废物中贮存。2.运输危险废物，必须采取防止污染环境的措施，并遵守国家有关危险废物运输管理的规定。</w:t>
                  </w:r>
                </w:p>
              </w:tc>
              <w:tc>
                <w:tcPr>
                  <w:tcW w:w="2126" w:type="dxa"/>
                  <w:vAlign w:val="center"/>
                </w:tcPr>
                <w:p w14:paraId="4100C25A">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rPr>
                    <w:t>本项目产生的危险废物分类储存于专用容器内，暂存在危废暂存间内，委托有资质的单位定期处置。危废暂存间严格按照</w:t>
                  </w:r>
                  <w:r>
                    <w:rPr>
                      <w:rFonts w:hint="eastAsia"/>
                      <w:color w:val="auto"/>
                      <w:kern w:val="0"/>
                      <w:sz w:val="21"/>
                      <w:szCs w:val="21"/>
                    </w:rPr>
                    <w:t>《</w:t>
                  </w:r>
                  <w:r>
                    <w:rPr>
                      <w:rFonts w:hint="default"/>
                      <w:color w:val="auto"/>
                      <w:kern w:val="0"/>
                      <w:sz w:val="21"/>
                      <w:szCs w:val="21"/>
                    </w:rPr>
                    <w:t>危险废物贮存污染控制标准</w:t>
                  </w:r>
                  <w:r>
                    <w:rPr>
                      <w:rFonts w:hint="eastAsia"/>
                      <w:color w:val="auto"/>
                      <w:kern w:val="0"/>
                      <w:sz w:val="21"/>
                      <w:szCs w:val="21"/>
                    </w:rPr>
                    <w:t>》（GB18597-2023）</w:t>
                  </w:r>
                  <w:r>
                    <w:rPr>
                      <w:rFonts w:hint="default"/>
                      <w:color w:val="auto"/>
                    </w:rPr>
                    <w:t>要求进行建设。项目运营期应按照相关法律法规的要求加强危险废物管理，建立台账，严格执行危险废物转移联单制度。</w:t>
                  </w:r>
                </w:p>
              </w:tc>
              <w:tc>
                <w:tcPr>
                  <w:tcW w:w="659" w:type="dxa"/>
                  <w:vAlign w:val="center"/>
                </w:tcPr>
                <w:p w14:paraId="5B024DDE">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符合</w:t>
                  </w:r>
                </w:p>
              </w:tc>
            </w:tr>
            <w:tr w14:paraId="2D2C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vAlign w:val="center"/>
                </w:tcPr>
                <w:p w14:paraId="71D27734">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p>
              </w:tc>
              <w:tc>
                <w:tcPr>
                  <w:tcW w:w="2835" w:type="dxa"/>
                  <w:vAlign w:val="center"/>
                </w:tcPr>
                <w:p w14:paraId="15B49377">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b/>
                      <w:color w:val="auto"/>
                      <w:kern w:val="0"/>
                      <w:szCs w:val="21"/>
                    </w:rPr>
                    <w:t>资源开发效率要求：</w:t>
                  </w:r>
                  <w:r>
                    <w:rPr>
                      <w:rFonts w:hint="default"/>
                      <w:color w:val="auto"/>
                      <w:kern w:val="0"/>
                      <w:szCs w:val="21"/>
                    </w:rPr>
                    <w:t>主要可再生资源回收利用率≥80%。</w:t>
                  </w:r>
                </w:p>
              </w:tc>
              <w:tc>
                <w:tcPr>
                  <w:tcW w:w="2126" w:type="dxa"/>
                  <w:vAlign w:val="center"/>
                </w:tcPr>
                <w:p w14:paraId="7CBF745F">
                  <w:pPr>
                    <w:keepNext w:val="0"/>
                    <w:keepLines w:val="0"/>
                    <w:suppressLineNumbers w:val="0"/>
                    <w:autoSpaceDE w:val="0"/>
                    <w:autoSpaceDN w:val="0"/>
                    <w:adjustRightInd w:val="0"/>
                    <w:snapToGrid w:val="0"/>
                    <w:spacing w:before="0" w:beforeAutospacing="0" w:after="0" w:afterAutospacing="0"/>
                    <w:ind w:left="0" w:right="0"/>
                    <w:rPr>
                      <w:rFonts w:hint="default"/>
                      <w:color w:val="auto"/>
                      <w:kern w:val="0"/>
                      <w:szCs w:val="21"/>
                    </w:rPr>
                  </w:pPr>
                  <w:r>
                    <w:rPr>
                      <w:rFonts w:hint="default"/>
                      <w:color w:val="auto"/>
                      <w:kern w:val="0"/>
                      <w:szCs w:val="21"/>
                    </w:rPr>
                    <w:t>项目所用能源为电能，为清洁能源，不使用燃煤、燃油等。项目运营期产生的固废分类进行收集，可回收部分外售回收利用。</w:t>
                  </w:r>
                </w:p>
              </w:tc>
              <w:tc>
                <w:tcPr>
                  <w:tcW w:w="659" w:type="dxa"/>
                  <w:vAlign w:val="center"/>
                </w:tcPr>
                <w:p w14:paraId="4BDE4F20">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符合</w:t>
                  </w:r>
                </w:p>
              </w:tc>
            </w:tr>
          </w:tbl>
          <w:p w14:paraId="54AA6AC6">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综上所述，项目的建设符合“三线一单”要求。</w:t>
            </w:r>
          </w:p>
          <w:p w14:paraId="2BF86036">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3. 与《云南省滇池保护条例》符合性分析</w:t>
            </w:r>
          </w:p>
          <w:p w14:paraId="44DFDF15">
            <w:pPr>
              <w:keepNext w:val="0"/>
              <w:keepLines w:val="0"/>
              <w:suppressLineNumbers w:val="0"/>
              <w:snapToGrid w:val="0"/>
              <w:spacing w:before="0" w:beforeAutospacing="0" w:after="0" w:afterAutospacing="0" w:line="360" w:lineRule="auto"/>
              <w:ind w:left="0" w:right="0" w:firstLine="480" w:firstLineChars="200"/>
              <w:rPr>
                <w:rFonts w:hint="default"/>
                <w:bCs/>
                <w:color w:val="auto"/>
                <w:kern w:val="0"/>
                <w:sz w:val="24"/>
                <w:szCs w:val="21"/>
              </w:rPr>
            </w:pPr>
            <w:r>
              <w:rPr>
                <w:rFonts w:hint="default"/>
                <w:bCs/>
                <w:color w:val="auto"/>
                <w:kern w:val="0"/>
                <w:sz w:val="24"/>
                <w:szCs w:val="21"/>
              </w:rPr>
              <w:t>根据《云南省滇池保护条例》（2018年11月29日云南省第十三届人民代表大会常务委员会第七次会议通过），滇池保护范围分为下列一、二、三级保护区：</w:t>
            </w:r>
          </w:p>
          <w:p w14:paraId="205E3D24">
            <w:pPr>
              <w:keepNext w:val="0"/>
              <w:keepLines w:val="0"/>
              <w:suppressLineNumbers w:val="0"/>
              <w:snapToGrid w:val="0"/>
              <w:spacing w:before="0" w:beforeAutospacing="0" w:after="0" w:afterAutospacing="0" w:line="360" w:lineRule="auto"/>
              <w:ind w:left="0" w:right="0" w:firstLine="480" w:firstLineChars="200"/>
              <w:rPr>
                <w:rFonts w:hint="default"/>
                <w:bCs/>
                <w:color w:val="auto"/>
                <w:kern w:val="0"/>
                <w:sz w:val="24"/>
                <w:szCs w:val="21"/>
              </w:rPr>
            </w:pPr>
            <w:r>
              <w:rPr>
                <w:rFonts w:hint="default"/>
                <w:bCs/>
                <w:color w:val="auto"/>
                <w:kern w:val="0"/>
                <w:sz w:val="24"/>
                <w:szCs w:val="21"/>
              </w:rPr>
              <w:t>一级保护区，指滇池水域以及保护界桩向外水平延伸100米以内的区域，但保护界桩在环湖路（不含水体上的桥梁）以外的，以环湖路以内的路缘线为界；</w:t>
            </w:r>
          </w:p>
          <w:p w14:paraId="4AE90F44">
            <w:pPr>
              <w:keepNext w:val="0"/>
              <w:keepLines w:val="0"/>
              <w:suppressLineNumbers w:val="0"/>
              <w:snapToGrid w:val="0"/>
              <w:spacing w:before="0" w:beforeAutospacing="0" w:after="0" w:afterAutospacing="0" w:line="360" w:lineRule="auto"/>
              <w:ind w:left="0" w:right="0" w:firstLine="480" w:firstLineChars="200"/>
              <w:rPr>
                <w:rFonts w:hint="default"/>
                <w:bCs/>
                <w:color w:val="auto"/>
                <w:kern w:val="0"/>
                <w:sz w:val="24"/>
                <w:szCs w:val="21"/>
              </w:rPr>
            </w:pPr>
            <w:r>
              <w:rPr>
                <w:rFonts w:hint="default"/>
                <w:bCs/>
                <w:color w:val="auto"/>
                <w:kern w:val="0"/>
                <w:sz w:val="24"/>
                <w:szCs w:val="21"/>
              </w:rPr>
              <w:t>二级保护区，指一级保护区以外至滇池面山以内的城市规划确定的禁止建设区和限制建设区，以及主要入湖河道两侧沿地表向外水平延伸50米以内的区域；</w:t>
            </w:r>
          </w:p>
          <w:p w14:paraId="025059E7">
            <w:pPr>
              <w:keepNext w:val="0"/>
              <w:keepLines w:val="0"/>
              <w:suppressLineNumbers w:val="0"/>
              <w:snapToGrid w:val="0"/>
              <w:spacing w:before="0" w:beforeAutospacing="0" w:after="0" w:afterAutospacing="0" w:line="360" w:lineRule="auto"/>
              <w:ind w:left="0" w:right="0" w:firstLine="480" w:firstLineChars="200"/>
              <w:rPr>
                <w:rFonts w:hint="default"/>
                <w:bCs/>
                <w:color w:val="auto"/>
                <w:kern w:val="0"/>
                <w:sz w:val="24"/>
                <w:szCs w:val="21"/>
              </w:rPr>
            </w:pPr>
            <w:r>
              <w:rPr>
                <w:rFonts w:hint="default"/>
                <w:bCs/>
                <w:color w:val="auto"/>
                <w:kern w:val="0"/>
                <w:sz w:val="24"/>
                <w:szCs w:val="21"/>
              </w:rPr>
              <w:t>三级保护区，指一、二级保护区以外，滇池流域分水岭以内的区域。</w:t>
            </w:r>
          </w:p>
          <w:p w14:paraId="702A99AF">
            <w:pPr>
              <w:keepNext w:val="0"/>
              <w:keepLines w:val="0"/>
              <w:suppressLineNumbers w:val="0"/>
              <w:snapToGrid w:val="0"/>
              <w:spacing w:before="0" w:beforeAutospacing="0" w:after="0" w:afterAutospacing="0" w:line="360" w:lineRule="auto"/>
              <w:ind w:left="0" w:right="0" w:firstLine="480" w:firstLineChars="200"/>
              <w:rPr>
                <w:rFonts w:hint="default"/>
                <w:bCs/>
                <w:color w:val="auto"/>
                <w:kern w:val="0"/>
                <w:sz w:val="24"/>
                <w:szCs w:val="21"/>
              </w:rPr>
            </w:pPr>
            <w:r>
              <w:rPr>
                <w:rFonts w:hint="default"/>
                <w:bCs/>
                <w:color w:val="auto"/>
                <w:kern w:val="0"/>
                <w:sz w:val="24"/>
                <w:szCs w:val="21"/>
              </w:rPr>
              <w:t>本项目位于</w:t>
            </w:r>
            <w:r>
              <w:rPr>
                <w:rFonts w:hint="default"/>
                <w:color w:val="auto"/>
                <w:sz w:val="24"/>
              </w:rPr>
              <w:t>昆明市盘龙区茨坝街道昆机社区龙泉路714号附1号（昆明机床厂劳动服务公司</w:t>
            </w:r>
            <w:r>
              <w:rPr>
                <w:rFonts w:hint="eastAsia"/>
                <w:color w:val="auto"/>
                <w:sz w:val="24"/>
                <w:lang w:val="en-US" w:eastAsia="zh-CN"/>
              </w:rPr>
              <w:t>内</w:t>
            </w:r>
            <w:r>
              <w:rPr>
                <w:rFonts w:hint="default"/>
                <w:color w:val="auto"/>
                <w:sz w:val="24"/>
              </w:rPr>
              <w:t>）</w:t>
            </w:r>
            <w:r>
              <w:rPr>
                <w:rFonts w:hint="default"/>
                <w:bCs/>
                <w:color w:val="auto"/>
                <w:kern w:val="0"/>
                <w:sz w:val="24"/>
                <w:szCs w:val="21"/>
              </w:rPr>
              <w:t>，根据《云南滇池保护条例》和项目与滇池分级保护范围位置关系图（附图6），可知本项目位于滇池保护区的三级保护区，项目建设范围不涉及城镇饮用水源保护区。</w:t>
            </w:r>
          </w:p>
          <w:p w14:paraId="1DCE2C87">
            <w:pPr>
              <w:keepNext w:val="0"/>
              <w:keepLines w:val="0"/>
              <w:suppressLineNumbers w:val="0"/>
              <w:snapToGrid w:val="0"/>
              <w:spacing w:before="0" w:beforeAutospacing="0" w:after="0" w:afterAutospacing="0" w:line="360" w:lineRule="auto"/>
              <w:ind w:left="0" w:right="0" w:firstLine="480" w:firstLineChars="200"/>
              <w:rPr>
                <w:rFonts w:hint="default"/>
                <w:bCs/>
                <w:color w:val="auto"/>
                <w:kern w:val="0"/>
                <w:sz w:val="24"/>
                <w:szCs w:val="21"/>
              </w:rPr>
            </w:pPr>
            <w:r>
              <w:rPr>
                <w:rFonts w:hint="default"/>
                <w:bCs/>
                <w:color w:val="auto"/>
                <w:kern w:val="0"/>
                <w:sz w:val="24"/>
                <w:szCs w:val="21"/>
              </w:rPr>
              <w:t>本项目与《云南滇池保护条例》符合性分析见下表。</w:t>
            </w:r>
          </w:p>
          <w:p w14:paraId="426ACD4E">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表1-3   与《云南省滇池保护条例》符合性分析</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2411"/>
              <w:gridCol w:w="2855"/>
              <w:gridCol w:w="789"/>
            </w:tblGrid>
            <w:tr w14:paraId="630F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5" w:type="pct"/>
                  <w:vAlign w:val="center"/>
                </w:tcPr>
                <w:p w14:paraId="483A6C08">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序号</w:t>
                  </w:r>
                </w:p>
              </w:tc>
              <w:tc>
                <w:tcPr>
                  <w:tcW w:w="1813" w:type="pct"/>
                  <w:vAlign w:val="center"/>
                </w:tcPr>
                <w:p w14:paraId="4CB815F5">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保护区禁止行为</w:t>
                  </w:r>
                </w:p>
              </w:tc>
              <w:tc>
                <w:tcPr>
                  <w:tcW w:w="2147" w:type="pct"/>
                  <w:vAlign w:val="center"/>
                </w:tcPr>
                <w:p w14:paraId="77ADE463">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本项目情况</w:t>
                  </w:r>
                </w:p>
              </w:tc>
              <w:tc>
                <w:tcPr>
                  <w:tcW w:w="593" w:type="pct"/>
                  <w:vAlign w:val="center"/>
                </w:tcPr>
                <w:p w14:paraId="3634DFED">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符合性</w:t>
                  </w:r>
                </w:p>
              </w:tc>
            </w:tr>
            <w:tr w14:paraId="13BD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010FD9A3">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color w:val="auto"/>
                      <w:szCs w:val="21"/>
                    </w:rPr>
                    <w:t>1</w:t>
                  </w:r>
                </w:p>
              </w:tc>
              <w:tc>
                <w:tcPr>
                  <w:tcW w:w="1813" w:type="pct"/>
                  <w:vAlign w:val="center"/>
                </w:tcPr>
                <w:p w14:paraId="7064D31A">
                  <w:pPr>
                    <w:keepNext w:val="0"/>
                    <w:keepLines w:val="0"/>
                    <w:suppressLineNumbers w:val="0"/>
                    <w:autoSpaceDE w:val="0"/>
                    <w:autoSpaceDN w:val="0"/>
                    <w:adjustRightInd w:val="0"/>
                    <w:snapToGrid w:val="0"/>
                    <w:spacing w:before="0" w:beforeAutospacing="0" w:after="0" w:afterAutospacing="0"/>
                    <w:ind w:left="0" w:right="0"/>
                    <w:rPr>
                      <w:rFonts w:hint="default"/>
                      <w:color w:val="auto"/>
                      <w:szCs w:val="21"/>
                    </w:rPr>
                  </w:pPr>
                  <w:r>
                    <w:rPr>
                      <w:rFonts w:hint="default"/>
                      <w:color w:val="auto"/>
                      <w:szCs w:val="21"/>
                    </w:rPr>
                    <w:t>第五十三条：</w:t>
                  </w:r>
                </w:p>
                <w:p w14:paraId="3E85C0D5">
                  <w:pPr>
                    <w:keepNext w:val="0"/>
                    <w:keepLines w:val="0"/>
                    <w:suppressLineNumbers w:val="0"/>
                    <w:autoSpaceDE w:val="0"/>
                    <w:autoSpaceDN w:val="0"/>
                    <w:adjustRightInd w:val="0"/>
                    <w:snapToGrid w:val="0"/>
                    <w:spacing w:before="0" w:beforeAutospacing="0" w:after="0" w:afterAutospacing="0"/>
                    <w:ind w:left="0" w:right="0"/>
                    <w:rPr>
                      <w:rFonts w:hint="default"/>
                      <w:color w:val="auto"/>
                      <w:szCs w:val="21"/>
                    </w:rPr>
                  </w:pPr>
                  <w:r>
                    <w:rPr>
                      <w:rFonts w:hint="default"/>
                      <w:color w:val="auto"/>
                      <w:szCs w:val="21"/>
                    </w:rPr>
                    <w:t>三级保护区内禁止下列行为：</w:t>
                  </w:r>
                </w:p>
                <w:p w14:paraId="45B175FE">
                  <w:pPr>
                    <w:keepNext w:val="0"/>
                    <w:keepLines w:val="0"/>
                    <w:suppressLineNumbers w:val="0"/>
                    <w:autoSpaceDE w:val="0"/>
                    <w:autoSpaceDN w:val="0"/>
                    <w:adjustRightInd w:val="0"/>
                    <w:snapToGrid w:val="0"/>
                    <w:spacing w:before="0" w:beforeAutospacing="0" w:after="0" w:afterAutospacing="0"/>
                    <w:ind w:left="0" w:right="0"/>
                    <w:rPr>
                      <w:rFonts w:hint="default"/>
                      <w:color w:val="auto"/>
                      <w:szCs w:val="21"/>
                    </w:rPr>
                  </w:pPr>
                  <w:r>
                    <w:rPr>
                      <w:rFonts w:hint="default"/>
                      <w:color w:val="auto"/>
                      <w:szCs w:val="21"/>
                    </w:rPr>
                    <w:t>（一）向河道、沟渠等水体倾倒固体废弃物，排放粪便、污水、废液及其他超过水污染物排放标准的污水、废水，或者在河道中清洗生产生活用具、车辆和其他可能污染水体的物品；（二）在河道滩地和岸坡堆放、存贮固体废弃物和其他污染物，或者将其埋入集水区范围内的土壤中；（三）盗伐、滥伐林木或者其他破坏与保护水源有关的植被的行为；（四）毁林开垦或者违法占用林地资源；（五）猎捕野生动物；（六）在禁止开垦区内开垦土地；（七）新建、改建、扩建向入湖河道排放氮、磷污染物的工业项目以及污染环境、破坏生态平衡和自然景观的其他项目。</w:t>
                  </w:r>
                </w:p>
              </w:tc>
              <w:tc>
                <w:tcPr>
                  <w:tcW w:w="2147" w:type="pct"/>
                  <w:vAlign w:val="center"/>
                </w:tcPr>
                <w:p w14:paraId="2FE456C8">
                  <w:pPr>
                    <w:keepNext w:val="0"/>
                    <w:keepLines w:val="0"/>
                    <w:suppressLineNumbers w:val="0"/>
                    <w:autoSpaceDE w:val="0"/>
                    <w:autoSpaceDN w:val="0"/>
                    <w:adjustRightInd w:val="0"/>
                    <w:snapToGrid w:val="0"/>
                    <w:spacing w:before="0" w:beforeAutospacing="0" w:after="0" w:afterAutospacing="0"/>
                    <w:ind w:left="0" w:right="0"/>
                    <w:rPr>
                      <w:rFonts w:hint="default"/>
                      <w:color w:val="auto"/>
                      <w:szCs w:val="21"/>
                    </w:rPr>
                  </w:pPr>
                  <w:r>
                    <w:rPr>
                      <w:rFonts w:hint="eastAsia" w:ascii="宋体" w:hAnsi="宋体" w:cs="宋体"/>
                      <w:color w:val="auto"/>
                      <w:szCs w:val="21"/>
                    </w:rPr>
                    <w:t>①</w:t>
                  </w:r>
                  <w:r>
                    <w:rPr>
                      <w:rFonts w:hint="default"/>
                      <w:color w:val="auto"/>
                      <w:szCs w:val="21"/>
                    </w:rPr>
                    <w:t>项目生活垃圾委托环卫部门清运处置</w:t>
                  </w:r>
                  <w:r>
                    <w:rPr>
                      <w:rFonts w:hint="eastAsia"/>
                      <w:color w:val="auto"/>
                      <w:szCs w:val="21"/>
                      <w:lang w:eastAsia="zh-CN"/>
                    </w:rPr>
                    <w:t>；</w:t>
                  </w:r>
                  <w:r>
                    <w:rPr>
                      <w:rFonts w:hint="default"/>
                      <w:color w:val="auto"/>
                      <w:szCs w:val="21"/>
                    </w:rPr>
                    <w:t>实验室一般固废分类收集</w:t>
                  </w:r>
                  <w:r>
                    <w:rPr>
                      <w:rFonts w:hint="default" w:eastAsiaTheme="minorEastAsia"/>
                      <w:color w:val="auto"/>
                      <w:kern w:val="0"/>
                      <w:szCs w:val="21"/>
                    </w:rPr>
                    <w:t>，可回收部分卖给废品收购站进行回收利用，不可回收部分委托清运处理</w:t>
                  </w:r>
                  <w:r>
                    <w:rPr>
                      <w:rFonts w:hint="eastAsia" w:eastAsiaTheme="minorEastAsia"/>
                      <w:color w:val="auto"/>
                      <w:kern w:val="0"/>
                      <w:szCs w:val="21"/>
                      <w:lang w:eastAsia="zh-CN"/>
                    </w:rPr>
                    <w:t>；</w:t>
                  </w:r>
                  <w:r>
                    <w:rPr>
                      <w:rFonts w:hint="default" w:eastAsiaTheme="minorEastAsia"/>
                      <w:color w:val="auto"/>
                      <w:kern w:val="0"/>
                      <w:szCs w:val="21"/>
                    </w:rPr>
                    <w:t>其余危险废物集中收集至危废暂存间，委托有资质单位定期清运处置，</w:t>
                  </w:r>
                  <w:r>
                    <w:rPr>
                      <w:rFonts w:hint="default"/>
                      <w:color w:val="auto"/>
                      <w:szCs w:val="21"/>
                    </w:rPr>
                    <w:t>固废处置率达100%。</w:t>
                  </w:r>
                </w:p>
                <w:p w14:paraId="2EC4DB5D">
                  <w:pPr>
                    <w:keepNext w:val="0"/>
                    <w:keepLines w:val="0"/>
                    <w:suppressLineNumbers w:val="0"/>
                    <w:spacing w:before="0" w:beforeAutospacing="0" w:after="0" w:afterAutospacing="0"/>
                    <w:ind w:left="0" w:right="0"/>
                    <w:jc w:val="left"/>
                    <w:rPr>
                      <w:rFonts w:hint="default"/>
                      <w:color w:val="auto"/>
                      <w:szCs w:val="21"/>
                    </w:rPr>
                  </w:pPr>
                  <w:r>
                    <w:rPr>
                      <w:rFonts w:hint="eastAsia" w:ascii="宋体" w:hAnsi="宋体" w:cs="宋体"/>
                      <w:color w:val="auto"/>
                      <w:kern w:val="0"/>
                      <w:szCs w:val="21"/>
                    </w:rPr>
                    <w:t>②</w:t>
                  </w:r>
                  <w:r>
                    <w:rPr>
                      <w:rFonts w:hint="default" w:eastAsiaTheme="minorEastAsia"/>
                      <w:color w:val="auto"/>
                      <w:kern w:val="0"/>
                      <w:szCs w:val="21"/>
                    </w:rPr>
                    <w:t>项目生活污水通过办公楼配套的化粪池</w:t>
                  </w:r>
                  <w:r>
                    <w:rPr>
                      <w:rFonts w:hint="eastAsia" w:eastAsiaTheme="minorEastAsia"/>
                      <w:color w:val="auto"/>
                      <w:kern w:val="0"/>
                      <w:szCs w:val="21"/>
                      <w:lang w:val="en-US" w:eastAsia="zh-CN"/>
                    </w:rPr>
                    <w:t>进行</w:t>
                  </w:r>
                  <w:r>
                    <w:rPr>
                      <w:rFonts w:hint="default" w:eastAsiaTheme="minorEastAsia"/>
                      <w:color w:val="auto"/>
                      <w:kern w:val="0"/>
                      <w:szCs w:val="21"/>
                    </w:rPr>
                    <w:t>处理，实验</w:t>
                  </w:r>
                  <w:r>
                    <w:rPr>
                      <w:rFonts w:hint="eastAsia" w:eastAsiaTheme="minorEastAsia"/>
                      <w:color w:val="auto"/>
                      <w:kern w:val="0"/>
                      <w:szCs w:val="21"/>
                      <w:lang w:val="en-US" w:eastAsia="zh-CN"/>
                    </w:rPr>
                    <w:t>楼</w:t>
                  </w:r>
                  <w:r>
                    <w:rPr>
                      <w:rFonts w:hint="default" w:eastAsiaTheme="minorEastAsia"/>
                      <w:color w:val="auto"/>
                      <w:kern w:val="0"/>
                      <w:szCs w:val="21"/>
                    </w:rPr>
                    <w:t>废水经</w:t>
                  </w:r>
                  <w:r>
                    <w:rPr>
                      <w:rFonts w:hint="eastAsia" w:eastAsiaTheme="minorEastAsia"/>
                      <w:color w:val="auto"/>
                      <w:kern w:val="0"/>
                      <w:szCs w:val="21"/>
                      <w:lang w:val="en-US" w:eastAsia="zh-CN"/>
                    </w:rPr>
                    <w:t>自建三级</w:t>
                  </w:r>
                  <w:r>
                    <w:rPr>
                      <w:rFonts w:hint="default" w:eastAsiaTheme="minorEastAsia"/>
                      <w:color w:val="auto"/>
                      <w:kern w:val="0"/>
                      <w:szCs w:val="21"/>
                    </w:rPr>
                    <w:t>沉淀池处理后，进入龙泉路</w:t>
                  </w:r>
                  <w:r>
                    <w:rPr>
                      <w:rFonts w:hint="default"/>
                      <w:color w:val="auto"/>
                      <w:kern w:val="0"/>
                      <w:szCs w:val="21"/>
                    </w:rPr>
                    <w:t>市政污水管网，</w:t>
                  </w:r>
                  <w:r>
                    <w:rPr>
                      <w:rFonts w:hint="eastAsia"/>
                      <w:color w:val="auto"/>
                      <w:kern w:val="0"/>
                      <w:szCs w:val="21"/>
                      <w:lang w:val="en-US" w:eastAsia="zh-CN"/>
                    </w:rPr>
                    <w:t>最终排入</w:t>
                  </w:r>
                  <w:r>
                    <w:rPr>
                      <w:rFonts w:hint="default"/>
                      <w:color w:val="auto"/>
                      <w:kern w:val="0"/>
                      <w:szCs w:val="21"/>
                    </w:rPr>
                    <w:t>昆明市</w:t>
                  </w:r>
                  <w:r>
                    <w:rPr>
                      <w:rFonts w:hint="eastAsia"/>
                      <w:color w:val="auto"/>
                      <w:kern w:val="0"/>
                      <w:szCs w:val="21"/>
                      <w:lang w:eastAsia="zh-CN"/>
                    </w:rPr>
                    <w:t>第五水质净化厂处理</w:t>
                  </w:r>
                  <w:r>
                    <w:rPr>
                      <w:rFonts w:hint="default" w:eastAsiaTheme="minorEastAsia"/>
                      <w:color w:val="auto"/>
                      <w:kern w:val="0"/>
                      <w:szCs w:val="21"/>
                    </w:rPr>
                    <w:t>，</w:t>
                  </w:r>
                  <w:r>
                    <w:rPr>
                      <w:rFonts w:hint="default"/>
                      <w:color w:val="auto"/>
                      <w:szCs w:val="21"/>
                    </w:rPr>
                    <w:t>项目不会向水体排放超标废水，不在河道中清洗生产生活用具、车辆和其他可能污染水体的物品。</w:t>
                  </w:r>
                </w:p>
                <w:p w14:paraId="6F7CCE17">
                  <w:pPr>
                    <w:keepNext w:val="0"/>
                    <w:keepLines w:val="0"/>
                    <w:suppressLineNumbers w:val="0"/>
                    <w:autoSpaceDE w:val="0"/>
                    <w:autoSpaceDN w:val="0"/>
                    <w:adjustRightInd w:val="0"/>
                    <w:snapToGrid w:val="0"/>
                    <w:spacing w:before="0" w:beforeAutospacing="0" w:after="0" w:afterAutospacing="0"/>
                    <w:ind w:left="0" w:right="0"/>
                    <w:rPr>
                      <w:rFonts w:hint="default"/>
                      <w:color w:val="auto"/>
                      <w:szCs w:val="21"/>
                    </w:rPr>
                  </w:pPr>
                  <w:r>
                    <w:rPr>
                      <w:rFonts w:hint="eastAsia" w:ascii="宋体" w:hAnsi="宋体" w:cs="宋体"/>
                      <w:color w:val="auto"/>
                      <w:kern w:val="0"/>
                      <w:szCs w:val="21"/>
                    </w:rPr>
                    <w:t>③</w:t>
                  </w:r>
                  <w:r>
                    <w:rPr>
                      <w:rFonts w:hint="default"/>
                      <w:color w:val="auto"/>
                      <w:kern w:val="0"/>
                      <w:szCs w:val="21"/>
                    </w:rPr>
                    <w:t>项目位于昆明机床厂劳动服务公司内，不涉及占地、植被破坏等。</w:t>
                  </w:r>
                </w:p>
              </w:tc>
              <w:tc>
                <w:tcPr>
                  <w:tcW w:w="593" w:type="pct"/>
                  <w:vAlign w:val="center"/>
                </w:tcPr>
                <w:p w14:paraId="04B46137">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color w:val="auto"/>
                      <w:szCs w:val="21"/>
                    </w:rPr>
                    <w:t>符合</w:t>
                  </w:r>
                </w:p>
              </w:tc>
            </w:tr>
            <w:tr w14:paraId="16C5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3EF91FF4">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color w:val="auto"/>
                      <w:szCs w:val="21"/>
                    </w:rPr>
                    <w:t>2</w:t>
                  </w:r>
                </w:p>
              </w:tc>
              <w:tc>
                <w:tcPr>
                  <w:tcW w:w="1813" w:type="pct"/>
                  <w:vAlign w:val="center"/>
                </w:tcPr>
                <w:p w14:paraId="15634344">
                  <w:pPr>
                    <w:keepNext w:val="0"/>
                    <w:keepLines w:val="0"/>
                    <w:suppressLineNumbers w:val="0"/>
                    <w:autoSpaceDE w:val="0"/>
                    <w:autoSpaceDN w:val="0"/>
                    <w:adjustRightInd w:val="0"/>
                    <w:snapToGrid w:val="0"/>
                    <w:spacing w:before="0" w:beforeAutospacing="0" w:after="0" w:afterAutospacing="0"/>
                    <w:ind w:left="0" w:right="0"/>
                    <w:rPr>
                      <w:rFonts w:hint="default"/>
                      <w:color w:val="auto"/>
                      <w:szCs w:val="21"/>
                    </w:rPr>
                  </w:pPr>
                  <w:r>
                    <w:rPr>
                      <w:rFonts w:hint="default"/>
                      <w:color w:val="auto"/>
                      <w:szCs w:val="21"/>
                    </w:rPr>
                    <w:t>第二十五条：</w:t>
                  </w:r>
                </w:p>
                <w:p w14:paraId="3C3E09E4">
                  <w:pPr>
                    <w:keepNext w:val="0"/>
                    <w:keepLines w:val="0"/>
                    <w:suppressLineNumbers w:val="0"/>
                    <w:autoSpaceDE w:val="0"/>
                    <w:autoSpaceDN w:val="0"/>
                    <w:adjustRightInd w:val="0"/>
                    <w:snapToGrid w:val="0"/>
                    <w:spacing w:before="0" w:beforeAutospacing="0" w:after="0" w:afterAutospacing="0"/>
                    <w:ind w:left="0" w:right="0"/>
                    <w:rPr>
                      <w:rFonts w:hint="default"/>
                      <w:color w:val="auto"/>
                      <w:szCs w:val="21"/>
                    </w:rPr>
                  </w:pPr>
                  <w:r>
                    <w:rPr>
                      <w:rFonts w:hint="default"/>
                      <w:color w:val="auto"/>
                      <w:szCs w:val="21"/>
                    </w:rPr>
                    <w:t>滇池保护范围内对重点水污染物排放实施总量控制制度。</w:t>
                  </w:r>
                </w:p>
              </w:tc>
              <w:tc>
                <w:tcPr>
                  <w:tcW w:w="2147" w:type="pct"/>
                  <w:vAlign w:val="center"/>
                </w:tcPr>
                <w:p w14:paraId="703EC344">
                  <w:pPr>
                    <w:keepNext w:val="0"/>
                    <w:keepLines w:val="0"/>
                    <w:suppressLineNumbers w:val="0"/>
                    <w:autoSpaceDE w:val="0"/>
                    <w:autoSpaceDN w:val="0"/>
                    <w:adjustRightInd w:val="0"/>
                    <w:snapToGrid w:val="0"/>
                    <w:spacing w:before="0" w:beforeAutospacing="0" w:after="0" w:afterAutospacing="0"/>
                    <w:ind w:left="0" w:right="0"/>
                    <w:rPr>
                      <w:rFonts w:hint="default" w:eastAsiaTheme="minorEastAsia"/>
                      <w:color w:val="auto"/>
                      <w:kern w:val="0"/>
                      <w:szCs w:val="21"/>
                    </w:rPr>
                  </w:pPr>
                  <w:r>
                    <w:rPr>
                      <w:rFonts w:hint="default" w:eastAsiaTheme="minorEastAsia"/>
                      <w:color w:val="auto"/>
                      <w:kern w:val="0"/>
                      <w:szCs w:val="21"/>
                    </w:rPr>
                    <w:t>项目生活废水经</w:t>
                  </w:r>
                  <w:r>
                    <w:rPr>
                      <w:rFonts w:hint="eastAsia" w:eastAsiaTheme="minorEastAsia"/>
                      <w:color w:val="auto"/>
                      <w:kern w:val="0"/>
                      <w:szCs w:val="21"/>
                      <w:lang w:val="en-US" w:eastAsia="zh-CN"/>
                    </w:rPr>
                    <w:t>配套的</w:t>
                  </w:r>
                  <w:r>
                    <w:rPr>
                      <w:rFonts w:hint="default" w:eastAsiaTheme="minorEastAsia"/>
                      <w:color w:val="auto"/>
                      <w:kern w:val="0"/>
                      <w:szCs w:val="21"/>
                    </w:rPr>
                    <w:t>化粪池处理，</w:t>
                  </w:r>
                  <w:r>
                    <w:rPr>
                      <w:rFonts w:hint="eastAsia" w:eastAsiaTheme="minorEastAsia"/>
                      <w:color w:val="auto"/>
                      <w:kern w:val="0"/>
                      <w:szCs w:val="21"/>
                      <w:lang w:val="en-US" w:eastAsia="zh-CN"/>
                    </w:rPr>
                    <w:t>实验楼废水</w:t>
                  </w:r>
                  <w:r>
                    <w:rPr>
                      <w:rFonts w:hint="default" w:eastAsiaTheme="minorEastAsia"/>
                      <w:color w:val="auto"/>
                      <w:kern w:val="0"/>
                      <w:szCs w:val="21"/>
                    </w:rPr>
                    <w:t>经</w:t>
                  </w:r>
                  <w:r>
                    <w:rPr>
                      <w:rFonts w:hint="eastAsia" w:eastAsiaTheme="minorEastAsia"/>
                      <w:color w:val="auto"/>
                      <w:kern w:val="0"/>
                      <w:szCs w:val="21"/>
                      <w:lang w:val="en-US" w:eastAsia="zh-CN"/>
                    </w:rPr>
                    <w:t>自建三级</w:t>
                  </w:r>
                  <w:r>
                    <w:rPr>
                      <w:rFonts w:hint="default" w:eastAsiaTheme="minorEastAsia"/>
                      <w:color w:val="auto"/>
                      <w:kern w:val="0"/>
                      <w:szCs w:val="21"/>
                    </w:rPr>
                    <w:t>沉淀池处理后</w:t>
                  </w:r>
                  <w:r>
                    <w:rPr>
                      <w:rFonts w:hint="default"/>
                      <w:color w:val="auto"/>
                      <w:kern w:val="0"/>
                      <w:szCs w:val="21"/>
                    </w:rPr>
                    <w:t>通过龙泉路市政污水管网，进入昆明市</w:t>
                  </w:r>
                  <w:r>
                    <w:rPr>
                      <w:rFonts w:hint="eastAsia"/>
                      <w:color w:val="auto"/>
                      <w:kern w:val="0"/>
                      <w:szCs w:val="21"/>
                      <w:lang w:eastAsia="zh-CN"/>
                    </w:rPr>
                    <w:t>第五水质净化厂处理</w:t>
                  </w:r>
                  <w:r>
                    <w:rPr>
                      <w:rFonts w:hint="default" w:eastAsiaTheme="minorEastAsia"/>
                      <w:color w:val="auto"/>
                      <w:kern w:val="0"/>
                      <w:szCs w:val="21"/>
                    </w:rPr>
                    <w:t>，废水总量纳入昆明市第</w:t>
                  </w:r>
                  <w:r>
                    <w:rPr>
                      <w:rFonts w:hint="eastAsia" w:eastAsiaTheme="minorEastAsia"/>
                      <w:color w:val="auto"/>
                      <w:kern w:val="0"/>
                      <w:szCs w:val="21"/>
                      <w:lang w:val="en-US" w:eastAsia="zh-CN"/>
                    </w:rPr>
                    <w:t>五</w:t>
                  </w:r>
                  <w:r>
                    <w:rPr>
                      <w:rFonts w:hint="default" w:eastAsiaTheme="minorEastAsia"/>
                      <w:color w:val="auto"/>
                      <w:kern w:val="0"/>
                      <w:szCs w:val="21"/>
                    </w:rPr>
                    <w:t>水质净化厂的总量控制指标。</w:t>
                  </w:r>
                </w:p>
              </w:tc>
              <w:tc>
                <w:tcPr>
                  <w:tcW w:w="593" w:type="pct"/>
                  <w:vAlign w:val="center"/>
                </w:tcPr>
                <w:p w14:paraId="36BB88A3">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color w:val="auto"/>
                      <w:szCs w:val="21"/>
                    </w:rPr>
                    <w:t>符合</w:t>
                  </w:r>
                </w:p>
              </w:tc>
            </w:tr>
            <w:tr w14:paraId="2FD8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5" w:type="pct"/>
                  <w:vAlign w:val="center"/>
                </w:tcPr>
                <w:p w14:paraId="2BC3D1FA">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color w:val="auto"/>
                      <w:szCs w:val="21"/>
                    </w:rPr>
                    <w:t>3</w:t>
                  </w:r>
                </w:p>
              </w:tc>
              <w:tc>
                <w:tcPr>
                  <w:tcW w:w="1813" w:type="pct"/>
                  <w:vAlign w:val="center"/>
                </w:tcPr>
                <w:p w14:paraId="5E92C66C">
                  <w:pPr>
                    <w:keepNext w:val="0"/>
                    <w:keepLines w:val="0"/>
                    <w:suppressLineNumbers w:val="0"/>
                    <w:autoSpaceDE w:val="0"/>
                    <w:autoSpaceDN w:val="0"/>
                    <w:adjustRightInd w:val="0"/>
                    <w:snapToGrid w:val="0"/>
                    <w:spacing w:before="0" w:beforeAutospacing="0" w:after="0" w:afterAutospacing="0"/>
                    <w:ind w:left="0" w:right="0"/>
                    <w:rPr>
                      <w:rFonts w:hint="default"/>
                      <w:color w:val="auto"/>
                      <w:szCs w:val="21"/>
                    </w:rPr>
                  </w:pPr>
                  <w:r>
                    <w:rPr>
                      <w:rFonts w:hint="default"/>
                      <w:color w:val="auto"/>
                      <w:szCs w:val="21"/>
                    </w:rPr>
                    <w:t>第三十二条：</w:t>
                  </w:r>
                </w:p>
                <w:p w14:paraId="6B0F0492">
                  <w:pPr>
                    <w:keepNext w:val="0"/>
                    <w:keepLines w:val="0"/>
                    <w:suppressLineNumbers w:val="0"/>
                    <w:autoSpaceDE w:val="0"/>
                    <w:autoSpaceDN w:val="0"/>
                    <w:adjustRightInd w:val="0"/>
                    <w:snapToGrid w:val="0"/>
                    <w:spacing w:before="0" w:beforeAutospacing="0" w:after="0" w:afterAutospacing="0"/>
                    <w:ind w:left="0" w:right="0"/>
                    <w:rPr>
                      <w:rFonts w:hint="default"/>
                      <w:color w:val="auto"/>
                      <w:szCs w:val="21"/>
                    </w:rPr>
                  </w:pPr>
                  <w:r>
                    <w:rPr>
                      <w:rFonts w:hint="default"/>
                      <w:color w:val="auto"/>
                      <w:szCs w:val="21"/>
                    </w:rPr>
                    <w:t>滇池保护范围内禁止生产、销售、使用含磷洗涤用品和不可自然降解的泡沫塑料餐饮具、塑料袋。禁止将含重金属、难以降解、有毒有害以及其他超过水污染物排放标准的废水排入滇池保护范围内城市排水管网或者入湖河道。</w:t>
                  </w:r>
                </w:p>
              </w:tc>
              <w:tc>
                <w:tcPr>
                  <w:tcW w:w="2147" w:type="pct"/>
                  <w:vAlign w:val="center"/>
                </w:tcPr>
                <w:p w14:paraId="7C92D02A">
                  <w:pPr>
                    <w:keepNext w:val="0"/>
                    <w:keepLines w:val="0"/>
                    <w:suppressLineNumbers w:val="0"/>
                    <w:autoSpaceDE w:val="0"/>
                    <w:autoSpaceDN w:val="0"/>
                    <w:adjustRightInd w:val="0"/>
                    <w:snapToGrid w:val="0"/>
                    <w:spacing w:before="0" w:beforeAutospacing="0" w:after="0" w:afterAutospacing="0"/>
                    <w:ind w:left="0" w:right="0"/>
                    <w:rPr>
                      <w:rFonts w:hint="default" w:eastAsiaTheme="minorEastAsia"/>
                      <w:color w:val="auto"/>
                      <w:kern w:val="0"/>
                      <w:szCs w:val="21"/>
                    </w:rPr>
                  </w:pPr>
                  <w:r>
                    <w:rPr>
                      <w:rFonts w:hint="default" w:eastAsiaTheme="minorEastAsia"/>
                      <w:color w:val="auto"/>
                      <w:kern w:val="0"/>
                      <w:szCs w:val="21"/>
                    </w:rPr>
                    <w:t>项目不使用含磷洗涤用品和不可自然降解的泡沫塑料餐饮具、塑料袋。</w:t>
                  </w:r>
                </w:p>
                <w:p w14:paraId="111E2B0D">
                  <w:pPr>
                    <w:keepNext w:val="0"/>
                    <w:keepLines w:val="0"/>
                    <w:suppressLineNumbers w:val="0"/>
                    <w:autoSpaceDE w:val="0"/>
                    <w:autoSpaceDN w:val="0"/>
                    <w:adjustRightInd w:val="0"/>
                    <w:snapToGrid w:val="0"/>
                    <w:spacing w:before="0" w:beforeAutospacing="0" w:after="0" w:afterAutospacing="0"/>
                    <w:ind w:left="0" w:right="0"/>
                    <w:rPr>
                      <w:rFonts w:hint="default" w:eastAsiaTheme="minorEastAsia"/>
                      <w:color w:val="auto"/>
                      <w:szCs w:val="21"/>
                    </w:rPr>
                  </w:pPr>
                  <w:r>
                    <w:rPr>
                      <w:rFonts w:hint="default" w:eastAsiaTheme="minorEastAsia"/>
                      <w:color w:val="auto"/>
                      <w:kern w:val="0"/>
                      <w:szCs w:val="21"/>
                    </w:rPr>
                    <w:t>项目废水主要为生活废水</w:t>
                  </w:r>
                  <w:r>
                    <w:rPr>
                      <w:rFonts w:hint="eastAsia" w:eastAsiaTheme="minorEastAsia"/>
                      <w:color w:val="auto"/>
                      <w:kern w:val="0"/>
                      <w:szCs w:val="21"/>
                      <w:lang w:val="en-US" w:eastAsia="zh-CN"/>
                    </w:rPr>
                    <w:t>和实验废水</w:t>
                  </w:r>
                  <w:r>
                    <w:rPr>
                      <w:rFonts w:hint="default" w:eastAsiaTheme="minorEastAsia"/>
                      <w:color w:val="auto"/>
                      <w:kern w:val="0"/>
                      <w:szCs w:val="21"/>
                    </w:rPr>
                    <w:t>，不含重金属、难以降解、有毒有害等物质。</w:t>
                  </w:r>
                </w:p>
              </w:tc>
              <w:tc>
                <w:tcPr>
                  <w:tcW w:w="593" w:type="pct"/>
                  <w:vAlign w:val="center"/>
                </w:tcPr>
                <w:p w14:paraId="294DDDDF">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color w:val="auto"/>
                      <w:szCs w:val="21"/>
                    </w:rPr>
                    <w:t>符合</w:t>
                  </w:r>
                </w:p>
              </w:tc>
            </w:tr>
            <w:tr w14:paraId="6874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7A7327AD">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color w:val="auto"/>
                      <w:szCs w:val="21"/>
                    </w:rPr>
                    <w:t>4</w:t>
                  </w:r>
                </w:p>
              </w:tc>
              <w:tc>
                <w:tcPr>
                  <w:tcW w:w="1813" w:type="pct"/>
                  <w:vAlign w:val="center"/>
                </w:tcPr>
                <w:p w14:paraId="6D856DD0">
                  <w:pPr>
                    <w:keepNext w:val="0"/>
                    <w:keepLines w:val="0"/>
                    <w:suppressLineNumbers w:val="0"/>
                    <w:autoSpaceDE w:val="0"/>
                    <w:autoSpaceDN w:val="0"/>
                    <w:adjustRightInd w:val="0"/>
                    <w:snapToGrid w:val="0"/>
                    <w:spacing w:before="0" w:beforeAutospacing="0" w:after="0" w:afterAutospacing="0"/>
                    <w:ind w:left="0" w:right="0"/>
                    <w:rPr>
                      <w:rFonts w:hint="default"/>
                      <w:color w:val="auto"/>
                      <w:szCs w:val="21"/>
                    </w:rPr>
                  </w:pPr>
                  <w:r>
                    <w:rPr>
                      <w:rFonts w:hint="default"/>
                      <w:color w:val="auto"/>
                      <w:szCs w:val="21"/>
                    </w:rPr>
                    <w:t>第四十九条：</w:t>
                  </w:r>
                </w:p>
                <w:p w14:paraId="4757FECE">
                  <w:pPr>
                    <w:keepNext w:val="0"/>
                    <w:keepLines w:val="0"/>
                    <w:suppressLineNumbers w:val="0"/>
                    <w:autoSpaceDE w:val="0"/>
                    <w:autoSpaceDN w:val="0"/>
                    <w:adjustRightInd w:val="0"/>
                    <w:snapToGrid w:val="0"/>
                    <w:spacing w:before="0" w:beforeAutospacing="0" w:after="0" w:afterAutospacing="0"/>
                    <w:ind w:left="0" w:right="0"/>
                    <w:rPr>
                      <w:rFonts w:hint="default"/>
                      <w:color w:val="auto"/>
                      <w:szCs w:val="21"/>
                    </w:rPr>
                  </w:pPr>
                  <w:r>
                    <w:rPr>
                      <w:rFonts w:hint="default"/>
                      <w:color w:val="auto"/>
                      <w:szCs w:val="21"/>
                    </w:rPr>
                    <w:t>不得建设不符合国家产业政策的造纸、制革、印染、染料、炼焦、炼硫、炼砷、炼油、炼汞、电镀、化肥、农药、石棉、水泥、玻璃、冶金、火电以及其他严重污染环境的生产项目。</w:t>
                  </w:r>
                </w:p>
              </w:tc>
              <w:tc>
                <w:tcPr>
                  <w:tcW w:w="2147" w:type="pct"/>
                  <w:vAlign w:val="center"/>
                </w:tcPr>
                <w:p w14:paraId="5810307E">
                  <w:pPr>
                    <w:keepNext w:val="0"/>
                    <w:keepLines w:val="0"/>
                    <w:suppressLineNumbers w:val="0"/>
                    <w:autoSpaceDE w:val="0"/>
                    <w:autoSpaceDN w:val="0"/>
                    <w:adjustRightInd w:val="0"/>
                    <w:spacing w:before="0" w:beforeAutospacing="0" w:after="0" w:afterAutospacing="0"/>
                    <w:ind w:left="0" w:right="0"/>
                    <w:jc w:val="left"/>
                    <w:rPr>
                      <w:rFonts w:hint="default"/>
                      <w:color w:val="auto"/>
                      <w:szCs w:val="21"/>
                    </w:rPr>
                  </w:pPr>
                  <w:r>
                    <w:rPr>
                      <w:rFonts w:hint="default"/>
                      <w:color w:val="auto"/>
                      <w:kern w:val="0"/>
                      <w:szCs w:val="21"/>
                    </w:rPr>
                    <w:t>项目所在区域属于三级保护区，为</w:t>
                  </w:r>
                  <w:r>
                    <w:rPr>
                      <w:rFonts w:hint="default" w:eastAsiaTheme="minorEastAsia"/>
                      <w:color w:val="auto"/>
                      <w:kern w:val="0"/>
                      <w:szCs w:val="21"/>
                    </w:rPr>
                    <w:t>检测</w:t>
                  </w:r>
                  <w:r>
                    <w:rPr>
                      <w:rFonts w:hint="default"/>
                      <w:color w:val="auto"/>
                      <w:kern w:val="0"/>
                      <w:szCs w:val="21"/>
                    </w:rPr>
                    <w:t>服务</w:t>
                  </w:r>
                  <w:r>
                    <w:rPr>
                      <w:rFonts w:hint="default" w:eastAsiaTheme="minorEastAsia"/>
                      <w:color w:val="auto"/>
                      <w:kern w:val="0"/>
                      <w:szCs w:val="21"/>
                    </w:rPr>
                    <w:t>，</w:t>
                  </w:r>
                  <w:r>
                    <w:rPr>
                      <w:rFonts w:hint="default"/>
                      <w:color w:val="auto"/>
                      <w:kern w:val="0"/>
                      <w:szCs w:val="21"/>
                    </w:rPr>
                    <w:t>属于鼓励类项目</w:t>
                  </w:r>
                  <w:r>
                    <w:rPr>
                      <w:rFonts w:hint="default" w:eastAsiaTheme="minorEastAsia"/>
                      <w:color w:val="auto"/>
                      <w:kern w:val="0"/>
                      <w:szCs w:val="21"/>
                    </w:rPr>
                    <w:t>，</w:t>
                  </w:r>
                  <w:r>
                    <w:rPr>
                      <w:rFonts w:hint="default"/>
                      <w:color w:val="auto"/>
                      <w:kern w:val="0"/>
                      <w:szCs w:val="21"/>
                    </w:rPr>
                    <w:t>符合国家产业政策，不属于条例中严禁建设的项目。</w:t>
                  </w:r>
                </w:p>
              </w:tc>
              <w:tc>
                <w:tcPr>
                  <w:tcW w:w="593" w:type="pct"/>
                  <w:vAlign w:val="center"/>
                </w:tcPr>
                <w:p w14:paraId="364EAD3B">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color w:val="auto"/>
                      <w:szCs w:val="21"/>
                    </w:rPr>
                    <w:t>符合</w:t>
                  </w:r>
                </w:p>
              </w:tc>
            </w:tr>
          </w:tbl>
          <w:p w14:paraId="40FEEDC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根据上表分析结果，本项目与《云南省滇池保护条例》中的要求相符。</w:t>
            </w:r>
          </w:p>
          <w:p w14:paraId="7FF35303">
            <w:pPr>
              <w:keepNext w:val="0"/>
              <w:keepLines w:val="0"/>
              <w:suppressLineNumbers w:val="0"/>
              <w:autoSpaceDE w:val="0"/>
              <w:autoSpaceDN w:val="0"/>
              <w:adjustRightInd w:val="0"/>
              <w:snapToGrid w:val="0"/>
              <w:spacing w:before="0" w:beforeAutospacing="0" w:after="0" w:afterAutospacing="0" w:line="360" w:lineRule="auto"/>
              <w:ind w:left="0" w:right="0"/>
              <w:rPr>
                <w:rFonts w:hint="default"/>
                <w:b/>
                <w:bCs/>
                <w:color w:val="auto"/>
                <w:sz w:val="24"/>
              </w:rPr>
            </w:pPr>
            <w:r>
              <w:rPr>
                <w:rFonts w:hint="default"/>
                <w:b/>
                <w:bCs/>
                <w:color w:val="auto"/>
                <w:sz w:val="24"/>
              </w:rPr>
              <w:t>4. 与昆明市人民政府关于进一步贯彻落实《云南省滇池保护条例》的实施意见符合性分析</w:t>
            </w:r>
          </w:p>
          <w:p w14:paraId="09D0157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本项目位于滇池保护区的三级保护区，项目与昆明市人民政府关于进一步贯彻落实《云南省滇池保护条例》的实施意见符合性分析见表1-4。</w:t>
            </w:r>
          </w:p>
          <w:p w14:paraId="6B88E290">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表1-4  与昆明市人民政府关于进一步贯彻落实《云南省滇池保护条例》的实施意见符合性分析</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334"/>
              <w:gridCol w:w="2403"/>
              <w:gridCol w:w="2791"/>
              <w:gridCol w:w="495"/>
            </w:tblGrid>
            <w:tr w14:paraId="7A36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gridSpan w:val="2"/>
                  <w:shd w:val="clear" w:color="auto" w:fill="auto"/>
                  <w:vAlign w:val="center"/>
                </w:tcPr>
                <w:p w14:paraId="370CEDE8">
                  <w:pPr>
                    <w:keepNext w:val="0"/>
                    <w:keepLines w:val="0"/>
                    <w:suppressLineNumbers w:val="0"/>
                    <w:spacing w:before="0" w:beforeAutospacing="0" w:after="0" w:afterAutospacing="0"/>
                    <w:ind w:left="0" w:right="0"/>
                    <w:jc w:val="center"/>
                    <w:rPr>
                      <w:rFonts w:hint="default"/>
                      <w:b/>
                      <w:bCs/>
                      <w:color w:val="auto"/>
                    </w:rPr>
                  </w:pPr>
                  <w:r>
                    <w:rPr>
                      <w:rFonts w:hint="default"/>
                      <w:b/>
                      <w:bCs/>
                      <w:color w:val="auto"/>
                    </w:rPr>
                    <w:t>序号</w:t>
                  </w:r>
                </w:p>
              </w:tc>
              <w:tc>
                <w:tcPr>
                  <w:tcW w:w="1808" w:type="pct"/>
                  <w:shd w:val="clear" w:color="auto" w:fill="auto"/>
                  <w:vAlign w:val="center"/>
                </w:tcPr>
                <w:p w14:paraId="76ABFC73">
                  <w:pPr>
                    <w:keepNext w:val="0"/>
                    <w:keepLines w:val="0"/>
                    <w:suppressLineNumbers w:val="0"/>
                    <w:spacing w:before="0" w:beforeAutospacing="0" w:after="0" w:afterAutospacing="0"/>
                    <w:ind w:left="0" w:right="0"/>
                    <w:jc w:val="center"/>
                    <w:rPr>
                      <w:rFonts w:hint="default"/>
                      <w:b/>
                      <w:bCs/>
                      <w:color w:val="auto"/>
                    </w:rPr>
                  </w:pPr>
                  <w:r>
                    <w:rPr>
                      <w:rFonts w:hint="default"/>
                      <w:b/>
                      <w:bCs/>
                      <w:color w:val="auto"/>
                    </w:rPr>
                    <w:t>相关要求</w:t>
                  </w:r>
                </w:p>
              </w:tc>
              <w:tc>
                <w:tcPr>
                  <w:tcW w:w="2100" w:type="pct"/>
                  <w:shd w:val="clear" w:color="auto" w:fill="auto"/>
                  <w:vAlign w:val="center"/>
                </w:tcPr>
                <w:p w14:paraId="7F8A28B8">
                  <w:pPr>
                    <w:keepNext w:val="0"/>
                    <w:keepLines w:val="0"/>
                    <w:suppressLineNumbers w:val="0"/>
                    <w:spacing w:before="0" w:beforeAutospacing="0" w:after="0" w:afterAutospacing="0"/>
                    <w:ind w:left="0" w:right="0"/>
                    <w:jc w:val="center"/>
                    <w:rPr>
                      <w:rFonts w:hint="default"/>
                      <w:b/>
                      <w:bCs/>
                      <w:color w:val="auto"/>
                    </w:rPr>
                  </w:pPr>
                  <w:r>
                    <w:rPr>
                      <w:rFonts w:hint="default"/>
                      <w:b/>
                      <w:bCs/>
                      <w:color w:val="auto"/>
                    </w:rPr>
                    <w:t>对比分析</w:t>
                  </w:r>
                </w:p>
              </w:tc>
              <w:tc>
                <w:tcPr>
                  <w:tcW w:w="373" w:type="pct"/>
                  <w:shd w:val="clear" w:color="auto" w:fill="auto"/>
                  <w:vAlign w:val="center"/>
                </w:tcPr>
                <w:p w14:paraId="088C7AC8">
                  <w:pPr>
                    <w:keepNext w:val="0"/>
                    <w:keepLines w:val="0"/>
                    <w:suppressLineNumbers w:val="0"/>
                    <w:spacing w:before="0" w:beforeAutospacing="0" w:after="0" w:afterAutospacing="0"/>
                    <w:ind w:left="0" w:right="0"/>
                    <w:jc w:val="center"/>
                    <w:rPr>
                      <w:rFonts w:hint="default"/>
                      <w:b/>
                      <w:bCs/>
                      <w:color w:val="auto"/>
                    </w:rPr>
                  </w:pPr>
                  <w:r>
                    <w:rPr>
                      <w:rFonts w:hint="default"/>
                      <w:b/>
                      <w:bCs/>
                      <w:color w:val="auto"/>
                    </w:rPr>
                    <w:t>相符性</w:t>
                  </w:r>
                </w:p>
              </w:tc>
            </w:tr>
            <w:tr w14:paraId="6C31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469" w:type="pct"/>
                  <w:vMerge w:val="restart"/>
                  <w:shd w:val="clear" w:color="auto" w:fill="auto"/>
                  <w:vAlign w:val="center"/>
                </w:tcPr>
                <w:p w14:paraId="69F6E4FF">
                  <w:pPr>
                    <w:keepNext w:val="0"/>
                    <w:keepLines w:val="0"/>
                    <w:suppressLineNumbers w:val="0"/>
                    <w:spacing w:before="0" w:beforeAutospacing="0" w:after="0" w:afterAutospacing="0"/>
                    <w:ind w:left="0" w:right="0"/>
                    <w:jc w:val="center"/>
                    <w:rPr>
                      <w:rFonts w:hint="default"/>
                      <w:color w:val="auto"/>
                    </w:rPr>
                  </w:pPr>
                  <w:r>
                    <w:rPr>
                      <w:rFonts w:hint="default"/>
                      <w:color w:val="auto"/>
                    </w:rPr>
                    <w:t>三级保护区</w:t>
                  </w:r>
                </w:p>
              </w:tc>
              <w:tc>
                <w:tcPr>
                  <w:tcW w:w="251" w:type="pct"/>
                  <w:shd w:val="clear" w:color="auto" w:fill="auto"/>
                  <w:vAlign w:val="center"/>
                </w:tcPr>
                <w:p w14:paraId="39CC9DEE">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1808" w:type="pct"/>
                  <w:shd w:val="clear" w:color="auto" w:fill="auto"/>
                  <w:vAlign w:val="center"/>
                </w:tcPr>
                <w:p w14:paraId="02DF8597">
                  <w:pPr>
                    <w:keepNext w:val="0"/>
                    <w:keepLines w:val="0"/>
                    <w:suppressLineNumbers w:val="0"/>
                    <w:spacing w:before="0" w:beforeAutospacing="0" w:after="0" w:afterAutospacing="0"/>
                    <w:ind w:left="0" w:right="0"/>
                    <w:jc w:val="left"/>
                    <w:rPr>
                      <w:rFonts w:hint="default"/>
                      <w:color w:val="auto"/>
                    </w:rPr>
                  </w:pPr>
                  <w:r>
                    <w:rPr>
                      <w:rFonts w:hint="default"/>
                      <w:color w:val="auto"/>
                    </w:rPr>
                    <w:t>不得建设不符合国家产业政策及其他严重污染环境的生产项目。</w:t>
                  </w:r>
                </w:p>
              </w:tc>
              <w:tc>
                <w:tcPr>
                  <w:tcW w:w="2100" w:type="pct"/>
                  <w:shd w:val="clear" w:color="auto" w:fill="auto"/>
                </w:tcPr>
                <w:p w14:paraId="30998BEB">
                  <w:pPr>
                    <w:keepNext w:val="0"/>
                    <w:keepLines w:val="0"/>
                    <w:suppressLineNumbers w:val="0"/>
                    <w:spacing w:before="0" w:beforeAutospacing="0" w:after="0" w:afterAutospacing="0"/>
                    <w:ind w:left="0" w:right="0"/>
                    <w:rPr>
                      <w:rFonts w:hint="default"/>
                      <w:color w:val="auto"/>
                    </w:rPr>
                  </w:pPr>
                  <w:r>
                    <w:rPr>
                      <w:rFonts w:hint="default"/>
                      <w:color w:val="auto"/>
                    </w:rPr>
                    <w:t>项目为实验室项目，不属于条例中不得建设不符合国家产业政策的项目，也不属于其他严重污染环境的生产项目。</w:t>
                  </w:r>
                </w:p>
              </w:tc>
              <w:tc>
                <w:tcPr>
                  <w:tcW w:w="373" w:type="pct"/>
                  <w:shd w:val="clear" w:color="auto" w:fill="auto"/>
                  <w:vAlign w:val="center"/>
                </w:tcPr>
                <w:p w14:paraId="5C4498D2">
                  <w:pPr>
                    <w:keepNext w:val="0"/>
                    <w:keepLines w:val="0"/>
                    <w:suppressLineNumbers w:val="0"/>
                    <w:spacing w:before="0" w:beforeAutospacing="0" w:after="0" w:afterAutospacing="0"/>
                    <w:ind w:left="0" w:right="0"/>
                    <w:jc w:val="center"/>
                    <w:rPr>
                      <w:rFonts w:hint="default"/>
                      <w:color w:val="auto"/>
                    </w:rPr>
                  </w:pPr>
                  <w:r>
                    <w:rPr>
                      <w:rFonts w:hint="default"/>
                      <w:color w:val="auto"/>
                    </w:rPr>
                    <w:t>符合</w:t>
                  </w:r>
                </w:p>
              </w:tc>
            </w:tr>
            <w:tr w14:paraId="0C97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469" w:type="pct"/>
                  <w:vMerge w:val="continue"/>
                  <w:shd w:val="clear" w:color="auto" w:fill="auto"/>
                  <w:vAlign w:val="center"/>
                </w:tcPr>
                <w:p w14:paraId="2F3A312F">
                  <w:pPr>
                    <w:keepNext w:val="0"/>
                    <w:keepLines w:val="0"/>
                    <w:suppressLineNumbers w:val="0"/>
                    <w:spacing w:before="0" w:beforeAutospacing="0" w:after="0" w:afterAutospacing="0"/>
                    <w:ind w:left="0" w:right="0"/>
                    <w:jc w:val="center"/>
                    <w:rPr>
                      <w:rFonts w:hint="default"/>
                      <w:color w:val="auto"/>
                    </w:rPr>
                  </w:pPr>
                </w:p>
              </w:tc>
              <w:tc>
                <w:tcPr>
                  <w:tcW w:w="251" w:type="pct"/>
                  <w:shd w:val="clear" w:color="auto" w:fill="auto"/>
                  <w:vAlign w:val="center"/>
                </w:tcPr>
                <w:p w14:paraId="1B49A186">
                  <w:pPr>
                    <w:keepNext w:val="0"/>
                    <w:keepLines w:val="0"/>
                    <w:suppressLineNumbers w:val="0"/>
                    <w:spacing w:before="0" w:beforeAutospacing="0" w:after="0" w:afterAutospacing="0"/>
                    <w:ind w:left="0" w:right="0"/>
                    <w:jc w:val="center"/>
                    <w:rPr>
                      <w:rFonts w:hint="default"/>
                      <w:color w:val="auto"/>
                    </w:rPr>
                  </w:pPr>
                  <w:r>
                    <w:rPr>
                      <w:rFonts w:hint="default"/>
                      <w:color w:val="auto"/>
                    </w:rPr>
                    <w:t>2</w:t>
                  </w:r>
                </w:p>
              </w:tc>
              <w:tc>
                <w:tcPr>
                  <w:tcW w:w="1808" w:type="pct"/>
                  <w:shd w:val="clear" w:color="auto" w:fill="auto"/>
                  <w:vAlign w:val="center"/>
                </w:tcPr>
                <w:p w14:paraId="18DBEF87">
                  <w:pPr>
                    <w:keepNext w:val="0"/>
                    <w:keepLines w:val="0"/>
                    <w:suppressLineNumbers w:val="0"/>
                    <w:spacing w:before="0" w:beforeAutospacing="0" w:after="0" w:afterAutospacing="0"/>
                    <w:ind w:left="0" w:right="0"/>
                    <w:jc w:val="left"/>
                    <w:rPr>
                      <w:rFonts w:hint="default"/>
                      <w:color w:val="auto"/>
                    </w:rPr>
                  </w:pPr>
                  <w:r>
                    <w:rPr>
                      <w:rFonts w:hint="default"/>
                      <w:color w:val="auto"/>
                    </w:rPr>
                    <w:t>滇池三级保护区中涉及有滇池保护缓冲带的，按滇池保护缓冲带的管控要求执行。</w:t>
                  </w:r>
                </w:p>
              </w:tc>
              <w:tc>
                <w:tcPr>
                  <w:tcW w:w="2100" w:type="pct"/>
                  <w:shd w:val="clear" w:color="auto" w:fill="auto"/>
                  <w:vAlign w:val="center"/>
                </w:tcPr>
                <w:p w14:paraId="6CE76B4A">
                  <w:pPr>
                    <w:keepNext w:val="0"/>
                    <w:keepLines w:val="0"/>
                    <w:suppressLineNumbers w:val="0"/>
                    <w:spacing w:before="0" w:beforeAutospacing="0" w:after="0" w:afterAutospacing="0"/>
                    <w:ind w:left="0" w:right="0"/>
                    <w:rPr>
                      <w:rFonts w:hint="default"/>
                      <w:color w:val="auto"/>
                    </w:rPr>
                  </w:pPr>
                  <w:r>
                    <w:rPr>
                      <w:rFonts w:hint="default"/>
                      <w:color w:val="auto"/>
                    </w:rPr>
                    <w:t>项目不在滇池保护缓冲带范围内。</w:t>
                  </w:r>
                </w:p>
              </w:tc>
              <w:tc>
                <w:tcPr>
                  <w:tcW w:w="373" w:type="pct"/>
                  <w:shd w:val="clear" w:color="auto" w:fill="auto"/>
                  <w:vAlign w:val="center"/>
                </w:tcPr>
                <w:p w14:paraId="7D494438">
                  <w:pPr>
                    <w:keepNext w:val="0"/>
                    <w:keepLines w:val="0"/>
                    <w:suppressLineNumbers w:val="0"/>
                    <w:spacing w:before="0" w:beforeAutospacing="0" w:after="0" w:afterAutospacing="0"/>
                    <w:ind w:left="0" w:right="0"/>
                    <w:jc w:val="center"/>
                    <w:rPr>
                      <w:rFonts w:hint="default"/>
                      <w:color w:val="auto"/>
                    </w:rPr>
                  </w:pPr>
                  <w:r>
                    <w:rPr>
                      <w:rFonts w:hint="default"/>
                      <w:color w:val="auto"/>
                    </w:rPr>
                    <w:t>符合</w:t>
                  </w:r>
                </w:p>
              </w:tc>
            </w:tr>
          </w:tbl>
          <w:p w14:paraId="47DD05A9">
            <w:pPr>
              <w:keepNext w:val="0"/>
              <w:keepLines w:val="0"/>
              <w:suppressLineNumbers w:val="0"/>
              <w:autoSpaceDE w:val="0"/>
              <w:autoSpaceDN w:val="0"/>
              <w:spacing w:before="0" w:beforeAutospacing="0" w:after="0" w:afterAutospacing="0" w:line="360" w:lineRule="auto"/>
              <w:ind w:left="0" w:right="0" w:firstLine="480" w:firstLineChars="200"/>
              <w:rPr>
                <w:rFonts w:hint="default"/>
                <w:color w:val="auto"/>
                <w:sz w:val="24"/>
              </w:rPr>
            </w:pPr>
            <w:r>
              <w:rPr>
                <w:rFonts w:hint="default"/>
                <w:color w:val="auto"/>
                <w:sz w:val="24"/>
              </w:rPr>
              <w:t>综上，项目建设符合《云南省滇池保护条例》的实施意见的相关要求。</w:t>
            </w:r>
          </w:p>
          <w:p w14:paraId="1FD908A2">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b/>
                <w:bCs/>
                <w:color w:val="auto"/>
                <w:sz w:val="24"/>
                <w:lang w:val="en-US" w:eastAsia="zh-CN"/>
              </w:rPr>
            </w:pPr>
            <w:r>
              <w:rPr>
                <w:rFonts w:hint="eastAsia" w:cs="Times New Roman"/>
                <w:b/>
                <w:bCs/>
                <w:color w:val="auto"/>
                <w:sz w:val="24"/>
                <w:lang w:val="en-US" w:eastAsia="zh-CN"/>
              </w:rPr>
              <w:t>5</w:t>
            </w:r>
            <w:r>
              <w:rPr>
                <w:rFonts w:hint="default" w:ascii="Times New Roman" w:hAnsi="Times New Roman" w:cs="Times New Roman"/>
                <w:b/>
                <w:bCs/>
                <w:color w:val="auto"/>
                <w:sz w:val="24"/>
                <w:lang w:val="en-US" w:eastAsia="zh-CN"/>
              </w:rPr>
              <w:t>.</w:t>
            </w:r>
            <w:r>
              <w:rPr>
                <w:rFonts w:hint="eastAsia" w:ascii="宋体" w:hAnsi="宋体" w:cs="宋体"/>
                <w:b/>
                <w:bCs/>
                <w:color w:val="auto"/>
                <w:sz w:val="24"/>
                <w:lang w:val="en-US" w:eastAsia="zh-CN"/>
              </w:rPr>
              <w:t>与《挥发性有机物无组织排放控制标准》的符合性分析</w:t>
            </w:r>
          </w:p>
          <w:p w14:paraId="68C8E9C7">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本项目涉及VOCs物料的贮存和使用，对照《挥发性有机物无组织排放控制标准》（GB 37822-2019），项目与该要求的相符性详见下表。</w:t>
            </w:r>
          </w:p>
          <w:p w14:paraId="0B96685F">
            <w:pPr>
              <w:pStyle w:val="69"/>
              <w:keepNext/>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表1-</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项目与《挥发性有机物无组织排放控制标准》相符性分析</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823"/>
              <w:gridCol w:w="640"/>
              <w:gridCol w:w="2681"/>
              <w:gridCol w:w="2075"/>
              <w:gridCol w:w="427"/>
            </w:tblGrid>
            <w:tr w14:paraId="474720D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19" w:type="pct"/>
                  <w:noWrap w:val="0"/>
                  <w:vAlign w:val="center"/>
                </w:tcPr>
                <w:p w14:paraId="7E83D556">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内容</w:t>
                  </w:r>
                </w:p>
              </w:tc>
              <w:tc>
                <w:tcPr>
                  <w:tcW w:w="481" w:type="pct"/>
                  <w:noWrap w:val="0"/>
                  <w:vAlign w:val="center"/>
                </w:tcPr>
                <w:p w14:paraId="287E13CE">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序号</w:t>
                  </w:r>
                </w:p>
              </w:tc>
              <w:tc>
                <w:tcPr>
                  <w:tcW w:w="2017" w:type="pct"/>
                  <w:noWrap w:val="0"/>
                  <w:vAlign w:val="center"/>
                </w:tcPr>
                <w:p w14:paraId="118E0B09">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标准要求</w:t>
                  </w:r>
                </w:p>
              </w:tc>
              <w:tc>
                <w:tcPr>
                  <w:tcW w:w="1561" w:type="pct"/>
                  <w:noWrap w:val="0"/>
                  <w:vAlign w:val="center"/>
                </w:tcPr>
                <w:p w14:paraId="3E3E007F">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项目情况</w:t>
                  </w:r>
                </w:p>
              </w:tc>
              <w:tc>
                <w:tcPr>
                  <w:tcW w:w="321" w:type="pct"/>
                  <w:noWrap w:val="0"/>
                  <w:vAlign w:val="center"/>
                </w:tcPr>
                <w:p w14:paraId="52678B7D">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相符性</w:t>
                  </w:r>
                </w:p>
              </w:tc>
            </w:tr>
            <w:tr w14:paraId="3BB9B5B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619" w:type="pct"/>
                  <w:vMerge w:val="restart"/>
                  <w:noWrap w:val="0"/>
                  <w:vAlign w:val="center"/>
                </w:tcPr>
                <w:p w14:paraId="6D873B88">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VOCs物料储存无组织排放控制要求</w:t>
                  </w:r>
                </w:p>
              </w:tc>
              <w:tc>
                <w:tcPr>
                  <w:tcW w:w="481" w:type="pct"/>
                  <w:noWrap w:val="0"/>
                  <w:vAlign w:val="center"/>
                </w:tcPr>
                <w:p w14:paraId="1608234C">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（一）</w:t>
                  </w:r>
                </w:p>
              </w:tc>
              <w:tc>
                <w:tcPr>
                  <w:tcW w:w="2017" w:type="pct"/>
                  <w:noWrap w:val="0"/>
                  <w:vAlign w:val="center"/>
                </w:tcPr>
                <w:p w14:paraId="324A678D">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VOCs物料应储存于密闭的容器、包装袋、储罐、储库、料仓中。</w:t>
                  </w:r>
                </w:p>
              </w:tc>
              <w:tc>
                <w:tcPr>
                  <w:tcW w:w="1561" w:type="pct"/>
                  <w:noWrap w:val="0"/>
                  <w:vAlign w:val="center"/>
                </w:tcPr>
                <w:p w14:paraId="068F376C">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本项</w:t>
                  </w:r>
                  <w:r>
                    <w:rPr>
                      <w:rFonts w:hint="eastAsia" w:cs="Times New Roman"/>
                      <w:snapToGrid w:val="0"/>
                      <w:color w:val="auto"/>
                      <w:sz w:val="21"/>
                      <w:szCs w:val="21"/>
                      <w:highlight w:val="none"/>
                      <w:lang w:val="en-US" w:eastAsia="zh-CN"/>
                    </w:rPr>
                    <w:t>使用的乙醇</w:t>
                  </w:r>
                  <w:r>
                    <w:rPr>
                      <w:rFonts w:hint="eastAsia" w:ascii="Times New Roman" w:hAnsi="Times New Roman" w:cs="Times New Roman"/>
                      <w:snapToGrid w:val="0"/>
                      <w:color w:val="auto"/>
                      <w:sz w:val="21"/>
                      <w:szCs w:val="21"/>
                      <w:highlight w:val="none"/>
                      <w:lang w:val="en-US" w:eastAsia="zh-CN"/>
                    </w:rPr>
                    <w:t>等原料</w:t>
                  </w:r>
                  <w:r>
                    <w:rPr>
                      <w:rFonts w:hint="default" w:ascii="Times New Roman" w:hAnsi="Times New Roman" w:eastAsia="宋体" w:cs="Times New Roman"/>
                      <w:snapToGrid w:val="0"/>
                      <w:color w:val="auto"/>
                      <w:sz w:val="21"/>
                      <w:szCs w:val="21"/>
                      <w:highlight w:val="none"/>
                      <w:lang w:eastAsia="zh-CN"/>
                    </w:rPr>
                    <w:t>全部</w:t>
                  </w:r>
                  <w:r>
                    <w:rPr>
                      <w:rFonts w:hint="eastAsia" w:ascii="Times New Roman" w:hAnsi="Times New Roman" w:cs="Times New Roman"/>
                      <w:snapToGrid w:val="0"/>
                      <w:color w:val="auto"/>
                      <w:sz w:val="21"/>
                      <w:szCs w:val="21"/>
                      <w:highlight w:val="none"/>
                      <w:lang w:val="en-US" w:eastAsia="zh-CN"/>
                    </w:rPr>
                    <w:t>采用</w:t>
                  </w:r>
                  <w:r>
                    <w:rPr>
                      <w:rFonts w:hint="eastAsia" w:cs="Times New Roman"/>
                      <w:snapToGrid w:val="0"/>
                      <w:color w:val="auto"/>
                      <w:sz w:val="21"/>
                      <w:szCs w:val="21"/>
                      <w:highlight w:val="none"/>
                      <w:lang w:val="en-US" w:eastAsia="zh-CN"/>
                    </w:rPr>
                    <w:t>瓶</w:t>
                  </w:r>
                  <w:r>
                    <w:rPr>
                      <w:rFonts w:hint="eastAsia" w:ascii="Times New Roman" w:hAnsi="Times New Roman" w:cs="Times New Roman"/>
                      <w:snapToGrid w:val="0"/>
                      <w:color w:val="auto"/>
                      <w:sz w:val="21"/>
                      <w:szCs w:val="21"/>
                      <w:highlight w:val="none"/>
                      <w:lang w:val="en-US" w:eastAsia="zh-CN"/>
                    </w:rPr>
                    <w:t>装密闭存放</w:t>
                  </w:r>
                  <w:r>
                    <w:rPr>
                      <w:rFonts w:hint="default" w:ascii="Times New Roman" w:hAnsi="Times New Roman" w:eastAsia="宋体" w:cs="Times New Roman"/>
                      <w:snapToGrid w:val="0"/>
                      <w:color w:val="auto"/>
                      <w:sz w:val="21"/>
                      <w:szCs w:val="21"/>
                      <w:highlight w:val="none"/>
                      <w:lang w:eastAsia="zh-CN"/>
                    </w:rPr>
                    <w:t>。</w:t>
                  </w:r>
                </w:p>
              </w:tc>
              <w:tc>
                <w:tcPr>
                  <w:tcW w:w="321" w:type="pct"/>
                  <w:noWrap w:val="0"/>
                  <w:vAlign w:val="center"/>
                </w:tcPr>
                <w:p w14:paraId="39ADC2AF">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相符</w:t>
                  </w:r>
                </w:p>
              </w:tc>
            </w:tr>
            <w:tr w14:paraId="7F2879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619" w:type="pct"/>
                  <w:vMerge w:val="continue"/>
                  <w:noWrap w:val="0"/>
                  <w:vAlign w:val="center"/>
                </w:tcPr>
                <w:p w14:paraId="2C225A5C">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p>
              </w:tc>
              <w:tc>
                <w:tcPr>
                  <w:tcW w:w="481" w:type="pct"/>
                  <w:noWrap w:val="0"/>
                  <w:vAlign w:val="center"/>
                </w:tcPr>
                <w:p w14:paraId="66B4E52C">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（二）</w:t>
                  </w:r>
                </w:p>
              </w:tc>
              <w:tc>
                <w:tcPr>
                  <w:tcW w:w="2017" w:type="pct"/>
                  <w:noWrap w:val="0"/>
                  <w:vAlign w:val="center"/>
                </w:tcPr>
                <w:p w14:paraId="25FA9806">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盛装VOCs物料的容器或包装袋应存放于室内，或存放于设置有雨棚、遮阳和防渗设施的专用场地。盛装VOCs 物料的容器或包装袋在非取用状态时应加盖、封口，保持密闭。</w:t>
                  </w:r>
                </w:p>
              </w:tc>
              <w:tc>
                <w:tcPr>
                  <w:tcW w:w="1561" w:type="pct"/>
                  <w:noWrap w:val="0"/>
                  <w:vAlign w:val="center"/>
                </w:tcPr>
                <w:p w14:paraId="71F295AA">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yellow"/>
                      <w:lang w:eastAsia="zh-CN"/>
                    </w:rPr>
                  </w:pPr>
                  <w:r>
                    <w:rPr>
                      <w:rFonts w:hint="default" w:ascii="Times New Roman" w:hAnsi="Times New Roman" w:eastAsia="宋体" w:cs="Times New Roman"/>
                      <w:snapToGrid w:val="0"/>
                      <w:color w:val="auto"/>
                      <w:sz w:val="21"/>
                      <w:szCs w:val="21"/>
                      <w:highlight w:val="none"/>
                      <w:lang w:eastAsia="zh-CN"/>
                    </w:rPr>
                    <w:t>本项</w:t>
                  </w:r>
                  <w:r>
                    <w:rPr>
                      <w:rFonts w:hint="eastAsia" w:cs="Times New Roman"/>
                      <w:snapToGrid w:val="0"/>
                      <w:color w:val="auto"/>
                      <w:sz w:val="21"/>
                      <w:szCs w:val="21"/>
                      <w:highlight w:val="none"/>
                      <w:lang w:val="en-US" w:eastAsia="zh-CN"/>
                    </w:rPr>
                    <w:t>使用的乙醇</w:t>
                  </w:r>
                  <w:r>
                    <w:rPr>
                      <w:rFonts w:hint="eastAsia" w:ascii="Times New Roman" w:hAnsi="Times New Roman" w:cs="Times New Roman"/>
                      <w:snapToGrid w:val="0"/>
                      <w:color w:val="auto"/>
                      <w:sz w:val="21"/>
                      <w:szCs w:val="21"/>
                      <w:highlight w:val="none"/>
                      <w:lang w:val="en-US" w:eastAsia="zh-CN"/>
                    </w:rPr>
                    <w:t>等原料</w:t>
                  </w:r>
                  <w:r>
                    <w:rPr>
                      <w:rFonts w:hint="default" w:ascii="Times New Roman" w:hAnsi="Times New Roman" w:eastAsia="宋体" w:cs="Times New Roman"/>
                      <w:snapToGrid w:val="0"/>
                      <w:color w:val="auto"/>
                      <w:sz w:val="21"/>
                      <w:szCs w:val="21"/>
                      <w:highlight w:val="none"/>
                      <w:lang w:eastAsia="zh-CN"/>
                    </w:rPr>
                    <w:t>全部</w:t>
                  </w:r>
                  <w:r>
                    <w:rPr>
                      <w:rFonts w:hint="eastAsia" w:ascii="Times New Roman" w:hAnsi="Times New Roman" w:cs="Times New Roman"/>
                      <w:snapToGrid w:val="0"/>
                      <w:color w:val="auto"/>
                      <w:sz w:val="21"/>
                      <w:szCs w:val="21"/>
                      <w:highlight w:val="none"/>
                      <w:lang w:val="en-US" w:eastAsia="zh-CN"/>
                    </w:rPr>
                    <w:t>采用</w:t>
                  </w:r>
                  <w:r>
                    <w:rPr>
                      <w:rFonts w:hint="eastAsia" w:cs="Times New Roman"/>
                      <w:snapToGrid w:val="0"/>
                      <w:color w:val="auto"/>
                      <w:sz w:val="21"/>
                      <w:szCs w:val="21"/>
                      <w:highlight w:val="none"/>
                      <w:lang w:val="en-US" w:eastAsia="zh-CN"/>
                    </w:rPr>
                    <w:t>瓶</w:t>
                  </w:r>
                  <w:r>
                    <w:rPr>
                      <w:rFonts w:hint="eastAsia" w:ascii="Times New Roman" w:hAnsi="Times New Roman" w:cs="Times New Roman"/>
                      <w:snapToGrid w:val="0"/>
                      <w:color w:val="auto"/>
                      <w:sz w:val="21"/>
                      <w:szCs w:val="21"/>
                      <w:highlight w:val="none"/>
                      <w:lang w:val="en-US" w:eastAsia="zh-CN"/>
                    </w:rPr>
                    <w:t>装密闭存放</w:t>
                  </w:r>
                  <w:r>
                    <w:rPr>
                      <w:rFonts w:hint="default" w:ascii="Times New Roman" w:hAnsi="Times New Roman" w:eastAsia="宋体" w:cs="Times New Roman"/>
                      <w:snapToGrid w:val="0"/>
                      <w:color w:val="auto"/>
                      <w:sz w:val="21"/>
                      <w:szCs w:val="21"/>
                      <w:highlight w:val="none"/>
                      <w:lang w:eastAsia="zh-CN"/>
                    </w:rPr>
                    <w:t>。</w:t>
                  </w:r>
                </w:p>
              </w:tc>
              <w:tc>
                <w:tcPr>
                  <w:tcW w:w="321" w:type="pct"/>
                  <w:noWrap w:val="0"/>
                  <w:vAlign w:val="center"/>
                </w:tcPr>
                <w:p w14:paraId="0E8D4DB4">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相符</w:t>
                  </w:r>
                </w:p>
              </w:tc>
            </w:tr>
            <w:tr w14:paraId="40287EB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619" w:type="pct"/>
                  <w:vMerge w:val="restart"/>
                  <w:noWrap w:val="0"/>
                  <w:vAlign w:val="center"/>
                </w:tcPr>
                <w:p w14:paraId="58AAB548">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VOCs物料转移和输送无组织排放控制要求</w:t>
                  </w:r>
                </w:p>
              </w:tc>
              <w:tc>
                <w:tcPr>
                  <w:tcW w:w="481" w:type="pct"/>
                  <w:noWrap w:val="0"/>
                  <w:vAlign w:val="center"/>
                </w:tcPr>
                <w:p w14:paraId="1C52DD81">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（一）</w:t>
                  </w:r>
                </w:p>
              </w:tc>
              <w:tc>
                <w:tcPr>
                  <w:tcW w:w="2017" w:type="pct"/>
                  <w:noWrap w:val="0"/>
                  <w:vAlign w:val="center"/>
                </w:tcPr>
                <w:p w14:paraId="30BD1AB3">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液态VOCs物料应采用密闭管道输送。采用非管道输送方式转移液态VOCs物料时应采用密闭容器、罐车。</w:t>
                  </w:r>
                </w:p>
              </w:tc>
              <w:tc>
                <w:tcPr>
                  <w:tcW w:w="1561" w:type="pct"/>
                  <w:vMerge w:val="restart"/>
                  <w:noWrap w:val="0"/>
                  <w:vAlign w:val="center"/>
                </w:tcPr>
                <w:p w14:paraId="03082E87">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yellow"/>
                      <w:lang w:eastAsia="zh-CN"/>
                    </w:rPr>
                  </w:pPr>
                  <w:r>
                    <w:rPr>
                      <w:rFonts w:hint="default" w:ascii="Times New Roman" w:hAnsi="Times New Roman" w:eastAsia="宋体" w:cs="Times New Roman"/>
                      <w:snapToGrid w:val="0"/>
                      <w:color w:val="auto"/>
                      <w:sz w:val="21"/>
                      <w:szCs w:val="21"/>
                      <w:highlight w:val="none"/>
                      <w:lang w:eastAsia="zh-CN"/>
                    </w:rPr>
                    <w:t>本项目</w:t>
                  </w:r>
                  <w:r>
                    <w:rPr>
                      <w:rFonts w:hint="eastAsia" w:ascii="Times New Roman" w:hAnsi="Times New Roman" w:eastAsia="宋体" w:cs="Times New Roman"/>
                      <w:snapToGrid w:val="0"/>
                      <w:color w:val="auto"/>
                      <w:sz w:val="21"/>
                      <w:szCs w:val="21"/>
                      <w:highlight w:val="none"/>
                      <w:lang w:eastAsia="zh-CN"/>
                    </w:rPr>
                    <w:t>乙醇</w:t>
                  </w:r>
                  <w:r>
                    <w:rPr>
                      <w:rFonts w:hint="eastAsia" w:cs="Times New Roman"/>
                      <w:snapToGrid w:val="0"/>
                      <w:color w:val="auto"/>
                      <w:sz w:val="21"/>
                      <w:szCs w:val="21"/>
                      <w:highlight w:val="none"/>
                      <w:lang w:val="en-US" w:eastAsia="zh-CN"/>
                    </w:rPr>
                    <w:t>等原料</w:t>
                  </w:r>
                  <w:r>
                    <w:rPr>
                      <w:rFonts w:hint="default" w:ascii="Times New Roman" w:hAnsi="Times New Roman" w:eastAsia="宋体" w:cs="Times New Roman"/>
                      <w:snapToGrid w:val="0"/>
                      <w:color w:val="auto"/>
                      <w:sz w:val="21"/>
                      <w:szCs w:val="21"/>
                      <w:highlight w:val="none"/>
                      <w:lang w:eastAsia="zh-CN"/>
                    </w:rPr>
                    <w:t>采用密闭</w:t>
                  </w:r>
                  <w:r>
                    <w:rPr>
                      <w:rFonts w:hint="eastAsia" w:cs="Times New Roman"/>
                      <w:snapToGrid w:val="0"/>
                      <w:color w:val="auto"/>
                      <w:sz w:val="21"/>
                      <w:szCs w:val="21"/>
                      <w:highlight w:val="none"/>
                      <w:lang w:val="en-US" w:eastAsia="zh-CN"/>
                    </w:rPr>
                    <w:t>容器存放运送</w:t>
                  </w:r>
                  <w:r>
                    <w:rPr>
                      <w:rFonts w:hint="default" w:ascii="Times New Roman" w:hAnsi="Times New Roman" w:eastAsia="宋体" w:cs="Times New Roman"/>
                      <w:snapToGrid w:val="0"/>
                      <w:color w:val="auto"/>
                      <w:sz w:val="21"/>
                      <w:szCs w:val="21"/>
                      <w:highlight w:val="none"/>
                      <w:lang w:eastAsia="zh-CN"/>
                    </w:rPr>
                    <w:t>。</w:t>
                  </w:r>
                </w:p>
              </w:tc>
              <w:tc>
                <w:tcPr>
                  <w:tcW w:w="321" w:type="pct"/>
                  <w:vMerge w:val="restart"/>
                  <w:noWrap w:val="0"/>
                  <w:vAlign w:val="center"/>
                </w:tcPr>
                <w:p w14:paraId="25365F4B">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相符</w:t>
                  </w:r>
                </w:p>
              </w:tc>
            </w:tr>
            <w:tr w14:paraId="0DD777F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619" w:type="pct"/>
                  <w:vMerge w:val="continue"/>
                  <w:noWrap w:val="0"/>
                  <w:vAlign w:val="center"/>
                </w:tcPr>
                <w:p w14:paraId="68992938">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p>
              </w:tc>
              <w:tc>
                <w:tcPr>
                  <w:tcW w:w="481" w:type="pct"/>
                  <w:noWrap w:val="0"/>
                  <w:vAlign w:val="center"/>
                </w:tcPr>
                <w:p w14:paraId="0A9C335C">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（二）</w:t>
                  </w:r>
                </w:p>
              </w:tc>
              <w:tc>
                <w:tcPr>
                  <w:tcW w:w="2017" w:type="pct"/>
                  <w:noWrap w:val="0"/>
                  <w:vAlign w:val="center"/>
                </w:tcPr>
                <w:p w14:paraId="2E51B16D">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粉状、粒状VOCs物料应采用气力输送设备、管状带式输送机、螺旋输送机等密闭输送方式，或者采用密闭的包装袋、容器或罐车进行物料转移。</w:t>
                  </w:r>
                </w:p>
              </w:tc>
              <w:tc>
                <w:tcPr>
                  <w:tcW w:w="1561" w:type="pct"/>
                  <w:vMerge w:val="continue"/>
                  <w:noWrap w:val="0"/>
                  <w:vAlign w:val="center"/>
                </w:tcPr>
                <w:p w14:paraId="0715E143">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yellow"/>
                      <w:lang w:eastAsia="zh-CN"/>
                    </w:rPr>
                  </w:pPr>
                </w:p>
              </w:tc>
              <w:tc>
                <w:tcPr>
                  <w:tcW w:w="321" w:type="pct"/>
                  <w:vMerge w:val="continue"/>
                  <w:noWrap w:val="0"/>
                  <w:vAlign w:val="center"/>
                </w:tcPr>
                <w:p w14:paraId="169CB976">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p>
              </w:tc>
            </w:tr>
            <w:tr w14:paraId="3C82C24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19" w:type="pct"/>
                  <w:noWrap w:val="0"/>
                  <w:vAlign w:val="center"/>
                </w:tcPr>
                <w:p w14:paraId="2ABC5E1B">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p>
                <w:p w14:paraId="6F3172B5">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工艺过程VOCs无组织排放控制要求</w:t>
                  </w:r>
                </w:p>
              </w:tc>
              <w:tc>
                <w:tcPr>
                  <w:tcW w:w="481" w:type="pct"/>
                  <w:noWrap w:val="0"/>
                  <w:vAlign w:val="center"/>
                </w:tcPr>
                <w:p w14:paraId="00D1BA4B">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（一）</w:t>
                  </w:r>
                </w:p>
              </w:tc>
              <w:tc>
                <w:tcPr>
                  <w:tcW w:w="2017" w:type="pct"/>
                  <w:noWrap w:val="0"/>
                  <w:vAlign w:val="center"/>
                </w:tcPr>
                <w:p w14:paraId="1AF90C2F">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液态VOCs物料应采用密闭管道输送方式或采用高位槽（罐）、桶泵等给料方式密闭投加，无法密闭投加的，应在密闭空间内操作，或进行局部气体收集，废气应排至除尘设施、VOCs废气收集处理系统。</w:t>
                  </w:r>
                </w:p>
              </w:tc>
              <w:tc>
                <w:tcPr>
                  <w:tcW w:w="1561" w:type="pct"/>
                  <w:noWrap w:val="0"/>
                  <w:vAlign w:val="center"/>
                </w:tcPr>
                <w:p w14:paraId="681B296A">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yellow"/>
                      <w:lang w:eastAsia="zh-CN"/>
                    </w:rPr>
                  </w:pPr>
                  <w:r>
                    <w:rPr>
                      <w:rFonts w:hint="default" w:ascii="Times New Roman" w:hAnsi="Times New Roman" w:eastAsia="宋体" w:cs="Times New Roman"/>
                      <w:b w:val="0"/>
                      <w:bCs/>
                      <w:color w:val="auto"/>
                      <w:sz w:val="21"/>
                      <w:szCs w:val="21"/>
                      <w:highlight w:val="none"/>
                      <w:vertAlign w:val="baseline"/>
                      <w:lang w:val="en-US" w:eastAsia="zh-CN"/>
                    </w:rPr>
                    <w:t>项目化学实验室产生的废气经通风橱、集气罩收集后，引至1套喷淋设施（碱液吸收法）+1#二级活性炭吸附处理</w:t>
                  </w:r>
                  <w:r>
                    <w:rPr>
                      <w:rFonts w:hint="eastAsia" w:cs="Times New Roman"/>
                      <w:b w:val="0"/>
                      <w:bCs/>
                      <w:color w:val="auto"/>
                      <w:sz w:val="21"/>
                      <w:szCs w:val="21"/>
                      <w:highlight w:val="none"/>
                      <w:vertAlign w:val="baseline"/>
                      <w:lang w:val="en-US" w:eastAsia="zh-CN"/>
                    </w:rPr>
                    <w:t>达标</w:t>
                  </w:r>
                  <w:r>
                    <w:rPr>
                      <w:rFonts w:hint="default" w:ascii="Times New Roman" w:hAnsi="Times New Roman" w:eastAsia="宋体" w:cs="Times New Roman"/>
                      <w:b w:val="0"/>
                      <w:bCs/>
                      <w:color w:val="auto"/>
                      <w:sz w:val="21"/>
                      <w:szCs w:val="21"/>
                      <w:highlight w:val="none"/>
                      <w:vertAlign w:val="baseline"/>
                      <w:lang w:val="en-US" w:eastAsia="zh-CN"/>
                    </w:rPr>
                    <w:t>后通过15m高的排气筒外排（DA001）。沥青实验室产生的废气经通风橱收集后，统一引至1套2#二级活性炭活性炭吸附装置处理</w:t>
                  </w:r>
                  <w:r>
                    <w:rPr>
                      <w:rFonts w:hint="eastAsia" w:cs="Times New Roman"/>
                      <w:b w:val="0"/>
                      <w:bCs/>
                      <w:color w:val="auto"/>
                      <w:sz w:val="21"/>
                      <w:szCs w:val="21"/>
                      <w:highlight w:val="none"/>
                      <w:vertAlign w:val="baseline"/>
                      <w:lang w:val="en-US" w:eastAsia="zh-CN"/>
                    </w:rPr>
                    <w:t>达标</w:t>
                  </w:r>
                  <w:r>
                    <w:rPr>
                      <w:rFonts w:hint="default" w:ascii="Times New Roman" w:hAnsi="Times New Roman" w:eastAsia="宋体" w:cs="Times New Roman"/>
                      <w:b w:val="0"/>
                      <w:bCs/>
                      <w:color w:val="auto"/>
                      <w:sz w:val="21"/>
                      <w:szCs w:val="21"/>
                      <w:highlight w:val="none"/>
                      <w:vertAlign w:val="baseline"/>
                      <w:lang w:val="en-US" w:eastAsia="zh-CN"/>
                    </w:rPr>
                    <w:t>后</w:t>
                  </w:r>
                  <w:r>
                    <w:rPr>
                      <w:rFonts w:hint="eastAsia" w:cs="Times New Roman"/>
                      <w:b w:val="0"/>
                      <w:bCs/>
                      <w:color w:val="auto"/>
                      <w:sz w:val="21"/>
                      <w:szCs w:val="21"/>
                      <w:highlight w:val="none"/>
                      <w:vertAlign w:val="baseline"/>
                      <w:lang w:val="en-US" w:eastAsia="zh-CN"/>
                    </w:rPr>
                    <w:t>通过</w:t>
                  </w:r>
                  <w:r>
                    <w:rPr>
                      <w:rFonts w:hint="default" w:ascii="Times New Roman" w:hAnsi="Times New Roman" w:eastAsia="宋体" w:cs="Times New Roman"/>
                      <w:b w:val="0"/>
                      <w:bCs/>
                      <w:color w:val="auto"/>
                      <w:sz w:val="21"/>
                      <w:szCs w:val="21"/>
                      <w:highlight w:val="none"/>
                      <w:vertAlign w:val="baseline"/>
                      <w:lang w:val="en-US" w:eastAsia="zh-CN"/>
                    </w:rPr>
                    <w:t>15m高的排气筒外排（DA002）。</w:t>
                  </w:r>
                </w:p>
              </w:tc>
              <w:tc>
                <w:tcPr>
                  <w:tcW w:w="321" w:type="pct"/>
                  <w:noWrap w:val="0"/>
                  <w:vAlign w:val="center"/>
                </w:tcPr>
                <w:p w14:paraId="6905307A">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p>
                <w:p w14:paraId="5E80D66B">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相符</w:t>
                  </w:r>
                </w:p>
                <w:p w14:paraId="7A727C30">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p>
              </w:tc>
            </w:tr>
            <w:tr w14:paraId="63295EE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619" w:type="pct"/>
                  <w:noWrap w:val="0"/>
                  <w:vAlign w:val="center"/>
                </w:tcPr>
                <w:p w14:paraId="2C30307D">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敞开液面VOCs无组织排放控制要求</w:t>
                  </w:r>
                </w:p>
              </w:tc>
              <w:tc>
                <w:tcPr>
                  <w:tcW w:w="481" w:type="pct"/>
                  <w:noWrap w:val="0"/>
                  <w:vAlign w:val="center"/>
                </w:tcPr>
                <w:p w14:paraId="7A48E82D">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r>
                    <w:rPr>
                      <w:rFonts w:hint="default" w:ascii="Times New Roman" w:hAnsi="Times New Roman" w:eastAsia="宋体" w:cs="Times New Roman"/>
                      <w:snapToGrid w:val="0"/>
                      <w:color w:val="auto"/>
                      <w:sz w:val="21"/>
                      <w:szCs w:val="21"/>
                      <w:lang w:eastAsia="zh-CN"/>
                    </w:rPr>
                    <w:t>一</w:t>
                  </w:r>
                  <w:r>
                    <w:rPr>
                      <w:rFonts w:hint="default" w:ascii="Times New Roman" w:hAnsi="Times New Roman" w:eastAsia="宋体" w:cs="Times New Roman"/>
                      <w:snapToGrid w:val="0"/>
                      <w:color w:val="auto"/>
                      <w:sz w:val="21"/>
                      <w:szCs w:val="21"/>
                    </w:rPr>
                    <w:t>）</w:t>
                  </w:r>
                </w:p>
              </w:tc>
              <w:tc>
                <w:tcPr>
                  <w:tcW w:w="2017" w:type="pct"/>
                  <w:noWrap w:val="0"/>
                  <w:vAlign w:val="center"/>
                </w:tcPr>
                <w:p w14:paraId="19074721">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对于工艺过程排放的含VOCs废水，集输系统应符合下列规定之一：a)采用密闭管道输送，接入口和排出口采取与环境空气隔离的措施。b)采用沟渠输送，若敞开液面上方100mm处VOCs检测浓度≥200</w:t>
                  </w:r>
                  <w:r>
                    <w:rPr>
                      <w:rFonts w:hint="default" w:ascii="Times New Roman" w:hAnsi="Times New Roman" w:eastAsia="宋体" w:cs="Times New Roman"/>
                      <w:snapToGrid w:val="0"/>
                      <w:color w:val="auto"/>
                      <w:sz w:val="21"/>
                      <w:szCs w:val="21"/>
                    </w:rPr>
                    <w:t>μ</w:t>
                  </w:r>
                  <w:r>
                    <w:rPr>
                      <w:rFonts w:hint="default" w:ascii="Times New Roman" w:hAnsi="Times New Roman" w:eastAsia="宋体" w:cs="Times New Roman"/>
                      <w:snapToGrid w:val="0"/>
                      <w:color w:val="auto"/>
                      <w:sz w:val="21"/>
                      <w:szCs w:val="21"/>
                      <w:lang w:eastAsia="zh-CN"/>
                    </w:rPr>
                    <w:t>mol/mol，应加盖密闭，接入口和排出口采取与环境空气隔离的措施。</w:t>
                  </w:r>
                </w:p>
              </w:tc>
              <w:tc>
                <w:tcPr>
                  <w:tcW w:w="1561" w:type="pct"/>
                  <w:noWrap w:val="0"/>
                  <w:vAlign w:val="center"/>
                </w:tcPr>
                <w:p w14:paraId="3F84FFA6">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yellow"/>
                      <w:lang w:eastAsia="zh-CN"/>
                    </w:rPr>
                  </w:pPr>
                  <w:r>
                    <w:rPr>
                      <w:rFonts w:hint="default" w:ascii="Times New Roman" w:hAnsi="Times New Roman" w:eastAsia="宋体" w:cs="Times New Roman"/>
                      <w:snapToGrid w:val="0"/>
                      <w:color w:val="auto"/>
                      <w:sz w:val="21"/>
                      <w:szCs w:val="21"/>
                      <w:highlight w:val="none"/>
                      <w:lang w:eastAsia="zh-CN"/>
                    </w:rPr>
                    <w:t>本项目含</w:t>
                  </w:r>
                  <w:r>
                    <w:rPr>
                      <w:rFonts w:hint="eastAsia" w:cs="Times New Roman"/>
                      <w:snapToGrid w:val="0"/>
                      <w:color w:val="auto"/>
                      <w:sz w:val="21"/>
                      <w:szCs w:val="21"/>
                      <w:highlight w:val="none"/>
                      <w:lang w:val="en-US" w:eastAsia="zh-CN"/>
                    </w:rPr>
                    <w:t>有机溶剂的实验废液和实验室第一、二次器皿清洗废水做危废处理，定期委托有资质单位清运处置</w:t>
                  </w:r>
                  <w:r>
                    <w:rPr>
                      <w:rFonts w:hint="default" w:ascii="Times New Roman" w:hAnsi="Times New Roman" w:eastAsia="宋体" w:cs="Times New Roman"/>
                      <w:snapToGrid w:val="0"/>
                      <w:color w:val="auto"/>
                      <w:sz w:val="21"/>
                      <w:szCs w:val="21"/>
                      <w:highlight w:val="none"/>
                      <w:lang w:eastAsia="zh-CN"/>
                    </w:rPr>
                    <w:t>。</w:t>
                  </w:r>
                </w:p>
              </w:tc>
              <w:tc>
                <w:tcPr>
                  <w:tcW w:w="321" w:type="pct"/>
                  <w:noWrap w:val="0"/>
                  <w:vAlign w:val="center"/>
                </w:tcPr>
                <w:p w14:paraId="6F4584F1">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相符</w:t>
                  </w:r>
                </w:p>
              </w:tc>
            </w:tr>
            <w:tr w14:paraId="373A3E6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619" w:type="pct"/>
                  <w:vMerge w:val="restart"/>
                  <w:noWrap w:val="0"/>
                  <w:vAlign w:val="center"/>
                </w:tcPr>
                <w:p w14:paraId="40B4CA07">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VOCs无组织排放废气收集处理系统要求</w:t>
                  </w:r>
                </w:p>
              </w:tc>
              <w:tc>
                <w:tcPr>
                  <w:tcW w:w="481" w:type="pct"/>
                  <w:noWrap w:val="0"/>
                  <w:vAlign w:val="center"/>
                </w:tcPr>
                <w:p w14:paraId="151A3130">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（一）</w:t>
                  </w:r>
                </w:p>
              </w:tc>
              <w:tc>
                <w:tcPr>
                  <w:tcW w:w="2017" w:type="pct"/>
                  <w:noWrap w:val="0"/>
                  <w:vAlign w:val="center"/>
                </w:tcPr>
                <w:p w14:paraId="63D9B573">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VOCs 废气收集处理系统应与生产工艺设备同步运行。VOCs 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561" w:type="pct"/>
                  <w:noWrap w:val="0"/>
                  <w:vAlign w:val="center"/>
                </w:tcPr>
                <w:p w14:paraId="29B500DE">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本项目VOCs废气收集处理系统与生产工艺设备同步运行。废气收集处理系统发生故障或检修时，对应的生产工艺设备能够停止运行，待检修完毕后同步投入使用。</w:t>
                  </w:r>
                </w:p>
              </w:tc>
              <w:tc>
                <w:tcPr>
                  <w:tcW w:w="321" w:type="pct"/>
                  <w:noWrap w:val="0"/>
                  <w:vAlign w:val="center"/>
                </w:tcPr>
                <w:p w14:paraId="669A0CB5">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相符</w:t>
                  </w:r>
                </w:p>
              </w:tc>
            </w:tr>
            <w:tr w14:paraId="2ED7E78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619" w:type="pct"/>
                  <w:vMerge w:val="continue"/>
                  <w:noWrap w:val="0"/>
                  <w:vAlign w:val="center"/>
                </w:tcPr>
                <w:p w14:paraId="0C7A26F3">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p>
              </w:tc>
              <w:tc>
                <w:tcPr>
                  <w:tcW w:w="481" w:type="pct"/>
                  <w:noWrap w:val="0"/>
                  <w:vAlign w:val="center"/>
                </w:tcPr>
                <w:p w14:paraId="26A66A61">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（二）</w:t>
                  </w:r>
                </w:p>
              </w:tc>
              <w:tc>
                <w:tcPr>
                  <w:tcW w:w="2017" w:type="pct"/>
                  <w:noWrap w:val="0"/>
                  <w:vAlign w:val="center"/>
                </w:tcPr>
                <w:p w14:paraId="2F7724A4">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废气收集系统排风罩（集气罩）的设置应符合GB/T 16758 的规定。</w:t>
                  </w:r>
                </w:p>
              </w:tc>
              <w:tc>
                <w:tcPr>
                  <w:tcW w:w="1561" w:type="pct"/>
                  <w:noWrap w:val="0"/>
                  <w:vAlign w:val="center"/>
                </w:tcPr>
                <w:p w14:paraId="34768F39">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yellow"/>
                      <w:lang w:eastAsia="zh-CN"/>
                    </w:rPr>
                  </w:pPr>
                  <w:r>
                    <w:rPr>
                      <w:rFonts w:hint="default" w:ascii="Times New Roman" w:hAnsi="Times New Roman" w:eastAsia="宋体" w:cs="Times New Roman"/>
                      <w:snapToGrid w:val="0"/>
                      <w:color w:val="auto"/>
                      <w:sz w:val="21"/>
                      <w:szCs w:val="21"/>
                      <w:highlight w:val="none"/>
                      <w:lang w:eastAsia="zh-CN"/>
                    </w:rPr>
                    <w:t>本项目</w:t>
                  </w:r>
                  <w:r>
                    <w:rPr>
                      <w:rFonts w:hint="eastAsia" w:ascii="Times New Roman" w:hAnsi="Times New Roman" w:eastAsia="宋体" w:cs="Times New Roman"/>
                      <w:snapToGrid w:val="0"/>
                      <w:color w:val="auto"/>
                      <w:sz w:val="21"/>
                      <w:szCs w:val="21"/>
                      <w:highlight w:val="none"/>
                      <w:lang w:eastAsia="zh-CN"/>
                    </w:rPr>
                    <w:t>主要产生</w:t>
                  </w:r>
                  <w:r>
                    <w:rPr>
                      <w:rFonts w:hint="default" w:ascii="Times New Roman" w:hAnsi="Times New Roman" w:eastAsia="宋体" w:cs="Times New Roman"/>
                      <w:snapToGrid w:val="0"/>
                      <w:color w:val="auto"/>
                      <w:sz w:val="21"/>
                      <w:szCs w:val="21"/>
                      <w:highlight w:val="none"/>
                      <w:lang w:eastAsia="zh-CN"/>
                    </w:rPr>
                    <w:t>VOCs废气</w:t>
                  </w:r>
                  <w:r>
                    <w:rPr>
                      <w:rFonts w:hint="eastAsia" w:ascii="Times New Roman" w:hAnsi="Times New Roman" w:eastAsia="宋体" w:cs="Times New Roman"/>
                      <w:snapToGrid w:val="0"/>
                      <w:color w:val="auto"/>
                      <w:sz w:val="21"/>
                      <w:szCs w:val="21"/>
                      <w:highlight w:val="none"/>
                      <w:lang w:eastAsia="zh-CN"/>
                    </w:rPr>
                    <w:t>的</w:t>
                  </w:r>
                  <w:r>
                    <w:rPr>
                      <w:rFonts w:hint="eastAsia" w:cs="Times New Roman"/>
                      <w:snapToGrid w:val="0"/>
                      <w:color w:val="auto"/>
                      <w:sz w:val="21"/>
                      <w:szCs w:val="21"/>
                      <w:highlight w:val="none"/>
                      <w:lang w:val="en-US" w:eastAsia="zh-CN"/>
                    </w:rPr>
                    <w:t>化学实验室废气采用通风橱和集气罩</w:t>
                  </w:r>
                  <w:r>
                    <w:rPr>
                      <w:rFonts w:hint="eastAsia" w:ascii="Times New Roman" w:hAnsi="Times New Roman" w:eastAsia="宋体" w:cs="Times New Roman"/>
                      <w:snapToGrid w:val="0"/>
                      <w:color w:val="auto"/>
                      <w:sz w:val="21"/>
                      <w:szCs w:val="21"/>
                      <w:highlight w:val="none"/>
                      <w:lang w:eastAsia="zh-CN"/>
                    </w:rPr>
                    <w:t>密闭</w:t>
                  </w:r>
                  <w:r>
                    <w:rPr>
                      <w:rFonts w:hint="default" w:ascii="Times New Roman" w:hAnsi="Times New Roman" w:eastAsia="宋体" w:cs="Times New Roman"/>
                      <w:snapToGrid w:val="0"/>
                      <w:color w:val="auto"/>
                      <w:sz w:val="21"/>
                      <w:szCs w:val="21"/>
                      <w:highlight w:val="none"/>
                      <w:lang w:eastAsia="zh-CN"/>
                    </w:rPr>
                    <w:t>收集</w:t>
                  </w:r>
                  <w:r>
                    <w:rPr>
                      <w:rFonts w:hint="eastAsia"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lang w:eastAsia="zh-CN"/>
                    </w:rPr>
                    <w:t>集气罩设置符合GB/T 16758 的规定。</w:t>
                  </w:r>
                </w:p>
              </w:tc>
              <w:tc>
                <w:tcPr>
                  <w:tcW w:w="321" w:type="pct"/>
                  <w:noWrap w:val="0"/>
                  <w:vAlign w:val="center"/>
                </w:tcPr>
                <w:p w14:paraId="7BB124DF">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相符</w:t>
                  </w:r>
                </w:p>
              </w:tc>
            </w:tr>
            <w:tr w14:paraId="6400953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19" w:type="pct"/>
                  <w:vMerge w:val="continue"/>
                  <w:noWrap w:val="0"/>
                  <w:vAlign w:val="center"/>
                </w:tcPr>
                <w:p w14:paraId="30D327E4">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p>
              </w:tc>
              <w:tc>
                <w:tcPr>
                  <w:tcW w:w="481" w:type="pct"/>
                  <w:noWrap w:val="0"/>
                  <w:vAlign w:val="center"/>
                </w:tcPr>
                <w:p w14:paraId="3A0534D3">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（三）</w:t>
                  </w:r>
                </w:p>
              </w:tc>
              <w:tc>
                <w:tcPr>
                  <w:tcW w:w="2017" w:type="pct"/>
                  <w:noWrap w:val="0"/>
                  <w:vAlign w:val="center"/>
                </w:tcPr>
                <w:p w14:paraId="42641E44">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废气收集系统的输送管道应密</w:t>
                  </w:r>
                  <w:r>
                    <w:rPr>
                      <w:rFonts w:hint="default" w:ascii="Times New Roman" w:hAnsi="Times New Roman" w:eastAsia="宋体" w:cs="Times New Roman"/>
                      <w:snapToGrid w:val="0"/>
                      <w:color w:val="auto"/>
                      <w:sz w:val="21"/>
                      <w:szCs w:val="21"/>
                      <w:highlight w:val="none"/>
                    </w:rPr>
                    <w:t>闭。</w:t>
                  </w:r>
                </w:p>
              </w:tc>
              <w:tc>
                <w:tcPr>
                  <w:tcW w:w="1561" w:type="pct"/>
                  <w:noWrap w:val="0"/>
                  <w:vAlign w:val="center"/>
                </w:tcPr>
                <w:p w14:paraId="183ADF53">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本项目废气输送管道设置为密闭。</w:t>
                  </w:r>
                </w:p>
              </w:tc>
              <w:tc>
                <w:tcPr>
                  <w:tcW w:w="321" w:type="pct"/>
                  <w:noWrap w:val="0"/>
                  <w:vAlign w:val="center"/>
                </w:tcPr>
                <w:p w14:paraId="3D563BEA">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相符</w:t>
                  </w:r>
                </w:p>
              </w:tc>
            </w:tr>
            <w:tr w14:paraId="3ED4115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619" w:type="pct"/>
                  <w:vMerge w:val="continue"/>
                  <w:noWrap w:val="0"/>
                  <w:vAlign w:val="center"/>
                </w:tcPr>
                <w:p w14:paraId="7AC153E0">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p>
              </w:tc>
              <w:tc>
                <w:tcPr>
                  <w:tcW w:w="481" w:type="pct"/>
                  <w:noWrap w:val="0"/>
                  <w:vAlign w:val="center"/>
                </w:tcPr>
                <w:p w14:paraId="14F2C636">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（四）</w:t>
                  </w:r>
                </w:p>
              </w:tc>
              <w:tc>
                <w:tcPr>
                  <w:tcW w:w="2017" w:type="pct"/>
                  <w:noWrap w:val="0"/>
                  <w:vAlign w:val="center"/>
                </w:tcPr>
                <w:p w14:paraId="481D43B7">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VOCs废气收集处理系统污染物排放应符合GB16297 或相关行业排放标准的规定。</w:t>
                  </w:r>
                </w:p>
              </w:tc>
              <w:tc>
                <w:tcPr>
                  <w:tcW w:w="1561" w:type="pct"/>
                  <w:noWrap w:val="0"/>
                  <w:vAlign w:val="center"/>
                </w:tcPr>
                <w:p w14:paraId="4510810E">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highlight w:val="yellow"/>
                      <w:lang w:eastAsia="zh-CN"/>
                    </w:rPr>
                  </w:pPr>
                  <w:r>
                    <w:rPr>
                      <w:rFonts w:hint="default" w:ascii="Times New Roman" w:hAnsi="Times New Roman" w:eastAsia="宋体" w:cs="Times New Roman"/>
                      <w:snapToGrid w:val="0"/>
                      <w:color w:val="auto"/>
                      <w:sz w:val="21"/>
                      <w:szCs w:val="21"/>
                      <w:highlight w:val="none"/>
                      <w:lang w:eastAsia="zh-CN"/>
                    </w:rPr>
                    <w:t>本项目VOCs废气收集处理系统污染物排放符合</w:t>
                  </w:r>
                  <w:r>
                    <w:rPr>
                      <w:rFonts w:hint="default" w:ascii="Times New Roman" w:hAnsi="Times New Roman" w:eastAsia="宋体" w:cs="Times New Roman"/>
                      <w:color w:val="auto"/>
                      <w:kern w:val="0"/>
                      <w:sz w:val="21"/>
                      <w:szCs w:val="21"/>
                      <w:highlight w:val="none"/>
                    </w:rPr>
                    <w:t>《大气污染物综合排放标准》（GB 16297-1996）表2二级排放限值</w:t>
                  </w:r>
                  <w:r>
                    <w:rPr>
                      <w:rFonts w:hint="eastAsia" w:cs="Times New Roman"/>
                      <w:color w:val="auto"/>
                      <w:kern w:val="0"/>
                      <w:sz w:val="21"/>
                      <w:szCs w:val="21"/>
                      <w:highlight w:val="none"/>
                      <w:lang w:val="en-US" w:eastAsia="zh-CN"/>
                    </w:rPr>
                    <w:t>严格50%的规定</w:t>
                  </w:r>
                  <w:r>
                    <w:rPr>
                      <w:rFonts w:hint="default" w:ascii="Times New Roman" w:hAnsi="Times New Roman" w:eastAsia="宋体" w:cs="Times New Roman"/>
                      <w:snapToGrid w:val="0"/>
                      <w:color w:val="auto"/>
                      <w:sz w:val="21"/>
                      <w:szCs w:val="21"/>
                      <w:highlight w:val="none"/>
                      <w:lang w:eastAsia="zh-CN"/>
                    </w:rPr>
                    <w:t>。</w:t>
                  </w:r>
                </w:p>
              </w:tc>
              <w:tc>
                <w:tcPr>
                  <w:tcW w:w="321" w:type="pct"/>
                  <w:noWrap w:val="0"/>
                  <w:vAlign w:val="center"/>
                </w:tcPr>
                <w:p w14:paraId="7E6521E9">
                  <w:pPr>
                    <w:pStyle w:val="7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相符</w:t>
                  </w:r>
                </w:p>
              </w:tc>
            </w:tr>
          </w:tbl>
          <w:p w14:paraId="3245AE2B">
            <w:pPr>
              <w:pStyle w:val="7"/>
              <w:keepNext w:val="0"/>
              <w:keepLines w:val="0"/>
              <w:suppressLineNumbers w:val="0"/>
              <w:tabs>
                <w:tab w:val="left" w:pos="5530"/>
              </w:tabs>
              <w:spacing w:before="0" w:beforeAutospacing="0" w:after="0" w:afterAutospacing="0" w:line="360" w:lineRule="auto"/>
              <w:ind w:left="0" w:right="0" w:firstLine="480"/>
              <w:rPr>
                <w:rFonts w:hint="default"/>
                <w:color w:val="auto"/>
                <w:sz w:val="24"/>
                <w:szCs w:val="24"/>
              </w:rPr>
            </w:pPr>
            <w:r>
              <w:rPr>
                <w:rFonts w:hint="eastAsia"/>
                <w:color w:val="auto"/>
                <w:sz w:val="24"/>
                <w:szCs w:val="24"/>
              </w:rPr>
              <w:t>综上分析，拟建项目采取的废气污染物控制措施符合《挥发性有机物无组织排放控制标准》（GB 37822-2019）排放控制要求。</w:t>
            </w:r>
          </w:p>
          <w:p w14:paraId="0B0D2A3B">
            <w:pPr>
              <w:keepNext w:val="0"/>
              <w:keepLines w:val="0"/>
              <w:suppressLineNumbers w:val="0"/>
              <w:adjustRightInd w:val="0"/>
              <w:snapToGrid w:val="0"/>
              <w:spacing w:before="0" w:beforeAutospacing="0" w:after="0" w:afterAutospacing="0" w:line="360" w:lineRule="auto"/>
              <w:ind w:left="0" w:right="0"/>
              <w:jc w:val="left"/>
              <w:rPr>
                <w:rFonts w:hint="eastAsia"/>
                <w:b/>
                <w:color w:val="auto"/>
                <w:sz w:val="24"/>
              </w:rPr>
            </w:pPr>
            <w:r>
              <w:rPr>
                <w:rFonts w:hint="eastAsia"/>
                <w:b/>
                <w:color w:val="auto"/>
                <w:sz w:val="24"/>
                <w:lang w:val="en-US" w:eastAsia="zh-CN"/>
              </w:rPr>
              <w:t>6.</w:t>
            </w:r>
            <w:r>
              <w:rPr>
                <w:rFonts w:hint="eastAsia"/>
                <w:b/>
                <w:color w:val="auto"/>
                <w:sz w:val="24"/>
              </w:rPr>
              <w:t>与《昆明市大气污染防治条例》符合性分析</w:t>
            </w:r>
          </w:p>
          <w:p w14:paraId="54F97BBC">
            <w:pPr>
              <w:pStyle w:val="15"/>
              <w:keepNext w:val="0"/>
              <w:keepLines w:val="0"/>
              <w:suppressLineNumbers w:val="0"/>
              <w:shd w:val="clear" w:color="auto" w:fill="FFFFFF"/>
              <w:spacing w:before="0" w:beforeAutospacing="0" w:after="150" w:afterAutospacing="0" w:line="360" w:lineRule="auto"/>
              <w:ind w:left="0" w:right="0" w:firstLine="420" w:firstLineChars="175"/>
              <w:rPr>
                <w:rFonts w:hint="eastAsia"/>
                <w:color w:val="auto"/>
                <w:lang w:val="zh-CN" w:eastAsia="zh-CN"/>
              </w:rPr>
            </w:pPr>
            <w:r>
              <w:rPr>
                <w:rFonts w:hint="default" w:ascii="Times New Roman" w:hAnsi="Times New Roman" w:cs="Times New Roman"/>
                <w:color w:val="auto"/>
                <w:szCs w:val="24"/>
                <w:lang w:val="zh-CN" w:eastAsia="zh-CN"/>
              </w:rPr>
              <w:t>本项目与</w:t>
            </w:r>
            <w:r>
              <w:rPr>
                <w:rFonts w:hint="default" w:ascii="Times New Roman" w:hAnsi="Times New Roman" w:cs="Times New Roman"/>
                <w:bCs/>
                <w:color w:val="auto"/>
                <w:szCs w:val="24"/>
                <w:lang w:val="en-US" w:eastAsia="zh-CN"/>
              </w:rPr>
              <w:t>《昆明市大气污染防治条例》</w:t>
            </w:r>
            <w:r>
              <w:rPr>
                <w:rFonts w:hint="default" w:ascii="Times New Roman" w:hAnsi="Times New Roman" w:cs="Times New Roman"/>
                <w:color w:val="auto"/>
                <w:szCs w:val="24"/>
                <w:shd w:val="clear" w:color="auto" w:fill="FFFFFF"/>
                <w:lang w:val="en-US" w:eastAsia="zh-CN"/>
              </w:rPr>
              <w:t>（2020年10月30日昆明市第十四届人民代表大会常务委员会第三十二次会议通过</w:t>
            </w:r>
            <w:r>
              <w:rPr>
                <w:rFonts w:hint="eastAsia" w:ascii="Times New Roman" w:hAnsi="Times New Roman" w:cs="Times New Roman"/>
                <w:color w:val="auto"/>
                <w:szCs w:val="24"/>
                <w:shd w:val="clear" w:color="auto" w:fill="FFFFFF"/>
                <w:lang w:val="en-US" w:eastAsia="zh-CN"/>
              </w:rPr>
              <w:t>，</w:t>
            </w:r>
            <w:r>
              <w:rPr>
                <w:rFonts w:hint="default" w:ascii="Times New Roman" w:hAnsi="Times New Roman" w:cs="Times New Roman"/>
                <w:color w:val="auto"/>
                <w:szCs w:val="24"/>
                <w:shd w:val="clear" w:color="auto" w:fill="FFFFFF"/>
                <w:lang w:val="en-US" w:eastAsia="zh-CN"/>
              </w:rPr>
              <w:t>2020年11月25日云南省第十三届人民代表大会常务委员会第二十一次会议批准</w:t>
            </w:r>
            <w:r>
              <w:rPr>
                <w:rFonts w:hint="eastAsia" w:ascii="Times New Roman" w:hAnsi="Times New Roman" w:cs="Times New Roman"/>
                <w:color w:val="auto"/>
                <w:szCs w:val="24"/>
                <w:shd w:val="clear" w:color="auto" w:fill="FFFFFF"/>
                <w:lang w:val="en-US" w:eastAsia="zh-CN"/>
              </w:rPr>
              <w:t>，</w:t>
            </w:r>
            <w:r>
              <w:rPr>
                <w:rFonts w:hint="default" w:ascii="Times New Roman" w:hAnsi="Times New Roman" w:cs="Times New Roman"/>
                <w:color w:val="auto"/>
                <w:szCs w:val="24"/>
                <w:shd w:val="clear" w:color="auto" w:fill="FFFFFF"/>
                <w:lang w:val="en-US" w:eastAsia="zh-CN"/>
              </w:rPr>
              <w:t>2021年3月1日起施行）</w:t>
            </w:r>
            <w:r>
              <w:rPr>
                <w:rFonts w:hint="default" w:ascii="Times New Roman" w:hAnsi="Times New Roman" w:cs="Times New Roman"/>
                <w:color w:val="auto"/>
                <w:szCs w:val="24"/>
                <w:lang w:val="zh-CN" w:eastAsia="zh-CN"/>
              </w:rPr>
              <w:t>符合性分析详见表1-</w:t>
            </w:r>
            <w:r>
              <w:rPr>
                <w:rFonts w:hint="eastAsia" w:ascii="Times New Roman" w:hAnsi="Times New Roman" w:cs="Times New Roman"/>
                <w:color w:val="auto"/>
                <w:szCs w:val="24"/>
                <w:lang w:val="en-US" w:eastAsia="zh-CN"/>
              </w:rPr>
              <w:t>6</w:t>
            </w:r>
            <w:r>
              <w:rPr>
                <w:rFonts w:hint="default" w:ascii="Times New Roman" w:hAnsi="Times New Roman" w:cs="Times New Roman"/>
                <w:color w:val="auto"/>
                <w:szCs w:val="24"/>
                <w:lang w:val="zh-CN" w:eastAsia="zh-CN"/>
              </w:rPr>
              <w:t>所示。</w:t>
            </w:r>
          </w:p>
          <w:p w14:paraId="1E9B6BB4">
            <w:pPr>
              <w:keepNext w:val="0"/>
              <w:keepLines w:val="0"/>
              <w:suppressLineNumbers w:val="0"/>
              <w:spacing w:before="0" w:beforeAutospacing="0" w:after="0" w:afterAutospacing="0" w:line="240" w:lineRule="auto"/>
              <w:ind w:left="0" w:right="0"/>
              <w:jc w:val="center"/>
              <w:rPr>
                <w:rFonts w:hint="eastAsia"/>
                <w:b/>
                <w:bCs/>
                <w:color w:val="auto"/>
                <w:sz w:val="21"/>
                <w:szCs w:val="21"/>
              </w:rPr>
            </w:pPr>
            <w:r>
              <w:rPr>
                <w:rFonts w:hint="default"/>
                <w:b/>
                <w:bCs/>
                <w:color w:val="auto"/>
                <w:sz w:val="21"/>
                <w:szCs w:val="21"/>
              </w:rPr>
              <w:t>表</w:t>
            </w:r>
            <w:r>
              <w:rPr>
                <w:rFonts w:hint="eastAsia"/>
                <w:b/>
                <w:bCs/>
                <w:color w:val="auto"/>
                <w:sz w:val="21"/>
                <w:szCs w:val="21"/>
              </w:rPr>
              <w:t>1</w:t>
            </w:r>
            <w:r>
              <w:rPr>
                <w:rFonts w:hint="default"/>
                <w:b/>
                <w:bCs/>
                <w:color w:val="auto"/>
                <w:sz w:val="21"/>
                <w:szCs w:val="21"/>
              </w:rPr>
              <w:t>-</w:t>
            </w:r>
            <w:r>
              <w:rPr>
                <w:rFonts w:hint="eastAsia"/>
                <w:b/>
                <w:bCs/>
                <w:color w:val="auto"/>
                <w:sz w:val="21"/>
                <w:szCs w:val="21"/>
                <w:lang w:val="en-US" w:eastAsia="zh-CN"/>
              </w:rPr>
              <w:t>6</w:t>
            </w:r>
            <w:r>
              <w:rPr>
                <w:rFonts w:hint="eastAsia"/>
                <w:b/>
                <w:bCs/>
                <w:color w:val="auto"/>
                <w:sz w:val="21"/>
                <w:szCs w:val="21"/>
              </w:rPr>
              <w:t xml:space="preserve"> </w:t>
            </w:r>
            <w:r>
              <w:rPr>
                <w:rFonts w:hint="eastAsia"/>
                <w:b/>
                <w:bCs/>
                <w:color w:val="auto"/>
                <w:sz w:val="21"/>
                <w:szCs w:val="21"/>
                <w:lang w:val="en-US" w:eastAsia="zh-CN"/>
              </w:rPr>
              <w:t xml:space="preserve"> </w:t>
            </w:r>
            <w:r>
              <w:rPr>
                <w:rFonts w:hint="eastAsia"/>
                <w:b/>
                <w:bCs/>
                <w:color w:val="auto"/>
                <w:sz w:val="21"/>
                <w:szCs w:val="21"/>
              </w:rPr>
              <w:t>本项目与《昆明市大气污染防治条例》符合性分析</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080"/>
              <w:gridCol w:w="2554"/>
              <w:gridCol w:w="585"/>
            </w:tblGrid>
            <w:tr w14:paraId="2BC0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43B0B1EA">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b/>
                      <w:color w:val="auto"/>
                    </w:rPr>
                  </w:pPr>
                  <w:r>
                    <w:rPr>
                      <w:rFonts w:hint="eastAsia" w:ascii="Times New Roman" w:hAnsi="Times New Roman"/>
                      <w:b/>
                      <w:color w:val="auto"/>
                    </w:rPr>
                    <w:t>序号</w:t>
                  </w:r>
                </w:p>
              </w:tc>
              <w:tc>
                <w:tcPr>
                  <w:tcW w:w="2317" w:type="pct"/>
                  <w:noWrap w:val="0"/>
                  <w:vAlign w:val="center"/>
                </w:tcPr>
                <w:p w14:paraId="662ADCCC">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b/>
                      <w:color w:val="auto"/>
                    </w:rPr>
                  </w:pPr>
                  <w:r>
                    <w:rPr>
                      <w:rFonts w:hint="eastAsia" w:ascii="Times New Roman" w:hAnsi="Times New Roman"/>
                      <w:b/>
                      <w:color w:val="auto"/>
                    </w:rPr>
                    <w:t>条例内容</w:t>
                  </w:r>
                </w:p>
              </w:tc>
              <w:tc>
                <w:tcPr>
                  <w:tcW w:w="1921" w:type="pct"/>
                  <w:noWrap w:val="0"/>
                  <w:vAlign w:val="center"/>
                </w:tcPr>
                <w:p w14:paraId="7722E58A">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b/>
                      <w:color w:val="auto"/>
                    </w:rPr>
                  </w:pPr>
                  <w:r>
                    <w:rPr>
                      <w:rFonts w:hint="eastAsia" w:ascii="Times New Roman" w:hAnsi="Times New Roman"/>
                      <w:b/>
                      <w:color w:val="auto"/>
                    </w:rPr>
                    <w:t>本项目</w:t>
                  </w:r>
                </w:p>
              </w:tc>
              <w:tc>
                <w:tcPr>
                  <w:tcW w:w="440" w:type="pct"/>
                  <w:noWrap w:val="0"/>
                  <w:vAlign w:val="center"/>
                </w:tcPr>
                <w:p w14:paraId="032F05E1">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b/>
                      <w:color w:val="auto"/>
                    </w:rPr>
                  </w:pPr>
                  <w:r>
                    <w:rPr>
                      <w:rFonts w:hint="eastAsia" w:ascii="Times New Roman" w:hAnsi="Times New Roman"/>
                      <w:b/>
                      <w:color w:val="auto"/>
                    </w:rPr>
                    <w:t>符合性</w:t>
                  </w:r>
                </w:p>
              </w:tc>
            </w:tr>
            <w:tr w14:paraId="39FF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62106A0A">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1</w:t>
                  </w:r>
                </w:p>
              </w:tc>
              <w:tc>
                <w:tcPr>
                  <w:tcW w:w="2317" w:type="pct"/>
                  <w:noWrap w:val="0"/>
                  <w:vAlign w:val="center"/>
                </w:tcPr>
                <w:p w14:paraId="750FD7A0">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第十一条 按照国家有关规定依法实行排污许可管理的单位，应当依法取得排污许可证，并按照排污许可证的规定排放大气污染物，禁止无排污许可证或者不按照排污许可证的规定排放大气污染物。</w:t>
                  </w:r>
                </w:p>
              </w:tc>
              <w:tc>
                <w:tcPr>
                  <w:tcW w:w="1921" w:type="pct"/>
                  <w:noWrap w:val="0"/>
                  <w:vAlign w:val="center"/>
                </w:tcPr>
                <w:p w14:paraId="44F6CC5A">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当前项目处于环评阶段，取得环评批复并建成投产前，将依法领取排污许可证，严格按照排污许可证相关要求排污。</w:t>
                  </w:r>
                </w:p>
              </w:tc>
              <w:tc>
                <w:tcPr>
                  <w:tcW w:w="440" w:type="pct"/>
                  <w:noWrap w:val="0"/>
                  <w:vAlign w:val="center"/>
                </w:tcPr>
                <w:p w14:paraId="26D750CE">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p>
              </w:tc>
            </w:tr>
            <w:tr w14:paraId="5A83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48AB44C5">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2</w:t>
                  </w:r>
                </w:p>
              </w:tc>
              <w:tc>
                <w:tcPr>
                  <w:tcW w:w="2317" w:type="pct"/>
                  <w:noWrap w:val="0"/>
                  <w:vAlign w:val="center"/>
                </w:tcPr>
                <w:p w14:paraId="23547999">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第十二条 禁止排放超过排放标准或者超过重点大气污染物排放总量控制指标的大气污染物。</w:t>
                  </w:r>
                </w:p>
              </w:tc>
              <w:tc>
                <w:tcPr>
                  <w:tcW w:w="1921" w:type="pct"/>
                  <w:noWrap w:val="0"/>
                  <w:vAlign w:val="center"/>
                </w:tcPr>
                <w:p w14:paraId="5C5B9DE2">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lang w:val="en-US" w:eastAsia="zh-CN"/>
                    </w:rPr>
                    <w:t>本</w:t>
                  </w:r>
                  <w:r>
                    <w:rPr>
                      <w:rFonts w:hint="eastAsia" w:ascii="Times New Roman" w:hAnsi="Times New Roman"/>
                      <w:color w:val="auto"/>
                    </w:rPr>
                    <w:t>项目属于实验室项目，试剂药品使用量较少，排放污染物较少，均满足排放标准。</w:t>
                  </w:r>
                </w:p>
              </w:tc>
              <w:tc>
                <w:tcPr>
                  <w:tcW w:w="440" w:type="pct"/>
                  <w:noWrap w:val="0"/>
                  <w:vAlign w:val="center"/>
                </w:tcPr>
                <w:p w14:paraId="2ADEAC3C">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符合</w:t>
                  </w:r>
                </w:p>
              </w:tc>
            </w:tr>
            <w:tr w14:paraId="5976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758FB56E">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3</w:t>
                  </w:r>
                </w:p>
              </w:tc>
              <w:tc>
                <w:tcPr>
                  <w:tcW w:w="2317" w:type="pct"/>
                  <w:noWrap w:val="0"/>
                  <w:vAlign w:val="center"/>
                </w:tcPr>
                <w:p w14:paraId="7DD0F373">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第十五条 排放大气污染物的企业事业单位和其他生产经营者应当加强精细化管理，严格按照有关规定，配套建设、使用和维护大气污染防治装备。</w:t>
                  </w:r>
                </w:p>
              </w:tc>
              <w:tc>
                <w:tcPr>
                  <w:tcW w:w="1921" w:type="pct"/>
                  <w:noWrap w:val="0"/>
                  <w:vAlign w:val="center"/>
                </w:tcPr>
                <w:p w14:paraId="1FBDE992">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项目建成后将严格按照本环评提出的环保措施进行环保设施建设，确保环保设施高效运行， 减少大气污染物排放。</w:t>
                  </w:r>
                </w:p>
              </w:tc>
              <w:tc>
                <w:tcPr>
                  <w:tcW w:w="440" w:type="pct"/>
                  <w:noWrap w:val="0"/>
                  <w:vAlign w:val="center"/>
                </w:tcPr>
                <w:p w14:paraId="764AFECF">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符合</w:t>
                  </w:r>
                </w:p>
              </w:tc>
            </w:tr>
            <w:tr w14:paraId="4C09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4B9DFBA7">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4</w:t>
                  </w:r>
                </w:p>
              </w:tc>
              <w:tc>
                <w:tcPr>
                  <w:tcW w:w="2317" w:type="pct"/>
                  <w:noWrap w:val="0"/>
                  <w:vAlign w:val="center"/>
                </w:tcPr>
                <w:p w14:paraId="4E8FB00A">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第十六条 向大气排放污染物的企业事业单位和其他生产经营者，应当按照有关规定设置大气污染物排放口。</w:t>
                  </w:r>
                </w:p>
                <w:p w14:paraId="7CD8A5F7">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禁止通过偷排、篡改或者伪造监测数据、以逃避现场检查为目的的临时停产、非紧急情况下开启应急排放通道、擅自拆除或者不正常运行大气污染防治设施等逃避监管的方式排放大气污染物。</w:t>
                  </w:r>
                </w:p>
              </w:tc>
              <w:tc>
                <w:tcPr>
                  <w:tcW w:w="1921" w:type="pct"/>
                  <w:noWrap w:val="0"/>
                  <w:vAlign w:val="center"/>
                </w:tcPr>
                <w:p w14:paraId="12F08CC9">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项目建成后将严格按照本环评提出的环保措施进行环保设施建设，定期对环保设施进行减少，确保环保设施高效运行。</w:t>
                  </w:r>
                </w:p>
              </w:tc>
              <w:tc>
                <w:tcPr>
                  <w:tcW w:w="440" w:type="pct"/>
                  <w:noWrap w:val="0"/>
                  <w:vAlign w:val="center"/>
                </w:tcPr>
                <w:p w14:paraId="15E30B3C">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符合</w:t>
                  </w:r>
                </w:p>
              </w:tc>
            </w:tr>
            <w:tr w14:paraId="2989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256A20C9">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5</w:t>
                  </w:r>
                </w:p>
              </w:tc>
              <w:tc>
                <w:tcPr>
                  <w:tcW w:w="2317" w:type="pct"/>
                  <w:noWrap w:val="0"/>
                  <w:vAlign w:val="center"/>
                </w:tcPr>
                <w:p w14:paraId="66138D5B">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第十七条 依法确定的重点排污单位应当按照规定安装使用大气污染物排放自动监测设施，并与生态环境主管部门的监控平台联网，保证监测设备正常运行并依法公开排放信息。</w:t>
                  </w:r>
                </w:p>
              </w:tc>
              <w:tc>
                <w:tcPr>
                  <w:tcW w:w="1921" w:type="pct"/>
                  <w:noWrap w:val="0"/>
                  <w:vAlign w:val="center"/>
                </w:tcPr>
                <w:p w14:paraId="199A6D89">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lang w:val="en-US" w:eastAsia="zh-CN"/>
                    </w:rPr>
                    <w:t>本</w:t>
                  </w:r>
                  <w:r>
                    <w:rPr>
                      <w:rFonts w:hint="eastAsia" w:ascii="Times New Roman" w:hAnsi="Times New Roman"/>
                      <w:color w:val="auto"/>
                    </w:rPr>
                    <w:t>项目属于实验室项目，不属于重点排污单位。</w:t>
                  </w:r>
                </w:p>
              </w:tc>
              <w:tc>
                <w:tcPr>
                  <w:tcW w:w="440" w:type="pct"/>
                  <w:noWrap w:val="0"/>
                  <w:vAlign w:val="center"/>
                </w:tcPr>
                <w:p w14:paraId="1BD33B4F">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符合</w:t>
                  </w:r>
                </w:p>
              </w:tc>
            </w:tr>
            <w:tr w14:paraId="61C3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5E6D6805">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6</w:t>
                  </w:r>
                </w:p>
              </w:tc>
              <w:tc>
                <w:tcPr>
                  <w:tcW w:w="2317" w:type="pct"/>
                  <w:noWrap w:val="0"/>
                  <w:vAlign w:val="center"/>
                </w:tcPr>
                <w:p w14:paraId="585F1980">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第二十五条 在禁燃区内，禁止销售、燃用高污染燃料；禁止新建、扩建燃用高污染燃料的设施，已建成的，应当在规定的期限内改用天然气、液化石油气、电或者其他清洁能源。</w:t>
                  </w:r>
                </w:p>
              </w:tc>
              <w:tc>
                <w:tcPr>
                  <w:tcW w:w="1921" w:type="pct"/>
                  <w:noWrap w:val="0"/>
                  <w:vAlign w:val="center"/>
                </w:tcPr>
                <w:p w14:paraId="676461E9">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lang w:val="en-US" w:eastAsia="zh-CN"/>
                    </w:rPr>
                    <w:t>本</w:t>
                  </w:r>
                  <w:r>
                    <w:rPr>
                      <w:rFonts w:hint="eastAsia" w:ascii="Times New Roman" w:hAnsi="Times New Roman"/>
                      <w:color w:val="auto"/>
                    </w:rPr>
                    <w:t>项目实验过程热源为电能，不使用燃料。</w:t>
                  </w:r>
                </w:p>
              </w:tc>
              <w:tc>
                <w:tcPr>
                  <w:tcW w:w="440" w:type="pct"/>
                  <w:noWrap w:val="0"/>
                  <w:vAlign w:val="center"/>
                </w:tcPr>
                <w:p w14:paraId="17A1F356">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符合</w:t>
                  </w:r>
                </w:p>
              </w:tc>
            </w:tr>
            <w:tr w14:paraId="6886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76628DAE">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7</w:t>
                  </w:r>
                </w:p>
              </w:tc>
              <w:tc>
                <w:tcPr>
                  <w:tcW w:w="2317" w:type="pct"/>
                  <w:noWrap w:val="0"/>
                  <w:vAlign w:val="center"/>
                </w:tcPr>
                <w:p w14:paraId="4C97BC2B">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第二十六条 下列产生含挥发性有机物废气的生产和服务活动，应当在密闭空间或者设备中进行，并按照规定安装、使用污染防治设施；无法密闭的，应当采取高效处理措</w:t>
                  </w:r>
                </w:p>
                <w:p w14:paraId="064F1431">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施减少废气排放：</w:t>
                  </w:r>
                </w:p>
                <w:p w14:paraId="2CF1CD48">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（一）石油炼制及有机化学品、合成树脂、合成纤维、合成橡胶等行业；</w:t>
                  </w:r>
                </w:p>
                <w:p w14:paraId="403D5589">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（二）制药、农药、涂料、油墨、胶粘剂、橡胶和塑料加工等行业；</w:t>
                  </w:r>
                </w:p>
                <w:p w14:paraId="2AA2A5A0">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（三）汽车、家具、集装箱、电子产品、工程机械等行业；</w:t>
                  </w:r>
                </w:p>
                <w:p w14:paraId="0D80F617">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（四）塑料软包装印刷、印铁制罐等行业；</w:t>
                  </w:r>
                </w:p>
                <w:p w14:paraId="45AA1958">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（五）其他产生挥发性有机物的生产和服务活动。</w:t>
                  </w:r>
                </w:p>
              </w:tc>
              <w:tc>
                <w:tcPr>
                  <w:tcW w:w="1921" w:type="pct"/>
                  <w:noWrap w:val="0"/>
                  <w:vAlign w:val="center"/>
                </w:tcPr>
                <w:p w14:paraId="03FFD32E">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lang w:val="en-US" w:eastAsia="zh-CN"/>
                    </w:rPr>
                    <w:t>本</w:t>
                  </w:r>
                  <w:r>
                    <w:rPr>
                      <w:rFonts w:hint="eastAsia" w:ascii="Times New Roman" w:hAnsi="Times New Roman"/>
                      <w:color w:val="auto"/>
                    </w:rPr>
                    <w:t>项目属于实验室项目，产生的有机废气经活性炭吸附装置处理后均有组织排放，能满足</w:t>
                  </w:r>
                  <w:r>
                    <w:rPr>
                      <w:rFonts w:hint="default" w:ascii="Times New Roman" w:hAnsi="Times New Roman"/>
                      <w:color w:val="auto"/>
                    </w:rPr>
                    <w:t>《大气污染物综合排放标准》（GB16297-1996）表2中二级排放限值严格50%。</w:t>
                  </w:r>
                </w:p>
              </w:tc>
              <w:tc>
                <w:tcPr>
                  <w:tcW w:w="440" w:type="pct"/>
                  <w:noWrap w:val="0"/>
                  <w:vAlign w:val="center"/>
                </w:tcPr>
                <w:p w14:paraId="5E6F62B3">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符合</w:t>
                  </w:r>
                </w:p>
              </w:tc>
            </w:tr>
            <w:tr w14:paraId="02DD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3E67D0A2">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8</w:t>
                  </w:r>
                </w:p>
              </w:tc>
              <w:tc>
                <w:tcPr>
                  <w:tcW w:w="2317" w:type="pct"/>
                  <w:noWrap w:val="0"/>
                  <w:vAlign w:val="center"/>
                </w:tcPr>
                <w:p w14:paraId="77F3F68A">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rPr>
                    <w:t>第二十七条 生产、进口、销售和使用含挥发性有机物原材料和产品的，其挥发性有机物含量应当符合质量标准或者要求。</w:t>
                  </w:r>
                </w:p>
              </w:tc>
              <w:tc>
                <w:tcPr>
                  <w:tcW w:w="1921" w:type="pct"/>
                  <w:noWrap w:val="0"/>
                  <w:vAlign w:val="center"/>
                </w:tcPr>
                <w:p w14:paraId="1E20E4AE">
                  <w:pPr>
                    <w:keepNext w:val="0"/>
                    <w:keepLines w:val="0"/>
                    <w:suppressLineNumbers w:val="0"/>
                    <w:spacing w:before="0" w:beforeAutospacing="0" w:after="0" w:afterAutospacing="0"/>
                    <w:ind w:left="0" w:right="0"/>
                    <w:rPr>
                      <w:rFonts w:hint="eastAsia" w:ascii="Times New Roman" w:hAnsi="Times New Roman"/>
                      <w:color w:val="auto"/>
                    </w:rPr>
                  </w:pPr>
                  <w:r>
                    <w:rPr>
                      <w:rFonts w:hint="eastAsia" w:ascii="Times New Roman" w:hAnsi="Times New Roman"/>
                      <w:color w:val="auto"/>
                      <w:lang w:val="en-US" w:eastAsia="zh-CN"/>
                    </w:rPr>
                    <w:t>本</w:t>
                  </w:r>
                  <w:r>
                    <w:rPr>
                      <w:rFonts w:hint="eastAsia" w:ascii="Times New Roman" w:hAnsi="Times New Roman"/>
                      <w:color w:val="auto"/>
                    </w:rPr>
                    <w:t>项目属于实验室项目，使用的易挥发性有机试剂均符合国家质量认证。</w:t>
                  </w:r>
                </w:p>
              </w:tc>
              <w:tc>
                <w:tcPr>
                  <w:tcW w:w="440" w:type="pct"/>
                  <w:noWrap w:val="0"/>
                  <w:vAlign w:val="center"/>
                </w:tcPr>
                <w:p w14:paraId="73B7EEF1">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符合</w:t>
                  </w:r>
                </w:p>
              </w:tc>
            </w:tr>
            <w:tr w14:paraId="06BA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52EBD38C">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9</w:t>
                  </w:r>
                </w:p>
              </w:tc>
              <w:tc>
                <w:tcPr>
                  <w:tcW w:w="2317" w:type="pct"/>
                  <w:noWrap w:val="0"/>
                  <w:vAlign w:val="center"/>
                </w:tcPr>
                <w:p w14:paraId="30254B2A">
                  <w:pPr>
                    <w:keepNext w:val="0"/>
                    <w:keepLines w:val="0"/>
                    <w:suppressLineNumbers w:val="0"/>
                    <w:spacing w:before="0" w:beforeAutospacing="0" w:after="0" w:afterAutospacing="0"/>
                    <w:ind w:left="0" w:right="0"/>
                    <w:rPr>
                      <w:rFonts w:hint="eastAsia" w:ascii="Times New Roman" w:hAnsi="Times New Roman" w:cs="Times New Roman"/>
                      <w:color w:val="auto"/>
                    </w:rPr>
                  </w:pPr>
                  <w:r>
                    <w:rPr>
                      <w:rFonts w:hint="eastAsia" w:ascii="Times New Roman" w:hAnsi="Times New Roman" w:cs="Times New Roman"/>
                      <w:color w:val="auto"/>
                    </w:rPr>
                    <w:t>第三十五条本市城市规划区内的施工单位应当遵守下列施工工地污染防治要求：</w:t>
                  </w:r>
                </w:p>
                <w:p w14:paraId="448BEC2C">
                  <w:pPr>
                    <w:keepNext w:val="0"/>
                    <w:keepLines w:val="0"/>
                    <w:suppressLineNumbers w:val="0"/>
                    <w:spacing w:before="0" w:beforeAutospacing="0" w:after="0" w:afterAutospacing="0"/>
                    <w:ind w:left="0" w:right="0"/>
                    <w:rPr>
                      <w:rFonts w:hint="eastAsia" w:ascii="Times New Roman" w:hAnsi="Times New Roman" w:cs="Times New Roman"/>
                      <w:color w:val="auto"/>
                    </w:rPr>
                  </w:pPr>
                  <w:r>
                    <w:rPr>
                      <w:rFonts w:hint="eastAsia" w:ascii="Times New Roman" w:hAnsi="Times New Roman" w:cs="Times New Roman"/>
                      <w:color w:val="auto"/>
                    </w:rPr>
                    <w:t>（一）施工工地出入口明显位置公示施工现场负责人、扬尘防治监管责任人、扬尘污染控制措施、举报电话等信息，接受社会监督；</w:t>
                  </w:r>
                </w:p>
                <w:p w14:paraId="24F77DA2">
                  <w:pPr>
                    <w:keepNext w:val="0"/>
                    <w:keepLines w:val="0"/>
                    <w:suppressLineNumbers w:val="0"/>
                    <w:spacing w:before="0" w:beforeAutospacing="0" w:after="0" w:afterAutospacing="0"/>
                    <w:ind w:left="0" w:right="0"/>
                    <w:rPr>
                      <w:rFonts w:hint="eastAsia" w:ascii="Times New Roman" w:hAnsi="Times New Roman" w:cs="Times New Roman"/>
                      <w:color w:val="auto"/>
                    </w:rPr>
                  </w:pPr>
                  <w:r>
                    <w:rPr>
                      <w:rFonts w:hint="eastAsia" w:ascii="Times New Roman" w:hAnsi="Times New Roman" w:cs="Times New Roman"/>
                      <w:color w:val="auto"/>
                    </w:rPr>
                    <w:t>（二）在施工现场周边、施工作业区域，按照相关行业标准设置连续硬质围挡、采用喷淋、洒水等措施，工地内主要道路进行硬化处理；</w:t>
                  </w:r>
                </w:p>
                <w:p w14:paraId="4A344DF0">
                  <w:pPr>
                    <w:keepNext w:val="0"/>
                    <w:keepLines w:val="0"/>
                    <w:suppressLineNumbers w:val="0"/>
                    <w:spacing w:before="0" w:beforeAutospacing="0" w:after="0" w:afterAutospacing="0"/>
                    <w:ind w:left="0" w:right="0"/>
                    <w:rPr>
                      <w:rFonts w:hint="eastAsia" w:ascii="Times New Roman" w:hAnsi="Times New Roman" w:cs="Times New Roman"/>
                      <w:color w:val="auto"/>
                    </w:rPr>
                  </w:pPr>
                  <w:r>
                    <w:rPr>
                      <w:rFonts w:hint="eastAsia" w:ascii="Times New Roman" w:hAnsi="Times New Roman" w:cs="Times New Roman"/>
                      <w:color w:val="auto"/>
                    </w:rPr>
                    <w:t>（三）对施工现场可能产生扬尘的物料堆放场所采用密闭式防尘网遮盖等措施，对其他非作业面的裸露场地应当进行覆盖，对土石方、建筑垃圾及时清运并进行资源化处理；建筑垃圾采取封闭方式清运，严禁高处抛洒；</w:t>
                  </w:r>
                </w:p>
                <w:p w14:paraId="68C7A84C">
                  <w:pPr>
                    <w:keepNext w:val="0"/>
                    <w:keepLines w:val="0"/>
                    <w:suppressLineNumbers w:val="0"/>
                    <w:spacing w:before="0" w:beforeAutospacing="0" w:after="0" w:afterAutospacing="0"/>
                    <w:ind w:left="0" w:right="0"/>
                    <w:rPr>
                      <w:rFonts w:hint="eastAsia" w:ascii="Times New Roman" w:hAnsi="Times New Roman" w:cs="Times New Roman"/>
                      <w:color w:val="auto"/>
                    </w:rPr>
                  </w:pPr>
                  <w:r>
                    <w:rPr>
                      <w:rFonts w:hint="eastAsia" w:ascii="Times New Roman" w:hAnsi="Times New Roman" w:cs="Times New Roman"/>
                      <w:color w:val="auto"/>
                    </w:rPr>
                    <w:t>（四）道路挖掘施工应当采取洒水等有效措施防治扬尘污染；道路挖掘施工完成后应当及时恢复路面；</w:t>
                  </w:r>
                </w:p>
                <w:p w14:paraId="5EA68F1D">
                  <w:pPr>
                    <w:keepNext w:val="0"/>
                    <w:keepLines w:val="0"/>
                    <w:suppressLineNumbers w:val="0"/>
                    <w:spacing w:before="0" w:beforeAutospacing="0" w:after="0" w:afterAutospacing="0"/>
                    <w:ind w:left="0" w:right="0"/>
                    <w:rPr>
                      <w:rFonts w:hint="eastAsia"/>
                      <w:color w:val="auto"/>
                    </w:rPr>
                  </w:pPr>
                  <w:r>
                    <w:rPr>
                      <w:rFonts w:hint="eastAsia" w:ascii="Times New Roman" w:hAnsi="Times New Roman" w:cs="Times New Roman"/>
                      <w:color w:val="auto"/>
                    </w:rPr>
                    <w:t>（五）建筑物拆除、土石方作业等易产生扬尘的施工作业应当采取湿法作业。</w:t>
                  </w:r>
                </w:p>
              </w:tc>
              <w:tc>
                <w:tcPr>
                  <w:tcW w:w="1921" w:type="pct"/>
                  <w:noWrap w:val="0"/>
                  <w:vAlign w:val="center"/>
                </w:tcPr>
                <w:p w14:paraId="3E92F024">
                  <w:pPr>
                    <w:keepNext w:val="0"/>
                    <w:keepLines w:val="0"/>
                    <w:suppressLineNumbers w:val="0"/>
                    <w:spacing w:before="0" w:beforeAutospacing="0" w:after="0" w:afterAutospacing="0"/>
                    <w:ind w:left="0" w:right="0"/>
                    <w:rPr>
                      <w:rFonts w:hint="eastAsia" w:ascii="Times New Roman" w:hAnsi="Times New Roman" w:cs="Times New Roman"/>
                      <w:color w:val="auto"/>
                    </w:rPr>
                  </w:pPr>
                  <w:r>
                    <w:rPr>
                      <w:rFonts w:hint="eastAsia" w:ascii="Times New Roman" w:hAnsi="Times New Roman" w:cs="Times New Roman"/>
                      <w:color w:val="auto"/>
                      <w:lang w:val="en-US" w:eastAsia="zh-CN"/>
                    </w:rPr>
                    <w:t>本项目</w:t>
                  </w:r>
                  <w:r>
                    <w:rPr>
                      <w:rFonts w:hint="eastAsia" w:ascii="Times New Roman" w:hAnsi="Times New Roman" w:cs="Times New Roman"/>
                      <w:color w:val="auto"/>
                    </w:rPr>
                    <w:t>租用昆明机床厂劳务服务公司1栋</w:t>
                  </w:r>
                  <w:r>
                    <w:rPr>
                      <w:rFonts w:hint="eastAsia" w:ascii="Times New Roman" w:hAnsi="Times New Roman" w:cs="Times New Roman"/>
                      <w:color w:val="auto"/>
                      <w:lang w:val="en-US" w:eastAsia="zh-CN"/>
                    </w:rPr>
                    <w:t>闲置厂房和1栋办公楼（1~2层）进行适应性装修改造后</w:t>
                  </w:r>
                  <w:r>
                    <w:rPr>
                      <w:rFonts w:hint="eastAsia" w:ascii="Times New Roman" w:hAnsi="Times New Roman" w:cs="Times New Roman"/>
                      <w:color w:val="auto"/>
                    </w:rPr>
                    <w:t>，建设实验室，无土建工程，仅对房间进行内部改造及装修，项目工期扬尘主要来源于设备安装过程中产生的粉尘，产生量较少，采用洒水降尘和加强室内通风对环境影响较小。</w:t>
                  </w:r>
                </w:p>
                <w:p w14:paraId="122EC6B9">
                  <w:pPr>
                    <w:keepNext w:val="0"/>
                    <w:keepLines w:val="0"/>
                    <w:suppressLineNumbers w:val="0"/>
                    <w:spacing w:before="0" w:beforeAutospacing="0" w:after="0" w:afterAutospacing="0"/>
                    <w:ind w:left="0" w:right="0"/>
                    <w:rPr>
                      <w:rFonts w:hint="eastAsia" w:ascii="Times New Roman" w:hAnsi="Times New Roman" w:cs="Times New Roman"/>
                      <w:color w:val="auto"/>
                    </w:rPr>
                  </w:pPr>
                  <w:r>
                    <w:rPr>
                      <w:rFonts w:hint="eastAsia" w:ascii="Times New Roman" w:hAnsi="Times New Roman" w:cs="Times New Roman"/>
                      <w:color w:val="auto"/>
                    </w:rPr>
                    <w:t>项目施工垃圾由施工方 100%合理处置，不涉及道路挖掘施工，不涉及建筑物拆除、土石方作业等易产生扬尘的施工作业。</w:t>
                  </w:r>
                </w:p>
              </w:tc>
              <w:tc>
                <w:tcPr>
                  <w:tcW w:w="440" w:type="pct"/>
                  <w:noWrap w:val="0"/>
                  <w:vAlign w:val="center"/>
                </w:tcPr>
                <w:p w14:paraId="38F89AF0">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符合</w:t>
                  </w:r>
                </w:p>
              </w:tc>
            </w:tr>
            <w:tr w14:paraId="25B9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noWrap w:val="0"/>
                  <w:vAlign w:val="center"/>
                </w:tcPr>
                <w:p w14:paraId="39DE8997">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10</w:t>
                  </w:r>
                </w:p>
              </w:tc>
              <w:tc>
                <w:tcPr>
                  <w:tcW w:w="2317" w:type="pct"/>
                  <w:noWrap w:val="0"/>
                  <w:vAlign w:val="center"/>
                </w:tcPr>
                <w:p w14:paraId="289AE4F1">
                  <w:pPr>
                    <w:keepNext w:val="0"/>
                    <w:keepLines w:val="0"/>
                    <w:suppressLineNumbers w:val="0"/>
                    <w:spacing w:before="0" w:beforeAutospacing="0" w:after="0" w:afterAutospacing="0"/>
                    <w:ind w:left="0" w:right="0"/>
                    <w:rPr>
                      <w:rFonts w:hint="eastAsia"/>
                      <w:color w:val="auto"/>
                    </w:rPr>
                  </w:pPr>
                  <w:r>
                    <w:rPr>
                      <w:rFonts w:hint="eastAsia" w:ascii="Times New Roman" w:hAnsi="Times New Roman" w:cs="Times New Roman"/>
                      <w:color w:val="auto"/>
                    </w:rPr>
                    <w:t>第三十七条运输煤炭、垃圾、渣土、砂石、土方、灰浆等散装、流体物料的车辆应当采取密闭或者其他措施防止物料遗撒造成扬尘污染，并按照规定的路线和时间行驶。</w:t>
                  </w:r>
                </w:p>
              </w:tc>
              <w:tc>
                <w:tcPr>
                  <w:tcW w:w="1921" w:type="pct"/>
                  <w:noWrap w:val="0"/>
                  <w:vAlign w:val="center"/>
                </w:tcPr>
                <w:p w14:paraId="1A23C5BE">
                  <w:pPr>
                    <w:keepNext w:val="0"/>
                    <w:keepLines w:val="0"/>
                    <w:suppressLineNumbers w:val="0"/>
                    <w:spacing w:before="0" w:beforeAutospacing="0" w:after="0" w:afterAutospacing="0"/>
                    <w:ind w:left="0" w:right="0"/>
                    <w:rPr>
                      <w:rFonts w:hint="eastAsia"/>
                      <w:color w:val="auto"/>
                    </w:rPr>
                  </w:pPr>
                  <w:r>
                    <w:rPr>
                      <w:rFonts w:hint="eastAsia" w:ascii="Times New Roman" w:hAnsi="Times New Roman" w:cs="Times New Roman"/>
                      <w:color w:val="auto"/>
                    </w:rPr>
                    <w:t>项目租用已建好房屋，无土建工程，仅对房间进行内部改造及装修，装修改造在室内进行，粉尘产生量较少，对环境影响较小。</w:t>
                  </w:r>
                </w:p>
              </w:tc>
              <w:tc>
                <w:tcPr>
                  <w:tcW w:w="440" w:type="pct"/>
                  <w:noWrap w:val="0"/>
                  <w:vAlign w:val="center"/>
                </w:tcPr>
                <w:p w14:paraId="379FA356">
                  <w:pPr>
                    <w:pStyle w:val="2"/>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color w:val="auto"/>
                    </w:rPr>
                  </w:pPr>
                  <w:r>
                    <w:rPr>
                      <w:rFonts w:hint="eastAsia" w:ascii="Times New Roman" w:hAnsi="Times New Roman"/>
                      <w:color w:val="auto"/>
                    </w:rPr>
                    <w:t>符合</w:t>
                  </w:r>
                </w:p>
              </w:tc>
            </w:tr>
          </w:tbl>
          <w:p w14:paraId="182E77D6">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eastAsia"/>
                <w:b/>
                <w:color w:val="auto"/>
                <w:kern w:val="0"/>
                <w:sz w:val="24"/>
                <w:lang w:val="en-US" w:eastAsia="zh-CN"/>
              </w:rPr>
              <w:t>7</w:t>
            </w:r>
            <w:r>
              <w:rPr>
                <w:rFonts w:hint="default"/>
                <w:b/>
                <w:color w:val="auto"/>
                <w:kern w:val="0"/>
                <w:sz w:val="24"/>
              </w:rPr>
              <w:t>. 环境相容性分析</w:t>
            </w:r>
          </w:p>
          <w:p w14:paraId="53EA9D6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根据现场踏勘，项目区及周边200m范围内，无国家级或省级重点保护的野生植物、地区特有物种、名木古树分布。项目不涉及饮用水保护区、自然保护区、风景名胜区、文物保护单位、世界文化和自然遗产地，也无需要特殊保护的环境目标。</w:t>
            </w:r>
          </w:p>
          <w:p w14:paraId="4055C94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本项目位于</w:t>
            </w:r>
            <w:r>
              <w:rPr>
                <w:rFonts w:hint="default"/>
                <w:color w:val="auto"/>
                <w:sz w:val="24"/>
              </w:rPr>
              <w:t>昆明市盘龙区茨坝街道昆机社区龙泉路714号附1号（昆明机床厂劳动服务公司</w:t>
            </w:r>
            <w:r>
              <w:rPr>
                <w:rFonts w:hint="eastAsia"/>
                <w:color w:val="auto"/>
                <w:sz w:val="24"/>
                <w:lang w:val="en-US" w:eastAsia="zh-CN"/>
              </w:rPr>
              <w:t>内</w:t>
            </w:r>
            <w:r>
              <w:rPr>
                <w:rFonts w:hint="default"/>
                <w:color w:val="auto"/>
                <w:sz w:val="24"/>
              </w:rPr>
              <w:t>）</w:t>
            </w:r>
            <w:r>
              <w:rPr>
                <w:rFonts w:hint="default"/>
                <w:color w:val="auto"/>
                <w:kern w:val="0"/>
                <w:sz w:val="24"/>
              </w:rPr>
              <w:t>，项目北侧为昆机集团昆明电器控制设备厂，西侧为龙安机动车检测站，南侧为云南技师学院（茨坝院区）宿舍楼，东侧为昆明天凯汽车维修服务有限公司。</w:t>
            </w:r>
          </w:p>
          <w:p w14:paraId="40CA458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项目周边企业主要为办公企业，产生的污染物均处理达标后再排放，对周边影响较小。最近环境保护目标为南侧8m处的云南技师学院宿舍楼，根据工程分析，本项目废水、废气、噪声均能达标排放，固体废物处置率100%，本项目对周边环境影响较小。</w:t>
            </w:r>
          </w:p>
          <w:p w14:paraId="49E807A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综上所述，项目与周边环境是相容的。</w:t>
            </w:r>
          </w:p>
          <w:p w14:paraId="3BA649E1">
            <w:pPr>
              <w:pStyle w:val="2"/>
              <w:keepNext w:val="0"/>
              <w:keepLines w:val="0"/>
              <w:suppressLineNumbers w:val="0"/>
              <w:spacing w:before="0" w:beforeAutospacing="0" w:afterAutospacing="0"/>
              <w:ind w:right="0"/>
              <w:rPr>
                <w:rFonts w:hint="default"/>
                <w:color w:val="auto"/>
                <w:kern w:val="0"/>
                <w:sz w:val="24"/>
              </w:rPr>
            </w:pPr>
          </w:p>
          <w:p w14:paraId="662658DB">
            <w:pPr>
              <w:pStyle w:val="4"/>
              <w:keepNext w:val="0"/>
              <w:keepLines w:val="0"/>
              <w:suppressLineNumbers w:val="0"/>
              <w:spacing w:beforeAutospacing="0" w:afterAutospacing="0"/>
              <w:ind w:left="0"/>
              <w:rPr>
                <w:rFonts w:hint="default"/>
                <w:color w:val="auto"/>
                <w:kern w:val="0"/>
                <w:sz w:val="24"/>
              </w:rPr>
            </w:pPr>
          </w:p>
          <w:p w14:paraId="71FC4AAE">
            <w:pPr>
              <w:keepNext w:val="0"/>
              <w:keepLines w:val="0"/>
              <w:suppressLineNumbers w:val="0"/>
              <w:spacing w:before="0" w:beforeAutospacing="0" w:after="0" w:afterAutospacing="0"/>
              <w:ind w:left="0" w:right="0"/>
              <w:rPr>
                <w:rFonts w:hint="default"/>
                <w:color w:val="auto"/>
                <w:kern w:val="0"/>
                <w:sz w:val="24"/>
              </w:rPr>
            </w:pPr>
          </w:p>
          <w:p w14:paraId="3A22D65F">
            <w:pPr>
              <w:pStyle w:val="2"/>
              <w:keepNext w:val="0"/>
              <w:keepLines w:val="0"/>
              <w:suppressLineNumbers w:val="0"/>
              <w:spacing w:before="0" w:beforeAutospacing="0" w:afterAutospacing="0"/>
              <w:ind w:right="0"/>
              <w:rPr>
                <w:rFonts w:hint="default"/>
                <w:color w:val="auto"/>
                <w:kern w:val="0"/>
                <w:sz w:val="24"/>
              </w:rPr>
            </w:pPr>
          </w:p>
          <w:p w14:paraId="1ED2CBE1">
            <w:pPr>
              <w:pStyle w:val="4"/>
              <w:keepNext w:val="0"/>
              <w:keepLines w:val="0"/>
              <w:suppressLineNumbers w:val="0"/>
              <w:spacing w:beforeAutospacing="0" w:afterAutospacing="0"/>
              <w:ind w:left="0"/>
              <w:rPr>
                <w:rFonts w:hint="default"/>
                <w:color w:val="auto"/>
                <w:kern w:val="0"/>
                <w:sz w:val="24"/>
              </w:rPr>
            </w:pPr>
          </w:p>
          <w:p w14:paraId="490B43C5">
            <w:pPr>
              <w:keepNext w:val="0"/>
              <w:keepLines w:val="0"/>
              <w:suppressLineNumbers w:val="0"/>
              <w:spacing w:before="0" w:beforeAutospacing="0" w:after="0" w:afterAutospacing="0"/>
              <w:ind w:left="0" w:right="0"/>
              <w:rPr>
                <w:rFonts w:hint="default"/>
                <w:color w:val="auto"/>
                <w:kern w:val="0"/>
                <w:sz w:val="24"/>
              </w:rPr>
            </w:pPr>
          </w:p>
          <w:p w14:paraId="4741816B">
            <w:pPr>
              <w:pStyle w:val="2"/>
              <w:keepNext w:val="0"/>
              <w:keepLines w:val="0"/>
              <w:suppressLineNumbers w:val="0"/>
              <w:spacing w:before="0" w:beforeAutospacing="0" w:afterAutospacing="0"/>
              <w:ind w:right="0"/>
              <w:rPr>
                <w:rFonts w:hint="default"/>
                <w:color w:val="auto"/>
                <w:kern w:val="0"/>
                <w:sz w:val="24"/>
              </w:rPr>
            </w:pPr>
          </w:p>
          <w:p w14:paraId="02E18075">
            <w:pPr>
              <w:pStyle w:val="4"/>
              <w:keepNext w:val="0"/>
              <w:keepLines w:val="0"/>
              <w:suppressLineNumbers w:val="0"/>
              <w:spacing w:beforeAutospacing="0" w:afterAutospacing="0"/>
              <w:ind w:left="0"/>
              <w:rPr>
                <w:rFonts w:hint="default"/>
                <w:color w:val="auto"/>
                <w:kern w:val="0"/>
                <w:sz w:val="24"/>
              </w:rPr>
            </w:pPr>
          </w:p>
          <w:p w14:paraId="2A8F382C">
            <w:pPr>
              <w:keepNext w:val="0"/>
              <w:keepLines w:val="0"/>
              <w:suppressLineNumbers w:val="0"/>
              <w:spacing w:before="0" w:beforeAutospacing="0" w:after="0" w:afterAutospacing="0"/>
              <w:ind w:left="0" w:right="0"/>
              <w:rPr>
                <w:rFonts w:hint="default"/>
                <w:color w:val="auto"/>
                <w:kern w:val="0"/>
                <w:sz w:val="24"/>
              </w:rPr>
            </w:pPr>
          </w:p>
          <w:p w14:paraId="6D38D428">
            <w:pPr>
              <w:pStyle w:val="2"/>
              <w:keepNext w:val="0"/>
              <w:keepLines w:val="0"/>
              <w:suppressLineNumbers w:val="0"/>
              <w:spacing w:before="0" w:beforeAutospacing="0" w:afterAutospacing="0"/>
              <w:ind w:right="0"/>
              <w:rPr>
                <w:rFonts w:hint="default"/>
                <w:color w:val="auto"/>
                <w:kern w:val="0"/>
                <w:sz w:val="24"/>
              </w:rPr>
            </w:pPr>
          </w:p>
          <w:p w14:paraId="26632B02">
            <w:pPr>
              <w:pStyle w:val="4"/>
              <w:keepNext w:val="0"/>
              <w:keepLines w:val="0"/>
              <w:suppressLineNumbers w:val="0"/>
              <w:spacing w:beforeAutospacing="0" w:afterAutospacing="0"/>
              <w:ind w:left="0"/>
              <w:rPr>
                <w:rFonts w:hint="default"/>
                <w:color w:val="auto"/>
                <w:kern w:val="0"/>
                <w:sz w:val="24"/>
              </w:rPr>
            </w:pPr>
          </w:p>
          <w:p w14:paraId="0F89BF21">
            <w:pPr>
              <w:keepNext w:val="0"/>
              <w:keepLines w:val="0"/>
              <w:suppressLineNumbers w:val="0"/>
              <w:spacing w:before="0" w:beforeAutospacing="0" w:after="0" w:afterAutospacing="0"/>
              <w:ind w:left="0" w:right="0"/>
              <w:rPr>
                <w:rFonts w:hint="default"/>
                <w:color w:val="auto"/>
              </w:rPr>
            </w:pPr>
          </w:p>
        </w:tc>
      </w:tr>
    </w:tbl>
    <w:p w14:paraId="3AA2398D">
      <w:pPr>
        <w:spacing w:line="360" w:lineRule="auto"/>
        <w:outlineLvl w:val="0"/>
        <w:rPr>
          <w:rFonts w:eastAsia="黑体"/>
          <w:color w:val="auto"/>
          <w:sz w:val="30"/>
        </w:rPr>
        <w:sectPr>
          <w:footerReference r:id="rId6" w:type="default"/>
          <w:pgSz w:w="11906" w:h="16838"/>
          <w:pgMar w:top="1701" w:right="1531" w:bottom="1701" w:left="1531" w:header="851" w:footer="1077" w:gutter="0"/>
          <w:pgNumType w:fmt="decimal" w:start="1"/>
          <w:cols w:space="720" w:num="1"/>
          <w:docGrid w:linePitch="312" w:charSpace="0"/>
        </w:sectPr>
      </w:pPr>
    </w:p>
    <w:p w14:paraId="147B73B1">
      <w:pPr>
        <w:pStyle w:val="15"/>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5"/>
        <w:gridCol w:w="8477"/>
        <w:gridCol w:w="50"/>
      </w:tblGrid>
      <w:tr w14:paraId="36182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50" w:type="dxa"/>
          <w:trHeight w:val="397" w:hRule="atLeast"/>
          <w:jc w:val="center"/>
        </w:trPr>
        <w:tc>
          <w:tcPr>
            <w:tcW w:w="495" w:type="dxa"/>
            <w:vAlign w:val="center"/>
          </w:tcPr>
          <w:p w14:paraId="6689BAEF">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Cs w:val="24"/>
              </w:rPr>
            </w:pPr>
            <w:r>
              <w:rPr>
                <w:rFonts w:hint="default" w:ascii="Times New Roman" w:hAnsi="Times New Roman"/>
                <w:color w:val="auto"/>
                <w:szCs w:val="24"/>
              </w:rPr>
              <w:t>建设内容</w:t>
            </w:r>
          </w:p>
        </w:tc>
        <w:tc>
          <w:tcPr>
            <w:tcW w:w="8477" w:type="dxa"/>
          </w:tcPr>
          <w:p w14:paraId="7D77B1CC">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1. 项目由来</w:t>
            </w:r>
          </w:p>
          <w:p w14:paraId="61017CA4">
            <w:pPr>
              <w:keepNext w:val="0"/>
              <w:keepLines w:val="0"/>
              <w:widowControl w:val="0"/>
              <w:suppressLineNumbers w:val="0"/>
              <w:spacing w:before="0" w:beforeAutospacing="0" w:after="0" w:afterAutospacing="0" w:line="360" w:lineRule="auto"/>
              <w:ind w:left="0" w:right="0" w:firstLine="480" w:firstLineChars="200"/>
              <w:jc w:val="both"/>
              <w:rPr>
                <w:rFonts w:hint="eastAsia"/>
                <w:color w:val="auto"/>
                <w:sz w:val="24"/>
                <w:lang w:val="en-US" w:eastAsia="zh-CN"/>
              </w:rPr>
            </w:pPr>
            <w:bookmarkStart w:id="2" w:name="_Hlk138665957"/>
            <w:r>
              <w:rPr>
                <w:rFonts w:hint="default"/>
                <w:color w:val="auto"/>
                <w:sz w:val="24"/>
              </w:rPr>
              <w:t>云南勘中达岩土工程质量检测有限公司</w:t>
            </w:r>
            <w:r>
              <w:rPr>
                <w:rFonts w:hint="eastAsia"/>
                <w:color w:val="auto"/>
                <w:sz w:val="24"/>
                <w:lang w:val="en-US" w:eastAsia="zh-CN"/>
              </w:rPr>
              <w:t>成立于</w:t>
            </w:r>
            <w:r>
              <w:rPr>
                <w:rFonts w:hint="default"/>
                <w:color w:val="auto"/>
                <w:sz w:val="24"/>
              </w:rPr>
              <w:t>2007年03月19日</w:t>
            </w:r>
            <w:r>
              <w:rPr>
                <w:rFonts w:hint="eastAsia"/>
                <w:color w:val="auto"/>
                <w:sz w:val="24"/>
                <w:lang w:eastAsia="zh-CN"/>
              </w:rPr>
              <w:t>，</w:t>
            </w:r>
            <w:r>
              <w:rPr>
                <w:rFonts w:hint="eastAsia"/>
                <w:color w:val="auto"/>
                <w:sz w:val="24"/>
                <w:lang w:val="en-US" w:eastAsia="zh-CN"/>
              </w:rPr>
              <w:t>是一家专业第三方检验机构</w:t>
            </w:r>
            <w:r>
              <w:rPr>
                <w:rFonts w:hint="default"/>
                <w:color w:val="auto"/>
                <w:sz w:val="24"/>
              </w:rPr>
              <w:t>。</w:t>
            </w:r>
            <w:bookmarkStart w:id="3" w:name="_Hlk138853467"/>
            <w:r>
              <w:rPr>
                <w:rFonts w:hint="default"/>
                <w:color w:val="auto"/>
                <w:sz w:val="24"/>
              </w:rPr>
              <w:t>通过对市场和投资环境的综合考虑，云南勘中达岩土工程质量检测有限公司租用昆明机床厂劳务服务公司1栋</w:t>
            </w:r>
            <w:r>
              <w:rPr>
                <w:rFonts w:hint="eastAsia"/>
                <w:color w:val="auto"/>
                <w:sz w:val="24"/>
                <w:lang w:val="en-US" w:eastAsia="zh-CN"/>
              </w:rPr>
              <w:t>闲置厂房和</w:t>
            </w:r>
            <w:bookmarkEnd w:id="3"/>
            <w:r>
              <w:rPr>
                <w:rFonts w:hint="eastAsia"/>
                <w:color w:val="auto"/>
                <w:sz w:val="24"/>
                <w:lang w:val="en-US" w:eastAsia="zh-CN"/>
              </w:rPr>
              <w:t>1栋办公楼（1~2层）进行适应性装修改造后建设工程质量检测实验室和环境检测实验室，进行建筑工程质量检测和环境检测（水质分析）实验。</w:t>
            </w:r>
          </w:p>
          <w:p w14:paraId="59EA766B">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本项目已取得项目代码，项目代码为</w:t>
            </w:r>
            <w:r>
              <w:rPr>
                <w:rFonts w:hint="default" w:eastAsiaTheme="minorEastAsia"/>
                <w:color w:val="auto"/>
                <w:sz w:val="24"/>
              </w:rPr>
              <w:t>2304-530103-04-02-613463</w:t>
            </w:r>
            <w:r>
              <w:rPr>
                <w:rFonts w:hint="eastAsia" w:ascii="Times New Roman" w:hAnsi="Times New Roman" w:eastAsia="宋体" w:cs="宋体"/>
                <w:color w:val="auto"/>
                <w:kern w:val="2"/>
                <w:sz w:val="24"/>
                <w:szCs w:val="24"/>
                <w:lang w:val="en-US" w:eastAsia="zh-CN" w:bidi="ar"/>
              </w:rPr>
              <w:t>。</w:t>
            </w:r>
          </w:p>
          <w:p w14:paraId="3C930D92">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根据《中华人民共和国环境保护法》、《中华人民共和国环境影响评价法》、《国务院关于修改&lt;建设项目环境保护管理条例&gt;的决定》(国务院</w:t>
            </w:r>
            <w:bookmarkStart w:id="13" w:name="_GoBack"/>
            <w:bookmarkEnd w:id="13"/>
            <w:r>
              <w:rPr>
                <w:rFonts w:hint="eastAsia"/>
                <w:color w:val="auto"/>
                <w:sz w:val="24"/>
                <w:lang w:eastAsia="zh-CN"/>
              </w:rPr>
              <w:t>令第</w:t>
            </w:r>
            <w:r>
              <w:rPr>
                <w:rFonts w:hint="default"/>
                <w:color w:val="auto"/>
                <w:sz w:val="24"/>
              </w:rPr>
              <w:t>682号)、《云南省建设项目环境保护管理条例》，项目应进行环境影响评价。按照以上法规条例，对照《建设项目环境影响评价分类管理名录》（2021年版）中规定，本项目属于“四十五、研究和试验发展98专业实验室、研发（实验试验）基地中其他（不产生实验废气、废水、危险废物的除外）”故应编制环境影响报告表。</w:t>
            </w:r>
          </w:p>
          <w:p w14:paraId="4C09B357">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为此，云南</w:t>
            </w:r>
            <w:r>
              <w:rPr>
                <w:rFonts w:hint="eastAsia"/>
                <w:color w:val="auto"/>
                <w:sz w:val="24"/>
                <w:lang w:eastAsia="zh-CN"/>
              </w:rPr>
              <w:t>勘</w:t>
            </w:r>
            <w:r>
              <w:rPr>
                <w:rFonts w:hint="default"/>
                <w:color w:val="auto"/>
                <w:sz w:val="24"/>
              </w:rPr>
              <w:t>中达岩土工程质量检测有限公司（以下简称“建设单位”）委托云南聚贤环保科技有限公司（以下简称“环评单位”）为该项目编制环境影响报告表。环评单位接受委托后，开展了现场踏勘、资料的收集和整理工作，在掌握了充分的资料数据基础上，对有关环境现状和可能产生的环境影响进行分析评价。根据国家建设项目环境管理的有关规定，按照《建设项目环境影响报告表编制技术指南（污染影响类）（试行）》，编制完成了《云南</w:t>
            </w:r>
            <w:r>
              <w:rPr>
                <w:rFonts w:hint="eastAsia"/>
                <w:color w:val="auto"/>
                <w:sz w:val="24"/>
                <w:lang w:eastAsia="zh-CN"/>
              </w:rPr>
              <w:t>勘</w:t>
            </w:r>
            <w:r>
              <w:rPr>
                <w:rFonts w:hint="default"/>
                <w:color w:val="auto"/>
                <w:sz w:val="24"/>
              </w:rPr>
              <w:t>中达岩土工程质量检测有限公司实验室建设项目环境影响报告表》（污染影响类），由建设方上报环境保护主管部门审查批准，作为项目建设及运营期环境管理的依据。</w:t>
            </w:r>
          </w:p>
          <w:bookmarkEnd w:id="2"/>
          <w:p w14:paraId="242D3A8A">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2. 项目基本情况</w:t>
            </w:r>
          </w:p>
          <w:p w14:paraId="2BB25E6A">
            <w:pPr>
              <w:keepNext w:val="0"/>
              <w:keepLines w:val="0"/>
              <w:suppressLineNumbers w:val="0"/>
              <w:spacing w:before="0" w:beforeAutospacing="0" w:after="0" w:afterAutospacing="0" w:line="360" w:lineRule="auto"/>
              <w:ind w:left="0" w:right="0" w:firstLine="482" w:firstLineChars="200"/>
              <w:rPr>
                <w:rFonts w:hint="default"/>
                <w:color w:val="auto"/>
                <w:sz w:val="24"/>
              </w:rPr>
            </w:pPr>
            <w:r>
              <w:rPr>
                <w:rFonts w:hint="default"/>
                <w:b/>
                <w:color w:val="auto"/>
                <w:sz w:val="24"/>
              </w:rPr>
              <w:t>建设项目名称：</w:t>
            </w:r>
            <w:r>
              <w:rPr>
                <w:rFonts w:hint="default" w:eastAsiaTheme="minorEastAsia"/>
                <w:color w:val="auto"/>
                <w:sz w:val="24"/>
              </w:rPr>
              <w:t>云南</w:t>
            </w:r>
            <w:r>
              <w:rPr>
                <w:rFonts w:hint="eastAsia" w:eastAsiaTheme="minorEastAsia"/>
                <w:color w:val="auto"/>
                <w:sz w:val="24"/>
                <w:lang w:eastAsia="zh-CN"/>
              </w:rPr>
              <w:t>勘</w:t>
            </w:r>
            <w:r>
              <w:rPr>
                <w:rFonts w:hint="default" w:eastAsiaTheme="minorEastAsia"/>
                <w:color w:val="auto"/>
                <w:sz w:val="24"/>
              </w:rPr>
              <w:t>中达岩土工程质量检测有限公司实验室建设项目</w:t>
            </w:r>
            <w:r>
              <w:rPr>
                <w:rFonts w:hint="default"/>
                <w:color w:val="auto"/>
                <w:sz w:val="24"/>
              </w:rPr>
              <w:t>；</w:t>
            </w:r>
          </w:p>
          <w:p w14:paraId="10B4779F">
            <w:pPr>
              <w:keepNext w:val="0"/>
              <w:keepLines w:val="0"/>
              <w:suppressLineNumbers w:val="0"/>
              <w:spacing w:before="0" w:beforeAutospacing="0" w:after="0" w:afterAutospacing="0" w:line="360" w:lineRule="auto"/>
              <w:ind w:left="0" w:right="0" w:firstLine="482" w:firstLineChars="200"/>
              <w:rPr>
                <w:rFonts w:hint="default"/>
                <w:color w:val="auto"/>
                <w:sz w:val="24"/>
              </w:rPr>
            </w:pPr>
            <w:r>
              <w:rPr>
                <w:rFonts w:hint="default"/>
                <w:b/>
                <w:color w:val="auto"/>
                <w:sz w:val="24"/>
              </w:rPr>
              <w:t>建设单位：</w:t>
            </w:r>
            <w:r>
              <w:rPr>
                <w:rFonts w:hint="default" w:eastAsiaTheme="minorEastAsia"/>
                <w:color w:val="auto"/>
                <w:sz w:val="24"/>
              </w:rPr>
              <w:t>云南</w:t>
            </w:r>
            <w:r>
              <w:rPr>
                <w:rFonts w:hint="eastAsia" w:eastAsiaTheme="minorEastAsia"/>
                <w:color w:val="auto"/>
                <w:sz w:val="24"/>
                <w:lang w:eastAsia="zh-CN"/>
              </w:rPr>
              <w:t>勘</w:t>
            </w:r>
            <w:r>
              <w:rPr>
                <w:rFonts w:hint="default" w:eastAsiaTheme="minorEastAsia"/>
                <w:color w:val="auto"/>
                <w:sz w:val="24"/>
              </w:rPr>
              <w:t>中达岩土工程质量检测有限公司</w:t>
            </w:r>
            <w:r>
              <w:rPr>
                <w:rFonts w:hint="default"/>
                <w:color w:val="auto"/>
                <w:sz w:val="24"/>
              </w:rPr>
              <w:t>；</w:t>
            </w:r>
          </w:p>
          <w:p w14:paraId="38B69C9D">
            <w:pPr>
              <w:keepNext w:val="0"/>
              <w:keepLines w:val="0"/>
              <w:widowControl/>
              <w:suppressLineNumbers w:val="0"/>
              <w:spacing w:before="0" w:beforeAutospacing="0" w:after="0" w:afterAutospacing="0" w:line="360" w:lineRule="auto"/>
              <w:ind w:left="0" w:right="0" w:firstLine="482" w:firstLineChars="200"/>
              <w:rPr>
                <w:rFonts w:hint="default"/>
                <w:color w:val="auto"/>
                <w:kern w:val="0"/>
                <w:sz w:val="24"/>
              </w:rPr>
            </w:pPr>
            <w:r>
              <w:rPr>
                <w:rFonts w:hint="default"/>
                <w:b/>
                <w:color w:val="auto"/>
                <w:sz w:val="24"/>
              </w:rPr>
              <w:t>建设地点：</w:t>
            </w:r>
            <w:r>
              <w:rPr>
                <w:rFonts w:hint="default"/>
                <w:color w:val="auto"/>
                <w:sz w:val="24"/>
              </w:rPr>
              <w:t>云南省昆明市盘龙区茨坝街道昆机社区龙泉路714号附1号（昆明机床厂劳动服务公司</w:t>
            </w:r>
            <w:r>
              <w:rPr>
                <w:rFonts w:hint="eastAsia"/>
                <w:color w:val="auto"/>
                <w:sz w:val="24"/>
                <w:lang w:val="en-US" w:eastAsia="zh-CN"/>
              </w:rPr>
              <w:t>内</w:t>
            </w:r>
            <w:r>
              <w:rPr>
                <w:rFonts w:hint="default"/>
                <w:color w:val="auto"/>
                <w:sz w:val="24"/>
              </w:rPr>
              <w:t>），项目中心点位置地理坐标为东经102°44′1.076″，北纬25°9′7.445″，建设项目具体位置详见附图1所示；</w:t>
            </w:r>
          </w:p>
          <w:p w14:paraId="1BCF0E29">
            <w:pPr>
              <w:keepNext w:val="0"/>
              <w:keepLines w:val="0"/>
              <w:suppressLineNumbers w:val="0"/>
              <w:spacing w:before="0" w:beforeAutospacing="0" w:after="0" w:afterAutospacing="0" w:line="360" w:lineRule="auto"/>
              <w:ind w:left="0" w:right="0" w:firstLine="482" w:firstLineChars="200"/>
              <w:rPr>
                <w:rFonts w:hint="default"/>
                <w:b/>
                <w:color w:val="auto"/>
                <w:sz w:val="24"/>
              </w:rPr>
            </w:pPr>
            <w:r>
              <w:rPr>
                <w:rFonts w:hint="default"/>
                <w:b/>
                <w:color w:val="auto"/>
                <w:sz w:val="24"/>
              </w:rPr>
              <w:t>建设性质：</w:t>
            </w:r>
            <w:r>
              <w:rPr>
                <w:rFonts w:hint="default"/>
                <w:color w:val="auto"/>
                <w:sz w:val="24"/>
              </w:rPr>
              <w:t>新建；</w:t>
            </w:r>
          </w:p>
          <w:p w14:paraId="6088CDBF">
            <w:pPr>
              <w:keepNext w:val="0"/>
              <w:keepLines w:val="0"/>
              <w:suppressLineNumbers w:val="0"/>
              <w:spacing w:before="0" w:beforeAutospacing="0" w:after="0" w:afterAutospacing="0" w:line="360" w:lineRule="auto"/>
              <w:ind w:left="0" w:right="0" w:firstLine="482" w:firstLineChars="200"/>
              <w:rPr>
                <w:rFonts w:hint="default"/>
                <w:color w:val="auto"/>
                <w:sz w:val="24"/>
              </w:rPr>
            </w:pPr>
            <w:r>
              <w:rPr>
                <w:rFonts w:hint="default"/>
                <w:b/>
                <w:color w:val="auto"/>
                <w:sz w:val="24"/>
              </w:rPr>
              <w:t>项目总投资：</w:t>
            </w:r>
            <w:r>
              <w:rPr>
                <w:rFonts w:hint="default"/>
                <w:color w:val="auto"/>
                <w:sz w:val="24"/>
              </w:rPr>
              <w:t>300万元，其中环保投资21.7万元，占总投资的7.23%；</w:t>
            </w:r>
          </w:p>
          <w:p w14:paraId="13F603AB">
            <w:pPr>
              <w:keepNext w:val="0"/>
              <w:keepLines w:val="0"/>
              <w:suppressLineNumbers w:val="0"/>
              <w:spacing w:before="0" w:beforeAutospacing="0" w:after="0" w:afterAutospacing="0" w:line="360" w:lineRule="auto"/>
              <w:ind w:left="0" w:right="0" w:firstLine="482" w:firstLineChars="200"/>
              <w:rPr>
                <w:rFonts w:hint="default"/>
                <w:b/>
                <w:bCs/>
                <w:color w:val="auto"/>
                <w:sz w:val="24"/>
              </w:rPr>
            </w:pPr>
            <w:r>
              <w:rPr>
                <w:rFonts w:hint="default"/>
                <w:b/>
                <w:color w:val="auto"/>
                <w:sz w:val="24"/>
              </w:rPr>
              <w:t>项目劳动定员：</w:t>
            </w:r>
            <w:r>
              <w:rPr>
                <w:rFonts w:hint="default"/>
                <w:bCs/>
                <w:color w:val="auto"/>
                <w:sz w:val="24"/>
              </w:rPr>
              <w:t>共有员工45人；</w:t>
            </w:r>
          </w:p>
          <w:p w14:paraId="5D2C3573">
            <w:pPr>
              <w:keepNext w:val="0"/>
              <w:keepLines w:val="0"/>
              <w:suppressLineNumbers w:val="0"/>
              <w:spacing w:before="0" w:beforeAutospacing="0" w:after="0" w:afterAutospacing="0" w:line="360" w:lineRule="auto"/>
              <w:ind w:left="0" w:right="0" w:firstLine="482" w:firstLineChars="200"/>
              <w:rPr>
                <w:rFonts w:hint="default"/>
                <w:bCs/>
                <w:color w:val="auto"/>
                <w:sz w:val="24"/>
              </w:rPr>
            </w:pPr>
            <w:r>
              <w:rPr>
                <w:rFonts w:hint="default"/>
                <w:b/>
                <w:color w:val="auto"/>
                <w:sz w:val="24"/>
              </w:rPr>
              <w:t>项目工作制度：</w:t>
            </w:r>
            <w:r>
              <w:rPr>
                <w:rFonts w:hint="default"/>
                <w:bCs/>
                <w:color w:val="auto"/>
                <w:sz w:val="24"/>
              </w:rPr>
              <w:t>年工作天数300天，一班制，每班工作时间8小时。</w:t>
            </w:r>
          </w:p>
          <w:p w14:paraId="705129DE">
            <w:pPr>
              <w:keepNext w:val="0"/>
              <w:keepLines w:val="0"/>
              <w:suppressLineNumbers w:val="0"/>
              <w:adjustRightInd w:val="0"/>
              <w:snapToGrid w:val="0"/>
              <w:spacing w:before="0" w:beforeAutospacing="0" w:after="0" w:afterAutospacing="0" w:line="360" w:lineRule="auto"/>
              <w:ind w:left="0" w:right="0" w:firstLine="482" w:firstLineChars="200"/>
              <w:rPr>
                <w:rFonts w:hint="eastAsia" w:eastAsia="宋体"/>
                <w:b/>
                <w:color w:val="auto"/>
                <w:sz w:val="24"/>
                <w:lang w:eastAsia="zh-CN"/>
              </w:rPr>
            </w:pPr>
            <w:r>
              <w:rPr>
                <w:rFonts w:hint="default"/>
                <w:b/>
                <w:color w:val="auto"/>
                <w:sz w:val="24"/>
              </w:rPr>
              <w:t>项目建设进度：</w:t>
            </w:r>
            <w:r>
              <w:rPr>
                <w:rFonts w:hint="default"/>
                <w:bCs/>
                <w:color w:val="auto"/>
                <w:sz w:val="24"/>
              </w:rPr>
              <w:t>项目预计2023年</w:t>
            </w:r>
            <w:r>
              <w:rPr>
                <w:rFonts w:hint="eastAsia"/>
                <w:bCs/>
                <w:color w:val="auto"/>
                <w:sz w:val="24"/>
                <w:lang w:val="en-US" w:eastAsia="zh-CN"/>
              </w:rPr>
              <w:t>11月</w:t>
            </w:r>
            <w:r>
              <w:rPr>
                <w:rFonts w:hint="default"/>
                <w:bCs/>
                <w:color w:val="auto"/>
                <w:sz w:val="24"/>
              </w:rPr>
              <w:t>开工建设，202</w:t>
            </w:r>
            <w:r>
              <w:rPr>
                <w:rFonts w:hint="eastAsia"/>
                <w:bCs/>
                <w:color w:val="auto"/>
                <w:sz w:val="24"/>
                <w:lang w:val="en-US" w:eastAsia="zh-CN"/>
              </w:rPr>
              <w:t>4</w:t>
            </w:r>
            <w:r>
              <w:rPr>
                <w:rFonts w:hint="default"/>
                <w:bCs/>
                <w:color w:val="auto"/>
                <w:sz w:val="24"/>
              </w:rPr>
              <w:t>年</w:t>
            </w:r>
            <w:r>
              <w:rPr>
                <w:rFonts w:hint="eastAsia"/>
                <w:bCs/>
                <w:color w:val="auto"/>
                <w:sz w:val="24"/>
                <w:lang w:val="en-US" w:eastAsia="zh-CN"/>
              </w:rPr>
              <w:t>1</w:t>
            </w:r>
            <w:r>
              <w:rPr>
                <w:rFonts w:hint="default"/>
                <w:bCs/>
                <w:color w:val="auto"/>
                <w:sz w:val="24"/>
              </w:rPr>
              <w:t>月建成</w:t>
            </w:r>
            <w:r>
              <w:rPr>
                <w:rFonts w:hint="eastAsia"/>
                <w:bCs/>
                <w:color w:val="auto"/>
                <w:sz w:val="24"/>
                <w:lang w:eastAsia="zh-CN"/>
              </w:rPr>
              <w:t>。</w:t>
            </w:r>
          </w:p>
          <w:p w14:paraId="3BFCA2E4">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3. 项目建设内容及规模</w:t>
            </w:r>
          </w:p>
          <w:p w14:paraId="2C0E7333">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val="en-US" w:eastAsia="zh-CN"/>
              </w:rPr>
              <w:t>本项目</w:t>
            </w:r>
            <w:r>
              <w:rPr>
                <w:rFonts w:hint="default"/>
                <w:color w:val="auto"/>
                <w:sz w:val="24"/>
              </w:rPr>
              <w:t>租用昆明机床厂劳动服务公司</w:t>
            </w:r>
            <w:r>
              <w:rPr>
                <w:rFonts w:hint="eastAsia"/>
                <w:color w:val="auto"/>
                <w:sz w:val="24"/>
                <w:lang w:val="en-US" w:eastAsia="zh-CN"/>
              </w:rPr>
              <w:t>的1栋</w:t>
            </w:r>
            <w:r>
              <w:rPr>
                <w:rFonts w:hint="default"/>
                <w:color w:val="auto"/>
                <w:sz w:val="24"/>
                <w:lang w:val="en-US" w:eastAsia="zh-CN"/>
              </w:rPr>
              <w:t>1322.04m²</w:t>
            </w:r>
            <w:r>
              <w:rPr>
                <w:rFonts w:hint="eastAsia"/>
                <w:color w:val="auto"/>
                <w:sz w:val="24"/>
                <w:lang w:val="en-US" w:eastAsia="zh-CN"/>
              </w:rPr>
              <w:t>的闲置厂房和1栋1100</w:t>
            </w:r>
            <w:r>
              <w:rPr>
                <w:rFonts w:hint="default"/>
                <w:color w:val="auto"/>
                <w:sz w:val="24"/>
              </w:rPr>
              <w:t>m</w:t>
            </w:r>
            <w:r>
              <w:rPr>
                <w:rFonts w:hint="default" w:ascii="Times New Roman" w:hAnsi="Times New Roman" w:cs="Times New Roman"/>
                <w:color w:val="auto"/>
                <w:sz w:val="24"/>
                <w:vertAlign w:val="superscript"/>
              </w:rPr>
              <w:t>²</w:t>
            </w:r>
            <w:r>
              <w:rPr>
                <w:rFonts w:hint="eastAsia" w:cs="Times New Roman"/>
                <w:color w:val="auto"/>
                <w:sz w:val="24"/>
                <w:vertAlign w:val="baseline"/>
                <w:lang w:val="en-US" w:eastAsia="zh-CN"/>
              </w:rPr>
              <w:t>的</w:t>
            </w:r>
            <w:r>
              <w:rPr>
                <w:rFonts w:hint="eastAsia"/>
                <w:color w:val="auto"/>
                <w:sz w:val="24"/>
                <w:lang w:val="en-US" w:eastAsia="zh-CN"/>
              </w:rPr>
              <w:t>办公楼进行适应性装修</w:t>
            </w:r>
            <w:r>
              <w:rPr>
                <w:rFonts w:hint="default"/>
                <w:color w:val="auto"/>
                <w:sz w:val="24"/>
              </w:rPr>
              <w:t>改造</w:t>
            </w:r>
            <w:r>
              <w:rPr>
                <w:rFonts w:hint="eastAsia"/>
                <w:color w:val="auto"/>
                <w:sz w:val="24"/>
                <w:lang w:val="en-US" w:eastAsia="zh-CN"/>
              </w:rPr>
              <w:t>用</w:t>
            </w:r>
            <w:r>
              <w:rPr>
                <w:rFonts w:hint="default"/>
                <w:color w:val="auto"/>
                <w:sz w:val="24"/>
              </w:rPr>
              <w:t>做实验室</w:t>
            </w:r>
            <w:r>
              <w:rPr>
                <w:rFonts w:hint="eastAsia"/>
                <w:color w:val="auto"/>
                <w:sz w:val="24"/>
                <w:lang w:val="en-US" w:eastAsia="zh-CN"/>
              </w:rPr>
              <w:t>和办公用房。</w:t>
            </w:r>
            <w:r>
              <w:rPr>
                <w:rFonts w:hint="default"/>
                <w:color w:val="auto"/>
                <w:sz w:val="24"/>
              </w:rPr>
              <w:t>项目</w:t>
            </w:r>
            <w:r>
              <w:rPr>
                <w:rFonts w:hint="eastAsia"/>
                <w:color w:val="auto"/>
                <w:sz w:val="24"/>
                <w:lang w:val="en-US" w:eastAsia="zh-CN"/>
              </w:rPr>
              <w:t>总占地面积为3100</w:t>
            </w:r>
            <w:r>
              <w:rPr>
                <w:rFonts w:hint="default"/>
                <w:color w:val="auto"/>
                <w:sz w:val="24"/>
              </w:rPr>
              <w:t>m</w:t>
            </w:r>
            <w:r>
              <w:rPr>
                <w:rFonts w:hint="default" w:ascii="Times New Roman" w:hAnsi="Times New Roman" w:cs="Times New Roman"/>
                <w:color w:val="auto"/>
                <w:sz w:val="24"/>
                <w:vertAlign w:val="superscript"/>
              </w:rPr>
              <w:t>²</w:t>
            </w:r>
            <w:r>
              <w:rPr>
                <w:rFonts w:hint="eastAsia" w:cs="Times New Roman"/>
                <w:color w:val="auto"/>
                <w:sz w:val="24"/>
                <w:vertAlign w:val="baseline"/>
                <w:lang w:eastAsia="zh-CN"/>
              </w:rPr>
              <w:t>，</w:t>
            </w:r>
            <w:r>
              <w:rPr>
                <w:rFonts w:hint="eastAsia" w:cs="Times New Roman"/>
                <w:color w:val="auto"/>
                <w:sz w:val="24"/>
                <w:vertAlign w:val="baseline"/>
                <w:lang w:val="en-US" w:eastAsia="zh-CN"/>
              </w:rPr>
              <w:t>设置有办公区、实验楼、岩石加工间和样品暂存间四个区域，</w:t>
            </w:r>
            <w:r>
              <w:rPr>
                <w:rFonts w:hint="default"/>
                <w:color w:val="auto"/>
                <w:sz w:val="24"/>
              </w:rPr>
              <w:t>配套</w:t>
            </w:r>
            <w:r>
              <w:rPr>
                <w:rFonts w:hint="eastAsia"/>
                <w:color w:val="auto"/>
                <w:sz w:val="24"/>
                <w:lang w:val="en-US" w:eastAsia="zh-CN"/>
              </w:rPr>
              <w:t>建设相关的环保设施</w:t>
            </w:r>
            <w:r>
              <w:rPr>
                <w:rFonts w:hint="default"/>
                <w:color w:val="auto"/>
                <w:sz w:val="24"/>
              </w:rPr>
              <w:t>。</w:t>
            </w:r>
          </w:p>
          <w:p w14:paraId="7177E540">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w:t>
            </w:r>
            <w:r>
              <w:rPr>
                <w:rFonts w:hint="eastAsia"/>
                <w:color w:val="auto"/>
                <w:sz w:val="24"/>
                <w:lang w:val="en-US" w:eastAsia="zh-CN"/>
              </w:rPr>
              <w:t>主要由主体工程、辅助工程、公用工程、环保工程组成。</w:t>
            </w:r>
            <w:r>
              <w:rPr>
                <w:rFonts w:hint="default"/>
                <w:color w:val="auto"/>
                <w:sz w:val="24"/>
              </w:rPr>
              <w:t>本项目平面布局图详见附图</w:t>
            </w:r>
            <w:r>
              <w:rPr>
                <w:rFonts w:hint="eastAsia"/>
                <w:color w:val="auto"/>
                <w:sz w:val="24"/>
                <w:lang w:val="en-US" w:eastAsia="zh-CN"/>
              </w:rPr>
              <w:t>4</w:t>
            </w:r>
            <w:r>
              <w:rPr>
                <w:rFonts w:hint="default"/>
                <w:color w:val="auto"/>
                <w:sz w:val="24"/>
              </w:rPr>
              <w:t>。项目建设内容见表2-1。</w:t>
            </w:r>
          </w:p>
          <w:p w14:paraId="68F02189">
            <w:pPr>
              <w:keepNext w:val="0"/>
              <w:keepLines w:val="0"/>
              <w:suppressLineNumbers w:val="0"/>
              <w:spacing w:before="0" w:beforeAutospacing="0" w:after="0" w:afterAutospacing="0"/>
              <w:ind w:left="0" w:right="0"/>
              <w:jc w:val="center"/>
              <w:rPr>
                <w:rFonts w:hint="default"/>
                <w:b/>
                <w:color w:val="auto"/>
                <w:sz w:val="21"/>
                <w:szCs w:val="21"/>
              </w:rPr>
            </w:pPr>
            <w:r>
              <w:rPr>
                <w:rFonts w:hint="default"/>
                <w:b/>
                <w:color w:val="auto"/>
                <w:sz w:val="21"/>
                <w:szCs w:val="21"/>
              </w:rPr>
              <w:t>表2-1   项目工程组成一览表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81"/>
              <w:gridCol w:w="1571"/>
              <w:gridCol w:w="4701"/>
              <w:gridCol w:w="571"/>
            </w:tblGrid>
            <w:tr w14:paraId="379D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24B9976D">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类型</w:t>
                  </w:r>
                </w:p>
              </w:tc>
              <w:tc>
                <w:tcPr>
                  <w:tcW w:w="1546" w:type="pct"/>
                  <w:gridSpan w:val="2"/>
                  <w:vAlign w:val="center"/>
                </w:tcPr>
                <w:p w14:paraId="2049B321">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工程名称</w:t>
                  </w:r>
                </w:p>
              </w:tc>
              <w:tc>
                <w:tcPr>
                  <w:tcW w:w="2848" w:type="pct"/>
                  <w:vAlign w:val="center"/>
                </w:tcPr>
                <w:p w14:paraId="2E1E8890">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工程内容</w:t>
                  </w:r>
                </w:p>
              </w:tc>
              <w:tc>
                <w:tcPr>
                  <w:tcW w:w="345" w:type="pct"/>
                  <w:vAlign w:val="center"/>
                </w:tcPr>
                <w:p w14:paraId="171CC371">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备注</w:t>
                  </w:r>
                </w:p>
              </w:tc>
            </w:tr>
            <w:tr w14:paraId="37CE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restart"/>
                  <w:vAlign w:val="center"/>
                </w:tcPr>
                <w:p w14:paraId="345BEF0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主体工程</w:t>
                  </w:r>
                </w:p>
              </w:tc>
              <w:tc>
                <w:tcPr>
                  <w:tcW w:w="594" w:type="pct"/>
                  <w:vMerge w:val="restart"/>
                  <w:vAlign w:val="center"/>
                </w:tcPr>
                <w:p w14:paraId="2ACEE81F">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实验楼</w:t>
                  </w:r>
                </w:p>
                <w:p w14:paraId="7F94CFE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（建筑面积1322.04m²）</w:t>
                  </w:r>
                </w:p>
              </w:tc>
              <w:tc>
                <w:tcPr>
                  <w:tcW w:w="952" w:type="pct"/>
                  <w:vAlign w:val="center"/>
                </w:tcPr>
                <w:p w14:paraId="1988262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一层</w:t>
                  </w:r>
                </w:p>
              </w:tc>
              <w:tc>
                <w:tcPr>
                  <w:tcW w:w="2848" w:type="pct"/>
                  <w:vAlign w:val="center"/>
                </w:tcPr>
                <w:p w14:paraId="1D2E015E">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设置有钢筋试验间、抗冲模、抗渗试验间、岩石试验间、干缩间、拌合间、养护间、大土工实验室（备料间、击实间）、直剪试验间、小土工实验室等。</w:t>
                  </w:r>
                </w:p>
              </w:tc>
              <w:tc>
                <w:tcPr>
                  <w:tcW w:w="345" w:type="pct"/>
                  <w:vMerge w:val="restart"/>
                  <w:vAlign w:val="center"/>
                </w:tcPr>
                <w:p w14:paraId="01A461F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装修改造</w:t>
                  </w:r>
                </w:p>
              </w:tc>
            </w:tr>
            <w:tr w14:paraId="49C9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3348E236">
                  <w:pPr>
                    <w:keepNext w:val="0"/>
                    <w:keepLines w:val="0"/>
                    <w:suppressLineNumbers w:val="0"/>
                    <w:spacing w:before="0" w:beforeAutospacing="0" w:after="0" w:afterAutospacing="0"/>
                    <w:ind w:left="0" w:right="0"/>
                    <w:jc w:val="center"/>
                    <w:rPr>
                      <w:rFonts w:hint="default"/>
                      <w:color w:val="auto"/>
                      <w:szCs w:val="21"/>
                    </w:rPr>
                  </w:pPr>
                </w:p>
              </w:tc>
              <w:tc>
                <w:tcPr>
                  <w:tcW w:w="594" w:type="pct"/>
                  <w:vMerge w:val="continue"/>
                  <w:vAlign w:val="center"/>
                </w:tcPr>
                <w:p w14:paraId="33EE4C79">
                  <w:pPr>
                    <w:keepNext w:val="0"/>
                    <w:keepLines w:val="0"/>
                    <w:suppressLineNumbers w:val="0"/>
                    <w:spacing w:before="0" w:beforeAutospacing="0" w:after="0" w:afterAutospacing="0"/>
                    <w:ind w:left="0" w:right="0"/>
                    <w:jc w:val="center"/>
                    <w:rPr>
                      <w:rFonts w:hint="default"/>
                      <w:color w:val="auto"/>
                      <w:szCs w:val="21"/>
                    </w:rPr>
                  </w:pPr>
                </w:p>
              </w:tc>
              <w:tc>
                <w:tcPr>
                  <w:tcW w:w="952" w:type="pct"/>
                  <w:vAlign w:val="center"/>
                </w:tcPr>
                <w:p w14:paraId="4A63A00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二层</w:t>
                  </w:r>
                </w:p>
              </w:tc>
              <w:tc>
                <w:tcPr>
                  <w:tcW w:w="2848" w:type="pct"/>
                  <w:vAlign w:val="center"/>
                </w:tcPr>
                <w:p w14:paraId="0075170C">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建设置有小土工室、水泥试验间、土工合成材料间、PVC管材室、沥青混凝土试验间（压力室）、</w:t>
                  </w:r>
                  <w:r>
                    <w:rPr>
                      <w:rFonts w:hint="eastAsia"/>
                      <w:color w:val="auto"/>
                      <w:szCs w:val="21"/>
                      <w:lang w:val="en-US" w:eastAsia="zh-CN"/>
                    </w:rPr>
                    <w:t>化学</w:t>
                  </w:r>
                  <w:r>
                    <w:rPr>
                      <w:rFonts w:hint="default"/>
                      <w:color w:val="auto"/>
                      <w:szCs w:val="21"/>
                    </w:rPr>
                    <w:t>实验室等。</w:t>
                  </w:r>
                </w:p>
              </w:tc>
              <w:tc>
                <w:tcPr>
                  <w:tcW w:w="345" w:type="pct"/>
                  <w:vMerge w:val="continue"/>
                  <w:vAlign w:val="center"/>
                </w:tcPr>
                <w:p w14:paraId="48FC75C7">
                  <w:pPr>
                    <w:keepNext w:val="0"/>
                    <w:keepLines w:val="0"/>
                    <w:suppressLineNumbers w:val="0"/>
                    <w:spacing w:before="0" w:beforeAutospacing="0" w:after="0" w:afterAutospacing="0"/>
                    <w:ind w:left="0" w:right="0"/>
                    <w:jc w:val="center"/>
                    <w:rPr>
                      <w:rFonts w:hint="default"/>
                      <w:color w:val="auto"/>
                      <w:szCs w:val="21"/>
                    </w:rPr>
                  </w:pPr>
                </w:p>
              </w:tc>
            </w:tr>
            <w:tr w14:paraId="096B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51CA4200">
                  <w:pPr>
                    <w:keepNext w:val="0"/>
                    <w:keepLines w:val="0"/>
                    <w:suppressLineNumbers w:val="0"/>
                    <w:spacing w:before="0" w:beforeAutospacing="0" w:after="0" w:afterAutospacing="0"/>
                    <w:ind w:left="0" w:right="0"/>
                    <w:jc w:val="center"/>
                    <w:rPr>
                      <w:rFonts w:hint="default"/>
                      <w:color w:val="auto"/>
                      <w:szCs w:val="21"/>
                    </w:rPr>
                  </w:pPr>
                </w:p>
              </w:tc>
              <w:tc>
                <w:tcPr>
                  <w:tcW w:w="594" w:type="pct"/>
                  <w:vMerge w:val="continue"/>
                  <w:vAlign w:val="center"/>
                </w:tcPr>
                <w:p w14:paraId="30317CD8">
                  <w:pPr>
                    <w:keepNext w:val="0"/>
                    <w:keepLines w:val="0"/>
                    <w:suppressLineNumbers w:val="0"/>
                    <w:spacing w:before="0" w:beforeAutospacing="0" w:after="0" w:afterAutospacing="0"/>
                    <w:ind w:left="0" w:right="0"/>
                    <w:jc w:val="center"/>
                    <w:rPr>
                      <w:rFonts w:hint="default"/>
                      <w:color w:val="auto"/>
                      <w:szCs w:val="21"/>
                    </w:rPr>
                  </w:pPr>
                </w:p>
              </w:tc>
              <w:tc>
                <w:tcPr>
                  <w:tcW w:w="952" w:type="pct"/>
                  <w:vAlign w:val="center"/>
                </w:tcPr>
                <w:p w14:paraId="16C869B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加层</w:t>
                  </w:r>
                </w:p>
              </w:tc>
              <w:tc>
                <w:tcPr>
                  <w:tcW w:w="2848" w:type="pct"/>
                  <w:vAlign w:val="center"/>
                </w:tcPr>
                <w:p w14:paraId="2AB9620B">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设置有土工室办公室、材料室办公室、物探设备室、物探部办公室、质检部办公室、微生物实验室、</w:t>
                  </w:r>
                  <w:r>
                    <w:rPr>
                      <w:rFonts w:hint="eastAsia"/>
                      <w:color w:val="auto"/>
                      <w:szCs w:val="21"/>
                      <w:lang w:val="en-US" w:eastAsia="zh-CN"/>
                    </w:rPr>
                    <w:t>化学实验室</w:t>
                  </w:r>
                  <w:r>
                    <w:rPr>
                      <w:rFonts w:hint="default"/>
                      <w:color w:val="auto"/>
                      <w:szCs w:val="21"/>
                    </w:rPr>
                    <w:t>等。</w:t>
                  </w:r>
                </w:p>
              </w:tc>
              <w:tc>
                <w:tcPr>
                  <w:tcW w:w="345" w:type="pct"/>
                  <w:vMerge w:val="continue"/>
                  <w:vAlign w:val="center"/>
                </w:tcPr>
                <w:p w14:paraId="3C44D471">
                  <w:pPr>
                    <w:keepNext w:val="0"/>
                    <w:keepLines w:val="0"/>
                    <w:suppressLineNumbers w:val="0"/>
                    <w:spacing w:before="0" w:beforeAutospacing="0" w:after="0" w:afterAutospacing="0"/>
                    <w:ind w:left="0" w:right="0"/>
                    <w:jc w:val="center"/>
                    <w:rPr>
                      <w:rFonts w:hint="default"/>
                      <w:color w:val="auto"/>
                      <w:szCs w:val="21"/>
                    </w:rPr>
                  </w:pPr>
                </w:p>
              </w:tc>
            </w:tr>
            <w:tr w14:paraId="1FFB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 w:type="pct"/>
                  <w:vMerge w:val="continue"/>
                  <w:vAlign w:val="center"/>
                </w:tcPr>
                <w:p w14:paraId="100A9B5C">
                  <w:pPr>
                    <w:keepNext w:val="0"/>
                    <w:keepLines w:val="0"/>
                    <w:suppressLineNumbers w:val="0"/>
                    <w:spacing w:before="0" w:beforeAutospacing="0" w:after="0" w:afterAutospacing="0"/>
                    <w:ind w:left="0" w:right="0"/>
                    <w:jc w:val="center"/>
                    <w:rPr>
                      <w:rFonts w:hint="default"/>
                      <w:color w:val="auto"/>
                      <w:szCs w:val="21"/>
                    </w:rPr>
                  </w:pPr>
                </w:p>
              </w:tc>
              <w:tc>
                <w:tcPr>
                  <w:tcW w:w="1546" w:type="pct"/>
                  <w:gridSpan w:val="2"/>
                  <w:vAlign w:val="center"/>
                </w:tcPr>
                <w:p w14:paraId="6D9B828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岩石加工间</w:t>
                  </w:r>
                </w:p>
              </w:tc>
              <w:tc>
                <w:tcPr>
                  <w:tcW w:w="2848" w:type="pct"/>
                  <w:vAlign w:val="center"/>
                </w:tcPr>
                <w:p w14:paraId="6097E6F3">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位于实验楼</w:t>
                  </w:r>
                  <w:r>
                    <w:rPr>
                      <w:rFonts w:hint="eastAsia"/>
                      <w:color w:val="auto"/>
                      <w:szCs w:val="21"/>
                      <w:lang w:val="en-US" w:eastAsia="zh-CN"/>
                    </w:rPr>
                    <w:t>西</w:t>
                  </w:r>
                  <w:r>
                    <w:rPr>
                      <w:rFonts w:hint="default"/>
                      <w:color w:val="auto"/>
                      <w:szCs w:val="21"/>
                    </w:rPr>
                    <w:t>侧，建筑面积20m²，主要用于岩石加工，进行湿法破碎作业。</w:t>
                  </w:r>
                </w:p>
              </w:tc>
              <w:tc>
                <w:tcPr>
                  <w:tcW w:w="345" w:type="pct"/>
                  <w:vMerge w:val="restart"/>
                  <w:vAlign w:val="center"/>
                </w:tcPr>
                <w:p w14:paraId="6B0F0BE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装修改造</w:t>
                  </w:r>
                </w:p>
              </w:tc>
            </w:tr>
            <w:tr w14:paraId="32B6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restart"/>
                  <w:vAlign w:val="center"/>
                </w:tcPr>
                <w:p w14:paraId="7DB19E3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辅助工程</w:t>
                  </w:r>
                </w:p>
              </w:tc>
              <w:tc>
                <w:tcPr>
                  <w:tcW w:w="1546" w:type="pct"/>
                  <w:gridSpan w:val="2"/>
                  <w:vAlign w:val="center"/>
                </w:tcPr>
                <w:p w14:paraId="3E2240EF">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办公室</w:t>
                  </w:r>
                </w:p>
              </w:tc>
              <w:tc>
                <w:tcPr>
                  <w:tcW w:w="2848" w:type="pct"/>
                  <w:vAlign w:val="center"/>
                </w:tcPr>
                <w:p w14:paraId="44F1224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建筑面积1100m²，共5层，一</w:t>
                  </w:r>
                  <w:r>
                    <w:rPr>
                      <w:rFonts w:hint="eastAsia"/>
                      <w:color w:val="auto"/>
                      <w:szCs w:val="21"/>
                      <w:lang w:eastAsia="zh-CN"/>
                    </w:rPr>
                    <w:t>、</w:t>
                  </w:r>
                  <w:r>
                    <w:rPr>
                      <w:rFonts w:hint="default"/>
                      <w:color w:val="auto"/>
                      <w:szCs w:val="21"/>
                    </w:rPr>
                    <w:t>二层为本项目办公场所，三至五层为云南秀川水利水电勘察设计有限公司办公地点。</w:t>
                  </w:r>
                </w:p>
              </w:tc>
              <w:tc>
                <w:tcPr>
                  <w:tcW w:w="345" w:type="pct"/>
                  <w:vMerge w:val="continue"/>
                  <w:vAlign w:val="center"/>
                </w:tcPr>
                <w:p w14:paraId="61A4F1E4">
                  <w:pPr>
                    <w:keepNext w:val="0"/>
                    <w:keepLines w:val="0"/>
                    <w:suppressLineNumbers w:val="0"/>
                    <w:spacing w:before="0" w:beforeAutospacing="0" w:after="0" w:afterAutospacing="0"/>
                    <w:ind w:left="0" w:right="0"/>
                    <w:jc w:val="center"/>
                    <w:rPr>
                      <w:rFonts w:hint="default"/>
                      <w:color w:val="auto"/>
                      <w:szCs w:val="21"/>
                    </w:rPr>
                  </w:pPr>
                </w:p>
              </w:tc>
            </w:tr>
            <w:tr w14:paraId="3718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7C0B0C30">
                  <w:pPr>
                    <w:keepNext w:val="0"/>
                    <w:keepLines w:val="0"/>
                    <w:suppressLineNumbers w:val="0"/>
                    <w:spacing w:before="0" w:beforeAutospacing="0" w:after="0" w:afterAutospacing="0"/>
                    <w:ind w:left="0" w:right="0"/>
                    <w:jc w:val="center"/>
                    <w:rPr>
                      <w:rFonts w:hint="default"/>
                      <w:color w:val="auto"/>
                      <w:szCs w:val="21"/>
                    </w:rPr>
                  </w:pPr>
                </w:p>
              </w:tc>
              <w:tc>
                <w:tcPr>
                  <w:tcW w:w="1546" w:type="pct"/>
                  <w:gridSpan w:val="2"/>
                  <w:vAlign w:val="center"/>
                </w:tcPr>
                <w:p w14:paraId="7BAD8BF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食堂</w:t>
                  </w:r>
                </w:p>
              </w:tc>
              <w:tc>
                <w:tcPr>
                  <w:tcW w:w="2848" w:type="pct"/>
                  <w:vAlign w:val="center"/>
                </w:tcPr>
                <w:p w14:paraId="24AAA168">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位于办公楼一层，设置餐厅、食堂。设置2个灶台。</w:t>
                  </w:r>
                </w:p>
              </w:tc>
              <w:tc>
                <w:tcPr>
                  <w:tcW w:w="345" w:type="pct"/>
                  <w:vMerge w:val="restart"/>
                  <w:vAlign w:val="center"/>
                </w:tcPr>
                <w:p w14:paraId="5734852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新建</w:t>
                  </w:r>
                </w:p>
              </w:tc>
            </w:tr>
            <w:tr w14:paraId="47CC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47BC345D">
                  <w:pPr>
                    <w:keepNext w:val="0"/>
                    <w:keepLines w:val="0"/>
                    <w:suppressLineNumbers w:val="0"/>
                    <w:spacing w:before="0" w:beforeAutospacing="0" w:after="0" w:afterAutospacing="0"/>
                    <w:ind w:left="0" w:right="0"/>
                    <w:jc w:val="center"/>
                    <w:rPr>
                      <w:rFonts w:hint="default"/>
                      <w:color w:val="auto"/>
                      <w:szCs w:val="21"/>
                    </w:rPr>
                  </w:pPr>
                </w:p>
              </w:tc>
              <w:tc>
                <w:tcPr>
                  <w:tcW w:w="1546" w:type="pct"/>
                  <w:gridSpan w:val="2"/>
                  <w:vAlign w:val="center"/>
                </w:tcPr>
                <w:p w14:paraId="6CAF2AA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样品暂存间</w:t>
                  </w:r>
                </w:p>
              </w:tc>
              <w:tc>
                <w:tcPr>
                  <w:tcW w:w="2848" w:type="pct"/>
                  <w:vAlign w:val="center"/>
                </w:tcPr>
                <w:p w14:paraId="25D1A79E">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建筑面积150m²，1栋1层，位于实验楼前方西侧空地，彩钢瓦结构搭建，主要用于样品存放和废料暂存。</w:t>
                  </w:r>
                </w:p>
              </w:tc>
              <w:tc>
                <w:tcPr>
                  <w:tcW w:w="345" w:type="pct"/>
                  <w:vMerge w:val="continue"/>
                  <w:vAlign w:val="center"/>
                </w:tcPr>
                <w:p w14:paraId="0F068B64">
                  <w:pPr>
                    <w:keepNext w:val="0"/>
                    <w:keepLines w:val="0"/>
                    <w:suppressLineNumbers w:val="0"/>
                    <w:spacing w:before="0" w:beforeAutospacing="0" w:after="0" w:afterAutospacing="0"/>
                    <w:ind w:left="0" w:right="0"/>
                    <w:jc w:val="center"/>
                    <w:rPr>
                      <w:rFonts w:hint="default"/>
                      <w:color w:val="auto"/>
                      <w:szCs w:val="21"/>
                    </w:rPr>
                  </w:pPr>
                </w:p>
              </w:tc>
            </w:tr>
            <w:tr w14:paraId="7045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restart"/>
                  <w:vAlign w:val="center"/>
                </w:tcPr>
                <w:p w14:paraId="67DAB3BF">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公用工程</w:t>
                  </w:r>
                </w:p>
              </w:tc>
              <w:tc>
                <w:tcPr>
                  <w:tcW w:w="1546" w:type="pct"/>
                  <w:gridSpan w:val="2"/>
                  <w:vAlign w:val="center"/>
                </w:tcPr>
                <w:p w14:paraId="1DF1EB4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供水</w:t>
                  </w:r>
                </w:p>
              </w:tc>
              <w:tc>
                <w:tcPr>
                  <w:tcW w:w="2848" w:type="pct"/>
                  <w:vAlign w:val="center"/>
                </w:tcPr>
                <w:p w14:paraId="049D3A6C">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依托昆明机床厂劳动服务公司已有供水系统，市政供水。</w:t>
                  </w:r>
                </w:p>
              </w:tc>
              <w:tc>
                <w:tcPr>
                  <w:tcW w:w="345" w:type="pct"/>
                  <w:vMerge w:val="restart"/>
                  <w:vAlign w:val="center"/>
                </w:tcPr>
                <w:p w14:paraId="1AF0B31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依托</w:t>
                  </w:r>
                </w:p>
              </w:tc>
            </w:tr>
            <w:tr w14:paraId="2811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462A8143">
                  <w:pPr>
                    <w:keepNext w:val="0"/>
                    <w:keepLines w:val="0"/>
                    <w:suppressLineNumbers w:val="0"/>
                    <w:spacing w:before="0" w:beforeAutospacing="0" w:after="0" w:afterAutospacing="0"/>
                    <w:ind w:left="0" w:right="0"/>
                    <w:jc w:val="center"/>
                    <w:rPr>
                      <w:rFonts w:hint="default"/>
                      <w:color w:val="auto"/>
                      <w:szCs w:val="21"/>
                    </w:rPr>
                  </w:pPr>
                </w:p>
              </w:tc>
              <w:tc>
                <w:tcPr>
                  <w:tcW w:w="1546" w:type="pct"/>
                  <w:gridSpan w:val="2"/>
                  <w:vAlign w:val="center"/>
                </w:tcPr>
                <w:p w14:paraId="476668E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供电</w:t>
                  </w:r>
                </w:p>
              </w:tc>
              <w:tc>
                <w:tcPr>
                  <w:tcW w:w="2848" w:type="pct"/>
                  <w:vAlign w:val="center"/>
                </w:tcPr>
                <w:p w14:paraId="5F286483">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依托昆明机床厂劳动服务公司已有供电系统，采用市政供电系统供电。</w:t>
                  </w:r>
                </w:p>
              </w:tc>
              <w:tc>
                <w:tcPr>
                  <w:tcW w:w="345" w:type="pct"/>
                  <w:vMerge w:val="continue"/>
                  <w:vAlign w:val="center"/>
                </w:tcPr>
                <w:p w14:paraId="25ADE75E">
                  <w:pPr>
                    <w:keepNext w:val="0"/>
                    <w:keepLines w:val="0"/>
                    <w:suppressLineNumbers w:val="0"/>
                    <w:spacing w:before="0" w:beforeAutospacing="0" w:after="0" w:afterAutospacing="0"/>
                    <w:ind w:left="0" w:right="0"/>
                    <w:jc w:val="center"/>
                    <w:rPr>
                      <w:rFonts w:hint="default"/>
                      <w:color w:val="auto"/>
                      <w:szCs w:val="21"/>
                    </w:rPr>
                  </w:pPr>
                </w:p>
              </w:tc>
            </w:tr>
            <w:tr w14:paraId="7FE8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330FB83E">
                  <w:pPr>
                    <w:keepNext w:val="0"/>
                    <w:keepLines w:val="0"/>
                    <w:suppressLineNumbers w:val="0"/>
                    <w:spacing w:before="0" w:beforeAutospacing="0" w:after="0" w:afterAutospacing="0"/>
                    <w:ind w:left="0" w:right="0"/>
                    <w:jc w:val="center"/>
                    <w:rPr>
                      <w:rFonts w:hint="default"/>
                      <w:color w:val="auto"/>
                      <w:szCs w:val="21"/>
                    </w:rPr>
                  </w:pPr>
                </w:p>
              </w:tc>
              <w:tc>
                <w:tcPr>
                  <w:tcW w:w="1546" w:type="pct"/>
                  <w:gridSpan w:val="2"/>
                  <w:vAlign w:val="center"/>
                </w:tcPr>
                <w:p w14:paraId="393F78C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排水</w:t>
                  </w:r>
                </w:p>
              </w:tc>
              <w:tc>
                <w:tcPr>
                  <w:tcW w:w="2848" w:type="pct"/>
                  <w:vAlign w:val="center"/>
                </w:tcPr>
                <w:p w14:paraId="36815650">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项目区严格实行雨污分流制。</w:t>
                  </w:r>
                </w:p>
                <w:p w14:paraId="4CF00D4D">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雨水：雨水排入昆明机床厂劳动服务公司已有雨水管网，进入市政雨水管网。</w:t>
                  </w:r>
                </w:p>
                <w:p w14:paraId="70600FF5">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污水：</w:t>
                  </w:r>
                  <w:r>
                    <w:rPr>
                      <w:rFonts w:hint="default"/>
                      <w:color w:val="auto"/>
                      <w:szCs w:val="21"/>
                      <w:highlight w:val="none"/>
                    </w:rPr>
                    <w:t>项目实验室</w:t>
                  </w:r>
                  <w:r>
                    <w:rPr>
                      <w:rFonts w:hint="eastAsia"/>
                      <w:color w:val="auto"/>
                      <w:szCs w:val="21"/>
                      <w:highlight w:val="none"/>
                      <w:lang w:val="en-US" w:eastAsia="zh-CN"/>
                    </w:rPr>
                    <w:t>第三次及以后的</w:t>
                  </w:r>
                  <w:r>
                    <w:rPr>
                      <w:rFonts w:hint="default"/>
                      <w:color w:val="auto"/>
                      <w:szCs w:val="21"/>
                      <w:highlight w:val="none"/>
                    </w:rPr>
                    <w:t>器皿清洗废水、</w:t>
                  </w:r>
                  <w:r>
                    <w:rPr>
                      <w:rFonts w:hint="eastAsia"/>
                      <w:color w:val="auto"/>
                      <w:szCs w:val="21"/>
                      <w:highlight w:val="none"/>
                      <w:lang w:val="en-US" w:eastAsia="zh-CN"/>
                    </w:rPr>
                    <w:t>物理</w:t>
                  </w:r>
                  <w:r>
                    <w:rPr>
                      <w:rFonts w:hint="default"/>
                      <w:color w:val="auto"/>
                      <w:szCs w:val="21"/>
                    </w:rPr>
                    <w:t>实验过程废水、</w:t>
                  </w:r>
                  <w:r>
                    <w:rPr>
                      <w:rFonts w:hint="eastAsia"/>
                      <w:color w:val="auto"/>
                      <w:szCs w:val="21"/>
                      <w:lang w:val="en-US" w:eastAsia="zh-CN"/>
                    </w:rPr>
                    <w:t>实验器具润洗废水、</w:t>
                  </w:r>
                  <w:r>
                    <w:rPr>
                      <w:rFonts w:hint="default"/>
                      <w:color w:val="auto"/>
                      <w:szCs w:val="21"/>
                    </w:rPr>
                    <w:t>喷淋</w:t>
                  </w:r>
                  <w:r>
                    <w:rPr>
                      <w:rFonts w:hint="eastAsia"/>
                      <w:color w:val="auto"/>
                      <w:szCs w:val="21"/>
                      <w:lang w:val="en-US" w:eastAsia="zh-CN"/>
                    </w:rPr>
                    <w:t>设施</w:t>
                  </w:r>
                  <w:r>
                    <w:rPr>
                      <w:rFonts w:hint="default"/>
                      <w:color w:val="auto"/>
                      <w:szCs w:val="21"/>
                    </w:rPr>
                    <w:t>废水、纯水制备废水经</w:t>
                  </w:r>
                  <w:r>
                    <w:rPr>
                      <w:rFonts w:hint="eastAsia"/>
                      <w:color w:val="auto"/>
                      <w:szCs w:val="21"/>
                      <w:lang w:val="en-US" w:eastAsia="zh-CN"/>
                    </w:rPr>
                    <w:t>自建三级</w:t>
                  </w:r>
                  <w:r>
                    <w:rPr>
                      <w:rFonts w:hint="default"/>
                      <w:color w:val="auto"/>
                      <w:szCs w:val="21"/>
                    </w:rPr>
                    <w:t>沉淀池预处理达《污水排入城镇下水道水质标准》（GB/T31962-2015）表1中A等级标准后，排入龙泉路市政污水管，最终进入昆明市</w:t>
                  </w:r>
                  <w:r>
                    <w:rPr>
                      <w:rFonts w:hint="eastAsia"/>
                      <w:color w:val="auto"/>
                      <w:szCs w:val="21"/>
                      <w:lang w:eastAsia="zh-CN"/>
                    </w:rPr>
                    <w:t>第五水质净化厂处理</w:t>
                  </w:r>
                  <w:r>
                    <w:rPr>
                      <w:rFonts w:hint="default"/>
                      <w:color w:val="auto"/>
                      <w:szCs w:val="21"/>
                    </w:rPr>
                    <w:t>。食堂废水经隔油池处理后与地面清洁水和其他生活废水一起</w:t>
                  </w:r>
                  <w:r>
                    <w:rPr>
                      <w:rFonts w:hint="eastAsia"/>
                      <w:color w:val="auto"/>
                      <w:szCs w:val="21"/>
                      <w:lang w:val="en-US" w:eastAsia="zh-CN"/>
                    </w:rPr>
                    <w:t>进入配套</w:t>
                  </w:r>
                  <w:r>
                    <w:rPr>
                      <w:rFonts w:hint="default"/>
                      <w:color w:val="auto"/>
                      <w:szCs w:val="21"/>
                    </w:rPr>
                    <w:t>化粪池处理达《污水排入城镇下水道水质标准》（GB/T31962-2015）表1中A等级标准后，排入龙泉路市政污水管，最终进入昆明市</w:t>
                  </w:r>
                  <w:r>
                    <w:rPr>
                      <w:rFonts w:hint="eastAsia"/>
                      <w:color w:val="auto"/>
                      <w:szCs w:val="21"/>
                      <w:lang w:eastAsia="zh-CN"/>
                    </w:rPr>
                    <w:t>第五水质净化厂处理</w:t>
                  </w:r>
                  <w:r>
                    <w:rPr>
                      <w:rFonts w:hint="default"/>
                      <w:color w:val="auto"/>
                      <w:szCs w:val="21"/>
                    </w:rPr>
                    <w:t>。</w:t>
                  </w:r>
                </w:p>
              </w:tc>
              <w:tc>
                <w:tcPr>
                  <w:tcW w:w="345" w:type="pct"/>
                  <w:vAlign w:val="center"/>
                </w:tcPr>
                <w:p w14:paraId="2436A66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依托</w:t>
                  </w:r>
                </w:p>
              </w:tc>
            </w:tr>
            <w:tr w14:paraId="2E06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58" w:type="pct"/>
                  <w:vMerge w:val="continue"/>
                  <w:vAlign w:val="center"/>
                </w:tcPr>
                <w:p w14:paraId="415EBBAB">
                  <w:pPr>
                    <w:keepNext w:val="0"/>
                    <w:keepLines w:val="0"/>
                    <w:suppressLineNumbers w:val="0"/>
                    <w:spacing w:before="0" w:beforeAutospacing="0" w:after="0" w:afterAutospacing="0"/>
                    <w:ind w:left="0" w:right="0"/>
                    <w:jc w:val="center"/>
                    <w:rPr>
                      <w:rFonts w:hint="default"/>
                      <w:color w:val="auto"/>
                      <w:szCs w:val="21"/>
                    </w:rPr>
                  </w:pPr>
                </w:p>
              </w:tc>
              <w:tc>
                <w:tcPr>
                  <w:tcW w:w="1546" w:type="pct"/>
                  <w:gridSpan w:val="2"/>
                  <w:vAlign w:val="center"/>
                </w:tcPr>
                <w:p w14:paraId="2974365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供热</w:t>
                  </w:r>
                </w:p>
              </w:tc>
              <w:tc>
                <w:tcPr>
                  <w:tcW w:w="2848" w:type="pct"/>
                  <w:vAlign w:val="center"/>
                </w:tcPr>
                <w:p w14:paraId="2220CD3B">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本项目</w:t>
                  </w:r>
                  <w:r>
                    <w:rPr>
                      <w:rFonts w:hint="eastAsia"/>
                      <w:color w:val="auto"/>
                      <w:szCs w:val="21"/>
                      <w:lang w:val="en-US" w:eastAsia="zh-CN"/>
                    </w:rPr>
                    <w:t>实验</w:t>
                  </w:r>
                  <w:r>
                    <w:rPr>
                      <w:rFonts w:hint="default"/>
                      <w:color w:val="auto"/>
                      <w:szCs w:val="21"/>
                    </w:rPr>
                    <w:t>过程使用的热源均为电能，为清洁能源。</w:t>
                  </w:r>
                </w:p>
              </w:tc>
              <w:tc>
                <w:tcPr>
                  <w:tcW w:w="345" w:type="pct"/>
                  <w:vAlign w:val="center"/>
                </w:tcPr>
                <w:p w14:paraId="2D772A8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p>
              </w:tc>
            </w:tr>
            <w:tr w14:paraId="0AB3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027C4567">
                  <w:pPr>
                    <w:keepNext w:val="0"/>
                    <w:keepLines w:val="0"/>
                    <w:suppressLineNumbers w:val="0"/>
                    <w:spacing w:before="0" w:beforeAutospacing="0" w:after="0" w:afterAutospacing="0"/>
                    <w:ind w:left="0" w:right="0"/>
                    <w:jc w:val="center"/>
                    <w:rPr>
                      <w:rFonts w:hint="default"/>
                      <w:color w:val="auto"/>
                      <w:szCs w:val="21"/>
                    </w:rPr>
                  </w:pPr>
                </w:p>
              </w:tc>
              <w:tc>
                <w:tcPr>
                  <w:tcW w:w="1546" w:type="pct"/>
                  <w:gridSpan w:val="2"/>
                  <w:vAlign w:val="center"/>
                </w:tcPr>
                <w:p w14:paraId="2C2C75A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消防</w:t>
                  </w:r>
                </w:p>
              </w:tc>
              <w:tc>
                <w:tcPr>
                  <w:tcW w:w="2848" w:type="pct"/>
                  <w:vAlign w:val="center"/>
                </w:tcPr>
                <w:p w14:paraId="65217AB6">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设置消防疏散通道，配置临时灭火设施。</w:t>
                  </w:r>
                </w:p>
              </w:tc>
              <w:tc>
                <w:tcPr>
                  <w:tcW w:w="345" w:type="pct"/>
                  <w:vAlign w:val="center"/>
                </w:tcPr>
                <w:p w14:paraId="7E23B75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p>
              </w:tc>
            </w:tr>
            <w:tr w14:paraId="59AD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restart"/>
                  <w:vAlign w:val="center"/>
                </w:tcPr>
                <w:p w14:paraId="54F83F4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环保工程</w:t>
                  </w:r>
                </w:p>
              </w:tc>
              <w:tc>
                <w:tcPr>
                  <w:tcW w:w="594" w:type="pct"/>
                  <w:vMerge w:val="restart"/>
                  <w:vAlign w:val="center"/>
                </w:tcPr>
                <w:p w14:paraId="531DA8B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废水处理</w:t>
                  </w:r>
                </w:p>
              </w:tc>
              <w:tc>
                <w:tcPr>
                  <w:tcW w:w="952" w:type="pct"/>
                  <w:vAlign w:val="center"/>
                </w:tcPr>
                <w:p w14:paraId="367BBFA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隔油池</w:t>
                  </w:r>
                </w:p>
              </w:tc>
              <w:tc>
                <w:tcPr>
                  <w:tcW w:w="2848" w:type="pct"/>
                  <w:vAlign w:val="center"/>
                </w:tcPr>
                <w:p w14:paraId="5C9A8CE4">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本次拟</w:t>
                  </w:r>
                  <w:r>
                    <w:rPr>
                      <w:rFonts w:hint="eastAsia"/>
                      <w:color w:val="auto"/>
                      <w:szCs w:val="21"/>
                      <w:lang w:val="en-US" w:eastAsia="zh-CN"/>
                    </w:rPr>
                    <w:t>设置</w:t>
                  </w:r>
                  <w:r>
                    <w:rPr>
                      <w:rFonts w:hint="default"/>
                      <w:color w:val="auto"/>
                      <w:szCs w:val="21"/>
                    </w:rPr>
                    <w:t>1个隔油池，用于收集</w:t>
                  </w:r>
                  <w:r>
                    <w:rPr>
                      <w:rFonts w:hint="eastAsia"/>
                      <w:color w:val="auto"/>
                      <w:szCs w:val="21"/>
                      <w:lang w:val="en-US" w:eastAsia="zh-CN"/>
                    </w:rPr>
                    <w:t>处理</w:t>
                  </w:r>
                  <w:r>
                    <w:rPr>
                      <w:rFonts w:hint="default"/>
                      <w:color w:val="auto"/>
                      <w:szCs w:val="21"/>
                    </w:rPr>
                    <w:t>食堂废水，容积不小于</w:t>
                  </w:r>
                  <w:r>
                    <w:rPr>
                      <w:rFonts w:hint="eastAsia"/>
                      <w:color w:val="auto"/>
                      <w:szCs w:val="21"/>
                      <w:lang w:val="en-US" w:eastAsia="zh-CN"/>
                    </w:rPr>
                    <w:t>1</w:t>
                  </w:r>
                  <w:r>
                    <w:rPr>
                      <w:rFonts w:hint="default"/>
                      <w:color w:val="auto"/>
                      <w:szCs w:val="21"/>
                    </w:rPr>
                    <w:t>m³</w:t>
                  </w:r>
                </w:p>
              </w:tc>
              <w:tc>
                <w:tcPr>
                  <w:tcW w:w="345" w:type="pct"/>
                  <w:vMerge w:val="restart"/>
                  <w:vAlign w:val="center"/>
                </w:tcPr>
                <w:p w14:paraId="4BD72B0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新建</w:t>
                  </w:r>
                </w:p>
              </w:tc>
            </w:tr>
            <w:tr w14:paraId="635F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55B7978D">
                  <w:pPr>
                    <w:keepNext w:val="0"/>
                    <w:keepLines w:val="0"/>
                    <w:suppressLineNumbers w:val="0"/>
                    <w:spacing w:before="0" w:beforeAutospacing="0" w:after="0" w:afterAutospacing="0"/>
                    <w:ind w:left="0" w:right="0"/>
                    <w:jc w:val="center"/>
                    <w:rPr>
                      <w:rFonts w:hint="default"/>
                      <w:color w:val="auto"/>
                      <w:szCs w:val="21"/>
                    </w:rPr>
                  </w:pPr>
                </w:p>
              </w:tc>
              <w:tc>
                <w:tcPr>
                  <w:tcW w:w="594" w:type="pct"/>
                  <w:vMerge w:val="continue"/>
                  <w:vAlign w:val="center"/>
                </w:tcPr>
                <w:p w14:paraId="4D4CDD29">
                  <w:pPr>
                    <w:keepNext w:val="0"/>
                    <w:keepLines w:val="0"/>
                    <w:suppressLineNumbers w:val="0"/>
                    <w:spacing w:before="0" w:beforeAutospacing="0" w:after="0" w:afterAutospacing="0"/>
                    <w:ind w:left="0" w:right="0"/>
                    <w:jc w:val="center"/>
                    <w:rPr>
                      <w:rFonts w:hint="default"/>
                      <w:color w:val="auto"/>
                      <w:szCs w:val="21"/>
                    </w:rPr>
                  </w:pPr>
                </w:p>
              </w:tc>
              <w:tc>
                <w:tcPr>
                  <w:tcW w:w="952" w:type="pct"/>
                  <w:vAlign w:val="center"/>
                </w:tcPr>
                <w:p w14:paraId="651E777D">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废水中和桶</w:t>
                  </w:r>
                </w:p>
              </w:tc>
              <w:tc>
                <w:tcPr>
                  <w:tcW w:w="2848" w:type="pct"/>
                  <w:vAlign w:val="center"/>
                </w:tcPr>
                <w:p w14:paraId="67E970A4">
                  <w:pPr>
                    <w:keepNext w:val="0"/>
                    <w:keepLines w:val="0"/>
                    <w:suppressLineNumbers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本项目化学实验室会产生实验废水，本项目拟设置一个废水收集桶对实验废水进行预处理。</w:t>
                  </w:r>
                </w:p>
              </w:tc>
              <w:tc>
                <w:tcPr>
                  <w:tcW w:w="345" w:type="pct"/>
                  <w:vMerge w:val="continue"/>
                  <w:vAlign w:val="center"/>
                </w:tcPr>
                <w:p w14:paraId="293ECDA0">
                  <w:pPr>
                    <w:keepNext w:val="0"/>
                    <w:keepLines w:val="0"/>
                    <w:suppressLineNumbers w:val="0"/>
                    <w:spacing w:before="0" w:beforeAutospacing="0" w:after="0" w:afterAutospacing="0"/>
                    <w:ind w:left="0" w:right="0"/>
                    <w:jc w:val="center"/>
                    <w:rPr>
                      <w:rFonts w:hint="default"/>
                      <w:color w:val="auto"/>
                      <w:szCs w:val="21"/>
                    </w:rPr>
                  </w:pPr>
                </w:p>
              </w:tc>
            </w:tr>
            <w:tr w14:paraId="7B9E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63C472D9">
                  <w:pPr>
                    <w:keepNext w:val="0"/>
                    <w:keepLines w:val="0"/>
                    <w:suppressLineNumbers w:val="0"/>
                    <w:spacing w:before="0" w:beforeAutospacing="0" w:after="0" w:afterAutospacing="0"/>
                    <w:ind w:left="0" w:right="0"/>
                    <w:jc w:val="center"/>
                    <w:rPr>
                      <w:rFonts w:hint="default"/>
                      <w:color w:val="auto"/>
                      <w:szCs w:val="21"/>
                    </w:rPr>
                  </w:pPr>
                </w:p>
              </w:tc>
              <w:tc>
                <w:tcPr>
                  <w:tcW w:w="594" w:type="pct"/>
                  <w:vMerge w:val="continue"/>
                  <w:vAlign w:val="center"/>
                </w:tcPr>
                <w:p w14:paraId="1F216E00">
                  <w:pPr>
                    <w:keepNext w:val="0"/>
                    <w:keepLines w:val="0"/>
                    <w:suppressLineNumbers w:val="0"/>
                    <w:spacing w:before="0" w:beforeAutospacing="0" w:after="0" w:afterAutospacing="0"/>
                    <w:ind w:left="0" w:right="0"/>
                    <w:jc w:val="center"/>
                    <w:rPr>
                      <w:rFonts w:hint="default"/>
                      <w:color w:val="auto"/>
                      <w:szCs w:val="21"/>
                    </w:rPr>
                  </w:pPr>
                </w:p>
              </w:tc>
              <w:tc>
                <w:tcPr>
                  <w:tcW w:w="952" w:type="pct"/>
                  <w:vAlign w:val="center"/>
                </w:tcPr>
                <w:p w14:paraId="7F87DE49">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三级</w:t>
                  </w:r>
                  <w:r>
                    <w:rPr>
                      <w:rFonts w:hint="default"/>
                      <w:color w:val="auto"/>
                      <w:szCs w:val="21"/>
                    </w:rPr>
                    <w:t>沉淀池</w:t>
                  </w:r>
                </w:p>
              </w:tc>
              <w:tc>
                <w:tcPr>
                  <w:tcW w:w="2848" w:type="pct"/>
                  <w:vAlign w:val="center"/>
                </w:tcPr>
                <w:p w14:paraId="69EFDED6">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本次拟</w:t>
                  </w:r>
                  <w:r>
                    <w:rPr>
                      <w:rFonts w:hint="eastAsia"/>
                      <w:color w:val="auto"/>
                      <w:szCs w:val="21"/>
                      <w:lang w:val="en-US" w:eastAsia="zh-CN"/>
                    </w:rPr>
                    <w:t>设置</w:t>
                  </w:r>
                  <w:r>
                    <w:rPr>
                      <w:rFonts w:hint="default"/>
                      <w:color w:val="auto"/>
                      <w:szCs w:val="21"/>
                    </w:rPr>
                    <w:t>1个</w:t>
                  </w:r>
                  <w:r>
                    <w:rPr>
                      <w:rFonts w:hint="eastAsia"/>
                      <w:color w:val="auto"/>
                      <w:szCs w:val="21"/>
                      <w:lang w:val="en-US" w:eastAsia="zh-CN"/>
                    </w:rPr>
                    <w:t>三级</w:t>
                  </w:r>
                  <w:r>
                    <w:rPr>
                      <w:rFonts w:hint="default"/>
                      <w:color w:val="auto"/>
                      <w:szCs w:val="21"/>
                    </w:rPr>
                    <w:t>沉淀池，用于收集</w:t>
                  </w:r>
                  <w:r>
                    <w:rPr>
                      <w:rFonts w:hint="eastAsia"/>
                      <w:color w:val="auto"/>
                      <w:szCs w:val="21"/>
                      <w:lang w:val="en-US" w:eastAsia="zh-CN"/>
                    </w:rPr>
                    <w:t>处理实验楼产生的废水</w:t>
                  </w:r>
                  <w:r>
                    <w:rPr>
                      <w:rFonts w:hint="default"/>
                      <w:color w:val="auto"/>
                      <w:szCs w:val="21"/>
                    </w:rPr>
                    <w:t>，包括</w:t>
                  </w:r>
                  <w:r>
                    <w:rPr>
                      <w:rFonts w:hint="eastAsia"/>
                      <w:color w:val="auto"/>
                      <w:szCs w:val="21"/>
                      <w:lang w:val="en-US" w:eastAsia="zh-CN"/>
                    </w:rPr>
                    <w:t>物理实验室废水、化学</w:t>
                  </w:r>
                  <w:r>
                    <w:rPr>
                      <w:rFonts w:hint="default"/>
                      <w:color w:val="auto"/>
                      <w:szCs w:val="21"/>
                    </w:rPr>
                    <w:t>实验室</w:t>
                  </w:r>
                  <w:r>
                    <w:rPr>
                      <w:rFonts w:hint="eastAsia"/>
                      <w:color w:val="auto"/>
                      <w:szCs w:val="21"/>
                      <w:lang w:val="en-US" w:eastAsia="zh-CN"/>
                    </w:rPr>
                    <w:t>第三次及以后</w:t>
                  </w:r>
                  <w:r>
                    <w:rPr>
                      <w:rFonts w:hint="default"/>
                      <w:color w:val="auto"/>
                      <w:szCs w:val="21"/>
                    </w:rPr>
                    <w:t>器皿清洗废水、</w:t>
                  </w:r>
                  <w:r>
                    <w:rPr>
                      <w:rFonts w:hint="eastAsia"/>
                      <w:color w:val="auto"/>
                      <w:szCs w:val="21"/>
                      <w:lang w:val="en-US" w:eastAsia="zh-CN"/>
                    </w:rPr>
                    <w:t>实验器具润洗废水</w:t>
                  </w:r>
                  <w:r>
                    <w:rPr>
                      <w:rFonts w:hint="default"/>
                      <w:color w:val="auto"/>
                      <w:szCs w:val="21"/>
                    </w:rPr>
                    <w:t>、喷淋</w:t>
                  </w:r>
                  <w:r>
                    <w:rPr>
                      <w:rFonts w:hint="eastAsia"/>
                      <w:color w:val="auto"/>
                      <w:szCs w:val="21"/>
                      <w:lang w:val="en-US" w:eastAsia="zh-CN"/>
                    </w:rPr>
                    <w:t>设施</w:t>
                  </w:r>
                  <w:r>
                    <w:rPr>
                      <w:rFonts w:hint="default"/>
                      <w:color w:val="auto"/>
                      <w:szCs w:val="21"/>
                    </w:rPr>
                    <w:t>废水和纯水制备废水。容积不小于2m³。</w:t>
                  </w:r>
                </w:p>
              </w:tc>
              <w:tc>
                <w:tcPr>
                  <w:tcW w:w="345" w:type="pct"/>
                  <w:vMerge w:val="continue"/>
                  <w:vAlign w:val="center"/>
                </w:tcPr>
                <w:p w14:paraId="2AB5F04D">
                  <w:pPr>
                    <w:keepNext w:val="0"/>
                    <w:keepLines w:val="0"/>
                    <w:suppressLineNumbers w:val="0"/>
                    <w:spacing w:before="0" w:beforeAutospacing="0" w:after="0" w:afterAutospacing="0"/>
                    <w:ind w:left="0" w:right="0"/>
                    <w:jc w:val="center"/>
                    <w:rPr>
                      <w:rFonts w:hint="default"/>
                      <w:color w:val="auto"/>
                      <w:szCs w:val="21"/>
                    </w:rPr>
                  </w:pPr>
                </w:p>
              </w:tc>
            </w:tr>
            <w:tr w14:paraId="09AD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5B01D282">
                  <w:pPr>
                    <w:keepNext w:val="0"/>
                    <w:keepLines w:val="0"/>
                    <w:suppressLineNumbers w:val="0"/>
                    <w:spacing w:before="0" w:beforeAutospacing="0" w:after="0" w:afterAutospacing="0"/>
                    <w:ind w:left="0" w:right="0"/>
                    <w:jc w:val="center"/>
                    <w:rPr>
                      <w:rFonts w:hint="default"/>
                      <w:color w:val="auto"/>
                      <w:szCs w:val="21"/>
                    </w:rPr>
                  </w:pPr>
                </w:p>
              </w:tc>
              <w:tc>
                <w:tcPr>
                  <w:tcW w:w="594" w:type="pct"/>
                  <w:vMerge w:val="continue"/>
                  <w:vAlign w:val="center"/>
                </w:tcPr>
                <w:p w14:paraId="4FD983DE">
                  <w:pPr>
                    <w:keepNext w:val="0"/>
                    <w:keepLines w:val="0"/>
                    <w:suppressLineNumbers w:val="0"/>
                    <w:spacing w:before="0" w:beforeAutospacing="0" w:after="0" w:afterAutospacing="0"/>
                    <w:ind w:left="0" w:right="0"/>
                    <w:jc w:val="center"/>
                    <w:rPr>
                      <w:rFonts w:hint="default"/>
                      <w:color w:val="auto"/>
                      <w:szCs w:val="21"/>
                    </w:rPr>
                  </w:pPr>
                </w:p>
              </w:tc>
              <w:tc>
                <w:tcPr>
                  <w:tcW w:w="952" w:type="pct"/>
                  <w:vAlign w:val="center"/>
                </w:tcPr>
                <w:p w14:paraId="0195274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化粪池</w:t>
                  </w:r>
                </w:p>
              </w:tc>
              <w:tc>
                <w:tcPr>
                  <w:tcW w:w="2848" w:type="pct"/>
                  <w:vAlign w:val="center"/>
                </w:tcPr>
                <w:p w14:paraId="0E39CCFD">
                  <w:pPr>
                    <w:keepNext w:val="0"/>
                    <w:keepLines w:val="0"/>
                    <w:suppressLineNumbers w:val="0"/>
                    <w:spacing w:before="0" w:beforeAutospacing="0" w:after="0" w:afterAutospacing="0"/>
                    <w:ind w:left="0" w:right="0"/>
                    <w:rPr>
                      <w:rFonts w:hint="default"/>
                      <w:color w:val="auto"/>
                      <w:szCs w:val="21"/>
                    </w:rPr>
                  </w:pPr>
                  <w:r>
                    <w:rPr>
                      <w:rFonts w:hint="eastAsia"/>
                      <w:color w:val="auto"/>
                      <w:szCs w:val="21"/>
                      <w:lang w:val="en-US" w:eastAsia="zh-CN"/>
                    </w:rPr>
                    <w:t>位于办公楼东侧，</w:t>
                  </w:r>
                  <w:r>
                    <w:rPr>
                      <w:rFonts w:hint="default"/>
                      <w:color w:val="auto"/>
                      <w:szCs w:val="21"/>
                    </w:rPr>
                    <w:t>依托昆明机床劳动服务公司现有化粪池。</w:t>
                  </w:r>
                </w:p>
              </w:tc>
              <w:tc>
                <w:tcPr>
                  <w:tcW w:w="345" w:type="pct"/>
                  <w:vAlign w:val="center"/>
                </w:tcPr>
                <w:p w14:paraId="22CF1E8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依托</w:t>
                  </w:r>
                </w:p>
              </w:tc>
            </w:tr>
            <w:tr w14:paraId="0E95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2D4CED23">
                  <w:pPr>
                    <w:keepNext w:val="0"/>
                    <w:keepLines w:val="0"/>
                    <w:suppressLineNumbers w:val="0"/>
                    <w:spacing w:before="0" w:beforeAutospacing="0" w:after="0" w:afterAutospacing="0"/>
                    <w:ind w:left="0" w:right="0"/>
                    <w:jc w:val="center"/>
                    <w:rPr>
                      <w:rFonts w:hint="default"/>
                      <w:color w:val="auto"/>
                      <w:szCs w:val="21"/>
                    </w:rPr>
                  </w:pPr>
                </w:p>
              </w:tc>
              <w:tc>
                <w:tcPr>
                  <w:tcW w:w="594" w:type="pct"/>
                  <w:vMerge w:val="restart"/>
                  <w:vAlign w:val="center"/>
                </w:tcPr>
                <w:p w14:paraId="0D08902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废气治理</w:t>
                  </w:r>
                </w:p>
              </w:tc>
              <w:tc>
                <w:tcPr>
                  <w:tcW w:w="952" w:type="pct"/>
                  <w:vAlign w:val="center"/>
                </w:tcPr>
                <w:p w14:paraId="19F798D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通风橱、集气罩+喷淋</w:t>
                  </w:r>
                  <w:r>
                    <w:rPr>
                      <w:rFonts w:hint="eastAsia"/>
                      <w:color w:val="auto"/>
                      <w:szCs w:val="21"/>
                      <w:lang w:val="en-US" w:eastAsia="zh-CN"/>
                    </w:rPr>
                    <w:t>设施</w:t>
                  </w:r>
                  <w:r>
                    <w:rPr>
                      <w:rFonts w:hint="default"/>
                      <w:color w:val="auto"/>
                      <w:szCs w:val="21"/>
                    </w:rPr>
                    <w:t>（碱液吸收法）+</w:t>
                  </w:r>
                  <w:r>
                    <w:rPr>
                      <w:rFonts w:hint="eastAsia"/>
                      <w:color w:val="auto"/>
                      <w:szCs w:val="21"/>
                      <w:lang w:val="en-US" w:eastAsia="zh-CN"/>
                    </w:rPr>
                    <w:t>1#二级</w:t>
                  </w:r>
                  <w:r>
                    <w:rPr>
                      <w:rFonts w:hint="default"/>
                      <w:color w:val="auto"/>
                      <w:szCs w:val="21"/>
                    </w:rPr>
                    <w:t>活性炭吸附装置+</w:t>
                  </w:r>
                  <w:r>
                    <w:rPr>
                      <w:rFonts w:hint="eastAsia"/>
                      <w:color w:val="auto"/>
                      <w:szCs w:val="21"/>
                      <w:lang w:val="en-US" w:eastAsia="zh-CN"/>
                    </w:rPr>
                    <w:t>15m高</w:t>
                  </w:r>
                  <w:r>
                    <w:rPr>
                      <w:rFonts w:hint="default"/>
                      <w:color w:val="auto"/>
                      <w:szCs w:val="21"/>
                    </w:rPr>
                    <w:t>排气筒</w:t>
                  </w:r>
                  <w:r>
                    <w:rPr>
                      <w:rFonts w:hint="eastAsia"/>
                      <w:color w:val="auto"/>
                      <w:szCs w:val="21"/>
                      <w:lang w:eastAsia="zh-CN"/>
                    </w:rPr>
                    <w:t>（</w:t>
                  </w:r>
                  <w:r>
                    <w:rPr>
                      <w:rFonts w:hint="default"/>
                      <w:color w:val="auto"/>
                      <w:szCs w:val="21"/>
                    </w:rPr>
                    <w:t>DA001</w:t>
                  </w:r>
                  <w:r>
                    <w:rPr>
                      <w:rFonts w:hint="eastAsia"/>
                      <w:color w:val="auto"/>
                      <w:szCs w:val="21"/>
                      <w:lang w:eastAsia="zh-CN"/>
                    </w:rPr>
                    <w:t>）</w:t>
                  </w:r>
                </w:p>
              </w:tc>
              <w:tc>
                <w:tcPr>
                  <w:tcW w:w="2848" w:type="pct"/>
                  <w:vAlign w:val="center"/>
                </w:tcPr>
                <w:p w14:paraId="5DABAF9D">
                  <w:pPr>
                    <w:keepNext w:val="0"/>
                    <w:keepLines w:val="0"/>
                    <w:suppressLineNumbers w:val="0"/>
                    <w:spacing w:before="0" w:beforeAutospacing="0" w:after="0" w:afterAutospacing="0"/>
                    <w:ind w:left="0" w:right="0"/>
                    <w:rPr>
                      <w:rFonts w:hint="default"/>
                      <w:color w:val="auto"/>
                      <w:szCs w:val="21"/>
                    </w:rPr>
                  </w:pPr>
                  <w:r>
                    <w:rPr>
                      <w:rFonts w:hint="eastAsia"/>
                      <w:color w:val="auto"/>
                      <w:szCs w:val="21"/>
                      <w:lang w:val="en-US" w:eastAsia="zh-CN"/>
                    </w:rPr>
                    <w:t>化学</w:t>
                  </w:r>
                  <w:r>
                    <w:rPr>
                      <w:rFonts w:hint="default"/>
                      <w:color w:val="auto"/>
                      <w:szCs w:val="21"/>
                    </w:rPr>
                    <w:t>实验室产生的废气经通风橱、集气罩收集后，引至1套喷淋</w:t>
                  </w:r>
                  <w:r>
                    <w:rPr>
                      <w:rFonts w:hint="eastAsia"/>
                      <w:color w:val="auto"/>
                      <w:szCs w:val="21"/>
                      <w:lang w:val="en-US" w:eastAsia="zh-CN"/>
                    </w:rPr>
                    <w:t>设施</w:t>
                  </w:r>
                  <w:r>
                    <w:rPr>
                      <w:rFonts w:hint="default"/>
                      <w:color w:val="auto"/>
                      <w:szCs w:val="21"/>
                    </w:rPr>
                    <w:t>（碱液吸收法）+</w:t>
                  </w:r>
                  <w:r>
                    <w:rPr>
                      <w:rFonts w:hint="eastAsia"/>
                      <w:color w:val="auto"/>
                      <w:szCs w:val="21"/>
                      <w:lang w:val="en-US" w:eastAsia="zh-CN"/>
                    </w:rPr>
                    <w:t>1#二级</w:t>
                  </w:r>
                  <w:r>
                    <w:rPr>
                      <w:rFonts w:hint="default"/>
                      <w:color w:val="auto"/>
                      <w:szCs w:val="21"/>
                    </w:rPr>
                    <w:t>活性炭吸附处理后，通过项目楼顶15m高的排气筒外排（DA001）。</w:t>
                  </w:r>
                </w:p>
                <w:p w14:paraId="5AFD72CD">
                  <w:pPr>
                    <w:keepNext w:val="0"/>
                    <w:keepLines w:val="0"/>
                    <w:suppressLineNumbers w:val="0"/>
                    <w:spacing w:before="0" w:beforeAutospacing="0" w:after="0" w:afterAutospacing="0"/>
                    <w:ind w:left="0" w:right="0"/>
                    <w:rPr>
                      <w:rFonts w:hint="default"/>
                      <w:color w:val="auto"/>
                      <w:szCs w:val="21"/>
                    </w:rPr>
                  </w:pPr>
                  <w:r>
                    <w:rPr>
                      <w:rFonts w:hint="default" w:eastAsiaTheme="minorEastAsia"/>
                      <w:color w:val="auto"/>
                      <w:szCs w:val="21"/>
                    </w:rPr>
                    <w:t>风机风量为10600m</w:t>
                  </w:r>
                  <w:r>
                    <w:rPr>
                      <w:rFonts w:hint="default"/>
                      <w:color w:val="auto"/>
                      <w:szCs w:val="21"/>
                    </w:rPr>
                    <w:t>³</w:t>
                  </w:r>
                  <w:r>
                    <w:rPr>
                      <w:rFonts w:hint="default" w:eastAsiaTheme="minorEastAsia"/>
                      <w:color w:val="auto"/>
                      <w:szCs w:val="21"/>
                    </w:rPr>
                    <w:t>/h</w:t>
                  </w:r>
                  <w:r>
                    <w:rPr>
                      <w:rFonts w:hint="default"/>
                      <w:color w:val="auto"/>
                      <w:szCs w:val="21"/>
                    </w:rPr>
                    <w:t>，通风橱、集气罩收集效率为90%，喷淋</w:t>
                  </w:r>
                  <w:r>
                    <w:rPr>
                      <w:rFonts w:hint="eastAsia"/>
                      <w:color w:val="auto"/>
                      <w:szCs w:val="21"/>
                      <w:lang w:val="en-US" w:eastAsia="zh-CN"/>
                    </w:rPr>
                    <w:t>设施</w:t>
                  </w:r>
                  <w:r>
                    <w:rPr>
                      <w:rFonts w:hint="default"/>
                      <w:color w:val="auto"/>
                      <w:szCs w:val="21"/>
                    </w:rPr>
                    <w:t>处理效率为90%，</w:t>
                  </w:r>
                  <w:r>
                    <w:rPr>
                      <w:rFonts w:hint="eastAsia"/>
                      <w:color w:val="auto"/>
                      <w:szCs w:val="21"/>
                      <w:lang w:val="en-US" w:eastAsia="zh-CN"/>
                    </w:rPr>
                    <w:t>二级</w:t>
                  </w:r>
                  <w:r>
                    <w:rPr>
                      <w:rFonts w:hint="default"/>
                      <w:color w:val="auto"/>
                      <w:szCs w:val="21"/>
                    </w:rPr>
                    <w:t>活性炭的处理效率为7</w:t>
                  </w:r>
                  <w:r>
                    <w:rPr>
                      <w:rFonts w:hint="eastAsia"/>
                      <w:color w:val="auto"/>
                      <w:szCs w:val="21"/>
                      <w:lang w:val="en-US" w:eastAsia="zh-CN"/>
                    </w:rPr>
                    <w:t>5</w:t>
                  </w:r>
                  <w:r>
                    <w:rPr>
                      <w:rFonts w:hint="default"/>
                      <w:color w:val="auto"/>
                      <w:szCs w:val="21"/>
                    </w:rPr>
                    <w:t>%。</w:t>
                  </w:r>
                </w:p>
              </w:tc>
              <w:tc>
                <w:tcPr>
                  <w:tcW w:w="345" w:type="pct"/>
                  <w:vMerge w:val="restart"/>
                  <w:vAlign w:val="center"/>
                </w:tcPr>
                <w:p w14:paraId="3FE524B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新建</w:t>
                  </w:r>
                </w:p>
              </w:tc>
            </w:tr>
            <w:tr w14:paraId="01FE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0ED3D74E">
                  <w:pPr>
                    <w:keepNext w:val="0"/>
                    <w:keepLines w:val="0"/>
                    <w:suppressLineNumbers w:val="0"/>
                    <w:spacing w:before="0" w:beforeAutospacing="0" w:after="0" w:afterAutospacing="0"/>
                    <w:ind w:left="0" w:right="0"/>
                    <w:jc w:val="center"/>
                    <w:rPr>
                      <w:rFonts w:hint="default"/>
                      <w:color w:val="auto"/>
                      <w:szCs w:val="21"/>
                    </w:rPr>
                  </w:pPr>
                </w:p>
              </w:tc>
              <w:tc>
                <w:tcPr>
                  <w:tcW w:w="594" w:type="pct"/>
                  <w:vMerge w:val="continue"/>
                  <w:vAlign w:val="center"/>
                </w:tcPr>
                <w:p w14:paraId="6D7284C7">
                  <w:pPr>
                    <w:keepNext w:val="0"/>
                    <w:keepLines w:val="0"/>
                    <w:suppressLineNumbers w:val="0"/>
                    <w:spacing w:before="0" w:beforeAutospacing="0" w:after="0" w:afterAutospacing="0"/>
                    <w:ind w:left="0" w:right="0"/>
                    <w:jc w:val="center"/>
                    <w:rPr>
                      <w:rFonts w:hint="default"/>
                      <w:color w:val="auto"/>
                      <w:szCs w:val="21"/>
                    </w:rPr>
                  </w:pPr>
                </w:p>
              </w:tc>
              <w:tc>
                <w:tcPr>
                  <w:tcW w:w="952" w:type="pct"/>
                  <w:vAlign w:val="center"/>
                </w:tcPr>
                <w:p w14:paraId="57E8E0A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通风橱+</w:t>
                  </w:r>
                  <w:r>
                    <w:rPr>
                      <w:rFonts w:hint="eastAsia"/>
                      <w:color w:val="auto"/>
                      <w:szCs w:val="21"/>
                      <w:lang w:val="en-US" w:eastAsia="zh-CN"/>
                    </w:rPr>
                    <w:t>2#二级</w:t>
                  </w:r>
                  <w:r>
                    <w:rPr>
                      <w:rFonts w:hint="default"/>
                      <w:color w:val="auto"/>
                      <w:szCs w:val="21"/>
                    </w:rPr>
                    <w:t>活性炭吸附装置+</w:t>
                  </w:r>
                  <w:r>
                    <w:rPr>
                      <w:rFonts w:hint="eastAsia"/>
                      <w:color w:val="auto"/>
                      <w:szCs w:val="21"/>
                      <w:lang w:val="en-US" w:eastAsia="zh-CN"/>
                    </w:rPr>
                    <w:t>15m高</w:t>
                  </w:r>
                  <w:r>
                    <w:rPr>
                      <w:rFonts w:hint="default"/>
                      <w:color w:val="auto"/>
                      <w:szCs w:val="21"/>
                    </w:rPr>
                    <w:t>排气筒</w:t>
                  </w:r>
                  <w:r>
                    <w:rPr>
                      <w:rFonts w:hint="eastAsia"/>
                      <w:color w:val="auto"/>
                      <w:szCs w:val="21"/>
                      <w:lang w:eastAsia="zh-CN"/>
                    </w:rPr>
                    <w:t>（</w:t>
                  </w:r>
                  <w:r>
                    <w:rPr>
                      <w:rFonts w:hint="default"/>
                      <w:color w:val="auto"/>
                      <w:szCs w:val="21"/>
                    </w:rPr>
                    <w:t>DA002</w:t>
                  </w:r>
                  <w:r>
                    <w:rPr>
                      <w:rFonts w:hint="eastAsia"/>
                      <w:color w:val="auto"/>
                      <w:szCs w:val="21"/>
                      <w:lang w:eastAsia="zh-CN"/>
                    </w:rPr>
                    <w:t>）</w:t>
                  </w:r>
                </w:p>
              </w:tc>
              <w:tc>
                <w:tcPr>
                  <w:tcW w:w="2848" w:type="pct"/>
                  <w:vAlign w:val="center"/>
                </w:tcPr>
                <w:p w14:paraId="383FDD17">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沥青实验室产生的废气经通风橱收集后，统一引至1套</w:t>
                  </w:r>
                  <w:r>
                    <w:rPr>
                      <w:rFonts w:hint="eastAsia"/>
                      <w:color w:val="auto"/>
                      <w:szCs w:val="21"/>
                      <w:lang w:val="en-US" w:eastAsia="zh-CN"/>
                    </w:rPr>
                    <w:t>2#二</w:t>
                  </w:r>
                  <w:r>
                    <w:rPr>
                      <w:rFonts w:hint="default"/>
                      <w:color w:val="auto"/>
                      <w:szCs w:val="21"/>
                    </w:rPr>
                    <w:t>级活性炭吸附装置处理后于项目楼顶15m高的排气筒外排（DA002）。</w:t>
                  </w:r>
                  <w:r>
                    <w:rPr>
                      <w:rFonts w:hint="default" w:eastAsiaTheme="minorEastAsia"/>
                      <w:color w:val="auto"/>
                      <w:szCs w:val="21"/>
                    </w:rPr>
                    <w:t>风机风量为10600m</w:t>
                  </w:r>
                  <w:r>
                    <w:rPr>
                      <w:rFonts w:hint="default"/>
                      <w:color w:val="auto"/>
                      <w:szCs w:val="21"/>
                    </w:rPr>
                    <w:t>³</w:t>
                  </w:r>
                  <w:r>
                    <w:rPr>
                      <w:rFonts w:hint="default" w:eastAsiaTheme="minorEastAsia"/>
                      <w:color w:val="auto"/>
                      <w:szCs w:val="21"/>
                    </w:rPr>
                    <w:t>/h，</w:t>
                  </w:r>
                  <w:r>
                    <w:rPr>
                      <w:rFonts w:hint="default"/>
                      <w:color w:val="auto"/>
                      <w:szCs w:val="21"/>
                    </w:rPr>
                    <w:t>通风橱、集气罩收集效率为90%，</w:t>
                  </w:r>
                  <w:r>
                    <w:rPr>
                      <w:rFonts w:hint="eastAsia"/>
                      <w:color w:val="auto"/>
                      <w:szCs w:val="21"/>
                      <w:lang w:val="en-US" w:eastAsia="zh-CN"/>
                    </w:rPr>
                    <w:t>二级</w:t>
                  </w:r>
                  <w:r>
                    <w:rPr>
                      <w:rFonts w:hint="default"/>
                      <w:color w:val="auto"/>
                      <w:szCs w:val="21"/>
                    </w:rPr>
                    <w:t>活性炭吸附装置处理效率为75%。</w:t>
                  </w:r>
                </w:p>
              </w:tc>
              <w:tc>
                <w:tcPr>
                  <w:tcW w:w="345" w:type="pct"/>
                  <w:vMerge w:val="continue"/>
                  <w:vAlign w:val="center"/>
                </w:tcPr>
                <w:p w14:paraId="2483B139">
                  <w:pPr>
                    <w:keepNext w:val="0"/>
                    <w:keepLines w:val="0"/>
                    <w:suppressLineNumbers w:val="0"/>
                    <w:spacing w:before="0" w:beforeAutospacing="0" w:after="0" w:afterAutospacing="0"/>
                    <w:ind w:left="0" w:right="0"/>
                    <w:jc w:val="center"/>
                    <w:rPr>
                      <w:rFonts w:hint="default"/>
                      <w:color w:val="auto"/>
                      <w:szCs w:val="21"/>
                    </w:rPr>
                  </w:pPr>
                </w:p>
              </w:tc>
            </w:tr>
            <w:tr w14:paraId="4C62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0FAC621B">
                  <w:pPr>
                    <w:keepNext w:val="0"/>
                    <w:keepLines w:val="0"/>
                    <w:suppressLineNumbers w:val="0"/>
                    <w:spacing w:before="0" w:beforeAutospacing="0" w:after="0" w:afterAutospacing="0"/>
                    <w:ind w:left="0" w:right="0"/>
                    <w:jc w:val="center"/>
                    <w:rPr>
                      <w:rFonts w:hint="default"/>
                      <w:color w:val="auto"/>
                      <w:szCs w:val="21"/>
                    </w:rPr>
                  </w:pPr>
                </w:p>
              </w:tc>
              <w:tc>
                <w:tcPr>
                  <w:tcW w:w="594" w:type="pct"/>
                  <w:vMerge w:val="continue"/>
                  <w:vAlign w:val="center"/>
                </w:tcPr>
                <w:p w14:paraId="42A835FF">
                  <w:pPr>
                    <w:keepNext w:val="0"/>
                    <w:keepLines w:val="0"/>
                    <w:suppressLineNumbers w:val="0"/>
                    <w:spacing w:before="0" w:beforeAutospacing="0" w:after="0" w:afterAutospacing="0"/>
                    <w:ind w:left="0" w:right="0"/>
                    <w:jc w:val="center"/>
                    <w:rPr>
                      <w:rFonts w:hint="default"/>
                      <w:color w:val="auto"/>
                      <w:szCs w:val="21"/>
                    </w:rPr>
                  </w:pPr>
                </w:p>
              </w:tc>
              <w:tc>
                <w:tcPr>
                  <w:tcW w:w="952" w:type="pct"/>
                  <w:vAlign w:val="center"/>
                </w:tcPr>
                <w:p w14:paraId="29E8A67B">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油烟净化设施+排气筒</w:t>
                  </w:r>
                </w:p>
              </w:tc>
              <w:tc>
                <w:tcPr>
                  <w:tcW w:w="2848" w:type="pct"/>
                  <w:vAlign w:val="center"/>
                </w:tcPr>
                <w:p w14:paraId="7E547BDA">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食堂油烟经净化效率≥60%油烟净化设施处理后，通过管道输送到高于食堂楼顶1.5m排气筒排放</w:t>
                  </w:r>
                </w:p>
              </w:tc>
              <w:tc>
                <w:tcPr>
                  <w:tcW w:w="345" w:type="pct"/>
                  <w:vMerge w:val="restart"/>
                  <w:vAlign w:val="center"/>
                </w:tcPr>
                <w:p w14:paraId="64843F4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新建</w:t>
                  </w:r>
                </w:p>
              </w:tc>
            </w:tr>
            <w:tr w14:paraId="3A03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23538128">
                  <w:pPr>
                    <w:keepNext w:val="0"/>
                    <w:keepLines w:val="0"/>
                    <w:suppressLineNumbers w:val="0"/>
                    <w:spacing w:before="0" w:beforeAutospacing="0" w:after="0" w:afterAutospacing="0"/>
                    <w:ind w:left="0" w:right="0"/>
                    <w:jc w:val="center"/>
                    <w:rPr>
                      <w:rFonts w:hint="default"/>
                      <w:color w:val="auto"/>
                      <w:szCs w:val="21"/>
                    </w:rPr>
                  </w:pPr>
                </w:p>
              </w:tc>
              <w:tc>
                <w:tcPr>
                  <w:tcW w:w="1546" w:type="pct"/>
                  <w:gridSpan w:val="2"/>
                  <w:vAlign w:val="center"/>
                </w:tcPr>
                <w:p w14:paraId="4DCF13E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噪声治理</w:t>
                  </w:r>
                </w:p>
              </w:tc>
              <w:tc>
                <w:tcPr>
                  <w:tcW w:w="2848" w:type="pct"/>
                  <w:vAlign w:val="center"/>
                </w:tcPr>
                <w:p w14:paraId="00524434">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选用低噪声设备、采取建筑物隔声、基础减震、风机安装消声器等措施。</w:t>
                  </w:r>
                </w:p>
              </w:tc>
              <w:tc>
                <w:tcPr>
                  <w:tcW w:w="345" w:type="pct"/>
                  <w:vMerge w:val="continue"/>
                  <w:vAlign w:val="center"/>
                </w:tcPr>
                <w:p w14:paraId="695CFFA1">
                  <w:pPr>
                    <w:keepNext w:val="0"/>
                    <w:keepLines w:val="0"/>
                    <w:suppressLineNumbers w:val="0"/>
                    <w:spacing w:before="0" w:beforeAutospacing="0" w:after="0" w:afterAutospacing="0"/>
                    <w:ind w:left="0" w:right="0"/>
                    <w:jc w:val="center"/>
                    <w:rPr>
                      <w:rFonts w:hint="default"/>
                      <w:color w:val="auto"/>
                      <w:szCs w:val="21"/>
                    </w:rPr>
                  </w:pPr>
                </w:p>
              </w:tc>
            </w:tr>
            <w:tr w14:paraId="48EC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Merge w:val="continue"/>
                  <w:vAlign w:val="center"/>
                </w:tcPr>
                <w:p w14:paraId="4F2FF072">
                  <w:pPr>
                    <w:keepNext w:val="0"/>
                    <w:keepLines w:val="0"/>
                    <w:suppressLineNumbers w:val="0"/>
                    <w:spacing w:before="0" w:beforeAutospacing="0" w:after="0" w:afterAutospacing="0"/>
                    <w:ind w:left="0" w:right="0"/>
                    <w:jc w:val="center"/>
                    <w:rPr>
                      <w:rFonts w:hint="default"/>
                      <w:color w:val="auto"/>
                      <w:szCs w:val="21"/>
                    </w:rPr>
                  </w:pPr>
                </w:p>
              </w:tc>
              <w:tc>
                <w:tcPr>
                  <w:tcW w:w="594" w:type="pct"/>
                  <w:vAlign w:val="center"/>
                </w:tcPr>
                <w:p w14:paraId="020B910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固废治理</w:t>
                  </w:r>
                </w:p>
              </w:tc>
              <w:tc>
                <w:tcPr>
                  <w:tcW w:w="952" w:type="pct"/>
                  <w:vAlign w:val="center"/>
                </w:tcPr>
                <w:p w14:paraId="7F9CCD4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危险废物暂存间</w:t>
                  </w:r>
                </w:p>
              </w:tc>
              <w:tc>
                <w:tcPr>
                  <w:tcW w:w="2848" w:type="pct"/>
                  <w:vAlign w:val="center"/>
                </w:tcPr>
                <w:p w14:paraId="4D392EC1">
                  <w:pPr>
                    <w:keepNext w:val="0"/>
                    <w:keepLines w:val="0"/>
                    <w:suppressLineNumbers w:val="0"/>
                    <w:adjustRightInd w:val="0"/>
                    <w:snapToGrid w:val="0"/>
                    <w:spacing w:before="0" w:beforeAutospacing="0" w:after="0" w:afterAutospacing="0"/>
                    <w:ind w:left="0" w:right="0"/>
                    <w:jc w:val="both"/>
                    <w:rPr>
                      <w:rFonts w:hint="default"/>
                      <w:color w:val="auto"/>
                      <w:szCs w:val="21"/>
                    </w:rPr>
                  </w:pPr>
                  <w:r>
                    <w:rPr>
                      <w:rFonts w:hint="default"/>
                      <w:color w:val="auto"/>
                      <w:szCs w:val="21"/>
                    </w:rPr>
                    <w:t>本次拟在办公楼一楼楼梯间新建一间危废暂存间，建筑面积5m²，用于暂存实验室危险废物。</w:t>
                  </w:r>
                  <w:r>
                    <w:rPr>
                      <w:rFonts w:hint="default" w:eastAsiaTheme="minorEastAsia"/>
                      <w:color w:val="auto"/>
                      <w:kern w:val="0"/>
                      <w:szCs w:val="21"/>
                    </w:rPr>
                    <w:t>按《危险废物贮存污染物控制标准》</w:t>
                  </w:r>
                  <w:r>
                    <w:rPr>
                      <w:rFonts w:hint="default" w:eastAsiaTheme="minorEastAsia"/>
                      <w:color w:val="auto"/>
                      <w:kern w:val="0"/>
                      <w:szCs w:val="21"/>
                      <w:lang w:val="en-US" w:eastAsia="zh-CN"/>
                    </w:rPr>
                    <w:t>（GB18597-2023）</w:t>
                  </w:r>
                  <w:r>
                    <w:rPr>
                      <w:rFonts w:hint="default" w:eastAsiaTheme="minorEastAsia"/>
                      <w:color w:val="auto"/>
                      <w:kern w:val="0"/>
                      <w:szCs w:val="21"/>
                    </w:rPr>
                    <w:t>要求进行建设</w:t>
                  </w:r>
                  <w:r>
                    <w:rPr>
                      <w:rFonts w:hint="eastAsia" w:eastAsiaTheme="minorEastAsia"/>
                      <w:color w:val="auto"/>
                      <w:kern w:val="0"/>
                      <w:szCs w:val="21"/>
                      <w:lang w:eastAsia="zh-CN"/>
                    </w:rPr>
                    <w:t>，</w:t>
                  </w:r>
                  <w:r>
                    <w:rPr>
                      <w:rFonts w:hint="default"/>
                      <w:color w:val="auto"/>
                      <w:szCs w:val="21"/>
                    </w:rPr>
                    <w:t>地面墙裙进行防渗处理，设置专用容器分类收集，分类分区存放，不相容的危废不相邻存放，危废暂存间内、外设置标识牌，委托有资质单位定期清运处理。</w:t>
                  </w:r>
                </w:p>
              </w:tc>
              <w:tc>
                <w:tcPr>
                  <w:tcW w:w="345" w:type="pct"/>
                  <w:vMerge w:val="continue"/>
                  <w:vAlign w:val="center"/>
                </w:tcPr>
                <w:p w14:paraId="103E57AD">
                  <w:pPr>
                    <w:keepNext w:val="0"/>
                    <w:keepLines w:val="0"/>
                    <w:suppressLineNumbers w:val="0"/>
                    <w:spacing w:before="0" w:beforeAutospacing="0" w:after="0" w:afterAutospacing="0"/>
                    <w:ind w:left="0" w:right="0"/>
                    <w:jc w:val="center"/>
                    <w:rPr>
                      <w:rFonts w:hint="default"/>
                      <w:color w:val="auto"/>
                      <w:szCs w:val="21"/>
                    </w:rPr>
                  </w:pPr>
                </w:p>
              </w:tc>
            </w:tr>
          </w:tbl>
          <w:p w14:paraId="1A4DA4C6">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eastAsia="宋体"/>
                <w:b/>
                <w:color w:val="auto"/>
                <w:kern w:val="0"/>
                <w:sz w:val="24"/>
                <w:lang w:val="en-US" w:eastAsia="zh-CN"/>
              </w:rPr>
            </w:pPr>
            <w:r>
              <w:rPr>
                <w:rFonts w:hint="default"/>
                <w:b/>
                <w:color w:val="auto"/>
                <w:kern w:val="0"/>
                <w:sz w:val="24"/>
              </w:rPr>
              <w:t>4.</w:t>
            </w:r>
            <w:r>
              <w:rPr>
                <w:rFonts w:hint="eastAsia"/>
                <w:b/>
                <w:color w:val="auto"/>
                <w:kern w:val="0"/>
                <w:sz w:val="24"/>
                <w:lang w:val="en-US" w:eastAsia="zh-CN"/>
              </w:rPr>
              <w:t>主要检测内容及规模</w:t>
            </w:r>
          </w:p>
          <w:p w14:paraId="6A1F5B10">
            <w:pPr>
              <w:pStyle w:val="46"/>
              <w:keepNext w:val="0"/>
              <w:keepLines w:val="0"/>
              <w:suppressLineNumbers w:val="0"/>
              <w:spacing w:before="0" w:beforeAutospacing="0" w:after="0" w:afterAutospacing="0"/>
              <w:ind w:left="0" w:right="0"/>
              <w:rPr>
                <w:rFonts w:hint="eastAsia" w:eastAsia="宋体" w:cs="Times New Roman"/>
                <w:color w:val="auto"/>
                <w:sz w:val="24"/>
                <w:lang w:eastAsia="zh-CN"/>
              </w:rPr>
            </w:pPr>
            <w:r>
              <w:rPr>
                <w:rFonts w:hint="default" w:eastAsia="宋体" w:cs="Times New Roman"/>
                <w:color w:val="auto"/>
                <w:sz w:val="24"/>
              </w:rPr>
              <w:t>本项目</w:t>
            </w:r>
            <w:r>
              <w:rPr>
                <w:rFonts w:hint="eastAsia" w:eastAsia="宋体" w:cs="Times New Roman"/>
                <w:color w:val="auto"/>
                <w:sz w:val="24"/>
                <w:lang w:val="en-US" w:eastAsia="zh-CN"/>
              </w:rPr>
              <w:t>检测类别主要包括工程质量检测和环境检测，其中工程质量检测分为建筑</w:t>
            </w:r>
            <w:r>
              <w:rPr>
                <w:rFonts w:hint="default" w:eastAsia="宋体" w:cs="Times New Roman"/>
                <w:color w:val="auto"/>
                <w:sz w:val="24"/>
              </w:rPr>
              <w:t>工程质量</w:t>
            </w:r>
            <w:r>
              <w:rPr>
                <w:rFonts w:hint="eastAsia" w:eastAsia="宋体" w:cs="Times New Roman"/>
                <w:color w:val="auto"/>
                <w:sz w:val="24"/>
                <w:lang w:val="en-US" w:eastAsia="zh-CN"/>
              </w:rPr>
              <w:t>专项</w:t>
            </w:r>
            <w:r>
              <w:rPr>
                <w:rFonts w:hint="default" w:eastAsia="宋体" w:cs="Times New Roman"/>
                <w:color w:val="auto"/>
                <w:sz w:val="24"/>
              </w:rPr>
              <w:t>检测</w:t>
            </w:r>
            <w:r>
              <w:rPr>
                <w:rFonts w:hint="eastAsia" w:eastAsia="宋体" w:cs="Times New Roman"/>
                <w:color w:val="auto"/>
                <w:sz w:val="24"/>
                <w:lang w:val="en-US" w:eastAsia="zh-CN"/>
              </w:rPr>
              <w:t>、建筑工程质量见证取样检测、材料类产品试验检测等</w:t>
            </w:r>
            <w:bookmarkStart w:id="4" w:name="_Hlk138669464"/>
            <w:r>
              <w:rPr>
                <w:rFonts w:hint="eastAsia" w:eastAsia="宋体" w:cs="Times New Roman"/>
                <w:color w:val="auto"/>
                <w:sz w:val="24"/>
                <w:lang w:eastAsia="zh-CN"/>
              </w:rPr>
              <w:t>。</w:t>
            </w:r>
            <w:r>
              <w:rPr>
                <w:rFonts w:hint="eastAsia" w:eastAsia="宋体" w:cs="Times New Roman"/>
                <w:color w:val="auto"/>
                <w:sz w:val="24"/>
                <w:lang w:val="en-US" w:eastAsia="zh-CN"/>
              </w:rPr>
              <w:t>项目的各项检测，部分在现场检测，部分在实验室内检测</w:t>
            </w:r>
            <w:r>
              <w:rPr>
                <w:rFonts w:hint="eastAsia" w:eastAsia="宋体" w:cs="Times New Roman"/>
                <w:color w:val="auto"/>
                <w:sz w:val="24"/>
                <w:lang w:eastAsia="zh-CN"/>
              </w:rPr>
              <w:t>。</w:t>
            </w:r>
            <w:r>
              <w:rPr>
                <w:rFonts w:hint="default" w:eastAsia="宋体" w:cs="Times New Roman"/>
                <w:color w:val="auto"/>
                <w:sz w:val="24"/>
              </w:rPr>
              <w:t>本次评价重点关注在实验室内进行的检测内容</w:t>
            </w:r>
            <w:bookmarkEnd w:id="4"/>
            <w:r>
              <w:rPr>
                <w:rFonts w:hint="eastAsia" w:eastAsia="宋体" w:cs="Times New Roman"/>
                <w:color w:val="auto"/>
                <w:sz w:val="24"/>
                <w:lang w:eastAsia="zh-CN"/>
              </w:rPr>
              <w:t>。</w:t>
            </w:r>
          </w:p>
          <w:p w14:paraId="6F5E0136">
            <w:pPr>
              <w:pStyle w:val="46"/>
              <w:keepNext w:val="0"/>
              <w:keepLines w:val="0"/>
              <w:suppressLineNumbers w:val="0"/>
              <w:spacing w:before="0" w:beforeAutospacing="0" w:after="0" w:afterAutospacing="0"/>
              <w:ind w:left="0" w:right="0"/>
              <w:rPr>
                <w:rFonts w:hint="default" w:eastAsia="宋体" w:cs="Times New Roman"/>
                <w:color w:val="auto"/>
                <w:sz w:val="24"/>
                <w:szCs w:val="24"/>
              </w:rPr>
            </w:pPr>
            <w:r>
              <w:rPr>
                <w:rFonts w:hint="eastAsia" w:eastAsia="宋体" w:cs="Times New Roman"/>
                <w:color w:val="auto"/>
                <w:sz w:val="24"/>
                <w:lang w:val="en-US" w:eastAsia="zh-CN"/>
              </w:rPr>
              <w:t>实验室检测规模为：年检测混凝土粗细骨料300组、混凝土试块250组、岩石600组、钢材400组、橡胶止水带130组、水泥180组、外加剂100组、配合比3组、沥青2组、水质检测水样2000L。</w:t>
            </w:r>
            <w:r>
              <w:rPr>
                <w:rFonts w:hint="default" w:eastAsia="宋体" w:cs="Times New Roman"/>
                <w:color w:val="auto"/>
                <w:sz w:val="24"/>
              </w:rPr>
              <w:t>具体</w:t>
            </w:r>
            <w:r>
              <w:rPr>
                <w:rFonts w:hint="default" w:cs="Times New Roman" w:eastAsiaTheme="minorEastAsia"/>
                <w:color w:val="auto"/>
                <w:sz w:val="24"/>
              </w:rPr>
              <w:t>检测内容见表2-2</w:t>
            </w:r>
            <w:r>
              <w:rPr>
                <w:rFonts w:hint="default" w:eastAsia="宋体" w:cs="Times New Roman"/>
                <w:color w:val="auto"/>
                <w:sz w:val="24"/>
              </w:rPr>
              <w:t>。</w:t>
            </w:r>
          </w:p>
          <w:p w14:paraId="512BDC7F">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表2-2   项目检测内容一览表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141"/>
              <w:gridCol w:w="5951"/>
              <w:gridCol w:w="668"/>
            </w:tblGrid>
            <w:tr w14:paraId="0201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17EEAEF5">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
                      <w:bCs w:val="0"/>
                      <w:color w:val="auto"/>
                      <w:kern w:val="0"/>
                      <w:szCs w:val="21"/>
                    </w:rPr>
                  </w:pPr>
                  <w:r>
                    <w:rPr>
                      <w:rFonts w:hint="default"/>
                      <w:b/>
                      <w:bCs w:val="0"/>
                      <w:color w:val="auto"/>
                      <w:kern w:val="0"/>
                      <w:szCs w:val="21"/>
                    </w:rPr>
                    <w:t>序号</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6AE8758B">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
                      <w:bCs w:val="0"/>
                      <w:color w:val="auto"/>
                      <w:kern w:val="0"/>
                      <w:szCs w:val="21"/>
                    </w:rPr>
                  </w:pPr>
                  <w:r>
                    <w:rPr>
                      <w:rFonts w:hint="default"/>
                      <w:b/>
                      <w:bCs w:val="0"/>
                      <w:color w:val="auto"/>
                      <w:kern w:val="0"/>
                      <w:szCs w:val="21"/>
                    </w:rPr>
                    <w:t>检测内容</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3E543DFD">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
                      <w:bCs w:val="0"/>
                      <w:color w:val="auto"/>
                      <w:kern w:val="0"/>
                      <w:szCs w:val="21"/>
                    </w:rPr>
                  </w:pPr>
                  <w:r>
                    <w:rPr>
                      <w:rFonts w:hint="default"/>
                      <w:b/>
                      <w:bCs w:val="0"/>
                      <w:color w:val="auto"/>
                      <w:kern w:val="0"/>
                      <w:szCs w:val="21"/>
                    </w:rPr>
                    <w:t>检测项目</w:t>
                  </w:r>
                </w:p>
              </w:tc>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436274D2">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
                      <w:bCs w:val="0"/>
                      <w:color w:val="auto"/>
                      <w:kern w:val="0"/>
                      <w:szCs w:val="21"/>
                    </w:rPr>
                  </w:pPr>
                  <w:r>
                    <w:rPr>
                      <w:rFonts w:hint="default"/>
                      <w:b/>
                      <w:bCs w:val="0"/>
                      <w:color w:val="auto"/>
                      <w:kern w:val="0"/>
                      <w:szCs w:val="21"/>
                    </w:rPr>
                    <w:t>检测区域</w:t>
                  </w:r>
                </w:p>
              </w:tc>
            </w:tr>
            <w:tr w14:paraId="2AC3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082251B">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eastAsia="宋体"/>
                      <w:bCs/>
                      <w:color w:val="auto"/>
                      <w:kern w:val="0"/>
                      <w:szCs w:val="21"/>
                      <w:lang w:val="en-US" w:eastAsia="zh-CN"/>
                    </w:rPr>
                  </w:pPr>
                  <w:r>
                    <w:rPr>
                      <w:rFonts w:hint="default"/>
                      <w:bCs/>
                      <w:color w:val="auto"/>
                      <w:kern w:val="0"/>
                      <w:szCs w:val="21"/>
                    </w:rPr>
                    <w:t>一、</w:t>
                  </w:r>
                  <w:r>
                    <w:rPr>
                      <w:rFonts w:hint="eastAsia"/>
                      <w:bCs/>
                      <w:color w:val="auto"/>
                      <w:kern w:val="0"/>
                      <w:szCs w:val="21"/>
                      <w:lang w:val="en-US" w:eastAsia="zh-CN"/>
                    </w:rPr>
                    <w:t>环境检测类</w:t>
                  </w:r>
                </w:p>
              </w:tc>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539BCFEF">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7B5C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19DA07D3">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leftChars="0" w:right="0" w:rightChars="0"/>
                    <w:jc w:val="center"/>
                    <w:textAlignment w:val="auto"/>
                    <w:rPr>
                      <w:rFonts w:hint="default"/>
                      <w:bCs/>
                      <w:color w:val="auto"/>
                      <w:kern w:val="0"/>
                      <w:szCs w:val="21"/>
                    </w:rPr>
                  </w:pPr>
                  <w:r>
                    <w:rPr>
                      <w:rFonts w:hint="default"/>
                      <w:bCs/>
                      <w:color w:val="auto"/>
                      <w:kern w:val="0"/>
                      <w:szCs w:val="21"/>
                    </w:rPr>
                    <w:t>1</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4BB4C290">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水质分析</w:t>
                  </w:r>
                </w:p>
                <w:p w14:paraId="72392912">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leftChars="0" w:right="0" w:rightChars="0"/>
                    <w:jc w:val="center"/>
                    <w:textAlignment w:val="auto"/>
                    <w:rPr>
                      <w:rFonts w:hint="default"/>
                      <w:bCs/>
                      <w:color w:val="auto"/>
                      <w:szCs w:val="21"/>
                    </w:rPr>
                  </w:pPr>
                  <w:r>
                    <w:rPr>
                      <w:rFonts w:hint="default"/>
                      <w:bCs/>
                      <w:color w:val="auto"/>
                      <w:kern w:val="0"/>
                      <w:szCs w:val="21"/>
                    </w:rPr>
                    <w:t>（项）</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5B5D78E2">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leftChars="0" w:right="0" w:rightChars="0"/>
                    <w:textAlignment w:val="auto"/>
                    <w:rPr>
                      <w:rFonts w:hint="eastAsia" w:ascii="宋体" w:hAnsi="宋体" w:cs="宋体"/>
                      <w:bCs/>
                      <w:color w:val="auto"/>
                      <w:kern w:val="0"/>
                      <w:szCs w:val="21"/>
                    </w:rPr>
                  </w:pPr>
                  <w:r>
                    <w:rPr>
                      <w:rFonts w:hint="default"/>
                      <w:bCs/>
                      <w:color w:val="auto"/>
                      <w:kern w:val="0"/>
                      <w:szCs w:val="21"/>
                    </w:rPr>
                    <w:t>水温、pH值、溶解氧、高锰酸盐指数、化学需氧量（耗氧量）、五日生化需氧量、总磷（磷酸盐）、氟化物、氰化物、挥发酚、石油类、阴离子表面活性剂、硫化物、硫酸盐、氯化物、硝酸盐、锰、氨氮、总氮、铜、锌、硒、砷、汞、镉、铅、粪大肠菌群、铁、悬浮物、全盐量、镍、硼、色（色度）、嗅和味、浑浊度（浊度）、肉眼可见物、总硬度、溶解性总固体、叶绿素a、钠、亚硝酸盐、碘化物、菌落总数、总大肠菌群、透明度、溴化盐、阴离子合成洗涤剂</w:t>
                  </w:r>
                </w:p>
              </w:tc>
              <w:tc>
                <w:tcPr>
                  <w:tcW w:w="405" w:type="pct"/>
                  <w:tcBorders>
                    <w:top w:val="single" w:color="auto" w:sz="4" w:space="0"/>
                    <w:left w:val="single" w:color="auto" w:sz="4" w:space="0"/>
                    <w:right w:val="single" w:color="auto" w:sz="4" w:space="0"/>
                  </w:tcBorders>
                  <w:shd w:val="clear" w:color="auto" w:fill="auto"/>
                  <w:vAlign w:val="center"/>
                </w:tcPr>
                <w:p w14:paraId="288FC981">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leftChars="0" w:right="0" w:rightChars="0"/>
                    <w:jc w:val="center"/>
                    <w:textAlignment w:val="auto"/>
                    <w:rPr>
                      <w:rFonts w:hint="default"/>
                      <w:bCs/>
                      <w:color w:val="auto"/>
                      <w:kern w:val="0"/>
                      <w:szCs w:val="21"/>
                    </w:rPr>
                  </w:pPr>
                  <w:r>
                    <w:rPr>
                      <w:rFonts w:hint="default"/>
                      <w:bCs/>
                      <w:color w:val="auto"/>
                      <w:kern w:val="0"/>
                      <w:szCs w:val="21"/>
                    </w:rPr>
                    <w:t>实验室检测</w:t>
                  </w:r>
                </w:p>
              </w:tc>
            </w:tr>
            <w:tr w14:paraId="731E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9A7FD3E">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eastAsia" w:ascii="宋体" w:hAnsi="宋体" w:cs="宋体"/>
                      <w:bCs/>
                      <w:color w:val="auto"/>
                      <w:kern w:val="0"/>
                      <w:szCs w:val="21"/>
                    </w:rPr>
                  </w:pPr>
                  <w:r>
                    <w:rPr>
                      <w:rFonts w:hint="eastAsia"/>
                      <w:bCs/>
                      <w:color w:val="auto"/>
                      <w:kern w:val="0"/>
                      <w:szCs w:val="21"/>
                      <w:lang w:val="en-US" w:eastAsia="zh-CN"/>
                    </w:rPr>
                    <w:t>二</w:t>
                  </w:r>
                  <w:r>
                    <w:rPr>
                      <w:rFonts w:hint="default"/>
                      <w:bCs/>
                      <w:color w:val="auto"/>
                      <w:kern w:val="0"/>
                      <w:szCs w:val="21"/>
                    </w:rPr>
                    <w:t>、建筑工程质量专项检测</w:t>
                  </w:r>
                </w:p>
              </w:tc>
              <w:tc>
                <w:tcPr>
                  <w:tcW w:w="405" w:type="pct"/>
                  <w:tcBorders>
                    <w:top w:val="single" w:color="auto" w:sz="4" w:space="0"/>
                    <w:left w:val="single" w:color="auto" w:sz="4" w:space="0"/>
                    <w:right w:val="single" w:color="auto" w:sz="4" w:space="0"/>
                  </w:tcBorders>
                  <w:shd w:val="clear" w:color="auto" w:fill="auto"/>
                  <w:vAlign w:val="center"/>
                </w:tcPr>
                <w:p w14:paraId="57E07610">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1B08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79DD6B57">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37057704">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szCs w:val="21"/>
                    </w:rPr>
                    <w:t>地基基础工程检测</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09468277">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kern w:val="0"/>
                      <w:szCs w:val="21"/>
                    </w:rPr>
                    <w:t>①</w:t>
                  </w:r>
                  <w:r>
                    <w:rPr>
                      <w:rFonts w:hint="default"/>
                      <w:bCs/>
                      <w:color w:val="auto"/>
                      <w:kern w:val="0"/>
                      <w:szCs w:val="21"/>
                    </w:rPr>
                    <w:t>桩的承载力检测：单桩竖向抗压静载试验、单桩竖向抗拔静载试验、单桩水平静载试验。</w:t>
                  </w:r>
                </w:p>
                <w:p w14:paraId="67D70553">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kern w:val="0"/>
                      <w:szCs w:val="21"/>
                    </w:rPr>
                    <w:t>②</w:t>
                  </w:r>
                  <w:r>
                    <w:rPr>
                      <w:rFonts w:hint="default"/>
                      <w:bCs/>
                      <w:color w:val="auto"/>
                      <w:kern w:val="0"/>
                      <w:szCs w:val="21"/>
                    </w:rPr>
                    <w:t>桩身、防渗墙墙身完整性检测；</w:t>
                  </w:r>
                </w:p>
              </w:tc>
              <w:tc>
                <w:tcPr>
                  <w:tcW w:w="405" w:type="pct"/>
                  <w:vMerge w:val="restart"/>
                  <w:tcBorders>
                    <w:top w:val="single" w:color="auto" w:sz="4" w:space="0"/>
                    <w:left w:val="single" w:color="auto" w:sz="4" w:space="0"/>
                    <w:right w:val="single" w:color="auto" w:sz="4" w:space="0"/>
                  </w:tcBorders>
                  <w:shd w:val="clear" w:color="auto" w:fill="auto"/>
                  <w:vAlign w:val="center"/>
                </w:tcPr>
                <w:p w14:paraId="77BCF597">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现场检测</w:t>
                  </w:r>
                </w:p>
              </w:tc>
            </w:tr>
            <w:tr w14:paraId="0DD9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0A5E2921">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3</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702DD18E">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szCs w:val="21"/>
                    </w:rPr>
                    <w:t>主体结构工程现场检测</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1ACC6DB9">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kern w:val="0"/>
                      <w:szCs w:val="21"/>
                    </w:rPr>
                    <w:t>①</w:t>
                  </w:r>
                  <w:r>
                    <w:rPr>
                      <w:rFonts w:hint="default"/>
                      <w:bCs/>
                      <w:color w:val="auto"/>
                      <w:kern w:val="0"/>
                      <w:szCs w:val="21"/>
                    </w:rPr>
                    <w:t>混凝土、砂浆强度检测</w:t>
                  </w:r>
                </w:p>
                <w:p w14:paraId="7328E20E">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kern w:val="0"/>
                      <w:szCs w:val="21"/>
                    </w:rPr>
                    <w:t>②</w:t>
                  </w:r>
                  <w:r>
                    <w:rPr>
                      <w:rFonts w:hint="default"/>
                      <w:bCs/>
                      <w:color w:val="auto"/>
                      <w:kern w:val="0"/>
                      <w:szCs w:val="21"/>
                    </w:rPr>
                    <w:t>钢筋保护层厚度检测：钢筋间距、保护层厚度、钢筋硬度</w:t>
                  </w:r>
                </w:p>
                <w:p w14:paraId="55DA22F6">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kern w:val="0"/>
                      <w:szCs w:val="21"/>
                    </w:rPr>
                    <w:t>③</w:t>
                  </w:r>
                  <w:r>
                    <w:rPr>
                      <w:rFonts w:hint="default"/>
                      <w:bCs/>
                      <w:color w:val="auto"/>
                      <w:kern w:val="0"/>
                      <w:szCs w:val="21"/>
                    </w:rPr>
                    <w:t>灌浆质量检测：透水率检测、孔位偏差、固结灌浆质量检测、帷幕灌浆质量检测、浆液比重</w:t>
                  </w:r>
                </w:p>
                <w:p w14:paraId="1B9DE9DC">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kern w:val="0"/>
                      <w:szCs w:val="21"/>
                    </w:rPr>
                    <w:t>④</w:t>
                  </w:r>
                  <w:r>
                    <w:rPr>
                      <w:rFonts w:hint="default"/>
                      <w:bCs/>
                      <w:color w:val="auto"/>
                      <w:kern w:val="0"/>
                      <w:szCs w:val="21"/>
                    </w:rPr>
                    <w:t>防渗墙质量检测：墙身完整性、墙体深度、墙体与基岩接触情况。</w:t>
                  </w:r>
                </w:p>
              </w:tc>
              <w:tc>
                <w:tcPr>
                  <w:tcW w:w="405" w:type="pct"/>
                  <w:vMerge w:val="continue"/>
                  <w:tcBorders>
                    <w:left w:val="single" w:color="auto" w:sz="4" w:space="0"/>
                    <w:bottom w:val="single" w:color="auto" w:sz="4" w:space="0"/>
                    <w:right w:val="single" w:color="auto" w:sz="4" w:space="0"/>
                  </w:tcBorders>
                  <w:shd w:val="clear" w:color="auto" w:fill="auto"/>
                  <w:vAlign w:val="center"/>
                </w:tcPr>
                <w:p w14:paraId="2631AC41">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6870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590AE8BB">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4</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264820E8">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公路（市政）工程检测</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77AB7D1A">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kern w:val="0"/>
                      <w:szCs w:val="21"/>
                    </w:rPr>
                    <w:t>①</w:t>
                  </w:r>
                  <w:r>
                    <w:rPr>
                      <w:rFonts w:hint="default"/>
                      <w:bCs/>
                      <w:color w:val="auto"/>
                      <w:kern w:val="0"/>
                      <w:szCs w:val="21"/>
                    </w:rPr>
                    <w:t>土工试验：含水率、密度试验、比重、颗粒分析、界限含水量、击实试验；</w:t>
                  </w:r>
                </w:p>
                <w:p w14:paraId="44ABEAF9">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kern w:val="0"/>
                      <w:szCs w:val="21"/>
                    </w:rPr>
                    <w:t>②</w:t>
                  </w:r>
                  <w:r>
                    <w:rPr>
                      <w:rFonts w:hint="default"/>
                      <w:bCs/>
                      <w:color w:val="auto"/>
                      <w:kern w:val="0"/>
                      <w:szCs w:val="21"/>
                    </w:rPr>
                    <w:t>细集料试验：筛分试验、表面密度、堆积密度及紧装密度、吸水率、含水率、含泥率、泥块含量、云母含量、坚固性、压碎指标；</w:t>
                  </w:r>
                </w:p>
                <w:p w14:paraId="4F60C0D8">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kern w:val="0"/>
                      <w:szCs w:val="21"/>
                    </w:rPr>
                    <w:t>③</w:t>
                  </w:r>
                  <w:r>
                    <w:rPr>
                      <w:rFonts w:hint="default"/>
                      <w:bCs/>
                      <w:color w:val="auto"/>
                      <w:kern w:val="0"/>
                      <w:szCs w:val="21"/>
                    </w:rPr>
                    <w:t>粗集料试验：含土粗集料筛分试验、密度及吸水率试验、含水率、吸水率、堆积密度及空隙率、含泥量及泥块含量、针片颗粒含量、压碎指标；</w:t>
                  </w:r>
                </w:p>
                <w:p w14:paraId="111B6CB7">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kern w:val="0"/>
                      <w:szCs w:val="21"/>
                    </w:rPr>
                    <w:t>④</w:t>
                  </w:r>
                  <w:r>
                    <w:rPr>
                      <w:rFonts w:hint="default"/>
                      <w:bCs/>
                      <w:color w:val="auto"/>
                      <w:kern w:val="0"/>
                      <w:szCs w:val="21"/>
                    </w:rPr>
                    <w:t>岩石及混凝土：物理指标、岩块含水率、岩块吸水率、岩块颗粒密度、岩块块体密度、抗压强度；</w:t>
                  </w:r>
                </w:p>
              </w:tc>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6BEABAED">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实验室检测</w:t>
                  </w:r>
                </w:p>
              </w:tc>
            </w:tr>
            <w:tr w14:paraId="7913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5AEC741E">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5</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1B453C66">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水利水电工程</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71569749">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kern w:val="0"/>
                      <w:szCs w:val="21"/>
                    </w:rPr>
                    <w:t>①</w:t>
                  </w:r>
                  <w:r>
                    <w:rPr>
                      <w:rFonts w:hint="default"/>
                      <w:bCs/>
                      <w:color w:val="auto"/>
                      <w:kern w:val="0"/>
                      <w:szCs w:val="21"/>
                    </w:rPr>
                    <w:t>细粒土试验：含水率试验、密度试验、比重试验、颗粒分析试验、界限含水率试验、湿化试验/崩解试验、毛管水上升高度试验、相对密度试验、击实试验、渗透试验、固结试验、三轴压缩试验、多级加荷三轴压缩试验、孔隙水压力消散试验、无侧限抗压强度试验、直接剪切试验、排水反复直接剪切试验、排水反复直接剪切试验、无粘性土休止角试验、自由膨胀率试验、收缩试验、膨胀力试验、弹性模量试验/回弹模量试验、单轴抗拉强度试验</w:t>
                  </w:r>
                </w:p>
              </w:tc>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1D5E0DA1">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实验室检测</w:t>
                  </w:r>
                </w:p>
              </w:tc>
            </w:tr>
            <w:tr w14:paraId="2540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177C55BD">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6</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31EF040C">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泥浆试验</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6B0F6789">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密度试验、黏度试验、含砂率试验、胶体率试验、稳定性试验、失水量试验、泥皮厚试验、切力试验、PH值试验；</w:t>
                  </w:r>
                </w:p>
              </w:tc>
              <w:tc>
                <w:tcPr>
                  <w:tcW w:w="405" w:type="pct"/>
                  <w:vMerge w:val="restart"/>
                  <w:tcBorders>
                    <w:top w:val="single" w:color="auto" w:sz="4" w:space="0"/>
                    <w:left w:val="single" w:color="auto" w:sz="4" w:space="0"/>
                    <w:right w:val="single" w:color="auto" w:sz="4" w:space="0"/>
                  </w:tcBorders>
                  <w:shd w:val="clear" w:color="auto" w:fill="auto"/>
                  <w:vAlign w:val="center"/>
                </w:tcPr>
                <w:p w14:paraId="175377A9">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实验室检测</w:t>
                  </w:r>
                </w:p>
              </w:tc>
            </w:tr>
            <w:tr w14:paraId="2805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3863EC64">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7</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7E02FB40">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原位土工试验</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5002803C">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原位密度试验、原位渗透试验、原位直剪试验、标准贯入试验、地基承载力、波速试验；</w:t>
                  </w:r>
                </w:p>
              </w:tc>
              <w:tc>
                <w:tcPr>
                  <w:tcW w:w="405" w:type="pct"/>
                  <w:vMerge w:val="continue"/>
                  <w:tcBorders>
                    <w:left w:val="single" w:color="auto" w:sz="4" w:space="0"/>
                    <w:right w:val="single" w:color="auto" w:sz="4" w:space="0"/>
                  </w:tcBorders>
                  <w:shd w:val="clear" w:color="auto" w:fill="auto"/>
                  <w:vAlign w:val="center"/>
                </w:tcPr>
                <w:p w14:paraId="102C91D2">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039F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00AB1269">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8</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11F36C5E">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粗颗粒土试验</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236FFA52">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eastAsia" w:eastAsia="宋体"/>
                      <w:bCs/>
                      <w:color w:val="auto"/>
                      <w:kern w:val="0"/>
                      <w:szCs w:val="21"/>
                      <w:lang w:eastAsia="zh-CN"/>
                    </w:rPr>
                  </w:pPr>
                  <w:r>
                    <w:rPr>
                      <w:rFonts w:hint="default"/>
                      <w:bCs/>
                      <w:color w:val="auto"/>
                      <w:kern w:val="0"/>
                      <w:szCs w:val="21"/>
                    </w:rPr>
                    <w:t>比重实验、颗粒分析试验、相对密度试验（最大干密度、最小干密度）、击实试验、渗透试验、固结试验（压缩系数、压缩模量、单位沉降量、孔隙比）、三轴压缩试验、渗透及渗透变形</w:t>
                  </w:r>
                  <w:r>
                    <w:rPr>
                      <w:rFonts w:hint="eastAsia"/>
                      <w:bCs/>
                      <w:color w:val="auto"/>
                      <w:kern w:val="0"/>
                      <w:szCs w:val="21"/>
                      <w:lang w:eastAsia="zh-CN"/>
                    </w:rPr>
                    <w:t>。</w:t>
                  </w:r>
                </w:p>
              </w:tc>
              <w:tc>
                <w:tcPr>
                  <w:tcW w:w="405" w:type="pct"/>
                  <w:vMerge w:val="continue"/>
                  <w:tcBorders>
                    <w:left w:val="single" w:color="auto" w:sz="4" w:space="0"/>
                    <w:right w:val="single" w:color="auto" w:sz="4" w:space="0"/>
                  </w:tcBorders>
                  <w:shd w:val="clear" w:color="auto" w:fill="auto"/>
                  <w:vAlign w:val="center"/>
                </w:tcPr>
                <w:p w14:paraId="2726D911">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26DC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79134C01">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9</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2009A28F">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土化学分析</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689BCCB8">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化学分析试验、酸碱度试验。易溶盐试验、中溶盐石膏试验、难溶盐碳酸钙试验、有机质试验、游离氧化铁试验、阳离子交换试验、pH值；</w:t>
                  </w:r>
                </w:p>
              </w:tc>
              <w:tc>
                <w:tcPr>
                  <w:tcW w:w="405" w:type="pct"/>
                  <w:vMerge w:val="continue"/>
                  <w:tcBorders>
                    <w:left w:val="single" w:color="auto" w:sz="4" w:space="0"/>
                    <w:right w:val="single" w:color="auto" w:sz="4" w:space="0"/>
                  </w:tcBorders>
                  <w:shd w:val="clear" w:color="auto" w:fill="auto"/>
                  <w:vAlign w:val="center"/>
                </w:tcPr>
                <w:p w14:paraId="373851CB">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38D6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3B85E369">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10</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33565DD8">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岩石（岩体）试验</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3AD5F569">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岩块含水率、岩块吸水率、岩块颗粒密度、岩块块体密度、密度、岩块耐崩解性、岩块单轴抗压强度、岩块抗拉强度、岩块直剪强度、岩块坚固性、声波测试、岩体变形、混凝土与岩体接触面直剪、岩体结构面直剪蠕动、岩体直剪、岩体载荷、岩块单轴压缩变形、岩块点荷载强度、岩石冻融试验、洞室收敛观测、钻孔轴向岩体位移观测、钻孔横向岩体位移观测、岩体表面倾斜观测、岩体应变观测、岩体应力观测、岩体锚杆核载观测、岩体锚杆应力观测、岩体渗压观测、岩体声波观测、水压致裂法岩体地应力测试、岩石松弛圈检测、岩石SO3含量、岩石膨胀性；</w:t>
                  </w:r>
                </w:p>
              </w:tc>
              <w:tc>
                <w:tcPr>
                  <w:tcW w:w="405" w:type="pct"/>
                  <w:vMerge w:val="continue"/>
                  <w:tcBorders>
                    <w:left w:val="single" w:color="auto" w:sz="4" w:space="0"/>
                    <w:right w:val="single" w:color="auto" w:sz="4" w:space="0"/>
                  </w:tcBorders>
                  <w:shd w:val="clear" w:color="auto" w:fill="auto"/>
                  <w:vAlign w:val="center"/>
                </w:tcPr>
                <w:p w14:paraId="2BB88AB0">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1EBA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4008E25B">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11</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34FA8AD9">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混凝土砂石骨料</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2F35C2C4">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混凝土砂料检测（砂料颗粒级配、砂料饱和面干表观密度及吸水率、砂料含水率及表面含水率、砂料堆积密度及空隙率、含泥量、砂料泥块含量、砂料云母含量、砂料轻物质含量、人工砂石粉含量、砂料有机质含量、砂料坚固性、砂料振实密度及空隙率、人工细骨料亚甲蓝MB值、细骨料氯离子含量）、混凝土石料检测（石料颗粒级配、石料饱和面干表观密度及吸水率砂料含水率及表面含水率、石料堆积密度及空隙率、含泥量、石料泥块含量、石料振实密度及空隙率、石料坚固性、石料有机质含量、石料针片状颗粒含量、石料超逊径含量、石料软弱颗粒含量、石料压碎指标、岩石抗压强度及软化系数试验、粗骨料中金筛余率、粗骨料氯离子含量）、砂石料硫化物及硫酸盐含量、骨料碱活性检验（砂浆棒快速法碱活性检验、砂浆棒长度法碱活性检验、混凝土棱柱体法碱活性检验法、碳酸盐骨料碱活性检验、岩相法骨料碱活性检验、快速压蒸法骨料碱活性检验）</w:t>
                  </w:r>
                </w:p>
              </w:tc>
              <w:tc>
                <w:tcPr>
                  <w:tcW w:w="405" w:type="pct"/>
                  <w:vMerge w:val="continue"/>
                  <w:tcBorders>
                    <w:left w:val="single" w:color="auto" w:sz="4" w:space="0"/>
                    <w:right w:val="single" w:color="auto" w:sz="4" w:space="0"/>
                  </w:tcBorders>
                  <w:shd w:val="clear" w:color="auto" w:fill="auto"/>
                  <w:vAlign w:val="center"/>
                </w:tcPr>
                <w:p w14:paraId="684F7E51">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1F8C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065E0ECA">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12</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2C6CE2A5">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混凝土、砂浆</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01C4AF63">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混凝土（室内拌合方法、拌合物坍落法、拌和物维勃稠度、拌和物扩散度、拌合物沁水率、拌合物表观密度、拌合物均匀性、拌合物凝结时间、拌合物含气量、拌合物水胶比分析、混凝土试件成型与养护、立方体抗压强度、劈裂抗拉强度、轴心抗拉强度和极限拉伸值、轴向抗拉强度极限拉伸值、抗拉弹性模量、弯曲强度、混凝土轴心抗压强度与静力抗压弹性模量、混凝土抗渗、混凝土抗冲磨、混凝土芯样强度、混凝土原位直剪、混凝土干缩、混凝土碳化试验、回弹法检测混凝土抗压强度、超声波检测混凝土抗压强度和均匀性、超声波检测混凝土裂缝深度、超声波检测混凝土内部缺陷、现场碾压混凝土表观密度测定、全级配混凝土试验、混凝土压力泌水率、混凝土自生体积变形、混凝土线膨胀系数、混凝土抗冻性试验、混凝土配合比设计）、砂浆（室内拌和方法、稠度、沁水率、表观密度、凝结时间、含气量、抗压强度、劈裂抗拉强度、砂浆抗渗、砂浆轴向拉伸试验、轴向抗拉强度、极限拉伸值、抗拉弹性模量、砂浆干缩、砂浆抗冻、砂浆配合比设计）；</w:t>
                  </w:r>
                </w:p>
              </w:tc>
              <w:tc>
                <w:tcPr>
                  <w:tcW w:w="405" w:type="pct"/>
                  <w:vMerge w:val="continue"/>
                  <w:tcBorders>
                    <w:left w:val="single" w:color="auto" w:sz="4" w:space="0"/>
                    <w:bottom w:val="single" w:color="auto" w:sz="4" w:space="0"/>
                    <w:right w:val="single" w:color="auto" w:sz="4" w:space="0"/>
                  </w:tcBorders>
                  <w:shd w:val="clear" w:color="auto" w:fill="auto"/>
                  <w:vAlign w:val="center"/>
                </w:tcPr>
                <w:p w14:paraId="6925D136">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3C71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2A43DC0C">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13</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5A37D53C">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压水试验</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280EC27D">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透水率（压水）、渗透系数（注水）；</w:t>
                  </w:r>
                </w:p>
              </w:tc>
              <w:tc>
                <w:tcPr>
                  <w:tcW w:w="405" w:type="pct"/>
                  <w:vMerge w:val="restart"/>
                  <w:tcBorders>
                    <w:top w:val="single" w:color="auto" w:sz="4" w:space="0"/>
                    <w:left w:val="single" w:color="auto" w:sz="4" w:space="0"/>
                    <w:right w:val="single" w:color="auto" w:sz="4" w:space="0"/>
                  </w:tcBorders>
                  <w:shd w:val="clear" w:color="auto" w:fill="auto"/>
                  <w:vAlign w:val="center"/>
                </w:tcPr>
                <w:p w14:paraId="28157757">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实验室检测</w:t>
                  </w:r>
                </w:p>
              </w:tc>
            </w:tr>
            <w:tr w14:paraId="3722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32856019">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14</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3E930ED0">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喷锚检测</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0E6B29B0">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喷射混凝土与围岩结合面的黏结强度检测、锚杆拉拔力检测、喷射混凝土抗压强度检测、喷射混凝土抗渗性检测、喷射混凝土厚度性检测、锚杆杆体入孔长度、锚杆注浆饱满度、锚索锚固力、锚具硬度；</w:t>
                  </w:r>
                </w:p>
              </w:tc>
              <w:tc>
                <w:tcPr>
                  <w:tcW w:w="405" w:type="pct"/>
                  <w:vMerge w:val="continue"/>
                  <w:tcBorders>
                    <w:left w:val="single" w:color="auto" w:sz="4" w:space="0"/>
                    <w:right w:val="single" w:color="auto" w:sz="4" w:space="0"/>
                  </w:tcBorders>
                  <w:shd w:val="clear" w:color="auto" w:fill="auto"/>
                  <w:vAlign w:val="center"/>
                </w:tcPr>
                <w:p w14:paraId="428990C0">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1252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3782164B">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15</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78DDF5C3">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土工合成材料检测</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31D48123">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单位面积质量测定、厚度测定、等效孔径试验、垂直渗透（垂直渗透系数）、水平渗透（水平渗透系数）、条样法拉伸（条带拉伸）、拉伸强度、伸长率、握持拉伸、握持强力、伸长率、撕裂试验（撕裂强力）、胀破试验、CBR顶破试验（圆柱顶破强力）、刺破试验、土工膜抗渗试验、耐静水压力、渗透试验、土工格栅、土工网及土工带拉伸试验、老化特性、落锥贯入度（落锥穿透孔径）</w:t>
                  </w:r>
                </w:p>
              </w:tc>
              <w:tc>
                <w:tcPr>
                  <w:tcW w:w="405" w:type="pct"/>
                  <w:vMerge w:val="continue"/>
                  <w:tcBorders>
                    <w:left w:val="single" w:color="auto" w:sz="4" w:space="0"/>
                    <w:right w:val="single" w:color="auto" w:sz="4" w:space="0"/>
                  </w:tcBorders>
                  <w:shd w:val="clear" w:color="auto" w:fill="auto"/>
                  <w:vAlign w:val="center"/>
                </w:tcPr>
                <w:p w14:paraId="4F4A10EC">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0C61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658022F8">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16</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47BFB44E">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橡胶止水材料检测</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1D0A8E9C">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硬度、</w:t>
                  </w:r>
                  <w:r>
                    <w:rPr>
                      <w:rFonts w:hint="default"/>
                      <w:bCs/>
                      <w:color w:val="auto"/>
                      <w:szCs w:val="21"/>
                    </w:rPr>
                    <w:t>拉伸强度、接头拉伸强度、拉断伸长率、</w:t>
                  </w:r>
                  <w:r>
                    <w:rPr>
                      <w:rFonts w:hint="default"/>
                      <w:bCs/>
                      <w:color w:val="auto"/>
                      <w:kern w:val="0"/>
                      <w:szCs w:val="21"/>
                    </w:rPr>
                    <w:t>撕裂试验、压缩永久变形、老化特性、橡胶止水带厚度、橡胶止水带宽度、橡胶止水带中心孔偏差、橡胶止水带接头搭接长度</w:t>
                  </w:r>
                </w:p>
              </w:tc>
              <w:tc>
                <w:tcPr>
                  <w:tcW w:w="405" w:type="pct"/>
                  <w:vMerge w:val="continue"/>
                  <w:tcBorders>
                    <w:left w:val="single" w:color="auto" w:sz="4" w:space="0"/>
                    <w:right w:val="single" w:color="auto" w:sz="4" w:space="0"/>
                  </w:tcBorders>
                  <w:shd w:val="clear" w:color="auto" w:fill="auto"/>
                  <w:vAlign w:val="center"/>
                </w:tcPr>
                <w:p w14:paraId="48739C9B">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7A14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7F94D399">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17</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6B6B58D9">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沥青及沥青混凝土试验</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1C3D4B14">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沥青密度、沥青针入度、沥青延度、沥青软化点、沥青溶解度、沥青薄膜加热、沥青脆点、沥青相对密度、沥青闪点及燃点、沥青含水率、填料筛分、填料密度、填料含水率、填料亲水系数、细骨料颗粒级配、细骨料表观密度及吸水率、细骨料含水率、细骨料含泥量、细骨料坚固性、细骨料有机质含量、细骨料水稳定等级、粗骨料颗粒级配、</w:t>
                  </w:r>
                  <w:r>
                    <w:rPr>
                      <w:rFonts w:hint="default"/>
                      <w:bCs/>
                      <w:color w:val="auto"/>
                      <w:szCs w:val="21"/>
                    </w:rPr>
                    <w:t>粗骨料表观密度及吸水率试验、</w:t>
                  </w:r>
                  <w:r>
                    <w:rPr>
                      <w:rFonts w:hint="default"/>
                      <w:bCs/>
                      <w:color w:val="auto"/>
                      <w:kern w:val="0"/>
                      <w:szCs w:val="21"/>
                    </w:rPr>
                    <w:t>粗骨料含水率、粗骨料含泥量、粗骨料泥块含量、粗骨料针片状颗粒含量、粗骨料压碎率、粗骨料坚固性、粗骨料与沥青的黏附性、沥青混合料的制备与现场取样、沥青混凝土马歇尔试件制备、沥青混凝土最大密度、沥青混凝土密度、沥青混凝土马歇尔稳定度及流值、沥青混凝土渗透、沥青混凝土单轴压缩、沥青混凝土水稳定性、沥青混凝土热稳定性、沥青混凝土拉伸、</w:t>
                  </w:r>
                  <w:r>
                    <w:rPr>
                      <w:rFonts w:hint="default"/>
                      <w:bCs/>
                      <w:color w:val="auto"/>
                      <w:szCs w:val="21"/>
                    </w:rPr>
                    <w:t>沥青混凝土小梁弯曲、沥青混凝土三轴；</w:t>
                  </w:r>
                </w:p>
              </w:tc>
              <w:tc>
                <w:tcPr>
                  <w:tcW w:w="405" w:type="pct"/>
                  <w:vMerge w:val="continue"/>
                  <w:tcBorders>
                    <w:left w:val="single" w:color="auto" w:sz="4" w:space="0"/>
                    <w:bottom w:val="single" w:color="auto" w:sz="4" w:space="0"/>
                    <w:right w:val="single" w:color="auto" w:sz="4" w:space="0"/>
                  </w:tcBorders>
                  <w:shd w:val="clear" w:color="auto" w:fill="auto"/>
                  <w:vAlign w:val="center"/>
                </w:tcPr>
                <w:p w14:paraId="777807AC">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7232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1681101F">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18</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0278D6EE">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szCs w:val="21"/>
                    </w:rPr>
                    <w:t>量测类</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075D7CA5">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szCs w:val="21"/>
                    </w:rPr>
                  </w:pPr>
                  <w:r>
                    <w:rPr>
                      <w:rFonts w:hint="default"/>
                      <w:bCs/>
                      <w:color w:val="auto"/>
                      <w:szCs w:val="21"/>
                      <w:lang w:bidi="ar"/>
                    </w:rPr>
                    <w:t>高程、平面位置、建筑物纵横轴线、建筑物断面、几何尺寸、隐伏建筑物 、几何形态、结构构件、几何尺寸、弧度（角度）、长度、宽度、厚度、深度、高度、坡度、平整度、水平位移、竖向位移、振动频率、振动周期、加速度</w:t>
                  </w:r>
                </w:p>
                <w:p w14:paraId="608635C1">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szCs w:val="21"/>
                      <w:lang w:bidi="ar"/>
                    </w:rPr>
                    <w:t>、速度、接缝和裂缝开度（接缝和裂缝开合度）、倾斜、渗流量、扬压力、渗透压力、孔隙水压力、温度、应力、应变、地下水位、土压力。</w:t>
                  </w:r>
                </w:p>
              </w:tc>
              <w:tc>
                <w:tcPr>
                  <w:tcW w:w="405" w:type="pct"/>
                  <w:vMerge w:val="restart"/>
                  <w:tcBorders>
                    <w:top w:val="single" w:color="auto" w:sz="4" w:space="0"/>
                    <w:left w:val="single" w:color="auto" w:sz="4" w:space="0"/>
                    <w:right w:val="single" w:color="auto" w:sz="4" w:space="0"/>
                  </w:tcBorders>
                  <w:shd w:val="clear" w:color="auto" w:fill="auto"/>
                  <w:vAlign w:val="center"/>
                </w:tcPr>
                <w:p w14:paraId="67923FFC">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eastAsia" w:eastAsia="宋体"/>
                      <w:bCs/>
                      <w:color w:val="auto"/>
                      <w:kern w:val="0"/>
                      <w:szCs w:val="21"/>
                      <w:lang w:eastAsia="zh-CN"/>
                    </w:rPr>
                  </w:pPr>
                  <w:r>
                    <w:rPr>
                      <w:rFonts w:hint="default"/>
                      <w:bCs/>
                      <w:color w:val="auto"/>
                      <w:kern w:val="0"/>
                      <w:szCs w:val="21"/>
                    </w:rPr>
                    <w:t>现场</w:t>
                  </w:r>
                  <w:r>
                    <w:rPr>
                      <w:rFonts w:hint="eastAsia"/>
                      <w:bCs/>
                      <w:color w:val="auto"/>
                      <w:kern w:val="0"/>
                      <w:szCs w:val="21"/>
                      <w:lang w:val="en-US" w:eastAsia="zh-CN"/>
                    </w:rPr>
                    <w:t>检测</w:t>
                  </w:r>
                </w:p>
              </w:tc>
            </w:tr>
            <w:tr w14:paraId="4C3C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32C6D79B">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19</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5D51D464">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金属结构类</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3B6E0882">
                  <w:pPr>
                    <w:keepNext w:val="0"/>
                    <w:keepLines w:val="0"/>
                    <w:pageBreakBefore w:val="0"/>
                    <w:suppressLineNumbers w:val="0"/>
                    <w:tabs>
                      <w:tab w:val="left" w:pos="2725"/>
                      <w:tab w:val="left" w:pos="5280"/>
                    </w:tabs>
                    <w:kinsoku/>
                    <w:wordWrap/>
                    <w:overflowPunct/>
                    <w:topLinePunct w:val="0"/>
                    <w:autoSpaceDE/>
                    <w:autoSpaceDN/>
                    <w:bidi w:val="0"/>
                    <w:adjustRightInd w:val="0"/>
                    <w:snapToGrid w:val="0"/>
                    <w:spacing w:before="0" w:beforeAutospacing="0" w:after="0" w:afterAutospacing="0"/>
                    <w:ind w:left="0" w:right="0"/>
                    <w:textAlignment w:val="auto"/>
                    <w:rPr>
                      <w:rFonts w:hint="default"/>
                      <w:bCs/>
                      <w:color w:val="auto"/>
                      <w:szCs w:val="21"/>
                    </w:rPr>
                  </w:pPr>
                  <w:r>
                    <w:rPr>
                      <w:rFonts w:hint="eastAsia" w:ascii="宋体" w:hAnsi="宋体" w:cs="宋体"/>
                      <w:bCs/>
                      <w:color w:val="auto"/>
                      <w:szCs w:val="21"/>
                      <w:lang w:bidi="ar"/>
                    </w:rPr>
                    <w:t>①</w:t>
                  </w:r>
                  <w:r>
                    <w:rPr>
                      <w:rFonts w:hint="default"/>
                      <w:bCs/>
                      <w:color w:val="auto"/>
                      <w:szCs w:val="21"/>
                      <w:lang w:bidi="ar"/>
                    </w:rPr>
                    <w:t>铸锻、焊接、材料质量与防腐涂层质量检测、铸锻件外部质量、铸锻件尺寸、铸锻件表面缺陷、铸锻件内部质量、铸件声波检测、锻件声波检、焊缝外观质、焊缝外观、焊缝尺寸、焊缝表面缺陷、焊缝内部质量、焊缝超声波探伤检测、焊缝磁粉检测、焊缝渗透检测、金属材料、力学性能试验、金属材料屈服强度、金属材料拉伸强度（抗拉强度）、金属材料伸长率、最大力总延伸率、金属材料弯曲、金属材料硬度、金属材料布氏硬度、金属材料洛氏硬度、金属材料维氏硬度、金属材料里氏硬度、表面清洁度、涂料涂层质量、涂料涂层（漆膜）厚度、涂料涂层附着力、金属涂层质量、金属涂层厚度、金属涂层结合性能检查（金属涂层结合强度）、腐蚀测试（腐蚀深度与面积）、涂料质量测试；</w:t>
                  </w:r>
                </w:p>
                <w:p w14:paraId="5C5234F0">
                  <w:pPr>
                    <w:keepNext w:val="0"/>
                    <w:keepLines w:val="0"/>
                    <w:pageBreakBefore w:val="0"/>
                    <w:suppressLineNumbers w:val="0"/>
                    <w:tabs>
                      <w:tab w:val="left" w:pos="2725"/>
                      <w:tab w:val="left" w:pos="5280"/>
                    </w:tabs>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bCs/>
                      <w:color w:val="auto"/>
                      <w:szCs w:val="21"/>
                    </w:rPr>
                  </w:pPr>
                  <w:r>
                    <w:rPr>
                      <w:rFonts w:hint="eastAsia" w:ascii="宋体" w:hAnsi="宋体" w:cs="宋体"/>
                      <w:bCs/>
                      <w:color w:val="auto"/>
                      <w:szCs w:val="21"/>
                      <w:lang w:bidi="ar"/>
                    </w:rPr>
                    <w:t>②</w:t>
                  </w:r>
                  <w:r>
                    <w:rPr>
                      <w:rFonts w:hint="default"/>
                      <w:bCs/>
                      <w:color w:val="auto"/>
                      <w:szCs w:val="21"/>
                      <w:lang w:bidi="ar"/>
                    </w:rPr>
                    <w:t>制造安装质量检测、常规尺寸及位置检测、几何尺寸、形状（位置）、公差、高程坐标、相对位置、表面缺陷、温度、湿度、变形量、磨损量、振动频率、振幅、钢结构角、橡胶硬度、水压试验、试验压力、保压时间、渗水；</w:t>
                  </w:r>
                </w:p>
                <w:p w14:paraId="56E03E04">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szCs w:val="21"/>
                      <w:lang w:bidi="ar"/>
                    </w:rPr>
                    <w:t>③</w:t>
                  </w:r>
                  <w:r>
                    <w:rPr>
                      <w:rFonts w:hint="default"/>
                      <w:bCs/>
                      <w:color w:val="auto"/>
                      <w:szCs w:val="21"/>
                      <w:lang w:bidi="ar"/>
                    </w:rPr>
                    <w:t>各式启闭机与清污机检测、电气检测、电气电压、电气电流、电气电阻、启门力、闭门力、持住力、钢丝绳检测（钢丝绳缺陷检测）、钢丝绳直径、钢丝绳不圆度、钢丝绳长度、钢丝绳外观、钢丝绳探伤检测、里氏硬度（硬度）、上拱度、上翘度、挠度、油液运动粘度、行程（扬程）、作压力（压力）、速度（时间）、表面粗糙度、整机运行性试验、负荷试验、钢板检测、钢板表面缺陷、钢板内部缺陷；</w:t>
                  </w:r>
                </w:p>
              </w:tc>
              <w:tc>
                <w:tcPr>
                  <w:tcW w:w="405" w:type="pct"/>
                  <w:vMerge w:val="continue"/>
                  <w:tcBorders>
                    <w:left w:val="single" w:color="auto" w:sz="4" w:space="0"/>
                    <w:bottom w:val="single" w:color="auto" w:sz="4" w:space="0"/>
                    <w:right w:val="single" w:color="auto" w:sz="4" w:space="0"/>
                  </w:tcBorders>
                  <w:shd w:val="clear" w:color="auto" w:fill="auto"/>
                  <w:vAlign w:val="center"/>
                </w:tcPr>
                <w:p w14:paraId="6AF52FEC">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0A9C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3047E636">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19</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5773E0C4">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机械电气类</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60FB924C">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szCs w:val="21"/>
                    </w:rPr>
                  </w:pPr>
                  <w:r>
                    <w:rPr>
                      <w:rFonts w:hint="default"/>
                      <w:bCs/>
                      <w:color w:val="auto"/>
                      <w:szCs w:val="21"/>
                      <w:lang w:bidi="ar"/>
                    </w:rPr>
                    <w:t>水力机械、流量、水头、液位、漏水量、压力、油管路和容器的压力、气管路和容器的压力、水管路和容器的压力、汽蚀与磨损（空蚀及磨损）、含砂量、粗糙、效率、转速、噪声、材料力学性能（抗拉强度、弯曲及延伸率、最大力总延伸率）电气设备、频率、电流、电压、电阻、绝缘测量（绝缘电阻）、</w:t>
                  </w:r>
                </w:p>
                <w:p w14:paraId="40E88BCF">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right="0"/>
                    <w:jc w:val="left"/>
                    <w:textAlignment w:val="auto"/>
                    <w:rPr>
                      <w:rFonts w:hint="default"/>
                      <w:bCs/>
                      <w:color w:val="auto"/>
                      <w:kern w:val="0"/>
                      <w:szCs w:val="21"/>
                    </w:rPr>
                  </w:pPr>
                  <w:r>
                    <w:rPr>
                      <w:rFonts w:hint="default"/>
                      <w:bCs/>
                      <w:color w:val="auto"/>
                      <w:szCs w:val="21"/>
                      <w:lang w:bidi="ar"/>
                    </w:rPr>
                    <w:t>温升试验、变比及组别测量、相位检查、开关操作机构和机械性检查、励磁特性。</w:t>
                  </w:r>
                </w:p>
              </w:tc>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477F87BE">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现场实验</w:t>
                  </w:r>
                </w:p>
              </w:tc>
            </w:tr>
            <w:tr w14:paraId="720C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71DED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bCs/>
                      <w:color w:val="auto"/>
                      <w:szCs w:val="21"/>
                    </w:rPr>
                  </w:pPr>
                  <w:r>
                    <w:rPr>
                      <w:rFonts w:hint="eastAsia"/>
                      <w:bCs/>
                      <w:color w:val="auto"/>
                      <w:szCs w:val="21"/>
                      <w:lang w:val="en-US" w:eastAsia="zh-CN"/>
                    </w:rPr>
                    <w:t>三</w:t>
                  </w:r>
                  <w:r>
                    <w:rPr>
                      <w:rFonts w:hint="default"/>
                      <w:bCs/>
                      <w:color w:val="auto"/>
                      <w:szCs w:val="21"/>
                    </w:rPr>
                    <w:t>、建设工程质量见证取样检测</w:t>
                  </w:r>
                </w:p>
              </w:tc>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3E6C5A54">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5D02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5228AABD">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601C90F7">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水泥性能检测</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17169833">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szCs w:val="21"/>
                      <w:lang w:bidi="ar"/>
                    </w:rPr>
                    <w:t>细度、密度、比表面积、标准稠度用水量、凝结时间、安定性、胶砂流动度、胶砂强度、水泥水化热、烧失量、碱含量、三氧化硫含量、氯离子含量。</w:t>
                  </w:r>
                </w:p>
              </w:tc>
              <w:tc>
                <w:tcPr>
                  <w:tcW w:w="405" w:type="pct"/>
                  <w:vMerge w:val="restart"/>
                  <w:tcBorders>
                    <w:top w:val="single" w:color="auto" w:sz="4" w:space="0"/>
                    <w:left w:val="single" w:color="auto" w:sz="4" w:space="0"/>
                    <w:right w:val="single" w:color="auto" w:sz="4" w:space="0"/>
                  </w:tcBorders>
                  <w:shd w:val="clear" w:color="auto" w:fill="auto"/>
                  <w:vAlign w:val="center"/>
                </w:tcPr>
                <w:p w14:paraId="454EBE38">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实验室检测</w:t>
                  </w:r>
                </w:p>
              </w:tc>
            </w:tr>
            <w:tr w14:paraId="2E7A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668057D4">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2</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27EA409A">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粉煤灰物理力学性能检测</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70ABD1CD">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lang w:bidi="ar"/>
                    </w:rPr>
                    <w:t>细度、</w:t>
                  </w:r>
                  <w:r>
                    <w:rPr>
                      <w:rFonts w:hint="default"/>
                      <w:bCs/>
                      <w:color w:val="auto"/>
                      <w:szCs w:val="21"/>
                      <w:lang w:bidi="ar"/>
                    </w:rPr>
                    <w:t>密度、</w:t>
                  </w:r>
                  <w:r>
                    <w:rPr>
                      <w:rFonts w:hint="default"/>
                      <w:bCs/>
                      <w:color w:val="auto"/>
                      <w:kern w:val="0"/>
                      <w:szCs w:val="21"/>
                      <w:lang w:bidi="ar"/>
                    </w:rPr>
                    <w:t>需水量比、含水量、安定性、烧失量、三氧化硫含、游离氧化钙、碱含量。</w:t>
                  </w:r>
                </w:p>
              </w:tc>
              <w:tc>
                <w:tcPr>
                  <w:tcW w:w="405" w:type="pct"/>
                  <w:vMerge w:val="continue"/>
                  <w:tcBorders>
                    <w:left w:val="single" w:color="auto" w:sz="4" w:space="0"/>
                    <w:right w:val="single" w:color="auto" w:sz="4" w:space="0"/>
                  </w:tcBorders>
                  <w:shd w:val="clear" w:color="auto" w:fill="auto"/>
                  <w:vAlign w:val="center"/>
                </w:tcPr>
                <w:p w14:paraId="2C1571D0">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p>
              </w:tc>
            </w:tr>
            <w:tr w14:paraId="0C7D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2EBD9AC3">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3</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70A6182F">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both"/>
                    <w:textAlignment w:val="auto"/>
                    <w:rPr>
                      <w:rFonts w:hint="default"/>
                      <w:bCs/>
                      <w:color w:val="auto"/>
                      <w:szCs w:val="21"/>
                    </w:rPr>
                  </w:pPr>
                  <w:r>
                    <w:rPr>
                      <w:rFonts w:hint="default"/>
                      <w:bCs/>
                      <w:color w:val="auto"/>
                      <w:szCs w:val="21"/>
                    </w:rPr>
                    <w:t>混凝土掺加剂</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59EC4F42">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both"/>
                    <w:textAlignment w:val="auto"/>
                    <w:rPr>
                      <w:rFonts w:hint="default"/>
                      <w:bCs/>
                      <w:color w:val="auto"/>
                      <w:szCs w:val="21"/>
                    </w:rPr>
                  </w:pPr>
                  <w:r>
                    <w:rPr>
                      <w:rFonts w:hint="default"/>
                      <w:bCs/>
                      <w:color w:val="auto"/>
                      <w:szCs w:val="21"/>
                    </w:rPr>
                    <w:t>固体含量、密度、细度、PH值、氯离子含量、硫酸钠含量、水泥净浆流动度、水泥砂浆工作性（砂浆减水率）、碱含量、收缩率比、限制膨胀率、含气量、泌水率比、抗压强度比、含水率、凝结时间差。</w:t>
                  </w:r>
                </w:p>
              </w:tc>
              <w:tc>
                <w:tcPr>
                  <w:tcW w:w="405" w:type="pct"/>
                  <w:vMerge w:val="continue"/>
                  <w:tcBorders>
                    <w:left w:val="single" w:color="auto" w:sz="4" w:space="0"/>
                    <w:right w:val="single" w:color="auto" w:sz="4" w:space="0"/>
                  </w:tcBorders>
                  <w:shd w:val="clear" w:color="auto" w:fill="auto"/>
                  <w:vAlign w:val="center"/>
                </w:tcPr>
                <w:p w14:paraId="4D7A3B8B">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p>
              </w:tc>
            </w:tr>
            <w:tr w14:paraId="55FF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654F32E0">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4</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236F0F13">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钢筋（含焊接与机械链接）力学性能试验</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71C978C9">
                  <w:pPr>
                    <w:keepNext w:val="0"/>
                    <w:keepLines w:val="0"/>
                    <w:pageBreakBefore w:val="0"/>
                    <w:suppressLineNumbers w:val="0"/>
                    <w:tabs>
                      <w:tab w:val="left" w:pos="2725"/>
                      <w:tab w:val="left" w:pos="5280"/>
                    </w:tabs>
                    <w:kinsoku/>
                    <w:wordWrap/>
                    <w:overflowPunct/>
                    <w:topLinePunct w:val="0"/>
                    <w:autoSpaceDE/>
                    <w:autoSpaceDN/>
                    <w:bidi w:val="0"/>
                    <w:adjustRightInd w:val="0"/>
                    <w:snapToGri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直径、截面积、屈服强度、抗拉强度、断后伸长率、最大力总延伸率、弯曲、重量偏差、</w:t>
                  </w:r>
                  <w:r>
                    <w:rPr>
                      <w:rFonts w:hint="default"/>
                      <w:bCs/>
                      <w:color w:val="auto"/>
                      <w:szCs w:val="21"/>
                    </w:rPr>
                    <w:t>接头抗拉强度、反向弯曲（反复弯曲）</w:t>
                  </w:r>
                </w:p>
              </w:tc>
              <w:tc>
                <w:tcPr>
                  <w:tcW w:w="405" w:type="pct"/>
                  <w:vMerge w:val="continue"/>
                  <w:tcBorders>
                    <w:left w:val="single" w:color="auto" w:sz="4" w:space="0"/>
                    <w:bottom w:val="single" w:color="auto" w:sz="4" w:space="0"/>
                    <w:right w:val="single" w:color="auto" w:sz="4" w:space="0"/>
                  </w:tcBorders>
                  <w:shd w:val="clear" w:color="auto" w:fill="auto"/>
                  <w:vAlign w:val="center"/>
                </w:tcPr>
                <w:p w14:paraId="23A47862">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p>
              </w:tc>
            </w:tr>
            <w:tr w14:paraId="601B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48BAA417">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5</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628D19CE">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砌墙砖试验</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67911F36">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尺寸、外观质量、抗折强度、抗压强度、体积密度、石灰爆裂、吸水率和饱水系数、泛霜、</w:t>
                  </w:r>
                </w:p>
              </w:tc>
              <w:tc>
                <w:tcPr>
                  <w:tcW w:w="405" w:type="pct"/>
                  <w:vMerge w:val="restart"/>
                  <w:tcBorders>
                    <w:top w:val="single" w:color="auto" w:sz="4" w:space="0"/>
                    <w:left w:val="single" w:color="auto" w:sz="4" w:space="0"/>
                    <w:right w:val="single" w:color="auto" w:sz="4" w:space="0"/>
                  </w:tcBorders>
                  <w:shd w:val="clear" w:color="auto" w:fill="auto"/>
                  <w:vAlign w:val="center"/>
                </w:tcPr>
                <w:p w14:paraId="195A0327">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实验室检测</w:t>
                  </w:r>
                </w:p>
              </w:tc>
            </w:tr>
            <w:tr w14:paraId="459B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0FF77167">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6</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7AB6E2A1">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砂、石常规检验</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52524B7F">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kern w:val="0"/>
                      <w:szCs w:val="21"/>
                    </w:rPr>
                    <w:t>①</w:t>
                  </w:r>
                  <w:r>
                    <w:rPr>
                      <w:rFonts w:hint="default"/>
                      <w:bCs/>
                      <w:color w:val="auto"/>
                      <w:kern w:val="0"/>
                      <w:szCs w:val="21"/>
                    </w:rPr>
                    <w:t>砂常规检验：颗粒级配、含泥量、机制砂亚甲蓝值与石粉含量、泥块含量、表观密度、空隙率、堆积密度、压碎指标、坚固性、云母含量、吸水率及含水率、有机物含量；</w:t>
                  </w:r>
                </w:p>
                <w:p w14:paraId="1C0D2107">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ascii="宋体" w:hAnsi="宋体" w:cs="宋体"/>
                      <w:bCs/>
                      <w:color w:val="auto"/>
                      <w:kern w:val="0"/>
                      <w:szCs w:val="21"/>
                    </w:rPr>
                    <w:t>②</w:t>
                  </w:r>
                  <w:r>
                    <w:rPr>
                      <w:rFonts w:hint="default"/>
                      <w:bCs/>
                      <w:color w:val="auto"/>
                      <w:kern w:val="0"/>
                      <w:szCs w:val="21"/>
                    </w:rPr>
                    <w:t>石常规检验：颗粒级配、泥块含量、含泥量、针片状颗粒含量、表观密度、空隙率、堆积密度、紧密密度、压碎指标、岩石抗压强度、吸水率及含水率、坚固性。</w:t>
                  </w:r>
                </w:p>
              </w:tc>
              <w:tc>
                <w:tcPr>
                  <w:tcW w:w="405" w:type="pct"/>
                  <w:vMerge w:val="continue"/>
                  <w:tcBorders>
                    <w:left w:val="single" w:color="auto" w:sz="4" w:space="0"/>
                    <w:right w:val="single" w:color="auto" w:sz="4" w:space="0"/>
                  </w:tcBorders>
                  <w:shd w:val="clear" w:color="auto" w:fill="auto"/>
                  <w:vAlign w:val="center"/>
                </w:tcPr>
                <w:p w14:paraId="27DEEA6E">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5FB0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2D682E84">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7</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20AEAE50">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混凝土、砂浆强度检验</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537EEDDA">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szCs w:val="21"/>
                    </w:rPr>
                  </w:pPr>
                  <w:r>
                    <w:rPr>
                      <w:rFonts w:hint="eastAsia" w:ascii="宋体" w:hAnsi="宋体" w:cs="宋体"/>
                      <w:bCs/>
                      <w:color w:val="auto"/>
                      <w:kern w:val="0"/>
                      <w:szCs w:val="21"/>
                    </w:rPr>
                    <w:t>①</w:t>
                  </w:r>
                  <w:r>
                    <w:rPr>
                      <w:rFonts w:hint="default"/>
                      <w:bCs/>
                      <w:color w:val="auto"/>
                      <w:kern w:val="0"/>
                      <w:szCs w:val="21"/>
                    </w:rPr>
                    <w:t>混凝土强度检验:</w:t>
                  </w:r>
                  <w:r>
                    <w:rPr>
                      <w:rFonts w:hint="default"/>
                      <w:bCs/>
                      <w:color w:val="auto"/>
                      <w:szCs w:val="21"/>
                    </w:rPr>
                    <w:t>抗压强度、抗折强度、配合比设计、抗渗等级试验、塌落度、凝结时间、泌水性、表观密度、含气量、劈裂抗拉强度；</w:t>
                  </w:r>
                </w:p>
                <w:p w14:paraId="2E8CD817">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szCs w:val="21"/>
                    </w:rPr>
                  </w:pPr>
                  <w:r>
                    <w:rPr>
                      <w:rFonts w:hint="eastAsia" w:ascii="宋体" w:hAnsi="宋体" w:cs="宋体"/>
                      <w:bCs/>
                      <w:color w:val="auto"/>
                      <w:szCs w:val="21"/>
                    </w:rPr>
                    <w:t>②</w:t>
                  </w:r>
                  <w:r>
                    <w:rPr>
                      <w:rFonts w:hint="default"/>
                      <w:bCs/>
                      <w:color w:val="auto"/>
                      <w:kern w:val="0"/>
                      <w:szCs w:val="21"/>
                    </w:rPr>
                    <w:t>砂浆强度检验：稠度试验、密度试验、分层度试验、保水性试验、凝结时间、立方体抗压强度、抗压强度、配合比设计。</w:t>
                  </w:r>
                </w:p>
              </w:tc>
              <w:tc>
                <w:tcPr>
                  <w:tcW w:w="405" w:type="pct"/>
                  <w:vMerge w:val="continue"/>
                  <w:tcBorders>
                    <w:left w:val="single" w:color="auto" w:sz="4" w:space="0"/>
                    <w:bottom w:val="single" w:color="auto" w:sz="4" w:space="0"/>
                    <w:right w:val="single" w:color="auto" w:sz="4" w:space="0"/>
                  </w:tcBorders>
                  <w:shd w:val="clear" w:color="auto" w:fill="auto"/>
                  <w:vAlign w:val="center"/>
                </w:tcPr>
                <w:p w14:paraId="04C8C0A7">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3694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E06AFE5">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eastAsia"/>
                      <w:bCs/>
                      <w:color w:val="auto"/>
                      <w:kern w:val="0"/>
                      <w:szCs w:val="21"/>
                      <w:lang w:val="en-US" w:eastAsia="zh-CN"/>
                    </w:rPr>
                    <w:t>四</w:t>
                  </w:r>
                  <w:r>
                    <w:rPr>
                      <w:rFonts w:hint="default"/>
                      <w:bCs/>
                      <w:color w:val="auto"/>
                      <w:kern w:val="0"/>
                      <w:szCs w:val="21"/>
                    </w:rPr>
                    <w:t>、材料类产品试验检测</w:t>
                  </w:r>
                </w:p>
              </w:tc>
            </w:tr>
            <w:tr w14:paraId="5192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7C7F0A53">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1</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53B805D0">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kern w:val="0"/>
                      <w:szCs w:val="21"/>
                    </w:rPr>
                    <w:t>钢板</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601618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bCs/>
                      <w:color w:val="auto"/>
                      <w:kern w:val="0"/>
                      <w:szCs w:val="21"/>
                    </w:rPr>
                  </w:pPr>
                  <w:r>
                    <w:rPr>
                      <w:rFonts w:hint="default"/>
                      <w:bCs/>
                      <w:color w:val="auto"/>
                      <w:szCs w:val="21"/>
                    </w:rPr>
                    <w:t>尺寸及外形测量（长度、厚度、宽度、不平度、</w:t>
                  </w:r>
                  <w:r>
                    <w:rPr>
                      <w:rFonts w:hint="default"/>
                      <w:bCs/>
                      <w:color w:val="auto"/>
                      <w:kern w:val="0"/>
                      <w:szCs w:val="21"/>
                    </w:rPr>
                    <w:t>镰刀弯、脱方度</w:t>
                  </w:r>
                  <w:r>
                    <w:rPr>
                      <w:rFonts w:hint="default"/>
                      <w:bCs/>
                      <w:color w:val="auto"/>
                      <w:szCs w:val="21"/>
                    </w:rPr>
                    <w:t>）、</w:t>
                  </w:r>
                  <w:r>
                    <w:rPr>
                      <w:rFonts w:hint="default"/>
                      <w:bCs/>
                      <w:color w:val="auto"/>
                      <w:kern w:val="0"/>
                      <w:szCs w:val="21"/>
                    </w:rPr>
                    <w:t>重量及允许偏差、屈服强度、</w:t>
                  </w:r>
                  <w:r>
                    <w:rPr>
                      <w:rFonts w:hint="default"/>
                      <w:bCs/>
                      <w:color w:val="auto"/>
                      <w:szCs w:val="21"/>
                    </w:rPr>
                    <w:t>抗拉强度、断后伸长率、冷弯试验（弯曲试验）</w:t>
                  </w:r>
                </w:p>
              </w:tc>
              <w:tc>
                <w:tcPr>
                  <w:tcW w:w="405" w:type="pct"/>
                  <w:vMerge w:val="restart"/>
                  <w:tcBorders>
                    <w:top w:val="single" w:color="auto" w:sz="4" w:space="0"/>
                    <w:left w:val="single" w:color="auto" w:sz="4" w:space="0"/>
                    <w:right w:val="single" w:color="auto" w:sz="4" w:space="0"/>
                  </w:tcBorders>
                  <w:shd w:val="clear" w:color="auto" w:fill="auto"/>
                  <w:vAlign w:val="center"/>
                </w:tcPr>
                <w:p w14:paraId="77983CA3">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实验室检测</w:t>
                  </w:r>
                </w:p>
              </w:tc>
            </w:tr>
            <w:tr w14:paraId="246A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1657800B">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2</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74E16B64">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热轧型钢</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6BFD143E">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szCs w:val="21"/>
                    </w:rPr>
                  </w:pPr>
                  <w:r>
                    <w:rPr>
                      <w:rFonts w:hint="eastAsia" w:ascii="宋体" w:hAnsi="宋体" w:cs="宋体"/>
                      <w:bCs/>
                      <w:color w:val="auto"/>
                      <w:kern w:val="0"/>
                      <w:szCs w:val="21"/>
                    </w:rPr>
                    <w:t>①</w:t>
                  </w:r>
                  <w:r>
                    <w:rPr>
                      <w:rFonts w:hint="default"/>
                      <w:bCs/>
                      <w:color w:val="auto"/>
                      <w:szCs w:val="21"/>
                    </w:rPr>
                    <w:t>工字钢、槽钢性能试验检测：尺寸及外形测量（长度、</w:t>
                  </w:r>
                  <w:r>
                    <w:rPr>
                      <w:rFonts w:hint="default"/>
                      <w:bCs/>
                      <w:color w:val="auto"/>
                      <w:kern w:val="0"/>
                      <w:szCs w:val="21"/>
                    </w:rPr>
                    <w:t>腰厚度</w:t>
                  </w:r>
                  <w:r>
                    <w:rPr>
                      <w:rFonts w:hint="default"/>
                      <w:bCs/>
                      <w:color w:val="auto"/>
                      <w:szCs w:val="21"/>
                    </w:rPr>
                    <w:t>、宽度、</w:t>
                  </w:r>
                  <w:r>
                    <w:rPr>
                      <w:rFonts w:hint="default"/>
                      <w:bCs/>
                      <w:color w:val="auto"/>
                      <w:kern w:val="0"/>
                      <w:szCs w:val="21"/>
                    </w:rPr>
                    <w:t>腿宽度</w:t>
                  </w:r>
                  <w:r>
                    <w:rPr>
                      <w:rFonts w:hint="default"/>
                      <w:bCs/>
                      <w:color w:val="auto"/>
                      <w:szCs w:val="21"/>
                    </w:rPr>
                    <w:t>、</w:t>
                  </w:r>
                  <w:r>
                    <w:rPr>
                      <w:rFonts w:hint="default"/>
                      <w:bCs/>
                      <w:color w:val="auto"/>
                      <w:kern w:val="0"/>
                      <w:szCs w:val="21"/>
                    </w:rPr>
                    <w:t>外缘斜度、弯腰挠度、弯曲度、中心偏差</w:t>
                  </w:r>
                  <w:r>
                    <w:rPr>
                      <w:rFonts w:hint="default"/>
                      <w:bCs/>
                      <w:color w:val="auto"/>
                      <w:szCs w:val="21"/>
                    </w:rPr>
                    <w:t>）、</w:t>
                  </w:r>
                  <w:r>
                    <w:rPr>
                      <w:rFonts w:hint="default"/>
                      <w:bCs/>
                      <w:color w:val="auto"/>
                      <w:kern w:val="0"/>
                      <w:szCs w:val="21"/>
                    </w:rPr>
                    <w:t>重量及允许偏差、</w:t>
                  </w:r>
                  <w:r>
                    <w:rPr>
                      <w:rFonts w:hint="default"/>
                      <w:bCs/>
                      <w:color w:val="auto"/>
                      <w:szCs w:val="21"/>
                    </w:rPr>
                    <w:t>屈服强度、抗拉强度、断后伸长率、冷弯试验（弯曲试验）</w:t>
                  </w:r>
                </w:p>
                <w:p w14:paraId="45E336A6">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szCs w:val="21"/>
                    </w:rPr>
                  </w:pPr>
                  <w:r>
                    <w:rPr>
                      <w:rFonts w:hint="eastAsia" w:ascii="宋体" w:hAnsi="宋体" w:cs="宋体"/>
                      <w:bCs/>
                      <w:color w:val="auto"/>
                      <w:szCs w:val="21"/>
                    </w:rPr>
                    <w:t>②</w:t>
                  </w:r>
                  <w:r>
                    <w:rPr>
                      <w:rFonts w:hint="default"/>
                      <w:bCs/>
                      <w:color w:val="auto"/>
                      <w:szCs w:val="21"/>
                    </w:rPr>
                    <w:t>角钢性能试验检测：尺寸及外形测量（长度、边宽度、变厚度、顶端直角弯曲度）、</w:t>
                  </w:r>
                  <w:r>
                    <w:rPr>
                      <w:rFonts w:hint="default"/>
                      <w:bCs/>
                      <w:color w:val="auto"/>
                      <w:kern w:val="0"/>
                      <w:szCs w:val="21"/>
                    </w:rPr>
                    <w:t>重量及允许偏差、</w:t>
                  </w:r>
                  <w:r>
                    <w:rPr>
                      <w:rFonts w:hint="default"/>
                      <w:bCs/>
                      <w:color w:val="auto"/>
                      <w:szCs w:val="21"/>
                    </w:rPr>
                    <w:t>屈服强度、抗拉强度、断后伸长率、冷弯试验（弯曲试验）</w:t>
                  </w:r>
                </w:p>
              </w:tc>
              <w:tc>
                <w:tcPr>
                  <w:tcW w:w="405" w:type="pct"/>
                  <w:vMerge w:val="continue"/>
                  <w:tcBorders>
                    <w:left w:val="single" w:color="auto" w:sz="4" w:space="0"/>
                    <w:right w:val="single" w:color="auto" w:sz="4" w:space="0"/>
                  </w:tcBorders>
                  <w:shd w:val="clear" w:color="auto" w:fill="auto"/>
                  <w:vAlign w:val="center"/>
                </w:tcPr>
                <w:p w14:paraId="0A3C0E48">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3B72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1B8A75FC">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3</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492D9083">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冷拔异型钢管及结构用冷弯空心型钢</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73E68EDE">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szCs w:val="21"/>
                    </w:rPr>
                    <w:t>尺寸及外形测量（长度、边长、壁厚、边凹凸度、外圆角半径、弯曲度、扭转角）、</w:t>
                  </w:r>
                  <w:r>
                    <w:rPr>
                      <w:rFonts w:hint="default"/>
                      <w:bCs/>
                      <w:color w:val="auto"/>
                      <w:kern w:val="0"/>
                      <w:szCs w:val="21"/>
                    </w:rPr>
                    <w:t>重量及允许偏差、</w:t>
                  </w:r>
                  <w:r>
                    <w:rPr>
                      <w:rFonts w:hint="default"/>
                      <w:bCs/>
                      <w:color w:val="auto"/>
                      <w:szCs w:val="21"/>
                    </w:rPr>
                    <w:t>屈服强度、抗拉强度、断后伸长率</w:t>
                  </w:r>
                </w:p>
              </w:tc>
              <w:tc>
                <w:tcPr>
                  <w:tcW w:w="405" w:type="pct"/>
                  <w:vMerge w:val="continue"/>
                  <w:tcBorders>
                    <w:left w:val="single" w:color="auto" w:sz="4" w:space="0"/>
                    <w:right w:val="single" w:color="auto" w:sz="4" w:space="0"/>
                  </w:tcBorders>
                  <w:shd w:val="clear" w:color="auto" w:fill="auto"/>
                  <w:vAlign w:val="center"/>
                </w:tcPr>
                <w:p w14:paraId="7A55C1C0">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0A81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10A0F9FB">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4</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023CE993">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无缝钢管及焊接钢管</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3561E0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bCs/>
                      <w:color w:val="auto"/>
                      <w:kern w:val="0"/>
                      <w:szCs w:val="21"/>
                    </w:rPr>
                  </w:pPr>
                  <w:r>
                    <w:rPr>
                      <w:rFonts w:hint="default"/>
                      <w:bCs/>
                      <w:color w:val="auto"/>
                      <w:kern w:val="0"/>
                      <w:szCs w:val="21"/>
                    </w:rPr>
                    <w:t>外径、壁厚、强度、</w:t>
                  </w:r>
                  <w:r>
                    <w:rPr>
                      <w:rFonts w:hint="default"/>
                      <w:bCs/>
                      <w:color w:val="auto"/>
                      <w:szCs w:val="21"/>
                    </w:rPr>
                    <w:t>弯曲度、不圆度、壁厚不均、端头外形（端头切斜）、塑性延伸强度、</w:t>
                  </w:r>
                  <w:r>
                    <w:rPr>
                      <w:rFonts w:hint="default"/>
                      <w:bCs/>
                      <w:color w:val="auto"/>
                      <w:kern w:val="0"/>
                      <w:szCs w:val="21"/>
                    </w:rPr>
                    <w:t>重量及允许偏差、</w:t>
                  </w:r>
                  <w:r>
                    <w:rPr>
                      <w:rFonts w:hint="default"/>
                      <w:bCs/>
                      <w:color w:val="auto"/>
                      <w:szCs w:val="21"/>
                    </w:rPr>
                    <w:t>屈服强度、压扁试验、抗拉强度、断后伸长率、弯曲试验</w:t>
                  </w:r>
                </w:p>
              </w:tc>
              <w:tc>
                <w:tcPr>
                  <w:tcW w:w="405" w:type="pct"/>
                  <w:vMerge w:val="continue"/>
                  <w:tcBorders>
                    <w:left w:val="single" w:color="auto" w:sz="4" w:space="0"/>
                    <w:right w:val="single" w:color="auto" w:sz="4" w:space="0"/>
                  </w:tcBorders>
                  <w:shd w:val="clear" w:color="auto" w:fill="auto"/>
                  <w:vAlign w:val="center"/>
                </w:tcPr>
                <w:p w14:paraId="50142689">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75A8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1FCCC90D">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5</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0D10CFB7">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中空锚杆</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23D915DE">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szCs w:val="21"/>
                    </w:rPr>
                    <w:t>杆体长度、外径、壁厚、屈服力、最大力、屈服强度、抗拉强度、断后伸长率</w:t>
                  </w:r>
                </w:p>
              </w:tc>
              <w:tc>
                <w:tcPr>
                  <w:tcW w:w="405" w:type="pct"/>
                  <w:vMerge w:val="continue"/>
                  <w:tcBorders>
                    <w:left w:val="single" w:color="auto" w:sz="4" w:space="0"/>
                    <w:right w:val="single" w:color="auto" w:sz="4" w:space="0"/>
                  </w:tcBorders>
                  <w:shd w:val="clear" w:color="auto" w:fill="auto"/>
                  <w:vAlign w:val="center"/>
                </w:tcPr>
                <w:p w14:paraId="09F11E46">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695A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7B256921">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6</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0EEF2E1B">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球墨铸铁管</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488C0CF2">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外径、内径、长度、</w:t>
                  </w:r>
                  <w:r>
                    <w:rPr>
                      <w:rFonts w:hint="default"/>
                      <w:bCs/>
                      <w:color w:val="auto"/>
                      <w:szCs w:val="21"/>
                    </w:rPr>
                    <w:t>直线度、抗拉强度、断后伸长率、布氏硬度</w:t>
                  </w:r>
                </w:p>
              </w:tc>
              <w:tc>
                <w:tcPr>
                  <w:tcW w:w="405" w:type="pct"/>
                  <w:vMerge w:val="continue"/>
                  <w:tcBorders>
                    <w:left w:val="single" w:color="auto" w:sz="4" w:space="0"/>
                    <w:right w:val="single" w:color="auto" w:sz="4" w:space="0"/>
                  </w:tcBorders>
                  <w:shd w:val="clear" w:color="auto" w:fill="auto"/>
                  <w:vAlign w:val="center"/>
                </w:tcPr>
                <w:p w14:paraId="09A54418">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r w14:paraId="32AC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36C0CEDD">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kern w:val="0"/>
                      <w:szCs w:val="21"/>
                    </w:rPr>
                  </w:pPr>
                  <w:r>
                    <w:rPr>
                      <w:rFonts w:hint="default"/>
                      <w:bCs/>
                      <w:color w:val="auto"/>
                      <w:kern w:val="0"/>
                      <w:szCs w:val="21"/>
                    </w:rPr>
                    <w:t>7</w:t>
                  </w:r>
                </w:p>
              </w:tc>
              <w:tc>
                <w:tcPr>
                  <w:tcW w:w="691" w:type="pct"/>
                  <w:tcBorders>
                    <w:top w:val="single" w:color="auto" w:sz="4" w:space="0"/>
                    <w:left w:val="single" w:color="auto" w:sz="4" w:space="0"/>
                    <w:bottom w:val="single" w:color="auto" w:sz="4" w:space="0"/>
                    <w:right w:val="single" w:color="auto" w:sz="4" w:space="0"/>
                  </w:tcBorders>
                  <w:shd w:val="clear" w:color="auto" w:fill="auto"/>
                  <w:vAlign w:val="center"/>
                </w:tcPr>
                <w:p w14:paraId="38825726">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jc w:val="center"/>
                    <w:textAlignment w:val="auto"/>
                    <w:rPr>
                      <w:rFonts w:hint="default"/>
                      <w:bCs/>
                      <w:color w:val="auto"/>
                      <w:szCs w:val="21"/>
                    </w:rPr>
                  </w:pPr>
                  <w:r>
                    <w:rPr>
                      <w:rFonts w:hint="default"/>
                      <w:bCs/>
                      <w:color w:val="auto"/>
                      <w:szCs w:val="21"/>
                    </w:rPr>
                    <w:t>铜止水带</w:t>
                  </w:r>
                </w:p>
              </w:tc>
              <w:tc>
                <w:tcPr>
                  <w:tcW w:w="3607" w:type="pct"/>
                  <w:tcBorders>
                    <w:top w:val="single" w:color="auto" w:sz="4" w:space="0"/>
                    <w:left w:val="single" w:color="auto" w:sz="4" w:space="0"/>
                    <w:bottom w:val="single" w:color="auto" w:sz="4" w:space="0"/>
                    <w:right w:val="single" w:color="auto" w:sz="4" w:space="0"/>
                  </w:tcBorders>
                  <w:shd w:val="clear" w:color="auto" w:fill="auto"/>
                  <w:vAlign w:val="center"/>
                </w:tcPr>
                <w:p w14:paraId="256DF205">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r>
                    <w:rPr>
                      <w:rFonts w:hint="default"/>
                      <w:bCs/>
                      <w:color w:val="auto"/>
                      <w:kern w:val="0"/>
                      <w:szCs w:val="21"/>
                    </w:rPr>
                    <w:t>厚度、宽度、</w:t>
                  </w:r>
                  <w:r>
                    <w:rPr>
                      <w:rFonts w:hint="default"/>
                      <w:bCs/>
                      <w:color w:val="auto"/>
                      <w:szCs w:val="21"/>
                    </w:rPr>
                    <w:t>焊接接头搭接长度、抗拉强度、焊接接头抗拉强度、弯曲试验</w:t>
                  </w:r>
                </w:p>
              </w:tc>
              <w:tc>
                <w:tcPr>
                  <w:tcW w:w="405" w:type="pct"/>
                  <w:vMerge w:val="continue"/>
                  <w:tcBorders>
                    <w:left w:val="single" w:color="auto" w:sz="4" w:space="0"/>
                    <w:right w:val="single" w:color="auto" w:sz="4" w:space="0"/>
                  </w:tcBorders>
                  <w:shd w:val="clear" w:color="auto" w:fill="auto"/>
                  <w:vAlign w:val="center"/>
                </w:tcPr>
                <w:p w14:paraId="5FFA7486">
                  <w:pPr>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textAlignment w:val="auto"/>
                    <w:rPr>
                      <w:rFonts w:hint="default"/>
                      <w:bCs/>
                      <w:color w:val="auto"/>
                      <w:kern w:val="0"/>
                      <w:szCs w:val="21"/>
                    </w:rPr>
                  </w:pPr>
                </w:p>
              </w:tc>
            </w:tr>
          </w:tbl>
          <w:p w14:paraId="72F397EA">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5. 主要实验设备</w:t>
            </w:r>
          </w:p>
          <w:p w14:paraId="68B31C36">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根据建设单位提供的资料，项目主要设备情况见表2-3所示。</w:t>
            </w:r>
          </w:p>
          <w:p w14:paraId="3B0BCE50">
            <w:pPr>
              <w:keepNext w:val="0"/>
              <w:keepLines w:val="0"/>
              <w:suppressLineNumbers w:val="0"/>
              <w:spacing w:before="0" w:beforeAutospacing="0" w:after="0" w:afterAutospacing="0"/>
              <w:ind w:left="0" w:right="0"/>
              <w:jc w:val="center"/>
              <w:rPr>
                <w:rFonts w:hint="default"/>
                <w:b/>
                <w:color w:val="auto"/>
                <w:sz w:val="24"/>
              </w:rPr>
            </w:pPr>
            <w:r>
              <w:rPr>
                <w:rFonts w:hint="default"/>
                <w:b/>
                <w:color w:val="auto"/>
                <w:sz w:val="21"/>
                <w:szCs w:val="21"/>
              </w:rPr>
              <w:t>表2-3   实验室设备及仪器一览表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841"/>
              <w:gridCol w:w="1105"/>
              <w:gridCol w:w="1699"/>
              <w:gridCol w:w="1472"/>
            </w:tblGrid>
            <w:tr w14:paraId="4500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CB22786">
                  <w:pPr>
                    <w:keepNext w:val="0"/>
                    <w:keepLines w:val="0"/>
                    <w:suppressLineNumbers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设备名称</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DD4DB23">
                  <w:pPr>
                    <w:keepNext w:val="0"/>
                    <w:keepLines w:val="0"/>
                    <w:suppressLineNumbers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规格型号</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E3E2CE0">
                  <w:pPr>
                    <w:keepNext w:val="0"/>
                    <w:keepLines w:val="0"/>
                    <w:suppressLineNumbers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数量（台/套）</w:t>
                  </w:r>
                </w:p>
              </w:tc>
              <w:tc>
                <w:tcPr>
                  <w:tcW w:w="1029" w:type="pct"/>
                  <w:tcBorders>
                    <w:top w:val="single" w:color="auto" w:sz="4" w:space="0"/>
                    <w:left w:val="single" w:color="auto" w:sz="4" w:space="0"/>
                    <w:bottom w:val="single" w:color="auto" w:sz="4" w:space="0"/>
                    <w:right w:val="single" w:color="auto" w:sz="4" w:space="0"/>
                  </w:tcBorders>
                  <w:shd w:val="clear" w:color="auto" w:fill="auto"/>
                  <w:vAlign w:val="center"/>
                </w:tcPr>
                <w:p w14:paraId="120313A5">
                  <w:pPr>
                    <w:keepNext w:val="0"/>
                    <w:keepLines w:val="0"/>
                    <w:suppressLineNumbers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位置</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14:paraId="106CF6B5">
                  <w:pPr>
                    <w:keepNext w:val="0"/>
                    <w:keepLines w:val="0"/>
                    <w:suppressLineNumbers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用途</w:t>
                  </w:r>
                </w:p>
              </w:tc>
            </w:tr>
            <w:tr w14:paraId="6CF0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C23313E">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研磨机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FD5C1A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GQM--4</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632C85B">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636A10E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化学分析室</w:t>
                  </w:r>
                </w:p>
              </w:tc>
              <w:tc>
                <w:tcPr>
                  <w:tcW w:w="892" w:type="pct"/>
                  <w:vMerge w:val="restart"/>
                  <w:tcBorders>
                    <w:top w:val="single" w:color="auto" w:sz="4" w:space="0"/>
                    <w:left w:val="single" w:color="auto" w:sz="4" w:space="0"/>
                    <w:right w:val="single" w:color="auto" w:sz="4" w:space="0"/>
                  </w:tcBorders>
                  <w:shd w:val="clear" w:color="auto" w:fill="auto"/>
                  <w:vAlign w:val="center"/>
                </w:tcPr>
                <w:p w14:paraId="1E35CB70">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实验室检测</w:t>
                  </w:r>
                </w:p>
              </w:tc>
            </w:tr>
            <w:tr w14:paraId="2587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EBE1FAB">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除湿机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2447F4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TH-15CSH</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1CB840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B33989B">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322C3D6A">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1268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17C35C6">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震荡筛分机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51EAC3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20-200目</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10D016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F60E79A">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60F7DFFE">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5D3D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0D47E3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十万分之一天平</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5BD30AF">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EX225D      ZH/AD</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A4337F0">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0D6695C">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4D3D35C7">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43B5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F9F185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微波消解仪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43C936A">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TANK 40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D95879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900865F">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471DDD7">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0502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905615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恒温振荡器</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393490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SHA-BA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9EACA2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4C8B882">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6364BF0">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0AAA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4F423A2">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电感耦合等离子体光谱仪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CE6BDE0">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ICAP            PRO X</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507E59E">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BAF0E7E">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65F5F183">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78D5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5965722">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火焰光度计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68DB27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FP640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10AA1BF">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1BC58F8">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1C763716">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49F3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60DB39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电热板</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5D82912">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EH-450GW</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6682D0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34C5D3C">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41FF260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40F4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C00B5CA">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智能一体化蒸馏仪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417127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DH5160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342E8AF">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B028812">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42AE9C9E">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322C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7FDD7B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电磁搅拌器</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CFFBA6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85-2</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D9F644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D7AA607">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2C93F5B7">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6ABA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D40BBE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水浴锅</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5B7708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HSY-26</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106E4C3">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0AF27ED">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22F15439">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2E98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0AD63E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离子色谱</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EFE773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ICS-600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67B126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0A622E2">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5E1571E">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55C5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4BD3E6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台式多参数水质分析仪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AA2F9E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HQ440D</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9CF8C4D">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65E8B1E">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2717263E">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3493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8972E60">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氟离子计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980B8F2">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PXSJ-226T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9FB4BF9">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B8923FA">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B9F17BA">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7332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4FE065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离心机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D0B3552">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TDZ5-WS</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FAAC4F9">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9F0BB60">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5AB81ABD">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1ADA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4E4AD1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BOD测定仪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8FB305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BOD-573</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4D212E3">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B699C87">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609CA26F">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46B2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807752D">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显微镜</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BE5093B">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BM2000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F0B8D1E">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AF7A9F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22FC2B76">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7AB5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187BA6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体式显微镜</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A1DD72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S9i</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512D77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4C13553">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121ECD84">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48E9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67E3206">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恒温恒湿箱</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6F20486">
                  <w:pPr>
                    <w:keepNext w:val="0"/>
                    <w:keepLines w:val="0"/>
                    <w:suppressLineNumbers w:val="0"/>
                    <w:spacing w:before="0" w:beforeAutospacing="0" w:after="0" w:afterAutospacing="0"/>
                    <w:ind w:left="0" w:right="0"/>
                    <w:jc w:val="center"/>
                    <w:rPr>
                      <w:rFonts w:hint="default" w:eastAsiaTheme="minorEastAsia"/>
                      <w:color w:val="auto"/>
                      <w:kern w:val="0"/>
                      <w:szCs w:val="21"/>
                      <w:lang w:val="en-US" w:eastAsia="zh-CN"/>
                    </w:rPr>
                  </w:pPr>
                  <w:r>
                    <w:rPr>
                      <w:rFonts w:hint="default" w:eastAsiaTheme="minorEastAsia"/>
                      <w:color w:val="auto"/>
                      <w:kern w:val="0"/>
                      <w:szCs w:val="21"/>
                    </w:rPr>
                    <w:t>HWS-250P</w:t>
                  </w:r>
                  <w:r>
                    <w:rPr>
                      <w:rFonts w:hint="eastAsia" w:eastAsiaTheme="minorEastAsia"/>
                      <w:color w:val="auto"/>
                      <w:kern w:val="0"/>
                      <w:szCs w:val="21"/>
                      <w:lang w:val="en-US" w:eastAsia="zh-CN"/>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24BDC1B">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5829B17">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57E5CD20">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4CD7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9FB694A">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超声波清洗器</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B4AEA2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KM5200DE</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F8AFDAF">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ED2742D">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315858A3">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4B09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6D40AF2">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便携式土壤ORP</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A63B2FE">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TR901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A04B572">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6C44616">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5F22FF0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104B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85A45B0">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水中叶绿素a测定仪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ADB569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HD-YL101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055AD5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3B22AF1">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6AF2FB70">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235F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3FC4AD6">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便携式五合一多参数水质分析仪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9EABA23">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HQ2200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FCB8130">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86452A0">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57D28E33">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5D5C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F9DFF5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酸度计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69BED5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PHS-3C</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D0666E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C59C91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BEA509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BB2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B9A909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分析天平</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1C1A80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MP2002</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EBBDE4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FBED70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D64F53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654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BF2121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碱式滴定管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73DC52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A87484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D26247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4B42CA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79A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4763EE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酸式滴定管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B942CA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F12538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5C7150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271B9C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58E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B066F5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碱式滴定管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CAF533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19B207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52CF8D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3BA808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4D5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887F44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PH计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6F0275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PHS-3C</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6FF6C5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CE07B4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8A6670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4CD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D04A41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酸式滴定管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58B627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3A544F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6A949F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3A8554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B7A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9096AC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溶氧仪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F4C01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JPB-608A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AD5A2B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A248BD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DD1A5C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737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F793CF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准COD消解器</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0787D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581BD0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3A4205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20BA15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BAE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4C53E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COD快速测定仪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044654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RB-101A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371C2C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BE9E46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104EF0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50B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C1422B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BOD5测定仪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3C13B3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RB-890C</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D81177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DF9A2F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7B010C0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545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049E0A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生化培养箱</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FD5E1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SPX-150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1403CA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B4F7C5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1CFC35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BB2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3C8E58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氨氮总磷总氮测定仪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CB289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RB-304A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79454C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CDBA5F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25D033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FD1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5C08B1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多参数一体机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3A7B73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RB-180A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FEB40C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53B339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3298E5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E61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D4F3E4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氨氮总磷总氮测定仪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EE52F6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RB-304</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52CE7C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0C12C2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C5CAA9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A26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49004A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红外线油仪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A455AA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RB-60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F20471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2D7E0C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C89C55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165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7D848E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重金属多参数一体机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9F675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JS-912</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1C668F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134C379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432BD4B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B3B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E4EB231">
                  <w:pPr>
                    <w:keepNext w:val="0"/>
                    <w:keepLines w:val="0"/>
                    <w:suppressLineNumbers w:val="0"/>
                    <w:tabs>
                      <w:tab w:val="left" w:pos="2725"/>
                      <w:tab w:val="left" w:pos="5280"/>
                    </w:tabs>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液压千斤顶</w:t>
                  </w:r>
                </w:p>
                <w:p w14:paraId="377D930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(压力表)</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1B88C23">
                  <w:pPr>
                    <w:keepNext w:val="0"/>
                    <w:keepLines w:val="0"/>
                    <w:suppressLineNumbers w:val="0"/>
                    <w:tabs>
                      <w:tab w:val="left" w:pos="2725"/>
                      <w:tab w:val="left" w:pos="5280"/>
                    </w:tabs>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60t</w:t>
                  </w:r>
                </w:p>
                <w:p w14:paraId="0D56E08A">
                  <w:pPr>
                    <w:keepNext w:val="0"/>
                    <w:keepLines w:val="0"/>
                    <w:suppressLineNumbers w:val="0"/>
                    <w:tabs>
                      <w:tab w:val="left" w:pos="2725"/>
                      <w:tab w:val="left" w:pos="5280"/>
                    </w:tabs>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100t</w:t>
                  </w:r>
                </w:p>
                <w:p w14:paraId="26A3E3ED">
                  <w:pPr>
                    <w:keepNext w:val="0"/>
                    <w:keepLines w:val="0"/>
                    <w:suppressLineNumbers w:val="0"/>
                    <w:tabs>
                      <w:tab w:val="left" w:pos="2725"/>
                      <w:tab w:val="left" w:pos="5280"/>
                    </w:tabs>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300t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7FD197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6</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651C008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仓库间</w:t>
                  </w:r>
                </w:p>
              </w:tc>
              <w:tc>
                <w:tcPr>
                  <w:tcW w:w="892" w:type="pct"/>
                  <w:vMerge w:val="restart"/>
                  <w:tcBorders>
                    <w:top w:val="single" w:color="auto" w:sz="4" w:space="0"/>
                    <w:left w:val="single" w:color="auto" w:sz="4" w:space="0"/>
                    <w:right w:val="single" w:color="auto" w:sz="4" w:space="0"/>
                  </w:tcBorders>
                  <w:shd w:val="clear" w:color="auto" w:fill="auto"/>
                  <w:vAlign w:val="center"/>
                </w:tcPr>
                <w:p w14:paraId="515C08A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现场检测</w:t>
                  </w:r>
                </w:p>
              </w:tc>
            </w:tr>
            <w:tr w14:paraId="5F83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B9D2318">
                  <w:pPr>
                    <w:keepNext w:val="0"/>
                    <w:keepLines w:val="0"/>
                    <w:suppressLineNumbers w:val="0"/>
                    <w:spacing w:before="0" w:beforeAutospacing="0" w:after="0" w:afterAutospacing="0"/>
                    <w:ind w:left="0" w:right="0"/>
                    <w:jc w:val="center"/>
                    <w:rPr>
                      <w:rFonts w:hint="default" w:eastAsiaTheme="minorEastAsia"/>
                      <w:color w:val="auto"/>
                      <w:szCs w:val="21"/>
                      <w:lang w:val="zh-CN"/>
                    </w:rPr>
                  </w:pPr>
                  <w:r>
                    <w:rPr>
                      <w:rFonts w:hint="default" w:eastAsiaTheme="minorEastAsia"/>
                      <w:color w:val="auto"/>
                      <w:szCs w:val="21"/>
                      <w:lang w:val="zh-CN"/>
                    </w:rPr>
                    <w:t>卧式千斤顶</w:t>
                  </w:r>
                </w:p>
                <w:p w14:paraId="4BCCDD8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(压力表)</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926E96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KC-204T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76A9A1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6</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039AA8E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32A2B01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0B4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F442FDC">
                  <w:pPr>
                    <w:keepNext w:val="0"/>
                    <w:keepLines w:val="0"/>
                    <w:suppressLineNumbers w:val="0"/>
                    <w:tabs>
                      <w:tab w:val="left" w:pos="2725"/>
                      <w:tab w:val="left" w:pos="5280"/>
                    </w:tabs>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跨孔超声检测仪</w:t>
                  </w:r>
                </w:p>
                <w:p w14:paraId="424D9BC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(比对方法)</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5E3BDD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RS-STO1D(P)</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FF7527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767F31E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岩石试验间</w:t>
                  </w:r>
                </w:p>
              </w:tc>
              <w:tc>
                <w:tcPr>
                  <w:tcW w:w="892" w:type="pct"/>
                  <w:vMerge w:val="restart"/>
                  <w:tcBorders>
                    <w:top w:val="single" w:color="auto" w:sz="4" w:space="0"/>
                    <w:left w:val="single" w:color="auto" w:sz="4" w:space="0"/>
                    <w:right w:val="single" w:color="auto" w:sz="4" w:space="0"/>
                  </w:tcBorders>
                  <w:shd w:val="clear" w:color="auto" w:fill="auto"/>
                  <w:vAlign w:val="center"/>
                </w:tcPr>
                <w:p w14:paraId="0122C9D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实验室检测</w:t>
                  </w:r>
                </w:p>
              </w:tc>
            </w:tr>
            <w:tr w14:paraId="6D97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8CA5C1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kern w:val="0"/>
                      <w:szCs w:val="21"/>
                    </w:rPr>
                    <w:t>岩石电动直剪仪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9875E1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DE-30-3</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636154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8F1CC7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07722B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F48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36B8B7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lang w:val="zh-CN"/>
                    </w:rPr>
                    <w:t>点荷载试验仪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29E758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lang w:val="zh-CN"/>
                    </w:rPr>
                    <w:t>STDZ－1型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2EE8FB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589A1B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BB1F8B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0F1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33BF53A">
                  <w:pPr>
                    <w:keepNext w:val="0"/>
                    <w:keepLines w:val="0"/>
                    <w:suppressLineNumbers w:val="0"/>
                    <w:tabs>
                      <w:tab w:val="left" w:pos="2725"/>
                      <w:tab w:val="left" w:pos="5280"/>
                    </w:tabs>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岩石膨胀压力试验仪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387860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8B105E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4DFB41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D19C67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29B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085DD3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岩石自由膨胀仪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E89232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BF6D82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5B4B1B8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7B255D9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714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BDA0C1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基桩动测仪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852E41D">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RSM-PRT(R)</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87AA08A">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3CB7EB1D">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工程物探测试部</w:t>
                  </w:r>
                </w:p>
                <w:p w14:paraId="349BBE3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restart"/>
                  <w:tcBorders>
                    <w:top w:val="single" w:color="auto" w:sz="4" w:space="0"/>
                    <w:left w:val="single" w:color="auto" w:sz="4" w:space="0"/>
                    <w:right w:val="single" w:color="auto" w:sz="4" w:space="0"/>
                  </w:tcBorders>
                  <w:shd w:val="clear" w:color="auto" w:fill="auto"/>
                  <w:vAlign w:val="center"/>
                </w:tcPr>
                <w:p w14:paraId="0EE15BF2">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现场检测</w:t>
                  </w:r>
                </w:p>
                <w:p w14:paraId="1D69B4E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2F0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EF3D69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动力触探仪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590D33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10kg</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D39D61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BBB4DD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9CA53A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E04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527388E">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钻芯机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1C11706">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HZ-18</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BB098B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CDCF9C4">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5B6A770A">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1CDF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44E5ED9">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回弹仪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AF0EB4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HT225-A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C77A98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62C00AF">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28CA7619">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0C85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3059B3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跨孔超声检测仪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3C465B8">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RS-STO1D(P)</w:t>
                  </w:r>
                </w:p>
                <w:p w14:paraId="29E12104">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RS-STO6D(T)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372CE9E">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1D0222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1AA0C1EF">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0D61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9DBD396">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混凝土碳化深度测量仪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E775D03">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LR-TH10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222A71F">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49D508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3C0254A6">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24D6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10A92E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贯入式砂浆强度检测仪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1E3D332">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SYJ-800B</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23673D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8C64C64">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6A2BDF83">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1ABC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02F7A0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砂浆回弹仪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F6E400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HT20-A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364154E">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A9A18E6">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7464DA97">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7C73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C34DF7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(扫描)钢筋位置测定仪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6DBE9ED">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JY-8S</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D2CFB76">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7C75068">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63411A34">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7E92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7846C6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里氏硬度计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1663089">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TH160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2B57E3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92C02C6">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33D6DB4A">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4494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362B1A7">
                  <w:pPr>
                    <w:keepNext w:val="0"/>
                    <w:keepLines w:val="0"/>
                    <w:suppressLineNumbers w:val="0"/>
                    <w:spacing w:before="0" w:beforeAutospacing="0" w:after="0" w:afterAutospacing="0"/>
                    <w:ind w:left="0" w:right="0"/>
                    <w:jc w:val="center"/>
                    <w:rPr>
                      <w:rFonts w:hint="default" w:eastAsiaTheme="minorEastAsia"/>
                      <w:color w:val="auto"/>
                      <w:szCs w:val="21"/>
                      <w:lang w:val="zh-CN"/>
                    </w:rPr>
                  </w:pPr>
                  <w:r>
                    <w:rPr>
                      <w:rFonts w:hint="default" w:eastAsiaTheme="minorEastAsia"/>
                      <w:color w:val="auto"/>
                      <w:szCs w:val="21"/>
                      <w:lang w:val="zh-CN"/>
                    </w:rPr>
                    <w:t>全站仪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2AD533C">
                  <w:pPr>
                    <w:keepNext w:val="0"/>
                    <w:keepLines w:val="0"/>
                    <w:suppressLineNumbers w:val="0"/>
                    <w:spacing w:before="0" w:beforeAutospacing="0" w:after="0" w:afterAutospacing="0"/>
                    <w:ind w:left="0" w:right="0"/>
                    <w:jc w:val="center"/>
                    <w:rPr>
                      <w:rFonts w:hint="default" w:eastAsiaTheme="minorEastAsia"/>
                      <w:color w:val="auto"/>
                      <w:szCs w:val="21"/>
                      <w:lang w:val="zh-CN"/>
                    </w:rPr>
                  </w:pPr>
                  <w:r>
                    <w:rPr>
                      <w:rFonts w:hint="default" w:eastAsiaTheme="minorEastAsia"/>
                      <w:color w:val="auto"/>
                      <w:szCs w:val="21"/>
                      <w:lang w:val="zh-CN"/>
                    </w:rPr>
                    <w:t>GTS-1002</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5ED28AE">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47987E8">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244881FA">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361E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9BBE4D9">
                  <w:pPr>
                    <w:keepNext w:val="0"/>
                    <w:keepLines w:val="0"/>
                    <w:suppressLineNumbers w:val="0"/>
                    <w:spacing w:before="0" w:beforeAutospacing="0" w:after="0" w:afterAutospacing="0"/>
                    <w:ind w:left="0" w:right="0"/>
                    <w:jc w:val="center"/>
                    <w:rPr>
                      <w:rFonts w:hint="default" w:eastAsiaTheme="minorEastAsia"/>
                      <w:color w:val="auto"/>
                      <w:szCs w:val="21"/>
                      <w:lang w:val="zh-CN"/>
                    </w:rPr>
                  </w:pPr>
                  <w:r>
                    <w:rPr>
                      <w:rFonts w:hint="default" w:eastAsiaTheme="minorEastAsia"/>
                      <w:color w:val="auto"/>
                      <w:szCs w:val="21"/>
                      <w:lang w:val="zh-CN"/>
                    </w:rPr>
                    <w:t>钻孔电视</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CC0CA32">
                  <w:pPr>
                    <w:keepNext w:val="0"/>
                    <w:keepLines w:val="0"/>
                    <w:suppressLineNumbers w:val="0"/>
                    <w:spacing w:before="0" w:beforeAutospacing="0" w:after="0" w:afterAutospacing="0"/>
                    <w:ind w:left="0" w:right="0"/>
                    <w:jc w:val="center"/>
                    <w:rPr>
                      <w:rFonts w:hint="default" w:eastAsiaTheme="minorEastAsia"/>
                      <w:color w:val="auto"/>
                      <w:szCs w:val="21"/>
                      <w:lang w:val="zh-CN"/>
                    </w:rPr>
                  </w:pPr>
                  <w:r>
                    <w:rPr>
                      <w:rFonts w:hint="default" w:eastAsiaTheme="minorEastAsia"/>
                      <w:color w:val="auto"/>
                      <w:szCs w:val="21"/>
                      <w:lang w:val="zh-CN"/>
                    </w:rPr>
                    <w:t>JL-IDOI(C)</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A8AFC23">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9C195E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42BE58F8">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1608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CA376C0">
                  <w:pPr>
                    <w:keepNext w:val="0"/>
                    <w:keepLines w:val="0"/>
                    <w:suppressLineNumbers w:val="0"/>
                    <w:spacing w:before="0" w:beforeAutospacing="0" w:after="0" w:afterAutospacing="0"/>
                    <w:ind w:left="0" w:right="0"/>
                    <w:jc w:val="center"/>
                    <w:rPr>
                      <w:rFonts w:hint="default" w:eastAsiaTheme="minorEastAsia"/>
                      <w:color w:val="auto"/>
                      <w:szCs w:val="21"/>
                      <w:lang w:val="zh-CN"/>
                    </w:rPr>
                  </w:pPr>
                  <w:r>
                    <w:rPr>
                      <w:rFonts w:hint="default" w:eastAsiaTheme="minorEastAsia"/>
                      <w:color w:val="auto"/>
                      <w:szCs w:val="21"/>
                      <w:lang w:val="zh-CN"/>
                    </w:rPr>
                    <w:t>压力表</w:t>
                  </w:r>
                </w:p>
                <w:p w14:paraId="0492368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流量表</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AA40782">
                  <w:pPr>
                    <w:keepNext w:val="0"/>
                    <w:keepLines w:val="0"/>
                    <w:suppressLineNumbers w:val="0"/>
                    <w:spacing w:before="0" w:beforeAutospacing="0" w:after="0" w:afterAutospacing="0"/>
                    <w:ind w:left="0" w:right="0"/>
                    <w:jc w:val="center"/>
                    <w:rPr>
                      <w:rFonts w:hint="default" w:eastAsiaTheme="minorEastAsia"/>
                      <w:color w:val="auto"/>
                      <w:szCs w:val="21"/>
                      <w:lang w:val="zh-CN"/>
                    </w:rPr>
                  </w:pPr>
                  <w:r>
                    <w:rPr>
                      <w:rFonts w:hint="default" w:eastAsiaTheme="minorEastAsia"/>
                      <w:color w:val="auto"/>
                      <w:szCs w:val="21"/>
                      <w:lang w:val="zh-CN"/>
                    </w:rPr>
                    <w:t>6MPa</w:t>
                  </w:r>
                </w:p>
                <w:p w14:paraId="6B9A8376">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0-100L/min</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13B594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E9B0CF6">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51A929C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3646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513D31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收敛挂钩</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A1CC1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2650C9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E422EC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E5AFE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1F1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5DE415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收敛测杆</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E4D002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E4F41D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49104B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96BA2C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1F7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9E4E95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振弦式读数仪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56A9B6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VW-102</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8F61EF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7DF11C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FCEB65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B01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724FDF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多点位移计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2A3E24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E3C44B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943972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67D2E0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480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24C24B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单点位移计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A7452A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7FB8F0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6D5760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7A2131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728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15C97C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倾斜仪（电平器）</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ECC8C1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KXP-3A1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0EF13F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0388B1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565BE7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C39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C48290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读数仪（智能）</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608251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7B9C7C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8F56D7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9CBED4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A23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CECE31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基准板</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6B0B71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FD2317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B7E11B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342A3F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4E9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975D5A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锚杆应力计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942907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SDB-1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FB268B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328DA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B99068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080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95BB71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基岩变位计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13F28C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CFA5B8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9222E8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2707F4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B05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2B3586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压应力计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7D8EC0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SDJB</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D4D496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63D68D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7D1D60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DE0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CDABAB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锚杆测力计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CF426D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SDTY</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4DCD09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8C6C4E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919D9D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163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B3C40C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lang w:val="zh-CN"/>
                    </w:rPr>
                    <w:t>锚杆拉拔仪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9CFD3C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lang w:val="zh-CN"/>
                    </w:rPr>
                    <w:t>HC－30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68B86F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D29F66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DA150D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1F9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34E128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锚杆无损检测仪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3222ED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JL-MG(D)</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64B751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425751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E32D8D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06B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02442A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kern w:val="0"/>
                      <w:szCs w:val="21"/>
                    </w:rPr>
                    <w:t>厚度测定仪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6B5A13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26MG</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8F605F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895EB4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0F1C0D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6A7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99A43A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锚索拉力计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03663E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SDM-300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1CBDAD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7F7DDA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B7AEC0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099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263A19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水准仪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983E72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LS-10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3788D4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7AF502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8AF11C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DA8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477894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水准尺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E9208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铟钢尺</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3882D1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56CED1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4B0958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1C0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7D7446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探地雷达</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1538ED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RIS</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43F845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6BAF96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7F65456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31A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A87167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钢卷尺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AF0A635">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K5</w:t>
                  </w:r>
                </w:p>
                <w:p w14:paraId="2C2324E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K10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C5848BB">
                  <w:pPr>
                    <w:keepNext w:val="0"/>
                    <w:keepLines w:val="0"/>
                    <w:suppressLineNumbers w:val="0"/>
                    <w:tabs>
                      <w:tab w:val="left" w:pos="514"/>
                      <w:tab w:val="center" w:pos="662"/>
                    </w:tabs>
                    <w:spacing w:before="0" w:beforeAutospacing="0" w:after="0" w:afterAutospacing="0"/>
                    <w:ind w:left="0" w:leftChars="0" w:right="0" w:rightChars="0" w:firstLine="420" w:firstLineChars="200"/>
                    <w:jc w:val="left"/>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1/1</w:t>
                  </w:r>
                </w:p>
              </w:tc>
              <w:tc>
                <w:tcPr>
                  <w:tcW w:w="1029" w:type="pct"/>
                  <w:vMerge w:val="continue"/>
                  <w:tcBorders>
                    <w:left w:val="single" w:color="auto" w:sz="4" w:space="0"/>
                    <w:right w:val="single" w:color="auto" w:sz="4" w:space="0"/>
                  </w:tcBorders>
                  <w:shd w:val="clear" w:color="auto" w:fill="auto"/>
                  <w:vAlign w:val="center"/>
                </w:tcPr>
                <w:p w14:paraId="11D56AD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514066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154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76CBE9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全站仪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6C5065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TM-60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A6394E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9A0806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8A637E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674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941A65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静态电阻应变仪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6092DC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YJ-35</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206DC1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3D5EA3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B30687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720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C1DB79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数显式石英电子秒表</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A08DB5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DMI-103</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6D217E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EBFBEA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BECA4A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CD1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1624C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加速度仪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C27FFE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KD5203</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7E5ED9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497EFE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5FD9B0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394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71A7F8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裂缝宽度测试仪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97CC2C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GTJ-FKY型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99880F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334D4E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551A09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D87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3879E3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机械式温湿度表</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5FC89D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JWS-A1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EC0734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A065D9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3D4884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986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292CC7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静态电阻应变仪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E6F825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YJ-35</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E5AE8F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C8094A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B17D94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E49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84483E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超声波探伤仪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A409D1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JY-90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9CF963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A124CB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2916AF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D2E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E7151B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水位尺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614185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SS-1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988883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B94BD9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B18308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E50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F120F6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磁粉探伤仪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21D720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CJE-12/220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9B8FC5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5FD4F2A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470DB66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4E7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3B96C7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洛氏硬度计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0B0252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600MRD型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9A0712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2FDBA89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工程物探测试部</w:t>
                  </w:r>
                </w:p>
              </w:tc>
              <w:tc>
                <w:tcPr>
                  <w:tcW w:w="892" w:type="pct"/>
                  <w:vMerge w:val="restart"/>
                  <w:tcBorders>
                    <w:top w:val="single" w:color="auto" w:sz="4" w:space="0"/>
                    <w:left w:val="single" w:color="auto" w:sz="4" w:space="0"/>
                    <w:right w:val="single" w:color="auto" w:sz="4" w:space="0"/>
                  </w:tcBorders>
                  <w:shd w:val="clear" w:color="auto" w:fill="auto"/>
                  <w:vAlign w:val="center"/>
                </w:tcPr>
                <w:p w14:paraId="0C698B9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现场检测</w:t>
                  </w:r>
                </w:p>
              </w:tc>
            </w:tr>
            <w:tr w14:paraId="0192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63CF817">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2"/>
                      <w:sz w:val="21"/>
                      <w:szCs w:val="21"/>
                    </w:rPr>
                    <w:t>涂层测厚仪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D0888FD">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QNIX8500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E20D2C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B670A3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27B940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810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617394C">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2"/>
                      <w:sz w:val="21"/>
                      <w:szCs w:val="21"/>
                    </w:rPr>
                    <w:t>漆膜画格仪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59DB436">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6DBB90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199C52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65EAF5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786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2452D82">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2"/>
                      <w:sz w:val="21"/>
                      <w:szCs w:val="21"/>
                    </w:rPr>
                    <w:t>机械式温湿度计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DC07091">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JWS-A1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E9E85D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7566F4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612964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82C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028ADE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数字温湿度计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D98EAF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HTC-1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33C8A9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74958F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9879D4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138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1849976">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频率计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AA1652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AS63A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11B1C8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1E9705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4CB19A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016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F44EF8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振幅测定仪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A211D2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AS63A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5E8E29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70E35A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75E323D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D16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4BA1C55">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硬度计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A44E609">
                  <w:pPr>
                    <w:pStyle w:val="3"/>
                    <w:keepNext w:val="0"/>
                    <w:keepLines w:val="0"/>
                    <w:suppressLineNumbers w:val="0"/>
                    <w:adjustRightInd w:val="0"/>
                    <w:snapToGrid w:val="0"/>
                    <w:spacing w:before="0" w:beforeAutospacing="0" w:afterAutospacing="0"/>
                    <w:ind w:left="420" w:leftChars="200" w:right="0" w:rightChars="0"/>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邵氏A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AE8381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DF4A8E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9495B8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BB5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FDA6748">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交直流耐绝缘测试仪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82087E8">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CDX-RI</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4DDD8F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B6F4DF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7D39092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696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D27C93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泄漏电流测试仪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BA3464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RK2675A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9478F2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330FAD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445084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8AF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592638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接地导通电阻测试仪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68625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AN9616H</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EC44AF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329565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497EF5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9ED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483AD22">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静态电阻应变仪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F564F8D">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CM-10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17F271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B2F918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9195DF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6F2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EB9917D">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钢丝绳探伤仪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89ABE66">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2"/>
                      <w:sz w:val="21"/>
                      <w:szCs w:val="21"/>
                    </w:rPr>
                    <w:t>HGH605</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0D9417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11023B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C363AA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963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8935A9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油液粘度仪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8ECE28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NDJ-8S</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67EDF8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F9810E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0DC4C2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398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368261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袖珍式粗糙表面度仪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E017FA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TR110A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0EC861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703611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986ADC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74B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015F3A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液位计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957D9F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AA21FD</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4E791A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2D3022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491218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FF7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A86566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水泵转速检测仪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B6035B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TES460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83E407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D2F2E6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239231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387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837EA3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声级计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EA9C31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UT351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ED6057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3A3B69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8DF2F3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AA3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67F69B2">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频率计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77F2A9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AS63A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FA5666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DD37CF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E3538B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6BB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B62E7C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泄漏电流测试仪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D728D4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RK2675A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359535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932AC7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061797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EC2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9CA8E80">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交直流耐压绝缘测试仪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C965BC7">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 w:val="21"/>
                      <w:szCs w:val="21"/>
                    </w:rPr>
                    <w:t>CDX-RI</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7BACD4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56B3B7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7C2412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C76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960449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绝缘电阻测试仪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3384A2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AR907+</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F514FC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60248A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9B6C6A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B60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0718FD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工作用辐射温度计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9A346A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MT4U</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426155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BC1414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DA20B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016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95EFA3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智能型变比测量仪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438B0D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HCBB-2</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199427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09FF67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62EB1F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B3E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8BAE94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数字相位测试仪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E2BFC3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SP8030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E93BDC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E0E000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AAF1E7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C361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6FF12A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励磁特性测试仪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E42980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rPr>
                    <w:t>HCFA-3A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E5B606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F4032A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7A78E6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ABE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687B01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钢尺式收敛仪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F653A4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SL-2</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0718B0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063B754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368C690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E6E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9870E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万能角度尺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5D8C5F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5E9C81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tcBorders>
                    <w:top w:val="single" w:color="auto" w:sz="4" w:space="0"/>
                    <w:left w:val="single" w:color="auto" w:sz="4" w:space="0"/>
                    <w:bottom w:val="single" w:color="auto" w:sz="4" w:space="0"/>
                    <w:right w:val="single" w:color="auto" w:sz="4" w:space="0"/>
                  </w:tcBorders>
                  <w:shd w:val="clear" w:color="auto" w:fill="auto"/>
                  <w:vAlign w:val="center"/>
                </w:tcPr>
                <w:p w14:paraId="47A799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工程物探测试部</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14:paraId="1CF9779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实验室检测</w:t>
                  </w:r>
                </w:p>
              </w:tc>
            </w:tr>
            <w:tr w14:paraId="28BA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730094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电子天平</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D44981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MP21001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33510FE">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19F5C0AE">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土工室</w:t>
                  </w:r>
                </w:p>
              </w:tc>
              <w:tc>
                <w:tcPr>
                  <w:tcW w:w="892" w:type="pct"/>
                  <w:vMerge w:val="restart"/>
                  <w:tcBorders>
                    <w:top w:val="single" w:color="auto" w:sz="4" w:space="0"/>
                    <w:left w:val="single" w:color="auto" w:sz="4" w:space="0"/>
                    <w:right w:val="single" w:color="auto" w:sz="4" w:space="0"/>
                  </w:tcBorders>
                  <w:shd w:val="clear" w:color="auto" w:fill="auto"/>
                  <w:vAlign w:val="center"/>
                </w:tcPr>
                <w:p w14:paraId="22443CDD">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实验室检测</w:t>
                  </w:r>
                </w:p>
              </w:tc>
            </w:tr>
            <w:tr w14:paraId="5DC2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AB2770D">
                  <w:pPr>
                    <w:keepNext w:val="0"/>
                    <w:keepLines w:val="0"/>
                    <w:suppressLineNumbers w:val="0"/>
                    <w:spacing w:before="0" w:beforeAutospacing="0" w:after="0" w:afterAutospacing="0"/>
                    <w:ind w:left="0" w:right="0"/>
                    <w:jc w:val="center"/>
                    <w:rPr>
                      <w:rFonts w:hint="default" w:eastAsiaTheme="minorEastAsia"/>
                      <w:color w:val="auto"/>
                      <w:szCs w:val="21"/>
                      <w:lang w:val="zh-CN"/>
                    </w:rPr>
                  </w:pPr>
                  <w:r>
                    <w:rPr>
                      <w:rFonts w:hint="default" w:eastAsiaTheme="minorEastAsia"/>
                      <w:color w:val="auto"/>
                      <w:szCs w:val="21"/>
                      <w:lang w:val="zh-CN"/>
                    </w:rPr>
                    <w:t>电热恒温干燥箱</w:t>
                  </w:r>
                </w:p>
                <w:p w14:paraId="7D5261BA">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(温度计)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42868FA">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HHW.21-600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3D6C1D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8771877">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BAC79CD">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2AF0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8D02946">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环刀</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B5C84F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2EC9A8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53A816B">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264E3386">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34BC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FEA5FFF">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虹吸筒</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9AA88A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D9213F9">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3B26B70">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67A29CC3">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7D0B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4FDC87E">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比重瓶</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8456B3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E84B189">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B193862">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4552799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0738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1848A7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比重计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BDD3CDA">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NB-1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DA8F51F">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EEEEDED">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16A35838">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0E50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5B6262A">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界限含水率测定仪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A8324FA">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B8D254F">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EE5D671">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45A9A972">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65AE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85C6033">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标准击实仪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79BB04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5322D6B">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E77B65F">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7B40B989">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27E3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5CC3083">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电液式压力试验机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74CDFAD">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YA-2000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08F0502">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F211768">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3021CFDD">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4CA3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7A0034D">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标准筛</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9E178B6">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B958559">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5AE02E0">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6D4F2F8E">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3F25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2719550">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磅称</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B10DE2A">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TGT-100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AA4F69A">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9C0AA74">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6F2E8CA6">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30B5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DCAEFB2">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容量瓶</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930F6AA">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53F60BB">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2EC6C5A">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4798927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127E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68F46D9">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电子静水天平</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48CBCE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DSJ-2</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7A19642">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1CCBD49">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6B45CAF0">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271C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36C1EC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电子天平JA系列</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474B1E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JA2003</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288015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0C8372D">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92F4817">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6291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85FE18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试验筛</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48E7E5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8ACD35D">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41F410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4F89F7AB">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266E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273C35F">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液塑限联合测定仪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200C620">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C84AA1F">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C07E778">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F265759">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2E95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167AF30">
                  <w:pPr>
                    <w:keepNext w:val="0"/>
                    <w:keepLines w:val="0"/>
                    <w:suppressLineNumbers w:val="0"/>
                    <w:spacing w:before="0" w:beforeAutospacing="0" w:after="0" w:afterAutospacing="0"/>
                    <w:ind w:left="0" w:right="0" w:firstLine="945" w:firstLineChars="450"/>
                    <w:rPr>
                      <w:rFonts w:hint="default" w:eastAsiaTheme="minorEastAsia"/>
                      <w:color w:val="auto"/>
                      <w:kern w:val="0"/>
                      <w:szCs w:val="21"/>
                    </w:rPr>
                  </w:pPr>
                  <w:r>
                    <w:rPr>
                      <w:rFonts w:hint="default" w:eastAsiaTheme="minorEastAsia"/>
                      <w:color w:val="auto"/>
                      <w:szCs w:val="21"/>
                      <w:lang w:val="zh-CN"/>
                    </w:rPr>
                    <w:t>湿化仪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8407D0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3E68FCD">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A90AD8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21816519">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2CB2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DD6ABDD">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毛管仪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1AE312F">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7D3A86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7752DE2">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3F506108">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306D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DF598E0">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变水头渗透仪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D3D3259">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5C3CE6E">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3D0722F">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2A5A29E">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3F11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FC3C4FB">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GZQ-型全自动高压气压固结仪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4A88516">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GZQ</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1E80A59">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F8422BF">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3A6E9DC6">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4659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33879C6">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TAJ-200全自动中型三轴仪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8D7803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TAJ-200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BE1356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15FFE4E">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FD6057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7E0B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D3900B6">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应变式三轴剪力仪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FDFAD7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4F8B2B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19C41D6">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72A0DAFC">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6BDC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4274D10">
                  <w:pPr>
                    <w:keepNext w:val="0"/>
                    <w:keepLines w:val="0"/>
                    <w:suppressLineNumbers w:val="0"/>
                    <w:spacing w:before="0" w:beforeAutospacing="0" w:after="0" w:afterAutospacing="0"/>
                    <w:ind w:left="0" w:right="0"/>
                    <w:jc w:val="center"/>
                    <w:rPr>
                      <w:rFonts w:hint="default" w:eastAsiaTheme="minorEastAsia"/>
                      <w:b/>
                      <w:bCs/>
                      <w:color w:val="auto"/>
                      <w:kern w:val="0"/>
                      <w:szCs w:val="21"/>
                    </w:rPr>
                  </w:pPr>
                  <w:r>
                    <w:rPr>
                      <w:rFonts w:hint="default" w:eastAsiaTheme="minorEastAsia"/>
                      <w:color w:val="auto"/>
                      <w:szCs w:val="21"/>
                      <w:lang w:val="zh-CN"/>
                    </w:rPr>
                    <w:t>应变式无侧限压缩仪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8009102">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DA1F02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0814C2E">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01B4C92">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0D4E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F9B86A2">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等应变电动直剪仪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5C25BA3">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208AECE">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1E66A5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7DEC0763">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7BB7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A7138CB">
                  <w:pPr>
                    <w:keepNext w:val="0"/>
                    <w:keepLines w:val="0"/>
                    <w:suppressLineNumbers w:val="0"/>
                    <w:autoSpaceDE w:val="0"/>
                    <w:autoSpaceDN w:val="0"/>
                    <w:adjustRightIn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休止角测定仪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117091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B725996">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88AB2C9">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B260BAB">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4DBD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D47DA72">
                  <w:pPr>
                    <w:keepNext w:val="0"/>
                    <w:keepLines w:val="0"/>
                    <w:suppressLineNumbers w:val="0"/>
                    <w:autoSpaceDE w:val="0"/>
                    <w:autoSpaceDN w:val="0"/>
                    <w:adjustRightIn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自由膨胀率测定仪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2D32903">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61D794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1A419BA">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7A073FE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5075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7696968">
                  <w:pPr>
                    <w:keepNext w:val="0"/>
                    <w:keepLines w:val="0"/>
                    <w:suppressLineNumbers w:val="0"/>
                    <w:autoSpaceDE w:val="0"/>
                    <w:autoSpaceDN w:val="0"/>
                    <w:adjustRightIn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收缩仪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47B1E80">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719428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361FB03">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1EA45BF">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4C58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F51E0A7">
                  <w:pPr>
                    <w:keepNext w:val="0"/>
                    <w:keepLines w:val="0"/>
                    <w:suppressLineNumbers w:val="0"/>
                    <w:autoSpaceDE w:val="0"/>
                    <w:autoSpaceDN w:val="0"/>
                    <w:adjustRightIn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膨胀仪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478627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116976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64FFDDA">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4CCBF96">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53AF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AB7E83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应力控制式三轴仪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0F92A1D">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2FC8C6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FA74473">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46295940">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3E72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016661D">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NB-1型泥浆比重计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9D7ADD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NB-1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6C401E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686925C">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BA6371D">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1087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FB6FEC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1006型粘度计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D3C04D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1006</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52AA44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BA1A219">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5651D0E7">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2CC6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11F596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NA-1型泥浆含砂量计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3D4D543">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NA-1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886558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32B14E3">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1D7E099B">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4F4D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57E24F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耐崩解仪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686153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20BE3A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8EA961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13892A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65A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E00267A">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全自动电液伺服大型标准三轴压缩试验机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EA0058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SY30-3      SZ30-2C</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94BF03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5063FBD">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608F2121">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2C80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000565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固结仪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D1177C9">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YS50-25     YS500-6</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9BBCC40">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4845D27">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25EFFC5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6CEB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20CA807">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lang w:val="zh-CN"/>
                    </w:rPr>
                    <w:t>渗透变形仪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83321E3">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E15EC4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11FBABAC">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06996A2C">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54A9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4ED5A0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洛氏硬度计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8FE8C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600MRD</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FFABD2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250CB3B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土工合成材料间</w:t>
                  </w:r>
                </w:p>
              </w:tc>
              <w:tc>
                <w:tcPr>
                  <w:tcW w:w="892" w:type="pct"/>
                  <w:vMerge w:val="restart"/>
                  <w:tcBorders>
                    <w:top w:val="single" w:color="auto" w:sz="4" w:space="0"/>
                    <w:left w:val="single" w:color="auto" w:sz="4" w:space="0"/>
                    <w:right w:val="single" w:color="auto" w:sz="4" w:space="0"/>
                  </w:tcBorders>
                  <w:shd w:val="clear" w:color="auto" w:fill="auto"/>
                  <w:vAlign w:val="center"/>
                </w:tcPr>
                <w:p w14:paraId="5F546E2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实验室检测</w:t>
                  </w:r>
                </w:p>
              </w:tc>
            </w:tr>
            <w:tr w14:paraId="5E1F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C26560C">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color w:val="auto"/>
                      <w:szCs w:val="21"/>
                    </w:rPr>
                  </w:pPr>
                  <w:r>
                    <w:rPr>
                      <w:rFonts w:hint="default" w:eastAsiaTheme="minorEastAsia"/>
                      <w:color w:val="auto"/>
                      <w:szCs w:val="21"/>
                    </w:rPr>
                    <w:t>布氏硬度计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091F6AA">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color w:val="auto"/>
                      <w:szCs w:val="21"/>
                    </w:rPr>
                  </w:pPr>
                  <w:r>
                    <w:rPr>
                      <w:rFonts w:hint="default" w:eastAsiaTheme="minorEastAsia"/>
                      <w:color w:val="auto"/>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5A947C1">
                  <w:pPr>
                    <w:keepNext w:val="0"/>
                    <w:keepLines w:val="0"/>
                    <w:suppressLineNumbers w:val="0"/>
                    <w:spacing w:before="0" w:beforeAutospacing="0" w:after="0" w:afterAutospacing="0"/>
                    <w:ind w:left="0" w:leftChars="0" w:right="0" w:rightChars="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512E0CD">
                  <w:pPr>
                    <w:keepNext w:val="0"/>
                    <w:keepLines w:val="0"/>
                    <w:suppressLineNumbers w:val="0"/>
                    <w:spacing w:before="0" w:beforeAutospacing="0" w:after="0" w:afterAutospacing="0"/>
                    <w:ind w:left="0" w:leftChars="0" w:right="0" w:rightChars="0"/>
                    <w:jc w:val="center"/>
                    <w:rPr>
                      <w:rFonts w:hint="default" w:eastAsiaTheme="minorEastAsia"/>
                      <w:color w:val="auto"/>
                      <w:kern w:val="0"/>
                      <w:szCs w:val="21"/>
                    </w:rPr>
                  </w:pPr>
                </w:p>
              </w:tc>
              <w:tc>
                <w:tcPr>
                  <w:tcW w:w="892" w:type="pct"/>
                  <w:vMerge w:val="continue"/>
                  <w:tcBorders>
                    <w:left w:val="single" w:color="auto" w:sz="4" w:space="0"/>
                    <w:right w:val="single" w:color="auto" w:sz="4" w:space="0"/>
                  </w:tcBorders>
                  <w:shd w:val="clear" w:color="auto" w:fill="auto"/>
                  <w:vAlign w:val="center"/>
                </w:tcPr>
                <w:p w14:paraId="0AB7970E">
                  <w:pPr>
                    <w:keepNext w:val="0"/>
                    <w:keepLines w:val="0"/>
                    <w:suppressLineNumbers w:val="0"/>
                    <w:spacing w:before="0" w:beforeAutospacing="0" w:after="0" w:afterAutospacing="0"/>
                    <w:ind w:left="0" w:leftChars="0" w:right="0" w:rightChars="0"/>
                    <w:jc w:val="center"/>
                    <w:rPr>
                      <w:rFonts w:hint="default" w:eastAsiaTheme="minorEastAsia"/>
                      <w:color w:val="auto"/>
                      <w:kern w:val="0"/>
                      <w:szCs w:val="21"/>
                    </w:rPr>
                  </w:pPr>
                </w:p>
              </w:tc>
            </w:tr>
            <w:tr w14:paraId="5094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557E4F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kern w:val="0"/>
                      <w:szCs w:val="21"/>
                    </w:rPr>
                    <w:t>垂直</w:t>
                  </w:r>
                  <w:r>
                    <w:rPr>
                      <w:rFonts w:hint="default" w:eastAsiaTheme="minorEastAsia"/>
                      <w:color w:val="auto"/>
                      <w:szCs w:val="21"/>
                    </w:rPr>
                    <w:t>渗透仪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C09E51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YT020C</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0A4375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3CF95B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B62C11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52E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47DD8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kern w:val="0"/>
                      <w:szCs w:val="21"/>
                    </w:rPr>
                    <w:t>水平</w:t>
                  </w:r>
                  <w:r>
                    <w:rPr>
                      <w:rFonts w:hint="default" w:eastAsiaTheme="minorEastAsia"/>
                      <w:color w:val="auto"/>
                      <w:szCs w:val="21"/>
                    </w:rPr>
                    <w:t>渗透仪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DBB92A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YT070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6CA51C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1D39D3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4403C8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8DB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E27F64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kern w:val="0"/>
                      <w:szCs w:val="21"/>
                    </w:rPr>
                    <w:t>电子万能试验机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5A9CE2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kern w:val="0"/>
                      <w:szCs w:val="21"/>
                    </w:rPr>
                    <w:t>UTM5504</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7D0E2E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5ECA65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C71FF5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61F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7D66EA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热老化试验箱</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4909A0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401D型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30CB35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D1E1E1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EC71C9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94E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4D71C7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落锥试验仪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C1B09D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DCB57C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57C375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C6E43B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119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4297F4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kern w:val="0"/>
                      <w:szCs w:val="21"/>
                    </w:rPr>
                    <w:t>垂直</w:t>
                  </w:r>
                  <w:r>
                    <w:rPr>
                      <w:rFonts w:hint="default" w:eastAsiaTheme="minorEastAsia"/>
                      <w:color w:val="auto"/>
                      <w:szCs w:val="21"/>
                    </w:rPr>
                    <w:t>渗透仪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E0FEC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YT020C</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424BBA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617684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A0355E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62D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389855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自动调压砼抗渗仪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F66A12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HP4.0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85745C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1029" w:type="pct"/>
                  <w:vMerge w:val="continue"/>
                  <w:tcBorders>
                    <w:left w:val="single" w:color="auto" w:sz="4" w:space="0"/>
                    <w:right w:val="single" w:color="auto" w:sz="4" w:space="0"/>
                  </w:tcBorders>
                  <w:shd w:val="clear" w:color="auto" w:fill="auto"/>
                  <w:vAlign w:val="center"/>
                </w:tcPr>
                <w:p w14:paraId="40EF75E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7F02F1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FA1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88D656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数显式橡胶硬度计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28A3C1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LX-A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90E5A3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5D7FAE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755A921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FE2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DB23BC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橡胶测厚仪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02E486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D4D598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AF4BA8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185A0C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794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F84322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热老化试验箱</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E96EA5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401D型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C5BB70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9E8E1E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A49448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FE5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886491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数显式橡胶硬度计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31DE3A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LX-A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95FD7E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2C92C44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482BBAD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0D5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FD328F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电液式压力试验机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B3CA56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YA-2000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884819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3E7729F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混凝土试验间</w:t>
                  </w:r>
                </w:p>
              </w:tc>
              <w:tc>
                <w:tcPr>
                  <w:tcW w:w="892" w:type="pct"/>
                  <w:vMerge w:val="restart"/>
                  <w:tcBorders>
                    <w:top w:val="single" w:color="auto" w:sz="4" w:space="0"/>
                    <w:left w:val="single" w:color="auto" w:sz="4" w:space="0"/>
                    <w:right w:val="single" w:color="auto" w:sz="4" w:space="0"/>
                  </w:tcBorders>
                  <w:shd w:val="clear" w:color="auto" w:fill="auto"/>
                  <w:vAlign w:val="center"/>
                </w:tcPr>
                <w:p w14:paraId="1445CD2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实验室检测</w:t>
                  </w:r>
                </w:p>
              </w:tc>
            </w:tr>
            <w:tr w14:paraId="3686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F18B5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电液式万能试验</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9D11FE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WA-1000B</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EBA560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26E717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B94C25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E94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FD20B3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静态电阻应变仪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3257ED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YJ-35</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3C3A8F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672742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CF5715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DB2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5F3695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混凝土快速冻融试验机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100926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KDS-16</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DC7A04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0EBB7F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5A3A6B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299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FF99AF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混凝土动弹仪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7B99C0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DT-16</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1325FA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7986B3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7ADA9D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1CE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531581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混凝土应变计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FE5118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459062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240F62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1CC974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9AC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7FFAA8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混凝土振动台</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B75C59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100cm</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736572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52093C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DA11B5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057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788286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碱骨料试验箱</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E7D989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KSJ</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D8A46B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C1B0AB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F5146B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A5C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CBF573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砼维勃稠度仪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75F986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VBR-Ⅰ</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E5FD00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D76C84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1CAEDE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74C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28D9B1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混凝土搅拌机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64A271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TZJ60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1BDCB7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217B60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678E65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D27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7D13D3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砂浆稠度仪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70020F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SC145</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ABC72F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8D89F2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B24D98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93E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C3C5F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贯入阻力仪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5EC07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HG-1000S</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D993AF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70C239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317C48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946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D531EF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含气量测定仪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8DFC78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HC-7L</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14FEEE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AB7E1C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EE8520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9F2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E90590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混凝土立方体试模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3FB0F4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0E9F35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108</w:t>
                  </w:r>
                </w:p>
              </w:tc>
              <w:tc>
                <w:tcPr>
                  <w:tcW w:w="1029" w:type="pct"/>
                  <w:vMerge w:val="continue"/>
                  <w:tcBorders>
                    <w:left w:val="single" w:color="auto" w:sz="4" w:space="0"/>
                    <w:right w:val="single" w:color="auto" w:sz="4" w:space="0"/>
                  </w:tcBorders>
                  <w:shd w:val="clear" w:color="auto" w:fill="auto"/>
                  <w:vAlign w:val="center"/>
                </w:tcPr>
                <w:p w14:paraId="15845CE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F75ED1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5B3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26624E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混凝土抗渗试模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E85154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6EC93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36</w:t>
                  </w:r>
                </w:p>
              </w:tc>
              <w:tc>
                <w:tcPr>
                  <w:tcW w:w="1029" w:type="pct"/>
                  <w:vMerge w:val="continue"/>
                  <w:tcBorders>
                    <w:left w:val="single" w:color="auto" w:sz="4" w:space="0"/>
                    <w:right w:val="single" w:color="auto" w:sz="4" w:space="0"/>
                  </w:tcBorders>
                  <w:shd w:val="clear" w:color="auto" w:fill="auto"/>
                  <w:vAlign w:val="center"/>
                </w:tcPr>
                <w:p w14:paraId="252DAB9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D8F3C0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148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DB240D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混凝土弹模试</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E0E33A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15F2FB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24</w:t>
                  </w:r>
                </w:p>
              </w:tc>
              <w:tc>
                <w:tcPr>
                  <w:tcW w:w="1029" w:type="pct"/>
                  <w:vMerge w:val="continue"/>
                  <w:tcBorders>
                    <w:left w:val="single" w:color="auto" w:sz="4" w:space="0"/>
                    <w:right w:val="single" w:color="auto" w:sz="4" w:space="0"/>
                  </w:tcBorders>
                  <w:shd w:val="clear" w:color="auto" w:fill="auto"/>
                  <w:vAlign w:val="center"/>
                </w:tcPr>
                <w:p w14:paraId="5BCC710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14CF2A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907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FE68C8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混凝土拉试模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1390AD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D39717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24</w:t>
                  </w:r>
                </w:p>
              </w:tc>
              <w:tc>
                <w:tcPr>
                  <w:tcW w:w="1029" w:type="pct"/>
                  <w:vMerge w:val="continue"/>
                  <w:tcBorders>
                    <w:left w:val="single" w:color="auto" w:sz="4" w:space="0"/>
                    <w:right w:val="single" w:color="auto" w:sz="4" w:space="0"/>
                  </w:tcBorders>
                  <w:shd w:val="clear" w:color="auto" w:fill="auto"/>
                  <w:vAlign w:val="center"/>
                </w:tcPr>
                <w:p w14:paraId="08E8BFE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7FB4F19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1B4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13DD7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混凝土抗冲磨试模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4AF545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8D1840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12</w:t>
                  </w:r>
                </w:p>
              </w:tc>
              <w:tc>
                <w:tcPr>
                  <w:tcW w:w="1029" w:type="pct"/>
                  <w:vMerge w:val="continue"/>
                  <w:tcBorders>
                    <w:left w:val="single" w:color="auto" w:sz="4" w:space="0"/>
                    <w:right w:val="single" w:color="auto" w:sz="4" w:space="0"/>
                  </w:tcBorders>
                  <w:shd w:val="clear" w:color="auto" w:fill="auto"/>
                  <w:vAlign w:val="center"/>
                </w:tcPr>
                <w:p w14:paraId="0AE5667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7C6789A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AA1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BF1C68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标养室温湿自控仪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5E3B9D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WSH-Ⅲ</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986AFB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252F5A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BB691B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68A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33A847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振动台</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8FB21C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100cm</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F09608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0DD061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DDEB3B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3FF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B33438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电液式压力试验机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AB2D71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YA-2000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0CF90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07F02A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D02C3D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790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952C8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极限拉伸仪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E2E57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JX-Ⅱ</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9492E4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D23263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F44425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E33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1E4200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kern w:val="0"/>
                      <w:sz w:val="21"/>
                      <w:szCs w:val="21"/>
                      <w:lang w:val="en-US" w:eastAsia="zh-CN" w:bidi="ar-SA"/>
                    </w:rPr>
                  </w:pPr>
                  <w:r>
                    <w:rPr>
                      <w:rFonts w:hint="default" w:eastAsiaTheme="minorEastAsia"/>
                      <w:color w:val="auto"/>
                      <w:szCs w:val="21"/>
                    </w:rPr>
                    <w:t>混凝土弹模仪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6F3F68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21407E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A16B5A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FA0B6D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22E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12EBFA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自动调压砼抗渗仪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ABA69B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HP4.0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5963C7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DB308E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FD8065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0C7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95C051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lang w:val="zh-CN"/>
                    </w:rPr>
                    <w:t>钢球冲磨仪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A5A263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608EC2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94B09A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B15946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022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98095C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混凝土收缩膨胀仪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1D139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HSP-540型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E20F2C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1ABEEC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984DB0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C96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090D91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lang w:val="zh-CN"/>
                    </w:rPr>
                    <w:t>混凝土压力泌水仪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98AE76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lang w:val="zh-CN"/>
                    </w:rPr>
                    <w:t>SY-2</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F9C4BB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BC1E45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A976B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BB6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E04B86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lang w:val="zh-CN"/>
                    </w:rPr>
                    <w:t>数字式电桥</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92D1BD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lang w:val="zh-CN"/>
                    </w:rPr>
                    <w:t>SQ-5</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ECF575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82F374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419A84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D59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D1F09A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坍落度筒</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82A51F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407838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84F72F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7AF61F2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389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0CDDAD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lang w:val="zh-CN"/>
                    </w:rPr>
                    <w:t>混凝土快速冻融试验机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61C311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lang w:val="zh-CN"/>
                    </w:rPr>
                    <w:t>KDS-16</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6B99A8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CD61DF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352936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0E6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82AEA0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动弹性模量测定仪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4CA256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DT-16</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8DA278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05C0B0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386EA2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C22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9D2E3C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自动调压砂浆渗透仪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DFD88C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SS-15型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17E71A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7534F6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058121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F63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4B0288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电液试万能试验机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451932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WA-1000B</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FDE9E3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688D27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CEACB7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65F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A91194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混凝土收缩膨胀仪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9E84D2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HSP-540型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B0DAE1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5AD9AA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BC2E1F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C6D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CA9C2B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混凝土快速冻融试验机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A15885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KDS-16</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BF220B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CCB01D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210509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C5A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4902FB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动弹性模量测定仪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BE6CED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DT-16</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6F6A33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73EE03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14B11D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23F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0F7942B">
                  <w:pPr>
                    <w:pStyle w:val="3"/>
                    <w:keepNext w:val="0"/>
                    <w:keepLines w:val="0"/>
                    <w:suppressLineNumbers w:val="0"/>
                    <w:adjustRightInd w:val="0"/>
                    <w:snapToGrid w:val="0"/>
                    <w:spacing w:before="0" w:beforeAutospacing="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 w:val="21"/>
                      <w:szCs w:val="21"/>
                    </w:rPr>
                    <w:t>电液式万能试验机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3FC47E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WA-1000型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12FEFB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55FD355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1F2316B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C39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9A6C2D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lang w:val="zh-CN"/>
                    </w:rPr>
                    <w:t>水泥细度负压筛析仪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34A1F7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FSY－150A</w:t>
                  </w:r>
                  <w:r>
                    <w:rPr>
                      <w:rFonts w:hint="default" w:eastAsiaTheme="minorEastAsia"/>
                      <w:color w:val="auto"/>
                      <w:szCs w:val="21"/>
                      <w:lang w:val="zh-CN"/>
                    </w:rPr>
                    <w:t>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8BE6F6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2C25E3B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水泥试验间</w:t>
                  </w:r>
                </w:p>
              </w:tc>
              <w:tc>
                <w:tcPr>
                  <w:tcW w:w="892" w:type="pct"/>
                  <w:vMerge w:val="restart"/>
                  <w:tcBorders>
                    <w:top w:val="single" w:color="auto" w:sz="4" w:space="0"/>
                    <w:left w:val="single" w:color="auto" w:sz="4" w:space="0"/>
                    <w:right w:val="single" w:color="auto" w:sz="4" w:space="0"/>
                  </w:tcBorders>
                  <w:shd w:val="clear" w:color="auto" w:fill="auto"/>
                  <w:vAlign w:val="center"/>
                </w:tcPr>
                <w:p w14:paraId="15496A4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实验室检测</w:t>
                  </w:r>
                </w:p>
              </w:tc>
            </w:tr>
            <w:tr w14:paraId="122A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CC4530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lang w:val="zh-CN"/>
                    </w:rPr>
                    <w:t>密度试验瓶</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5DE651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A94D23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28613E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CB58CB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E89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2EAD11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lang w:val="zh-CN"/>
                    </w:rPr>
                    <w:t>数显勃氏透气比表面积仪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7685F4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SBT-127</w:t>
                  </w:r>
                  <w:r>
                    <w:rPr>
                      <w:rFonts w:hint="default" w:eastAsiaTheme="minorEastAsia"/>
                      <w:color w:val="auto"/>
                      <w:szCs w:val="21"/>
                      <w:lang w:val="zh-CN"/>
                    </w:rPr>
                    <w:t>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F3BFEA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015169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9AD9FA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9F4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F74A30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lang w:val="zh-CN"/>
                    </w:rPr>
                    <w:t>水泥稠度及凝结时间测定仪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772F7B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728224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E02EA8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12A551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482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52A1B0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lang w:val="zh-CN"/>
                    </w:rPr>
                    <w:t>水泥稠度及凝结时间测定仪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22E110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0795AD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943155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89504E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365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094CD3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lang w:val="zh-CN"/>
                    </w:rPr>
                    <w:t>雷氏夹膨胀测定仪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B75777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LD－50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E464D9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C06C55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75BF279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42D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51D13E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lang w:val="zh-CN"/>
                    </w:rPr>
                    <w:t>水泥胶砂流动度测定仪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B61A63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NLD-30</w:t>
                  </w:r>
                  <w:r>
                    <w:rPr>
                      <w:rFonts w:hint="default" w:eastAsiaTheme="minorEastAsia"/>
                      <w:color w:val="auto"/>
                      <w:szCs w:val="21"/>
                      <w:lang w:val="zh-CN"/>
                    </w:rPr>
                    <w:t>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8E2BE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81AC50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3B96D7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3DE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F200EE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lang w:val="zh-CN"/>
                    </w:rPr>
                    <w:t>电动抗折试验机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D5A867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KZJ-5</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689AB1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FA21A2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F1FFB0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FB9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5569A3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行星式胶砂搅拌机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CFCA26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JJ-5</w:t>
                  </w:r>
                  <w:r>
                    <w:rPr>
                      <w:rFonts w:hint="default" w:eastAsiaTheme="minorEastAsia"/>
                      <w:color w:val="auto"/>
                      <w:szCs w:val="21"/>
                      <w:lang w:val="zh-CN"/>
                    </w:rPr>
                    <w:t>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FCBB06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1C97A8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0D7A0D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C17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D8E3D8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水泥恒应力压力</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24723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HYE-300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59BDAE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EB0A27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7EC2CE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632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143FAE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水泥细度负压筛析仪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D2EE18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FSY－150A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AD954A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D76051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39E46B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BD4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F47809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密度试验瓶</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9FF927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5DD1F3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88576B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B72960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02C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067EF2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水泥净浆搅拌机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0CD8F1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NJ160B</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82EF89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4EF1DE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9C7E3A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034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616424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行星式胶砂搅拌机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30D38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JJ-5</w:t>
                  </w:r>
                  <w:r>
                    <w:rPr>
                      <w:rFonts w:hint="default" w:eastAsiaTheme="minorEastAsia"/>
                      <w:color w:val="auto"/>
                      <w:szCs w:val="21"/>
                      <w:lang w:val="zh-CN"/>
                    </w:rPr>
                    <w:t>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6806F4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2F312D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6A996A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184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E36180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lang w:val="zh-CN"/>
                    </w:rPr>
                    <w:t>混凝土收缩膨胀仪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751A3E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HSP-540</w:t>
                  </w:r>
                  <w:r>
                    <w:rPr>
                      <w:rFonts w:hint="default" w:eastAsiaTheme="minorEastAsia"/>
                      <w:color w:val="auto"/>
                      <w:szCs w:val="21"/>
                      <w:lang w:val="zh-CN"/>
                    </w:rPr>
                    <w:t>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2B56DA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1D922CB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421D77B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176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B93E74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氯离子滴定仪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B5D036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21B7E6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1316995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砂石骨料试验间</w:t>
                  </w:r>
                </w:p>
              </w:tc>
              <w:tc>
                <w:tcPr>
                  <w:tcW w:w="892" w:type="pct"/>
                  <w:vMerge w:val="restart"/>
                  <w:tcBorders>
                    <w:top w:val="single" w:color="auto" w:sz="4" w:space="0"/>
                    <w:left w:val="single" w:color="auto" w:sz="4" w:space="0"/>
                    <w:right w:val="single" w:color="auto" w:sz="4" w:space="0"/>
                  </w:tcBorders>
                  <w:shd w:val="clear" w:color="auto" w:fill="auto"/>
                  <w:vAlign w:val="center"/>
                </w:tcPr>
                <w:p w14:paraId="70E2505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实验室检测</w:t>
                  </w:r>
                </w:p>
              </w:tc>
            </w:tr>
            <w:tr w14:paraId="06F8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D51D08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细集料亚甲蓝试验搅拌机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EEA431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79A3B6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2CEAC2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0D0A51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A72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2B42E6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针、片状规准仪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03BDAB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7DA5C9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A965A4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A35048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D01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154D4DB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集料</w:t>
                  </w:r>
                  <w:r>
                    <w:rPr>
                      <w:rFonts w:hint="default" w:eastAsiaTheme="minorEastAsia"/>
                      <w:color w:val="auto"/>
                      <w:kern w:val="0"/>
                      <w:szCs w:val="21"/>
                    </w:rPr>
                    <w:t>软弱颗粒试验机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A1AED2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5C9E56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63A0D98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4CAFEC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B24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50AB18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中径筛</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4D781C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A34D3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14506D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E6836F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EC4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8C9E66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default" w:eastAsiaTheme="minorEastAsia"/>
                      <w:color w:val="auto"/>
                      <w:szCs w:val="21"/>
                      <w:lang w:val="zh-CN"/>
                    </w:rPr>
                    <w:t>比长仪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8F6DBB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lang w:val="zh-CN"/>
                    </w:rPr>
                    <w:t>BC156－300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D914D2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055FE63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0D23475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6B5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AF1FFE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lang w:val="zh-CN"/>
                    </w:rPr>
                    <w:t>含气量测定仪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0FBA91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lang w:val="zh-CN"/>
                    </w:rPr>
                    <w:t>1.5级</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ED6441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24EA408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拌合间</w:t>
                  </w:r>
                </w:p>
              </w:tc>
              <w:tc>
                <w:tcPr>
                  <w:tcW w:w="892" w:type="pct"/>
                  <w:vMerge w:val="restart"/>
                  <w:tcBorders>
                    <w:top w:val="single" w:color="auto" w:sz="4" w:space="0"/>
                    <w:left w:val="single" w:color="auto" w:sz="4" w:space="0"/>
                    <w:right w:val="single" w:color="auto" w:sz="4" w:space="0"/>
                  </w:tcBorders>
                  <w:shd w:val="clear" w:color="auto" w:fill="auto"/>
                  <w:vAlign w:val="center"/>
                </w:tcPr>
                <w:p w14:paraId="03D43FB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实验室检测</w:t>
                  </w:r>
                </w:p>
              </w:tc>
            </w:tr>
            <w:tr w14:paraId="58D1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E2F219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lang w:val="zh-CN"/>
                    </w:rPr>
                    <w:t>压力泌水仪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03A306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lang w:val="zh-CN"/>
                    </w:rPr>
                    <w:t>1.6级</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AB137F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C599C2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30BC2F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773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A1F5F8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电液式压力试验机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99CE00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YA-2000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58CCAC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FAB84F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4BF041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871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A7F8B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贯入阻力仪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2B17A5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HG-1000S</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DC786E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C71547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701CB72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2DE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78E0F8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含气量测定仪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4E3570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150mm</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C4C8F4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28769AA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DABE23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4189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6C6DAF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砼立方体试模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3BBA6D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751F03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5277D4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3E3FFE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4FE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C685CB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zh-CN" w:eastAsia="zh-CN" w:bidi="ar-SA"/>
                    </w:rPr>
                  </w:pPr>
                  <w:r>
                    <w:rPr>
                      <w:rFonts w:hint="default" w:eastAsiaTheme="minorEastAsia"/>
                      <w:color w:val="auto"/>
                      <w:szCs w:val="21"/>
                    </w:rPr>
                    <w:t>砂浆分层度筒</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1C51A4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630343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561B768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5DBACEE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727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139BE1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低温恒温水浴</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38EBA9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XWY-1</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553FB9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3D15278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沥青试验间</w:t>
                  </w:r>
                </w:p>
              </w:tc>
              <w:tc>
                <w:tcPr>
                  <w:tcW w:w="892" w:type="pct"/>
                  <w:vMerge w:val="restart"/>
                  <w:tcBorders>
                    <w:top w:val="single" w:color="auto" w:sz="4" w:space="0"/>
                    <w:left w:val="single" w:color="auto" w:sz="4" w:space="0"/>
                    <w:right w:val="single" w:color="auto" w:sz="4" w:space="0"/>
                  </w:tcBorders>
                  <w:shd w:val="clear" w:color="auto" w:fill="auto"/>
                  <w:vAlign w:val="center"/>
                </w:tcPr>
                <w:p w14:paraId="483ABD0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实验室检测</w:t>
                  </w:r>
                </w:p>
              </w:tc>
            </w:tr>
            <w:tr w14:paraId="6F09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7739422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针入度仪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5EF864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SYD-2801E</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4FDD46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6675D3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8FD2D7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1D6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F0C761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沥青延度试验器</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DBAB8B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SYD-4508C</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861AD9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410690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6E7EBD2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797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022434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软化点仪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3234B0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SYD-2806F</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702C2EF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66F0B8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DCDD3B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B06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77F06F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软单盘电光分析天平</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F0D762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TG-729B</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7EAA06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878902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10F934A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0865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D1277B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沥青脆点仪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F76754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SYD-0613</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86B86D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3593C2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8E2322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FCA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DC0F56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沥青最大相对理论密度仪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5949BAC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SYD-0722</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31FDC2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59BDF2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0207FE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36F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39FB85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克利夫兰开口闪点试验器</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CB8532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SDY-3536</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C2F641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CF176D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7B40E83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5D2E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637A12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kern w:val="0"/>
                      <w:szCs w:val="21"/>
                    </w:rPr>
                    <w:t>水分测定仪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0544798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kern w:val="0"/>
                      <w:szCs w:val="21"/>
                    </w:rPr>
                    <w:t>LSC-60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ED2F4D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78F557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4B20ED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36E4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75B9FD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李氏密度瓶</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1AAAB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C70C67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7C9D5EA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791435E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3F5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07FFA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受压试模</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3EFAFD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内径152mm</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5CA9FE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57A5FF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31BBF3D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2B5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409FB11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智能沥青混合料拌合机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3B6FE4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BH-20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230472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F09F35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0C180BB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39A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042378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马歇尔电动击实仪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037ABB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LD50001A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5A587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4E1CC0A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51A8B08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8DA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FDC45F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沥青混合料理论最大嫌贵密度试验器</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1C3E419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SYD-0711A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03EF4B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1BDC84D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C16700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6FE2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331B739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马歇尔稳定度试验仪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55CB39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rPr>
                    <w:t>SDY-0709A</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0EC12B3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0F48E62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F3A14D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2936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6D656D2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沥青混凝土渗透仪</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7BD53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LSY-2</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A4676A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5E307DA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4740327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2D7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3FB125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微机控制沥青三轴万能试验机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6E1BFE3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Cs w:val="21"/>
                    </w:rPr>
                    <w:t>WPW-100H</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25415C4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right w:val="single" w:color="auto" w:sz="4" w:space="0"/>
                  </w:tcBorders>
                  <w:shd w:val="clear" w:color="auto" w:fill="auto"/>
                  <w:vAlign w:val="center"/>
                </w:tcPr>
                <w:p w14:paraId="38D8881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right w:val="single" w:color="auto" w:sz="4" w:space="0"/>
                  </w:tcBorders>
                  <w:shd w:val="clear" w:color="auto" w:fill="auto"/>
                  <w:vAlign w:val="center"/>
                </w:tcPr>
                <w:p w14:paraId="2EB0F8D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1925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9854C8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电液式压力机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637697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szCs w:val="21"/>
                      <w:lang w:val="zh-CN"/>
                    </w:rPr>
                    <w:t>YA-2000</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548491E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r>
                    <w:rPr>
                      <w:rFonts w:hint="default" w:eastAsiaTheme="minorEastAsia"/>
                      <w:color w:val="auto"/>
                      <w:kern w:val="0"/>
                      <w:szCs w:val="21"/>
                    </w:rPr>
                    <w:t>1</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188CF9E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38EA580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lang w:val="en-US" w:eastAsia="zh-CN" w:bidi="ar-SA"/>
                    </w:rPr>
                  </w:pPr>
                </w:p>
              </w:tc>
            </w:tr>
            <w:tr w14:paraId="7A76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22C7C601">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电液试万能试验机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4171D44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WA-1000B</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6A71AF4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676B4A35">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材料力学间</w:t>
                  </w:r>
                </w:p>
              </w:tc>
              <w:tc>
                <w:tcPr>
                  <w:tcW w:w="892" w:type="pct"/>
                  <w:vMerge w:val="restart"/>
                  <w:tcBorders>
                    <w:top w:val="single" w:color="auto" w:sz="4" w:space="0"/>
                    <w:left w:val="single" w:color="auto" w:sz="4" w:space="0"/>
                    <w:right w:val="single" w:color="auto" w:sz="4" w:space="0"/>
                  </w:tcBorders>
                  <w:shd w:val="clear" w:color="auto" w:fill="auto"/>
                  <w:vAlign w:val="center"/>
                </w:tcPr>
                <w:p w14:paraId="7FB49E54">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实验室检测</w:t>
                  </w:r>
                </w:p>
              </w:tc>
            </w:tr>
            <w:tr w14:paraId="4791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A4702DB">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钢筋弯曲试验机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20449206">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GW-40A型</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1549830F">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290493CA">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43D958C3">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r w14:paraId="0E8D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0A7CD921">
                  <w:pPr>
                    <w:pStyle w:val="3"/>
                    <w:keepNext w:val="0"/>
                    <w:keepLines w:val="0"/>
                    <w:suppressLineNumbers w:val="0"/>
                    <w:adjustRightInd w:val="0"/>
                    <w:snapToGrid w:val="0"/>
                    <w:spacing w:before="0" w:beforeAutospacing="0" w:afterAutospacing="0"/>
                    <w:ind w:left="0" w:leftChars="0" w:right="0"/>
                    <w:jc w:val="center"/>
                    <w:rPr>
                      <w:rFonts w:hint="default" w:eastAsiaTheme="minorEastAsia"/>
                      <w:color w:val="auto"/>
                      <w:sz w:val="21"/>
                      <w:szCs w:val="21"/>
                    </w:rPr>
                  </w:pPr>
                  <w:r>
                    <w:rPr>
                      <w:rFonts w:hint="default" w:eastAsiaTheme="minorEastAsia"/>
                      <w:color w:val="auto"/>
                      <w:sz w:val="21"/>
                      <w:szCs w:val="21"/>
                    </w:rPr>
                    <w:t>DK77系列电火花</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7107291A">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DK77-35 Z/°</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3A39B63C">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restart"/>
                  <w:tcBorders>
                    <w:top w:val="single" w:color="auto" w:sz="4" w:space="0"/>
                    <w:left w:val="single" w:color="auto" w:sz="4" w:space="0"/>
                    <w:right w:val="single" w:color="auto" w:sz="4" w:space="0"/>
                  </w:tcBorders>
                  <w:shd w:val="clear" w:color="auto" w:fill="auto"/>
                  <w:vAlign w:val="center"/>
                </w:tcPr>
                <w:p w14:paraId="1D52FD69">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钢材加工间</w:t>
                  </w:r>
                </w:p>
              </w:tc>
              <w:tc>
                <w:tcPr>
                  <w:tcW w:w="892" w:type="pct"/>
                  <w:vMerge w:val="restart"/>
                  <w:tcBorders>
                    <w:top w:val="single" w:color="auto" w:sz="4" w:space="0"/>
                    <w:left w:val="single" w:color="auto" w:sz="4" w:space="0"/>
                    <w:right w:val="single" w:color="auto" w:sz="4" w:space="0"/>
                  </w:tcBorders>
                  <w:shd w:val="clear" w:color="auto" w:fill="auto"/>
                  <w:vAlign w:val="center"/>
                </w:tcPr>
                <w:p w14:paraId="5CF161CF">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实验室检测</w:t>
                  </w:r>
                </w:p>
              </w:tc>
            </w:tr>
            <w:tr w14:paraId="4B5B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Borders>
                    <w:top w:val="single" w:color="auto" w:sz="4" w:space="0"/>
                    <w:left w:val="single" w:color="auto" w:sz="4" w:space="0"/>
                    <w:bottom w:val="single" w:color="auto" w:sz="4" w:space="0"/>
                    <w:right w:val="single" w:color="auto" w:sz="4" w:space="0"/>
                  </w:tcBorders>
                  <w:shd w:val="clear" w:color="auto" w:fill="auto"/>
                  <w:vAlign w:val="center"/>
                </w:tcPr>
                <w:p w14:paraId="5F57CB9B">
                  <w:pPr>
                    <w:pStyle w:val="3"/>
                    <w:keepNext w:val="0"/>
                    <w:keepLines w:val="0"/>
                    <w:suppressLineNumbers w:val="0"/>
                    <w:adjustRightInd w:val="0"/>
                    <w:snapToGrid w:val="0"/>
                    <w:spacing w:before="0" w:beforeAutospacing="0" w:afterAutospacing="0"/>
                    <w:ind w:left="0" w:leftChars="0" w:right="0"/>
                    <w:jc w:val="center"/>
                    <w:rPr>
                      <w:rFonts w:hint="default" w:eastAsiaTheme="minorEastAsia"/>
                      <w:color w:val="auto"/>
                      <w:sz w:val="21"/>
                      <w:szCs w:val="21"/>
                    </w:rPr>
                  </w:pPr>
                  <w:r>
                    <w:rPr>
                      <w:rFonts w:hint="default" w:eastAsiaTheme="minorEastAsia"/>
                      <w:color w:val="auto"/>
                      <w:sz w:val="21"/>
                      <w:szCs w:val="21"/>
                    </w:rPr>
                    <w:t>游标卡尺</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14:paraId="3632FA9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14:paraId="458A3918">
                  <w:pPr>
                    <w:keepNext w:val="0"/>
                    <w:keepLines w:val="0"/>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29" w:type="pct"/>
                  <w:vMerge w:val="continue"/>
                  <w:tcBorders>
                    <w:left w:val="single" w:color="auto" w:sz="4" w:space="0"/>
                    <w:bottom w:val="single" w:color="auto" w:sz="4" w:space="0"/>
                    <w:right w:val="single" w:color="auto" w:sz="4" w:space="0"/>
                  </w:tcBorders>
                  <w:shd w:val="clear" w:color="auto" w:fill="auto"/>
                  <w:vAlign w:val="center"/>
                </w:tcPr>
                <w:p w14:paraId="37172005">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c>
                <w:tcPr>
                  <w:tcW w:w="892" w:type="pct"/>
                  <w:vMerge w:val="continue"/>
                  <w:tcBorders>
                    <w:left w:val="single" w:color="auto" w:sz="4" w:space="0"/>
                    <w:bottom w:val="single" w:color="auto" w:sz="4" w:space="0"/>
                    <w:right w:val="single" w:color="auto" w:sz="4" w:space="0"/>
                  </w:tcBorders>
                  <w:shd w:val="clear" w:color="auto" w:fill="auto"/>
                  <w:vAlign w:val="center"/>
                </w:tcPr>
                <w:p w14:paraId="49B0FB3B">
                  <w:pPr>
                    <w:keepNext w:val="0"/>
                    <w:keepLines w:val="0"/>
                    <w:suppressLineNumbers w:val="0"/>
                    <w:spacing w:before="0" w:beforeAutospacing="0" w:after="0" w:afterAutospacing="0"/>
                    <w:ind w:left="0" w:right="0"/>
                    <w:jc w:val="center"/>
                    <w:rPr>
                      <w:rFonts w:hint="default" w:eastAsiaTheme="minorEastAsia"/>
                      <w:color w:val="auto"/>
                      <w:kern w:val="0"/>
                      <w:szCs w:val="21"/>
                    </w:rPr>
                  </w:pPr>
                </w:p>
              </w:tc>
            </w:tr>
          </w:tbl>
          <w:p w14:paraId="5049BC7F">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6. 主要原辅材料消耗</w:t>
            </w:r>
          </w:p>
          <w:p w14:paraId="29762760">
            <w:pPr>
              <w:keepNext w:val="0"/>
              <w:keepLines w:val="0"/>
              <w:suppressLineNumbers w:val="0"/>
              <w:spacing w:before="0" w:beforeAutospacing="0" w:after="0" w:afterAutospacing="0" w:line="360" w:lineRule="auto"/>
              <w:ind w:left="0" w:right="0" w:firstLine="482" w:firstLineChars="200"/>
              <w:rPr>
                <w:rFonts w:hint="default"/>
                <w:b/>
                <w:bCs/>
                <w:color w:val="auto"/>
                <w:sz w:val="24"/>
                <w:lang w:val="en-US" w:eastAsia="zh-CN"/>
              </w:rPr>
            </w:pPr>
            <w:r>
              <w:rPr>
                <w:rFonts w:hint="eastAsia"/>
                <w:b/>
                <w:bCs/>
                <w:color w:val="auto"/>
                <w:sz w:val="24"/>
                <w:lang w:eastAsia="zh-CN"/>
              </w:rPr>
              <w:t>（</w:t>
            </w:r>
            <w:r>
              <w:rPr>
                <w:rFonts w:hint="eastAsia"/>
                <w:b/>
                <w:bCs/>
                <w:color w:val="auto"/>
                <w:sz w:val="24"/>
                <w:lang w:val="en-US" w:eastAsia="zh-CN"/>
              </w:rPr>
              <w:t>1</w:t>
            </w:r>
            <w:r>
              <w:rPr>
                <w:rFonts w:hint="eastAsia"/>
                <w:b/>
                <w:bCs/>
                <w:color w:val="auto"/>
                <w:sz w:val="24"/>
                <w:lang w:eastAsia="zh-CN"/>
              </w:rPr>
              <w:t>）</w:t>
            </w:r>
            <w:r>
              <w:rPr>
                <w:rFonts w:hint="eastAsia"/>
                <w:b/>
                <w:bCs/>
                <w:color w:val="auto"/>
                <w:sz w:val="24"/>
                <w:lang w:val="en-US" w:eastAsia="zh-CN"/>
              </w:rPr>
              <w:t>物理实验主要原辅材消耗情况</w:t>
            </w:r>
          </w:p>
          <w:p w14:paraId="5A0C6678">
            <w:pPr>
              <w:keepNext w:val="0"/>
              <w:keepLines w:val="0"/>
              <w:suppressLineNumbers w:val="0"/>
              <w:spacing w:before="0" w:beforeAutospacing="0" w:after="0" w:afterAutospacing="0" w:line="360" w:lineRule="auto"/>
              <w:ind w:left="0" w:right="0" w:firstLine="480" w:firstLineChars="200"/>
              <w:rPr>
                <w:rFonts w:hint="eastAsia"/>
                <w:color w:val="auto"/>
                <w:sz w:val="24"/>
                <w:lang w:val="en-US" w:eastAsia="zh-CN"/>
              </w:rPr>
            </w:pPr>
            <w:r>
              <w:rPr>
                <w:rFonts w:hint="eastAsia"/>
                <w:color w:val="auto"/>
                <w:sz w:val="24"/>
                <w:lang w:val="en-US" w:eastAsia="zh-CN"/>
              </w:rPr>
              <w:t>本项目主要原辅材料消耗情况见下表。</w:t>
            </w:r>
          </w:p>
          <w:p w14:paraId="04F7F746">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表2-</w:t>
            </w:r>
            <w:r>
              <w:rPr>
                <w:rFonts w:hint="eastAsia"/>
                <w:b/>
                <w:color w:val="auto"/>
                <w:szCs w:val="21"/>
                <w:lang w:val="en-US" w:eastAsia="zh-CN"/>
              </w:rPr>
              <w:t>4</w:t>
            </w:r>
            <w:r>
              <w:rPr>
                <w:rFonts w:hint="default"/>
                <w:b/>
                <w:color w:val="auto"/>
                <w:szCs w:val="21"/>
              </w:rPr>
              <w:t xml:space="preserve">   主要原辅材料用量、存储量一览表</w:t>
            </w:r>
          </w:p>
          <w:tbl>
            <w:tblPr>
              <w:tblStyle w:val="18"/>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972"/>
              <w:gridCol w:w="1370"/>
              <w:gridCol w:w="1370"/>
              <w:gridCol w:w="1371"/>
              <w:gridCol w:w="1371"/>
            </w:tblGrid>
            <w:tr w14:paraId="731D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14:paraId="0AA92143">
                  <w:pPr>
                    <w:keepNext w:val="0"/>
                    <w:keepLines w:val="0"/>
                    <w:suppressLineNumbers w:val="0"/>
                    <w:spacing w:before="0" w:beforeAutospacing="0" w:after="0" w:afterAutospacing="0"/>
                    <w:ind w:left="0" w:right="0"/>
                    <w:jc w:val="center"/>
                    <w:rPr>
                      <w:rFonts w:hint="default"/>
                      <w:b/>
                      <w:bCs/>
                      <w:color w:val="auto"/>
                      <w:kern w:val="0"/>
                      <w:szCs w:val="21"/>
                      <w:lang w:val="en-US" w:eastAsia="zh-CN"/>
                    </w:rPr>
                  </w:pPr>
                  <w:r>
                    <w:rPr>
                      <w:rFonts w:hint="eastAsia"/>
                      <w:b/>
                      <w:bCs/>
                      <w:color w:val="auto"/>
                      <w:kern w:val="0"/>
                      <w:szCs w:val="21"/>
                      <w:lang w:val="en-US" w:eastAsia="zh-CN"/>
                    </w:rPr>
                    <w:t>序号</w:t>
                  </w:r>
                </w:p>
              </w:tc>
              <w:tc>
                <w:tcPr>
                  <w:tcW w:w="1972" w:type="dxa"/>
                  <w:vAlign w:val="center"/>
                </w:tcPr>
                <w:p w14:paraId="7169A3CD">
                  <w:pPr>
                    <w:keepNext w:val="0"/>
                    <w:keepLines w:val="0"/>
                    <w:suppressLineNumbers w:val="0"/>
                    <w:spacing w:before="0" w:beforeAutospacing="0" w:after="0" w:afterAutospacing="0"/>
                    <w:ind w:left="0" w:right="0"/>
                    <w:jc w:val="center"/>
                    <w:rPr>
                      <w:rFonts w:hint="default"/>
                      <w:b/>
                      <w:bCs/>
                      <w:color w:val="auto"/>
                      <w:kern w:val="0"/>
                      <w:szCs w:val="21"/>
                      <w:lang w:val="en-US" w:eastAsia="zh-CN"/>
                    </w:rPr>
                  </w:pPr>
                  <w:r>
                    <w:rPr>
                      <w:rFonts w:hint="eastAsia"/>
                      <w:b/>
                      <w:bCs/>
                      <w:color w:val="auto"/>
                      <w:kern w:val="0"/>
                      <w:szCs w:val="21"/>
                      <w:lang w:val="en-US" w:eastAsia="zh-CN"/>
                    </w:rPr>
                    <w:t>名称</w:t>
                  </w:r>
                </w:p>
              </w:tc>
              <w:tc>
                <w:tcPr>
                  <w:tcW w:w="1370" w:type="dxa"/>
                  <w:vAlign w:val="center"/>
                </w:tcPr>
                <w:p w14:paraId="54711D8C">
                  <w:pPr>
                    <w:keepNext w:val="0"/>
                    <w:keepLines w:val="0"/>
                    <w:suppressLineNumbers w:val="0"/>
                    <w:spacing w:before="0" w:beforeAutospacing="0" w:after="0" w:afterAutospacing="0"/>
                    <w:ind w:left="0" w:right="0"/>
                    <w:jc w:val="center"/>
                    <w:rPr>
                      <w:rFonts w:hint="default"/>
                      <w:b/>
                      <w:bCs/>
                      <w:color w:val="auto"/>
                      <w:kern w:val="0"/>
                      <w:szCs w:val="21"/>
                      <w:lang w:val="en-US" w:eastAsia="zh-CN"/>
                    </w:rPr>
                  </w:pPr>
                  <w:r>
                    <w:rPr>
                      <w:rFonts w:hint="eastAsia"/>
                      <w:b/>
                      <w:bCs/>
                      <w:color w:val="auto"/>
                      <w:kern w:val="0"/>
                      <w:szCs w:val="21"/>
                      <w:lang w:val="en-US" w:eastAsia="zh-CN"/>
                    </w:rPr>
                    <w:t>年用量</w:t>
                  </w:r>
                </w:p>
              </w:tc>
              <w:tc>
                <w:tcPr>
                  <w:tcW w:w="1370" w:type="dxa"/>
                  <w:vAlign w:val="center"/>
                </w:tcPr>
                <w:p w14:paraId="2D714A5D">
                  <w:pPr>
                    <w:keepNext w:val="0"/>
                    <w:keepLines w:val="0"/>
                    <w:suppressLineNumbers w:val="0"/>
                    <w:spacing w:before="0" w:beforeAutospacing="0" w:after="0" w:afterAutospacing="0"/>
                    <w:ind w:left="0" w:right="0"/>
                    <w:jc w:val="center"/>
                    <w:rPr>
                      <w:rFonts w:hint="default"/>
                      <w:b/>
                      <w:bCs/>
                      <w:color w:val="auto"/>
                      <w:kern w:val="0"/>
                      <w:szCs w:val="21"/>
                      <w:lang w:val="en-US" w:eastAsia="zh-CN"/>
                    </w:rPr>
                  </w:pPr>
                  <w:r>
                    <w:rPr>
                      <w:rFonts w:hint="eastAsia"/>
                      <w:b/>
                      <w:bCs/>
                      <w:color w:val="auto"/>
                      <w:kern w:val="0"/>
                      <w:szCs w:val="21"/>
                      <w:lang w:val="en-US" w:eastAsia="zh-CN"/>
                    </w:rPr>
                    <w:t>储存位置</w:t>
                  </w:r>
                </w:p>
              </w:tc>
              <w:tc>
                <w:tcPr>
                  <w:tcW w:w="1371" w:type="dxa"/>
                  <w:vAlign w:val="center"/>
                </w:tcPr>
                <w:p w14:paraId="09F06393">
                  <w:pPr>
                    <w:keepNext w:val="0"/>
                    <w:keepLines w:val="0"/>
                    <w:suppressLineNumbers w:val="0"/>
                    <w:spacing w:before="0" w:beforeAutospacing="0" w:after="0" w:afterAutospacing="0"/>
                    <w:ind w:left="0" w:right="0"/>
                    <w:jc w:val="center"/>
                    <w:rPr>
                      <w:rFonts w:hint="default"/>
                      <w:b/>
                      <w:bCs/>
                      <w:color w:val="auto"/>
                      <w:kern w:val="0"/>
                      <w:szCs w:val="21"/>
                      <w:lang w:val="en-US" w:eastAsia="zh-CN"/>
                    </w:rPr>
                  </w:pPr>
                  <w:r>
                    <w:rPr>
                      <w:rFonts w:hint="eastAsia"/>
                      <w:b/>
                      <w:bCs/>
                      <w:color w:val="auto"/>
                      <w:kern w:val="0"/>
                      <w:szCs w:val="21"/>
                      <w:lang w:val="en-US" w:eastAsia="zh-CN"/>
                    </w:rPr>
                    <w:t>主要用途</w:t>
                  </w:r>
                </w:p>
              </w:tc>
              <w:tc>
                <w:tcPr>
                  <w:tcW w:w="1371" w:type="dxa"/>
                  <w:vAlign w:val="center"/>
                </w:tcPr>
                <w:p w14:paraId="56522DEC">
                  <w:pPr>
                    <w:keepNext w:val="0"/>
                    <w:keepLines w:val="0"/>
                    <w:suppressLineNumbers w:val="0"/>
                    <w:spacing w:before="0" w:beforeAutospacing="0" w:after="0" w:afterAutospacing="0"/>
                    <w:ind w:left="0" w:right="0"/>
                    <w:jc w:val="center"/>
                    <w:rPr>
                      <w:rFonts w:hint="default"/>
                      <w:b/>
                      <w:bCs/>
                      <w:color w:val="auto"/>
                      <w:kern w:val="0"/>
                      <w:szCs w:val="21"/>
                      <w:lang w:val="en-US" w:eastAsia="zh-CN"/>
                    </w:rPr>
                  </w:pPr>
                  <w:r>
                    <w:rPr>
                      <w:rFonts w:hint="eastAsia"/>
                      <w:b/>
                      <w:bCs/>
                      <w:color w:val="auto"/>
                      <w:kern w:val="0"/>
                      <w:szCs w:val="21"/>
                      <w:lang w:val="en-US" w:eastAsia="zh-CN"/>
                    </w:rPr>
                    <w:t>备注</w:t>
                  </w:r>
                </w:p>
              </w:tc>
            </w:tr>
            <w:tr w14:paraId="45FE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14:paraId="25BA29DA">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1</w:t>
                  </w:r>
                </w:p>
              </w:tc>
              <w:tc>
                <w:tcPr>
                  <w:tcW w:w="1972" w:type="dxa"/>
                  <w:vAlign w:val="center"/>
                </w:tcPr>
                <w:p w14:paraId="2E32F47E">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混凝土粗细骨料</w:t>
                  </w:r>
                </w:p>
              </w:tc>
              <w:tc>
                <w:tcPr>
                  <w:tcW w:w="1370" w:type="dxa"/>
                  <w:vAlign w:val="center"/>
                </w:tcPr>
                <w:p w14:paraId="1ADB8907">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300组</w:t>
                  </w:r>
                </w:p>
              </w:tc>
              <w:tc>
                <w:tcPr>
                  <w:tcW w:w="1370" w:type="dxa"/>
                  <w:vMerge w:val="restart"/>
                  <w:vAlign w:val="center"/>
                </w:tcPr>
                <w:p w14:paraId="43C70552">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样品暂存间</w:t>
                  </w:r>
                </w:p>
              </w:tc>
              <w:tc>
                <w:tcPr>
                  <w:tcW w:w="1371" w:type="dxa"/>
                  <w:vMerge w:val="restart"/>
                  <w:vAlign w:val="center"/>
                </w:tcPr>
                <w:p w14:paraId="7AD186A9">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工程检测</w:t>
                  </w:r>
                </w:p>
              </w:tc>
              <w:tc>
                <w:tcPr>
                  <w:tcW w:w="1371" w:type="dxa"/>
                  <w:vMerge w:val="restart"/>
                  <w:vAlign w:val="center"/>
                </w:tcPr>
                <w:p w14:paraId="3ACF81BF">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样品</w:t>
                  </w:r>
                </w:p>
              </w:tc>
            </w:tr>
            <w:tr w14:paraId="7BEA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14:paraId="46ABD0BF">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2</w:t>
                  </w:r>
                </w:p>
              </w:tc>
              <w:tc>
                <w:tcPr>
                  <w:tcW w:w="1972" w:type="dxa"/>
                  <w:vAlign w:val="center"/>
                </w:tcPr>
                <w:p w14:paraId="0795F2B7">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混凝土试块</w:t>
                  </w:r>
                </w:p>
              </w:tc>
              <w:tc>
                <w:tcPr>
                  <w:tcW w:w="1370" w:type="dxa"/>
                  <w:vAlign w:val="center"/>
                </w:tcPr>
                <w:p w14:paraId="2E18A11D">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250组</w:t>
                  </w:r>
                </w:p>
              </w:tc>
              <w:tc>
                <w:tcPr>
                  <w:tcW w:w="1370" w:type="dxa"/>
                  <w:vMerge w:val="continue"/>
                  <w:vAlign w:val="center"/>
                </w:tcPr>
                <w:p w14:paraId="4F0A8DA2">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20BE1F31">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6ED0F7B5">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r>
            <w:tr w14:paraId="1DE1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14:paraId="2971CDCB">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3</w:t>
                  </w:r>
                </w:p>
              </w:tc>
              <w:tc>
                <w:tcPr>
                  <w:tcW w:w="1972" w:type="dxa"/>
                  <w:vAlign w:val="center"/>
                </w:tcPr>
                <w:p w14:paraId="0196FEDE">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岩石</w:t>
                  </w:r>
                </w:p>
              </w:tc>
              <w:tc>
                <w:tcPr>
                  <w:tcW w:w="1370" w:type="dxa"/>
                  <w:vAlign w:val="center"/>
                </w:tcPr>
                <w:p w14:paraId="1B4FC347">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600组</w:t>
                  </w:r>
                </w:p>
              </w:tc>
              <w:tc>
                <w:tcPr>
                  <w:tcW w:w="1370" w:type="dxa"/>
                  <w:vMerge w:val="continue"/>
                  <w:vAlign w:val="center"/>
                </w:tcPr>
                <w:p w14:paraId="153ED7A8">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5B065B32">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4F836F66">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r>
            <w:tr w14:paraId="0115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14:paraId="32A37F51">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4</w:t>
                  </w:r>
                </w:p>
              </w:tc>
              <w:tc>
                <w:tcPr>
                  <w:tcW w:w="1972" w:type="dxa"/>
                  <w:vAlign w:val="center"/>
                </w:tcPr>
                <w:p w14:paraId="2068840C">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钢材</w:t>
                  </w:r>
                </w:p>
              </w:tc>
              <w:tc>
                <w:tcPr>
                  <w:tcW w:w="1370" w:type="dxa"/>
                  <w:vAlign w:val="center"/>
                </w:tcPr>
                <w:p w14:paraId="76FA4BBC">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400组</w:t>
                  </w:r>
                </w:p>
              </w:tc>
              <w:tc>
                <w:tcPr>
                  <w:tcW w:w="1370" w:type="dxa"/>
                  <w:vMerge w:val="continue"/>
                  <w:vAlign w:val="center"/>
                </w:tcPr>
                <w:p w14:paraId="1075C039">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7B5B5F84">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1D0174BD">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r>
            <w:tr w14:paraId="060E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14:paraId="11F56B8B">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5</w:t>
                  </w:r>
                </w:p>
              </w:tc>
              <w:tc>
                <w:tcPr>
                  <w:tcW w:w="1972" w:type="dxa"/>
                  <w:vAlign w:val="center"/>
                </w:tcPr>
                <w:p w14:paraId="60179464">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橡胶止水带</w:t>
                  </w:r>
                </w:p>
              </w:tc>
              <w:tc>
                <w:tcPr>
                  <w:tcW w:w="1370" w:type="dxa"/>
                  <w:vAlign w:val="center"/>
                </w:tcPr>
                <w:p w14:paraId="0A3A3564">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130组</w:t>
                  </w:r>
                </w:p>
              </w:tc>
              <w:tc>
                <w:tcPr>
                  <w:tcW w:w="1370" w:type="dxa"/>
                  <w:vMerge w:val="continue"/>
                  <w:vAlign w:val="center"/>
                </w:tcPr>
                <w:p w14:paraId="45598F36">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725C8263">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72B287BE">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r>
            <w:tr w14:paraId="40C1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14:paraId="78182841">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6</w:t>
                  </w:r>
                </w:p>
              </w:tc>
              <w:tc>
                <w:tcPr>
                  <w:tcW w:w="1972" w:type="dxa"/>
                  <w:vAlign w:val="center"/>
                </w:tcPr>
                <w:p w14:paraId="5609BA56">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水泥</w:t>
                  </w:r>
                </w:p>
              </w:tc>
              <w:tc>
                <w:tcPr>
                  <w:tcW w:w="1370" w:type="dxa"/>
                  <w:vAlign w:val="center"/>
                </w:tcPr>
                <w:p w14:paraId="1AD77D58">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180组</w:t>
                  </w:r>
                </w:p>
              </w:tc>
              <w:tc>
                <w:tcPr>
                  <w:tcW w:w="1370" w:type="dxa"/>
                  <w:vMerge w:val="continue"/>
                  <w:vAlign w:val="center"/>
                </w:tcPr>
                <w:p w14:paraId="3CCFBE90">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54F3FCAF">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00D44AF8">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r>
            <w:tr w14:paraId="28DC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14:paraId="6195AE13">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7</w:t>
                  </w:r>
                </w:p>
              </w:tc>
              <w:tc>
                <w:tcPr>
                  <w:tcW w:w="1972" w:type="dxa"/>
                  <w:vAlign w:val="center"/>
                </w:tcPr>
                <w:p w14:paraId="455703F1">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外加剂</w:t>
                  </w:r>
                </w:p>
              </w:tc>
              <w:tc>
                <w:tcPr>
                  <w:tcW w:w="1370" w:type="dxa"/>
                  <w:vAlign w:val="center"/>
                </w:tcPr>
                <w:p w14:paraId="2D966AC8">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100组</w:t>
                  </w:r>
                </w:p>
              </w:tc>
              <w:tc>
                <w:tcPr>
                  <w:tcW w:w="1370" w:type="dxa"/>
                  <w:vMerge w:val="continue"/>
                  <w:vAlign w:val="center"/>
                </w:tcPr>
                <w:p w14:paraId="45D38C0E">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3E668678">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7DF63A84">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r>
            <w:tr w14:paraId="1B26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14:paraId="23600B63">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8</w:t>
                  </w:r>
                </w:p>
              </w:tc>
              <w:tc>
                <w:tcPr>
                  <w:tcW w:w="1972" w:type="dxa"/>
                  <w:vAlign w:val="center"/>
                </w:tcPr>
                <w:p w14:paraId="6AF9483B">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配合比</w:t>
                  </w:r>
                </w:p>
              </w:tc>
              <w:tc>
                <w:tcPr>
                  <w:tcW w:w="1370" w:type="dxa"/>
                  <w:vAlign w:val="center"/>
                </w:tcPr>
                <w:p w14:paraId="3B0706C6">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3组</w:t>
                  </w:r>
                </w:p>
              </w:tc>
              <w:tc>
                <w:tcPr>
                  <w:tcW w:w="1370" w:type="dxa"/>
                  <w:vMerge w:val="continue"/>
                  <w:vAlign w:val="center"/>
                </w:tcPr>
                <w:p w14:paraId="5B9C1689">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50901C32">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323246D5">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r>
            <w:tr w14:paraId="1D05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14:paraId="32A96BEA">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9</w:t>
                  </w:r>
                </w:p>
              </w:tc>
              <w:tc>
                <w:tcPr>
                  <w:tcW w:w="1972" w:type="dxa"/>
                  <w:vAlign w:val="center"/>
                </w:tcPr>
                <w:p w14:paraId="4F0755A5">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沥青</w:t>
                  </w:r>
                </w:p>
              </w:tc>
              <w:tc>
                <w:tcPr>
                  <w:tcW w:w="1370" w:type="dxa"/>
                  <w:vAlign w:val="center"/>
                </w:tcPr>
                <w:p w14:paraId="5D988C8F">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2组</w:t>
                  </w:r>
                </w:p>
              </w:tc>
              <w:tc>
                <w:tcPr>
                  <w:tcW w:w="1370" w:type="dxa"/>
                  <w:vMerge w:val="continue"/>
                  <w:vAlign w:val="center"/>
                </w:tcPr>
                <w:p w14:paraId="2018E57F">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0092CD68">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c>
                <w:tcPr>
                  <w:tcW w:w="1371" w:type="dxa"/>
                  <w:vMerge w:val="continue"/>
                  <w:vAlign w:val="center"/>
                </w:tcPr>
                <w:p w14:paraId="53022CCF">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r>
            <w:tr w14:paraId="64B7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14:paraId="3A89007E">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10</w:t>
                  </w:r>
                </w:p>
              </w:tc>
              <w:tc>
                <w:tcPr>
                  <w:tcW w:w="1972" w:type="dxa"/>
                  <w:vAlign w:val="center"/>
                </w:tcPr>
                <w:p w14:paraId="5F059DC7">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水样</w:t>
                  </w:r>
                </w:p>
              </w:tc>
              <w:tc>
                <w:tcPr>
                  <w:tcW w:w="1370" w:type="dxa"/>
                  <w:vAlign w:val="center"/>
                </w:tcPr>
                <w:p w14:paraId="679B5C86">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2000L</w:t>
                  </w:r>
                </w:p>
              </w:tc>
              <w:tc>
                <w:tcPr>
                  <w:tcW w:w="1370" w:type="dxa"/>
                  <w:vAlign w:val="center"/>
                </w:tcPr>
                <w:p w14:paraId="5B326519">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化学实验室</w:t>
                  </w:r>
                </w:p>
              </w:tc>
              <w:tc>
                <w:tcPr>
                  <w:tcW w:w="1371" w:type="dxa"/>
                  <w:vAlign w:val="center"/>
                </w:tcPr>
                <w:p w14:paraId="04EB9C3B">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水质检测</w:t>
                  </w:r>
                </w:p>
              </w:tc>
              <w:tc>
                <w:tcPr>
                  <w:tcW w:w="1371" w:type="dxa"/>
                  <w:vMerge w:val="continue"/>
                  <w:vAlign w:val="center"/>
                </w:tcPr>
                <w:p w14:paraId="12030556">
                  <w:pPr>
                    <w:keepNext w:val="0"/>
                    <w:keepLines w:val="0"/>
                    <w:suppressLineNumbers w:val="0"/>
                    <w:spacing w:before="0" w:beforeAutospacing="0" w:after="0" w:afterAutospacing="0"/>
                    <w:ind w:left="0" w:right="0"/>
                    <w:jc w:val="center"/>
                    <w:rPr>
                      <w:rFonts w:hint="default"/>
                      <w:color w:val="auto"/>
                      <w:kern w:val="0"/>
                      <w:szCs w:val="21"/>
                      <w:lang w:val="en-US" w:eastAsia="zh-CN"/>
                    </w:rPr>
                  </w:pPr>
                </w:p>
              </w:tc>
            </w:tr>
          </w:tbl>
          <w:p w14:paraId="2973DA85">
            <w:pPr>
              <w:keepNext w:val="0"/>
              <w:keepLines w:val="0"/>
              <w:suppressLineNumbers w:val="0"/>
              <w:spacing w:before="0" w:beforeAutospacing="0" w:after="0" w:afterAutospacing="0" w:line="360" w:lineRule="auto"/>
              <w:ind w:left="0" w:right="0" w:firstLine="482" w:firstLineChars="200"/>
              <w:rPr>
                <w:rFonts w:hint="default" w:eastAsia="宋体"/>
                <w:b/>
                <w:bCs/>
                <w:color w:val="auto"/>
                <w:sz w:val="24"/>
                <w:lang w:val="en-US" w:eastAsia="zh-CN"/>
              </w:rPr>
            </w:pPr>
            <w:r>
              <w:rPr>
                <w:rFonts w:hint="eastAsia"/>
                <w:b/>
                <w:bCs/>
                <w:color w:val="auto"/>
                <w:sz w:val="24"/>
                <w:lang w:eastAsia="zh-CN"/>
              </w:rPr>
              <w:t>（</w:t>
            </w:r>
            <w:r>
              <w:rPr>
                <w:rFonts w:hint="eastAsia"/>
                <w:b/>
                <w:bCs/>
                <w:color w:val="auto"/>
                <w:sz w:val="24"/>
                <w:lang w:val="en-US" w:eastAsia="zh-CN"/>
              </w:rPr>
              <w:t>2</w:t>
            </w:r>
            <w:r>
              <w:rPr>
                <w:rFonts w:hint="eastAsia"/>
                <w:b/>
                <w:bCs/>
                <w:color w:val="auto"/>
                <w:sz w:val="24"/>
                <w:lang w:eastAsia="zh-CN"/>
              </w:rPr>
              <w:t>）</w:t>
            </w:r>
            <w:r>
              <w:rPr>
                <w:rFonts w:hint="eastAsia"/>
                <w:b/>
                <w:bCs/>
                <w:color w:val="auto"/>
                <w:sz w:val="24"/>
                <w:lang w:val="en-US" w:eastAsia="zh-CN"/>
              </w:rPr>
              <w:t>化学实验主要实验试剂</w:t>
            </w:r>
          </w:p>
          <w:p w14:paraId="632B1C6C">
            <w:pPr>
              <w:keepNext w:val="0"/>
              <w:keepLines w:val="0"/>
              <w:suppressLineNumbers w:val="0"/>
              <w:spacing w:before="0" w:beforeAutospacing="0" w:after="0" w:afterAutospacing="0" w:line="360" w:lineRule="auto"/>
              <w:ind w:left="0" w:right="0" w:firstLine="480" w:firstLineChars="200"/>
              <w:rPr>
                <w:rFonts w:hint="eastAsia" w:eastAsia="宋体"/>
                <w:color w:val="auto"/>
                <w:sz w:val="24"/>
                <w:lang w:eastAsia="zh-CN"/>
              </w:rPr>
            </w:pPr>
            <w:r>
              <w:rPr>
                <w:rFonts w:hint="default"/>
                <w:color w:val="auto"/>
                <w:sz w:val="24"/>
              </w:rPr>
              <w:t>根据建设单位提供的资料，</w:t>
            </w:r>
            <w:r>
              <w:rPr>
                <w:rFonts w:hint="eastAsia"/>
                <w:color w:val="auto"/>
                <w:sz w:val="24"/>
                <w:lang w:val="en-US" w:eastAsia="zh-CN"/>
              </w:rPr>
              <w:t>本项目环境检测时需用到化学试剂，项目化学实验室内设置有药品室、易制毒品室。</w:t>
            </w:r>
            <w:r>
              <w:rPr>
                <w:rFonts w:hint="default"/>
                <w:color w:val="auto"/>
                <w:sz w:val="24"/>
              </w:rPr>
              <w:t>项目涉及的化学试剂主要存放于</w:t>
            </w:r>
            <w:r>
              <w:rPr>
                <w:rFonts w:hint="eastAsia"/>
                <w:color w:val="auto"/>
                <w:sz w:val="24"/>
                <w:lang w:val="en-US" w:eastAsia="zh-CN"/>
              </w:rPr>
              <w:t>化学实验室内的</w:t>
            </w:r>
            <w:r>
              <w:rPr>
                <w:rFonts w:hint="default"/>
                <w:color w:val="auto"/>
                <w:sz w:val="24"/>
              </w:rPr>
              <w:t>药品室，实验室试剂见表2-</w:t>
            </w:r>
            <w:r>
              <w:rPr>
                <w:rFonts w:hint="eastAsia"/>
                <w:color w:val="auto"/>
                <w:sz w:val="24"/>
                <w:lang w:val="en-US" w:eastAsia="zh-CN"/>
              </w:rPr>
              <w:t>5</w:t>
            </w:r>
            <w:r>
              <w:rPr>
                <w:rFonts w:hint="default"/>
                <w:color w:val="auto"/>
                <w:sz w:val="24"/>
              </w:rPr>
              <w:t>所示</w:t>
            </w:r>
            <w:r>
              <w:rPr>
                <w:rFonts w:hint="eastAsia"/>
                <w:color w:val="auto"/>
                <w:sz w:val="24"/>
                <w:lang w:eastAsia="zh-CN"/>
              </w:rPr>
              <w:t>。</w:t>
            </w:r>
          </w:p>
          <w:p w14:paraId="0C4D71DC">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表2-</w:t>
            </w:r>
            <w:r>
              <w:rPr>
                <w:rFonts w:hint="eastAsia"/>
                <w:b/>
                <w:color w:val="auto"/>
                <w:szCs w:val="21"/>
                <w:lang w:val="en-US" w:eastAsia="zh-CN"/>
              </w:rPr>
              <w:t>5</w:t>
            </w:r>
            <w:r>
              <w:rPr>
                <w:rFonts w:hint="default"/>
                <w:b/>
                <w:color w:val="auto"/>
                <w:szCs w:val="21"/>
              </w:rPr>
              <w:t xml:space="preserve">   主要原辅材料用量、存储量一览表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587"/>
              <w:gridCol w:w="1427"/>
              <w:gridCol w:w="1604"/>
              <w:gridCol w:w="1982"/>
              <w:gridCol w:w="853"/>
            </w:tblGrid>
            <w:tr w14:paraId="6271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6F7F16CF">
                  <w:pPr>
                    <w:keepNext w:val="0"/>
                    <w:keepLines w:val="0"/>
                    <w:suppressLineNumbers w:val="0"/>
                    <w:spacing w:before="0" w:beforeAutospacing="0" w:after="0" w:afterAutospacing="0"/>
                    <w:ind w:left="0" w:right="0"/>
                    <w:jc w:val="center"/>
                    <w:rPr>
                      <w:rFonts w:hint="default"/>
                      <w:b/>
                      <w:color w:val="auto"/>
                      <w:kern w:val="0"/>
                      <w:szCs w:val="21"/>
                    </w:rPr>
                  </w:pPr>
                  <w:r>
                    <w:rPr>
                      <w:rFonts w:hint="default"/>
                      <w:b/>
                      <w:color w:val="auto"/>
                      <w:kern w:val="0"/>
                      <w:szCs w:val="21"/>
                    </w:rPr>
                    <w:t>序号</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22576958">
                  <w:pPr>
                    <w:keepNext w:val="0"/>
                    <w:keepLines w:val="0"/>
                    <w:suppressLineNumbers w:val="0"/>
                    <w:spacing w:before="0" w:beforeAutospacing="0" w:after="0" w:afterAutospacing="0"/>
                    <w:ind w:left="0" w:right="0"/>
                    <w:jc w:val="center"/>
                    <w:rPr>
                      <w:rFonts w:hint="default"/>
                      <w:b/>
                      <w:color w:val="auto"/>
                      <w:kern w:val="0"/>
                      <w:szCs w:val="21"/>
                    </w:rPr>
                  </w:pPr>
                  <w:r>
                    <w:rPr>
                      <w:rFonts w:hint="default"/>
                      <w:b/>
                      <w:color w:val="auto"/>
                      <w:kern w:val="0"/>
                      <w:szCs w:val="21"/>
                    </w:rPr>
                    <w:t>试剂名称</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5451A220">
                  <w:pPr>
                    <w:keepNext w:val="0"/>
                    <w:keepLines w:val="0"/>
                    <w:suppressLineNumbers w:val="0"/>
                    <w:spacing w:before="0" w:beforeAutospacing="0" w:after="0" w:afterAutospacing="0"/>
                    <w:ind w:left="0" w:right="0"/>
                    <w:jc w:val="center"/>
                    <w:rPr>
                      <w:rFonts w:hint="default"/>
                      <w:b/>
                      <w:color w:val="auto"/>
                      <w:kern w:val="0"/>
                      <w:szCs w:val="21"/>
                    </w:rPr>
                  </w:pPr>
                  <w:r>
                    <w:rPr>
                      <w:rFonts w:hint="default"/>
                      <w:b/>
                      <w:color w:val="auto"/>
                      <w:kern w:val="0"/>
                      <w:szCs w:val="21"/>
                    </w:rPr>
                    <w:t>规格</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19564345">
                  <w:pPr>
                    <w:keepNext w:val="0"/>
                    <w:keepLines w:val="0"/>
                    <w:suppressLineNumbers w:val="0"/>
                    <w:spacing w:before="0" w:beforeAutospacing="0" w:after="0" w:afterAutospacing="0"/>
                    <w:ind w:left="0" w:right="0"/>
                    <w:jc w:val="center"/>
                    <w:rPr>
                      <w:rFonts w:hint="default"/>
                      <w:b/>
                      <w:color w:val="auto"/>
                      <w:kern w:val="0"/>
                      <w:szCs w:val="21"/>
                    </w:rPr>
                  </w:pPr>
                  <w:r>
                    <w:rPr>
                      <w:rFonts w:hint="default"/>
                      <w:b/>
                      <w:color w:val="auto"/>
                      <w:kern w:val="0"/>
                      <w:szCs w:val="21"/>
                    </w:rPr>
                    <w:t>年用量</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4C2BD6FE">
                  <w:pPr>
                    <w:keepNext w:val="0"/>
                    <w:keepLines w:val="0"/>
                    <w:suppressLineNumbers w:val="0"/>
                    <w:spacing w:before="0" w:beforeAutospacing="0" w:after="0" w:afterAutospacing="0"/>
                    <w:ind w:left="0" w:right="0"/>
                    <w:jc w:val="center"/>
                    <w:rPr>
                      <w:rFonts w:hint="default"/>
                      <w:b/>
                      <w:color w:val="auto"/>
                      <w:kern w:val="0"/>
                      <w:szCs w:val="21"/>
                    </w:rPr>
                  </w:pPr>
                  <w:r>
                    <w:rPr>
                      <w:rFonts w:hint="default"/>
                      <w:b/>
                      <w:color w:val="auto"/>
                      <w:kern w:val="0"/>
                      <w:szCs w:val="21"/>
                    </w:rPr>
                    <w:t>储存位置</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395013ED">
                  <w:pPr>
                    <w:keepNext w:val="0"/>
                    <w:keepLines w:val="0"/>
                    <w:suppressLineNumbers w:val="0"/>
                    <w:spacing w:before="0" w:beforeAutospacing="0" w:after="0" w:afterAutospacing="0"/>
                    <w:ind w:left="0" w:right="0"/>
                    <w:jc w:val="center"/>
                    <w:rPr>
                      <w:rFonts w:hint="default"/>
                      <w:b/>
                      <w:color w:val="auto"/>
                      <w:kern w:val="0"/>
                      <w:szCs w:val="21"/>
                    </w:rPr>
                  </w:pPr>
                  <w:r>
                    <w:rPr>
                      <w:rFonts w:hint="default"/>
                      <w:b/>
                      <w:color w:val="auto"/>
                      <w:kern w:val="0"/>
                      <w:szCs w:val="21"/>
                    </w:rPr>
                    <w:t>存储型式</w:t>
                  </w:r>
                </w:p>
              </w:tc>
            </w:tr>
            <w:tr w14:paraId="2593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4815FB28">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293F6E0D">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硫酸</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3B11DCD5">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500ml</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04758791">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2000ml</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6F3B6806">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易制毒品室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20C8AFC1">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61DD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5DBC531E">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373EB49B">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盐酸</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5730E9CE">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500ml</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4AEB7474">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1000ml</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30D8FDDC">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易制毒品室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2F626A52">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7C14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0BF7C4A2">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3</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001DF5CA">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氯化钠</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36C0A41B">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35A6D9CB">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597C2E18">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50D7D11D">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4343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130F022A">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4</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15D32876">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氯化钾</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4E640F5B">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34398889">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2B201723">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2E716A33">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641CE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1B3735F5">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5</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70C01734">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氯化铵</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528267B1">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2390ADA1">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300g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384A3C92">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7CB49987">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6363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6904FEC3">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6</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120C0BE9">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氢氧化钠</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4BBC4511">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3DEEBC0D">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08BD6059">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5AEC5B5C">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053A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638E33AC">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7</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3E4DD331">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邻苯二甲酸氢钾</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5970898A">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3BB41C03">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3CD3FD58">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4CFD9144">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0D32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7CDA680B">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8</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7911A5BE">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铬酸钾</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5A7A9CC2">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11E5568C">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39B6A73C">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2EDD18D4">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58F0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7DC451D0">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9</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17A4ADBD">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紫脲酸铵</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5E64678A">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25g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4CDF04B7">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41EB10F0">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5020E4BE">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0A63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672CE4BB">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3F3A61EA">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碳酸钙</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718BBB40">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43D70468">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500g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7300E922">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143DBF06">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09FE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18E3C1FD">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11</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0D2EB3F3">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甲基橙</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1DAA31A0">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25g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4E673236">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15g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6C643EA3">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73D64046">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3242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7F124452">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12</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5C0790CC">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酚酞</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2CDFBED1">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25g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0A070B67">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15g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2CC46999">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2E25B282">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0B01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522C0257">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13</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690A47B4">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甲基红</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272B70AF">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25g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3293B01E">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15g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53E1B3EA">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5D56AAEC">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1448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6A2BDCB5">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14</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3B3A8994">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无水碳酸钠</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03CF3ED4">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0D82480D">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5E692C8A">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5785CE80">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7713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4248AA49">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15</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359E01BC">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铬黑T</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74E1EB37">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25g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3DEF9A51">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6BF333DB">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7623ADB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7635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5BD49D25">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16</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1F6D1758">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亚甲基蓝</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4C738491">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25g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2992EE16">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5491FDE2">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7D145F91">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35A3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3257D835">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17</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0D49BEBB">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乙二胺四乙酸二钠</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1E1F2EA8">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250g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7E770353">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400g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3A7D8686">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1D4DE37C">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6F3D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60DA2CF7">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18</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2076AFCB">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草酸钠</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0C263651">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0F0C795B">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1A6073EC">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5E09A44D">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50CD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0EEB36A4">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19</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6CD0818E">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高锰酸钾</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617A75A2">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7CB4F1A6">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11E78D12">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37E952B8">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37EC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364D4134">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395038D7">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氯化钡</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22639167">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481E27C2">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694CED94">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4696C6E8">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66D4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092D9ABE">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21</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3E41FF6D">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酒石酸氢钠</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7F19F29F">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13003E67">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300g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69F82074">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40D0C991">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6D99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0809C723">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22</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4535366F">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碳酸氢钠</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5447370C">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29BB500A">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56A3FF3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554AB121">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59B4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42070C0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23</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58AED701">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高氯酸</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47C4C268">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500ml</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00A8A126">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500ml</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15A69C9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7B241E9B">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2B37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45FEF87E">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24</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2B9B7231">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氯化钡</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6565A325">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4F70DC4C">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14308CB8">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7B79DF5A">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1393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62E76789">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25</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6AA4D0C5">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氯化铵</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117D1260">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39C89FD5">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1624721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30B5E335">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5A6D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34213F26">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26</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7E06E560">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氧化锌</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5D9D00C4">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433A9E4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6C8A86E8">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49D2C377">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02E2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6B7CECFB">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27</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4DF2D30F">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无水乙醇</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269373C5">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500ml</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79F3EFD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2000ml</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066D40E9">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09D22598">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35D4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4A358365">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28</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500B1C65">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氨水</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2E0F6CF0">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500ml</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6C898B4C">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2000ml</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543FDE02">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14AFB7EC">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3757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0F840C65">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29</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192E15EC">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重铬酸钾</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4921EC49">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100g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428C4E15">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32B7282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6716A528">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2C91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60E1E0FB">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30</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65110546">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硫酸亚铁</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08C663B3">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2BF6AB51">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300g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324ACBB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096E1948">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3F0D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0A6D152D">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31</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2B0E5D3A">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钙试剂</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7E501D1E">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25g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46193C1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15g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5827758D">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61461F96">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697D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76F45336">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32</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4781AEAD">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磷酸氢二钠</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5D6C2A62">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055C892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02C1A631">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092CDBA4">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1481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2971C90B">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34</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0AEFBFC7">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邻苯二甲酸氢钠</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7DCF573F">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5C73B204">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58566E45">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5A26D0F2">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23BD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66B21F6E">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35</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29A076EE">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亚甲基蓝</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57D8CCC1">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25g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6E76F390">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10g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5DA33672">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3BAA493C">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64D8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45876F39">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36</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3D3775A4">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5-磺基水杨酸</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3A5E709D">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100g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7E59F827">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4819DDB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0F0DED1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r w14:paraId="19A7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6869B2A1">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37</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14:paraId="50498D64">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磷酸氢二钾</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3088F354">
                  <w:pPr>
                    <w:keepNext w:val="0"/>
                    <w:keepLines w:val="0"/>
                    <w:widowControl/>
                    <w:suppressLineNumbers w:val="0"/>
                    <w:spacing w:before="0" w:beforeAutospacing="0" w:after="0" w:afterAutospacing="0"/>
                    <w:ind w:left="0" w:right="0"/>
                    <w:jc w:val="center"/>
                    <w:textAlignment w:val="center"/>
                    <w:rPr>
                      <w:rFonts w:hint="default"/>
                      <w:color w:val="auto"/>
                      <w:kern w:val="0"/>
                      <w:szCs w:val="21"/>
                    </w:rPr>
                  </w:pPr>
                  <w:r>
                    <w:rPr>
                      <w:rFonts w:hint="default"/>
                      <w:color w:val="auto"/>
                      <w:kern w:val="0"/>
                      <w:szCs w:val="21"/>
                      <w:lang w:bidi="ar"/>
                    </w:rPr>
                    <w:t>500g</w:t>
                  </w:r>
                </w:p>
              </w:tc>
              <w:tc>
                <w:tcPr>
                  <w:tcW w:w="972" w:type="pct"/>
                  <w:tcBorders>
                    <w:top w:val="single" w:color="auto" w:sz="4" w:space="0"/>
                    <w:left w:val="single" w:color="auto" w:sz="4" w:space="0"/>
                    <w:bottom w:val="single" w:color="auto" w:sz="4" w:space="0"/>
                    <w:right w:val="single" w:color="auto" w:sz="4" w:space="0"/>
                  </w:tcBorders>
                  <w:shd w:val="clear" w:color="auto" w:fill="auto"/>
                  <w:vAlign w:val="center"/>
                </w:tcPr>
                <w:p w14:paraId="51C53F4F">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200g</w:t>
                  </w:r>
                </w:p>
              </w:tc>
              <w:tc>
                <w:tcPr>
                  <w:tcW w:w="1201" w:type="pct"/>
                  <w:tcBorders>
                    <w:top w:val="single" w:color="auto" w:sz="4" w:space="0"/>
                    <w:left w:val="single" w:color="auto" w:sz="4" w:space="0"/>
                    <w:bottom w:val="single" w:color="auto" w:sz="4" w:space="0"/>
                    <w:right w:val="single" w:color="auto" w:sz="4" w:space="0"/>
                  </w:tcBorders>
                  <w:shd w:val="clear" w:color="auto" w:fill="auto"/>
                  <w:vAlign w:val="center"/>
                </w:tcPr>
                <w:p w14:paraId="275EB5F1">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药品室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35E0108A">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瓶装</w:t>
                  </w:r>
                </w:p>
              </w:tc>
            </w:tr>
          </w:tbl>
          <w:p w14:paraId="32A1FAAD">
            <w:pPr>
              <w:keepNext w:val="0"/>
              <w:keepLines w:val="0"/>
              <w:suppressLineNumbers w:val="0"/>
              <w:spacing w:before="0" w:beforeAutospacing="0" w:after="0" w:afterAutospacing="0" w:line="360" w:lineRule="auto"/>
              <w:ind w:left="0" w:right="0" w:firstLine="482" w:firstLineChars="200"/>
              <w:rPr>
                <w:rFonts w:hint="default"/>
                <w:b/>
                <w:color w:val="auto"/>
                <w:sz w:val="24"/>
              </w:rPr>
            </w:pPr>
            <w:r>
              <w:rPr>
                <w:rFonts w:hint="default"/>
                <w:b/>
                <w:color w:val="auto"/>
                <w:sz w:val="24"/>
              </w:rPr>
              <w:t>原辅材料理化性质：</w:t>
            </w:r>
          </w:p>
          <w:p w14:paraId="396FB2C3">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表2-</w:t>
            </w:r>
            <w:r>
              <w:rPr>
                <w:rFonts w:hint="eastAsia"/>
                <w:b/>
                <w:color w:val="auto"/>
                <w:szCs w:val="21"/>
                <w:lang w:val="en-US" w:eastAsia="zh-CN"/>
              </w:rPr>
              <w:t>6</w:t>
            </w:r>
            <w:r>
              <w:rPr>
                <w:rFonts w:hint="default"/>
                <w:b/>
                <w:color w:val="auto"/>
                <w:szCs w:val="21"/>
              </w:rPr>
              <w:t xml:space="preserve">   主要原辅材料理化性质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6213"/>
            </w:tblGrid>
            <w:tr w14:paraId="11DA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585BB8E6">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名称</w:t>
                  </w:r>
                </w:p>
              </w:tc>
              <w:tc>
                <w:tcPr>
                  <w:tcW w:w="3765" w:type="pct"/>
                  <w:vAlign w:val="center"/>
                </w:tcPr>
                <w:p w14:paraId="0C39217D">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理化性质</w:t>
                  </w:r>
                </w:p>
              </w:tc>
            </w:tr>
            <w:tr w14:paraId="0C97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1DA053D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盐酸</w:t>
                  </w:r>
                </w:p>
              </w:tc>
              <w:tc>
                <w:tcPr>
                  <w:tcW w:w="3765" w:type="pct"/>
                  <w:vAlign w:val="center"/>
                </w:tcPr>
                <w:p w14:paraId="21970730">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CAS号：7647-01-0，化学式：HCl，相对分子质量：36.5，熔点：-27.32℃（38%），沸点：48℃（38%），相对密度（水=1）： 1.19</w:t>
                  </w:r>
                  <w:r>
                    <w:rPr>
                      <w:rFonts w:hint="default" w:eastAsiaTheme="minorEastAsia"/>
                      <w:color w:val="auto"/>
                      <w:szCs w:val="21"/>
                    </w:rPr>
                    <w:t>g/cm</w:t>
                  </w:r>
                  <w:r>
                    <w:rPr>
                      <w:rFonts w:hint="default"/>
                      <w:color w:val="auto"/>
                      <w:szCs w:val="21"/>
                    </w:rPr>
                    <w:t>³（38%），氯化氢水溶液，属于一元无机强酸，呈透明无色或黄色，易溶于水、乙醇、乙醚和油等，有刺激性气味和强腐蚀性。</w:t>
                  </w:r>
                </w:p>
              </w:tc>
            </w:tr>
            <w:tr w14:paraId="0265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23474BD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硫酸</w:t>
                  </w:r>
                </w:p>
              </w:tc>
              <w:tc>
                <w:tcPr>
                  <w:tcW w:w="3765" w:type="pct"/>
                  <w:vAlign w:val="center"/>
                </w:tcPr>
                <w:p w14:paraId="6EDFCAE3">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CAS号：7664-93-9，化学式：H</w:t>
                  </w:r>
                  <w:r>
                    <w:rPr>
                      <w:rFonts w:hint="default"/>
                      <w:color w:val="auto"/>
                      <w:szCs w:val="21"/>
                      <w:vertAlign w:val="subscript"/>
                    </w:rPr>
                    <w:t>2</w:t>
                  </w:r>
                  <w:r>
                    <w:rPr>
                      <w:rFonts w:hint="default"/>
                      <w:color w:val="auto"/>
                      <w:szCs w:val="21"/>
                    </w:rPr>
                    <w:t>SO</w:t>
                  </w:r>
                  <w:r>
                    <w:rPr>
                      <w:rFonts w:hint="default"/>
                      <w:color w:val="auto"/>
                      <w:szCs w:val="21"/>
                      <w:vertAlign w:val="subscript"/>
                    </w:rPr>
                    <w:t>4</w:t>
                  </w:r>
                  <w:r>
                    <w:rPr>
                      <w:rFonts w:hint="default"/>
                      <w:color w:val="auto"/>
                      <w:szCs w:val="21"/>
                    </w:rPr>
                    <w:t>，相对分子质量：98，熔点10.37℃，沸点337℃，能与水以任意比例互溶，同时放出大量的热，使水沸腾，相对密度（水=1）：1.84g/cm³，透明无色无臭液体，具有强烈的腐蚀性和氧化性，具有脱水性。</w:t>
                  </w:r>
                </w:p>
              </w:tc>
            </w:tr>
            <w:tr w14:paraId="4116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36D3A58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氯化钠</w:t>
                  </w:r>
                </w:p>
              </w:tc>
              <w:tc>
                <w:tcPr>
                  <w:tcW w:w="3765" w:type="pct"/>
                  <w:vAlign w:val="center"/>
                </w:tcPr>
                <w:p w14:paraId="17E34CCB">
                  <w:pPr>
                    <w:keepNext w:val="0"/>
                    <w:keepLines w:val="0"/>
                    <w:suppressLineNumbers w:val="0"/>
                    <w:spacing w:before="0" w:beforeAutospacing="0" w:after="0" w:afterAutospacing="0"/>
                    <w:ind w:left="0" w:right="0"/>
                    <w:rPr>
                      <w:rFonts w:hint="default"/>
                      <w:color w:val="auto"/>
                      <w:szCs w:val="21"/>
                    </w:rPr>
                  </w:pPr>
                  <w:r>
                    <w:rPr>
                      <w:rFonts w:hint="default"/>
                      <w:color w:val="auto"/>
                      <w:kern w:val="0"/>
                      <w:szCs w:val="21"/>
                    </w:rPr>
                    <w:t>氯化钠是白色无臭结晶粉末。熔点801℃，沸点1465℃，微溶于乙醇、丙醇、丁烷，在和丁烷互溶后变为等离子体，易溶于水，水中溶解度为35.9q（室温）。NaCI分散在酒精中可以形成胶本，其水中溶解度因氯化氢存在而减少，几乎不溶于浓盐酸。无臭味咸，易潮解。易溶于水，溶于甘油，几乎不溶于乙醚。</w:t>
                  </w:r>
                </w:p>
              </w:tc>
            </w:tr>
            <w:tr w14:paraId="7091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25C49B9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氯化钾</w:t>
                  </w:r>
                </w:p>
              </w:tc>
              <w:tc>
                <w:tcPr>
                  <w:tcW w:w="3765" w:type="pct"/>
                  <w:vAlign w:val="center"/>
                </w:tcPr>
                <w:p w14:paraId="3282B292">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氯化钾是一种无机化合物，化学式为 KCl，外观与性状：白色晶体，味极咸，无臭无毒性。易溶于水、醚、甘油及碱类，微溶于乙醇，但不溶于无水乙醇，有吸湿性，易结块；在水中的溶解度随温度的升高而迅速地增加，与钠盐常起复分解作用而生成新的钾盐；熔点为770℃，沸点为1420℃，密度为1.98g/cm</w:t>
                  </w:r>
                  <w:r>
                    <w:rPr>
                      <w:rFonts w:hint="default"/>
                      <w:color w:val="auto"/>
                      <w:szCs w:val="21"/>
                      <w:vertAlign w:val="superscript"/>
                    </w:rPr>
                    <w:t>3</w:t>
                  </w:r>
                  <w:r>
                    <w:rPr>
                      <w:rFonts w:hint="default"/>
                      <w:color w:val="auto"/>
                      <w:szCs w:val="21"/>
                    </w:rPr>
                    <w:t>。</w:t>
                  </w:r>
                </w:p>
              </w:tc>
            </w:tr>
            <w:tr w14:paraId="5491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0FB2CA4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氯化铵</w:t>
                  </w:r>
                </w:p>
              </w:tc>
              <w:tc>
                <w:tcPr>
                  <w:tcW w:w="3765" w:type="pct"/>
                  <w:vAlign w:val="center"/>
                </w:tcPr>
                <w:p w14:paraId="040CFF38">
                  <w:pPr>
                    <w:keepNext w:val="0"/>
                    <w:keepLines w:val="0"/>
                    <w:suppressLineNumbers w:val="0"/>
                    <w:spacing w:before="0" w:beforeAutospacing="0" w:after="0" w:afterAutospacing="0"/>
                    <w:ind w:left="0" w:right="0"/>
                    <w:rPr>
                      <w:rFonts w:hint="default"/>
                      <w:color w:val="auto"/>
                      <w:szCs w:val="21"/>
                    </w:rPr>
                  </w:pPr>
                  <w:r>
                    <w:rPr>
                      <w:rFonts w:hint="default"/>
                      <w:color w:val="auto"/>
                    </w:rPr>
                    <w:t>氯化铵（简称“氯铵”，又称卤砂，化学式：NH4Cl）为无色立方晶体或白色结晶粉末。相对密度1.527。易溶于水及乙醇，溶于液氨，不溶于丙酮和乙醚。沸点520℃。</w:t>
                  </w:r>
                </w:p>
              </w:tc>
            </w:tr>
            <w:tr w14:paraId="6079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3E62429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无水乙醇</w:t>
                  </w:r>
                </w:p>
              </w:tc>
              <w:tc>
                <w:tcPr>
                  <w:tcW w:w="3765" w:type="pct"/>
                  <w:vAlign w:val="center"/>
                </w:tcPr>
                <w:p w14:paraId="30F655FE">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CAS号：64-17-5，化学式：C</w:t>
                  </w:r>
                  <w:r>
                    <w:rPr>
                      <w:rFonts w:hint="default"/>
                      <w:color w:val="auto"/>
                      <w:szCs w:val="21"/>
                      <w:vertAlign w:val="subscript"/>
                    </w:rPr>
                    <w:t>2</w:t>
                  </w:r>
                  <w:r>
                    <w:rPr>
                      <w:rFonts w:hint="default"/>
                      <w:color w:val="auto"/>
                      <w:szCs w:val="21"/>
                    </w:rPr>
                    <w:t>H</w:t>
                  </w:r>
                  <w:r>
                    <w:rPr>
                      <w:rFonts w:hint="default"/>
                      <w:color w:val="auto"/>
                      <w:szCs w:val="21"/>
                      <w:vertAlign w:val="subscript"/>
                    </w:rPr>
                    <w:t>6</w:t>
                  </w:r>
                  <w:r>
                    <w:rPr>
                      <w:rFonts w:hint="default"/>
                      <w:color w:val="auto"/>
                      <w:szCs w:val="21"/>
                    </w:rPr>
                    <w:t>O，相对分子质量：46.07，熔点：-114.1℃，沸点：78.3℃，闪点：12℃，密度：0.789g/cm³，无色透明液体，有芳香气味，易燃，与水混溶，可混溶于乙醚、氯仿、甘油、甲醇等多数有机溶剂。</w:t>
                  </w:r>
                </w:p>
              </w:tc>
            </w:tr>
            <w:tr w14:paraId="2B5C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509DDB0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氢氧化钠</w:t>
                  </w:r>
                </w:p>
              </w:tc>
              <w:tc>
                <w:tcPr>
                  <w:tcW w:w="3765" w:type="pct"/>
                  <w:vAlign w:val="center"/>
                </w:tcPr>
                <w:p w14:paraId="59856185">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分子式：NaOH，分子量：40.01，白色不透明固体，易潮解；熔点（℃）：318.4，沸点（℃）：1390，相对密度（水=1）：2.12，饱和蒸气压（kPa）：0.13（739℃）；易溶于水、乙醇、甘油、不溶于丙酮。</w:t>
                  </w:r>
                </w:p>
              </w:tc>
            </w:tr>
            <w:tr w14:paraId="2720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72DD1966">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lang w:bidi="ar"/>
                    </w:rPr>
                    <w:t>邻苯二甲酸氢钾</w:t>
                  </w:r>
                </w:p>
              </w:tc>
              <w:tc>
                <w:tcPr>
                  <w:tcW w:w="3765" w:type="pct"/>
                  <w:vAlign w:val="center"/>
                </w:tcPr>
                <w:p w14:paraId="0D3529CD">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邻苯二甲酸氢钾是一种化学物质，分子式是C</w:t>
                  </w:r>
                  <w:r>
                    <w:rPr>
                      <w:rFonts w:hint="default"/>
                      <w:color w:val="auto"/>
                      <w:szCs w:val="21"/>
                      <w:vertAlign w:val="subscript"/>
                    </w:rPr>
                    <w:t>8</w:t>
                  </w:r>
                  <w:r>
                    <w:rPr>
                      <w:rFonts w:hint="default"/>
                      <w:color w:val="auto"/>
                      <w:szCs w:val="21"/>
                    </w:rPr>
                    <w:t>H</w:t>
                  </w:r>
                  <w:r>
                    <w:rPr>
                      <w:rFonts w:hint="default"/>
                      <w:color w:val="auto"/>
                      <w:szCs w:val="21"/>
                      <w:vertAlign w:val="subscript"/>
                    </w:rPr>
                    <w:t>5</w:t>
                  </w:r>
                  <w:r>
                    <w:rPr>
                      <w:rFonts w:hint="default"/>
                      <w:color w:val="auto"/>
                      <w:szCs w:val="21"/>
                    </w:rPr>
                    <w:t>KO</w:t>
                  </w:r>
                  <w:r>
                    <w:rPr>
                      <w:rFonts w:hint="default"/>
                      <w:color w:val="auto"/>
                      <w:szCs w:val="21"/>
                      <w:vertAlign w:val="subscript"/>
                    </w:rPr>
                    <w:t>4</w:t>
                  </w:r>
                  <w:r>
                    <w:rPr>
                      <w:rFonts w:hint="default"/>
                      <w:color w:val="auto"/>
                      <w:szCs w:val="21"/>
                    </w:rPr>
                    <w:t>，无色单斜结晶或白色结晶性粉末。在空气中稳定，能溶于水，微溶于醇。溶于约12份冷水、3份沸水，微溶于乙醇。溶液呈酸性。25℃ 0.05mol/L水溶液的</w:t>
                  </w:r>
                  <w:r>
                    <w:rPr>
                      <w:rFonts w:hint="default"/>
                      <w:color w:val="auto"/>
                      <w:szCs w:val="21"/>
                    </w:rPr>
                    <w:fldChar w:fldCharType="begin"/>
                  </w:r>
                  <w:r>
                    <w:rPr>
                      <w:rFonts w:hint="default"/>
                      <w:color w:val="auto"/>
                      <w:szCs w:val="21"/>
                    </w:rPr>
                    <w:instrText xml:space="preserve"> HYPERLINK "https://baike.sogou.com/lemma/ShowInnerLink.htm?lemmaId=506640&amp;ss_c=ssc.citiao.link" \t "https://baike.sogou.com/_blank" </w:instrText>
                  </w:r>
                  <w:r>
                    <w:rPr>
                      <w:rFonts w:hint="default"/>
                      <w:color w:val="auto"/>
                      <w:szCs w:val="21"/>
                    </w:rPr>
                    <w:fldChar w:fldCharType="separate"/>
                  </w:r>
                  <w:r>
                    <w:rPr>
                      <w:rFonts w:hint="default"/>
                      <w:color w:val="auto"/>
                      <w:szCs w:val="21"/>
                    </w:rPr>
                    <w:t>pH</w:t>
                  </w:r>
                  <w:r>
                    <w:rPr>
                      <w:rFonts w:hint="default"/>
                      <w:color w:val="auto"/>
                      <w:szCs w:val="21"/>
                    </w:rPr>
                    <w:fldChar w:fldCharType="end"/>
                  </w:r>
                  <w:r>
                    <w:rPr>
                      <w:rFonts w:hint="default"/>
                      <w:color w:val="auto"/>
                      <w:szCs w:val="21"/>
                    </w:rPr>
                    <w:t>为4.005。</w:t>
                  </w:r>
                </w:p>
              </w:tc>
            </w:tr>
            <w:tr w14:paraId="3308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78DBB483">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lang w:bidi="ar"/>
                    </w:rPr>
                    <w:t>铬酸钾</w:t>
                  </w:r>
                </w:p>
              </w:tc>
              <w:tc>
                <w:tcPr>
                  <w:tcW w:w="3765" w:type="pct"/>
                  <w:vAlign w:val="center"/>
                </w:tcPr>
                <w:p w14:paraId="34213EA7">
                  <w:pPr>
                    <w:keepNext w:val="0"/>
                    <w:keepLines w:val="0"/>
                    <w:suppressLineNumbers w:val="0"/>
                    <w:spacing w:before="0" w:beforeAutospacing="0" w:after="0" w:afterAutospacing="0"/>
                    <w:ind w:left="0" w:right="0"/>
                    <w:rPr>
                      <w:rFonts w:hint="default"/>
                      <w:color w:val="auto"/>
                      <w:szCs w:val="21"/>
                    </w:rPr>
                  </w:pPr>
                  <w:r>
                    <w:rPr>
                      <w:rFonts w:hint="default"/>
                      <w:color w:val="auto"/>
                      <w:kern w:val="0"/>
                      <w:szCs w:val="21"/>
                    </w:rPr>
                    <w:t>CAS号：</w:t>
                  </w:r>
                  <w:r>
                    <w:rPr>
                      <w:rFonts w:hint="default"/>
                      <w:color w:val="auto"/>
                      <w:kern w:val="0"/>
                      <w:szCs w:val="21"/>
                    </w:rPr>
                    <w:fldChar w:fldCharType="begin"/>
                  </w:r>
                  <w:r>
                    <w:rPr>
                      <w:rFonts w:hint="default"/>
                      <w:color w:val="auto"/>
                      <w:kern w:val="0"/>
                      <w:szCs w:val="21"/>
                    </w:rPr>
                    <w:instrText xml:space="preserve"> HYPERLINK "https://www.chembk.com/cn/chem/10039-32-4" </w:instrText>
                  </w:r>
                  <w:r>
                    <w:rPr>
                      <w:rFonts w:hint="default"/>
                      <w:color w:val="auto"/>
                      <w:kern w:val="0"/>
                      <w:szCs w:val="21"/>
                    </w:rPr>
                    <w:fldChar w:fldCharType="separate"/>
                  </w:r>
                  <w:r>
                    <w:rPr>
                      <w:rFonts w:hint="default"/>
                      <w:color w:val="auto"/>
                      <w:kern w:val="0"/>
                      <w:szCs w:val="21"/>
                    </w:rPr>
                    <w:t>7789-00-6</w:t>
                  </w:r>
                  <w:r>
                    <w:rPr>
                      <w:rFonts w:hint="default"/>
                      <w:color w:val="auto"/>
                      <w:kern w:val="0"/>
                      <w:szCs w:val="21"/>
                    </w:rPr>
                    <w:fldChar w:fldCharType="end"/>
                  </w:r>
                  <w:r>
                    <w:rPr>
                      <w:rFonts w:hint="default"/>
                      <w:color w:val="auto"/>
                      <w:kern w:val="0"/>
                      <w:szCs w:val="21"/>
                    </w:rPr>
                    <w:t>，化学式：K</w:t>
                  </w:r>
                  <w:r>
                    <w:rPr>
                      <w:rFonts w:hint="default"/>
                      <w:color w:val="auto"/>
                      <w:kern w:val="0"/>
                      <w:szCs w:val="21"/>
                      <w:vertAlign w:val="subscript"/>
                    </w:rPr>
                    <w:t>2</w:t>
                  </w:r>
                  <w:r>
                    <w:rPr>
                      <w:rFonts w:hint="default"/>
                      <w:color w:val="auto"/>
                      <w:kern w:val="0"/>
                      <w:szCs w:val="21"/>
                    </w:rPr>
                    <w:t>CrO</w:t>
                  </w:r>
                  <w:r>
                    <w:rPr>
                      <w:rFonts w:hint="default"/>
                      <w:color w:val="auto"/>
                      <w:kern w:val="0"/>
                      <w:szCs w:val="21"/>
                      <w:vertAlign w:val="subscript"/>
                    </w:rPr>
                    <w:t>4</w:t>
                  </w:r>
                  <w:r>
                    <w:rPr>
                      <w:rFonts w:hint="default"/>
                      <w:color w:val="auto"/>
                      <w:kern w:val="0"/>
                      <w:szCs w:val="21"/>
                    </w:rPr>
                    <w:t>，分子量：194.19，黄色斜方晶体，溶于水，不溶于乙醇。</w:t>
                  </w:r>
                </w:p>
              </w:tc>
            </w:tr>
            <w:tr w14:paraId="2380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30D6BDD8">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lang w:bidi="ar"/>
                    </w:rPr>
                    <w:t>无水碳酸钠</w:t>
                  </w:r>
                </w:p>
              </w:tc>
              <w:tc>
                <w:tcPr>
                  <w:tcW w:w="3765" w:type="pct"/>
                  <w:vAlign w:val="center"/>
                </w:tcPr>
                <w:p w14:paraId="4D432B57">
                  <w:pPr>
                    <w:keepNext w:val="0"/>
                    <w:keepLines w:val="0"/>
                    <w:suppressLineNumbers w:val="0"/>
                    <w:spacing w:before="0" w:beforeAutospacing="0" w:after="0" w:afterAutospacing="0"/>
                    <w:ind w:left="0" w:right="0"/>
                    <w:rPr>
                      <w:rFonts w:hint="default"/>
                      <w:color w:val="auto"/>
                      <w:szCs w:val="21"/>
                    </w:rPr>
                  </w:pPr>
                  <w:r>
                    <w:rPr>
                      <w:rFonts w:hint="default"/>
                      <w:color w:val="auto"/>
                      <w:kern w:val="0"/>
                      <w:szCs w:val="21"/>
                    </w:rPr>
                    <w:t>CAS号：</w:t>
                  </w:r>
                  <w:r>
                    <w:rPr>
                      <w:rFonts w:hint="default"/>
                      <w:color w:val="auto"/>
                      <w:kern w:val="0"/>
                      <w:szCs w:val="21"/>
                    </w:rPr>
                    <w:fldChar w:fldCharType="begin"/>
                  </w:r>
                  <w:r>
                    <w:rPr>
                      <w:rFonts w:hint="default"/>
                      <w:color w:val="auto"/>
                      <w:kern w:val="0"/>
                      <w:szCs w:val="21"/>
                    </w:rPr>
                    <w:instrText xml:space="preserve"> HYPERLINK "https://www.chembk.com/cn/chem/10039-32-4" </w:instrText>
                  </w:r>
                  <w:r>
                    <w:rPr>
                      <w:rFonts w:hint="default"/>
                      <w:color w:val="auto"/>
                      <w:kern w:val="0"/>
                      <w:szCs w:val="21"/>
                    </w:rPr>
                    <w:fldChar w:fldCharType="separate"/>
                  </w:r>
                  <w:r>
                    <w:rPr>
                      <w:rFonts w:hint="default"/>
                      <w:color w:val="auto"/>
                      <w:kern w:val="0"/>
                      <w:szCs w:val="21"/>
                    </w:rPr>
                    <w:t>7542-12-3</w:t>
                  </w:r>
                  <w:r>
                    <w:rPr>
                      <w:rFonts w:hint="default"/>
                      <w:color w:val="auto"/>
                      <w:kern w:val="0"/>
                      <w:szCs w:val="21"/>
                    </w:rPr>
                    <w:fldChar w:fldCharType="end"/>
                  </w:r>
                  <w:r>
                    <w:rPr>
                      <w:rFonts w:hint="default"/>
                      <w:color w:val="auto"/>
                      <w:kern w:val="0"/>
                      <w:szCs w:val="21"/>
                    </w:rPr>
                    <w:t>，化学式：CH</w:t>
                  </w:r>
                  <w:r>
                    <w:rPr>
                      <w:rFonts w:hint="default"/>
                      <w:color w:val="auto"/>
                      <w:kern w:val="0"/>
                      <w:szCs w:val="21"/>
                      <w:vertAlign w:val="subscript"/>
                    </w:rPr>
                    <w:t>2</w:t>
                  </w:r>
                  <w:r>
                    <w:rPr>
                      <w:rFonts w:hint="default"/>
                      <w:color w:val="auto"/>
                      <w:kern w:val="0"/>
                      <w:szCs w:val="21"/>
                    </w:rPr>
                    <w:t>O</w:t>
                  </w:r>
                  <w:r>
                    <w:rPr>
                      <w:rFonts w:hint="default"/>
                      <w:color w:val="auto"/>
                      <w:kern w:val="0"/>
                      <w:szCs w:val="21"/>
                      <w:vertAlign w:val="subscript"/>
                    </w:rPr>
                    <w:t>3</w:t>
                  </w:r>
                  <w:r>
                    <w:rPr>
                      <w:rFonts w:hint="default"/>
                      <w:color w:val="auto"/>
                      <w:kern w:val="0"/>
                      <w:szCs w:val="21"/>
                    </w:rPr>
                    <w:t>.2Na，分子量：105.99，密度2.53g/cm³，熔点851°C，沸点1600°C。</w:t>
                  </w:r>
                  <w:r>
                    <w:rPr>
                      <w:rFonts w:hint="default"/>
                      <w:color w:val="auto"/>
                      <w:szCs w:val="21"/>
                      <w:shd w:val="clear" w:color="auto" w:fill="FFFFFF"/>
                    </w:rPr>
                    <w:t>无水碳酸钠的纯品是白色粉末或细粒。易溶于水，水溶液呈强碱性。微溶于无水乙醇，不溶于丙酮。</w:t>
                  </w:r>
                </w:p>
              </w:tc>
            </w:tr>
            <w:tr w14:paraId="246C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4DC9B783">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lang w:bidi="ar"/>
                    </w:rPr>
                    <w:t>乙二胺四乙酸二钠</w:t>
                  </w:r>
                </w:p>
              </w:tc>
              <w:tc>
                <w:tcPr>
                  <w:tcW w:w="3765" w:type="pct"/>
                  <w:vAlign w:val="center"/>
                </w:tcPr>
                <w:p w14:paraId="12098791">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CAS号：6831-92-6，化学式：C</w:t>
                  </w:r>
                  <w:r>
                    <w:rPr>
                      <w:rFonts w:hint="default"/>
                      <w:color w:val="auto"/>
                      <w:szCs w:val="21"/>
                      <w:vertAlign w:val="subscript"/>
                    </w:rPr>
                    <w:t>10</w:t>
                  </w:r>
                  <w:r>
                    <w:rPr>
                      <w:rFonts w:hint="default"/>
                      <w:color w:val="auto"/>
                      <w:szCs w:val="21"/>
                    </w:rPr>
                    <w:t>H</w:t>
                  </w:r>
                  <w:r>
                    <w:rPr>
                      <w:rFonts w:hint="default"/>
                      <w:color w:val="auto"/>
                      <w:szCs w:val="21"/>
                      <w:vertAlign w:val="subscript"/>
                    </w:rPr>
                    <w:t>14</w:t>
                  </w:r>
                  <w:r>
                    <w:rPr>
                      <w:rFonts w:hint="default"/>
                      <w:color w:val="auto"/>
                      <w:szCs w:val="21"/>
                    </w:rPr>
                    <w:t>N</w:t>
                  </w:r>
                  <w:r>
                    <w:rPr>
                      <w:rFonts w:hint="default"/>
                      <w:color w:val="auto"/>
                      <w:szCs w:val="21"/>
                      <w:vertAlign w:val="subscript"/>
                    </w:rPr>
                    <w:t>2</w:t>
                  </w:r>
                  <w:r>
                    <w:rPr>
                      <w:rFonts w:hint="default"/>
                      <w:color w:val="auto"/>
                    </w:rPr>
                    <w:fldChar w:fldCharType="begin"/>
                  </w:r>
                  <w:r>
                    <w:rPr>
                      <w:rFonts w:hint="default"/>
                      <w:color w:val="auto"/>
                    </w:rPr>
                    <w:instrText xml:space="preserve"> HYPERLINK "https://www.wiki8.cn/Na_47194/" \o "医学百科：Na" </w:instrText>
                  </w:r>
                  <w:r>
                    <w:rPr>
                      <w:rFonts w:hint="default"/>
                      <w:color w:val="auto"/>
                    </w:rPr>
                    <w:fldChar w:fldCharType="separate"/>
                  </w:r>
                  <w:r>
                    <w:rPr>
                      <w:rFonts w:hint="default"/>
                      <w:color w:val="auto"/>
                      <w:szCs w:val="21"/>
                    </w:rPr>
                    <w:t>Na</w:t>
                  </w:r>
                  <w:r>
                    <w:rPr>
                      <w:rFonts w:hint="default"/>
                      <w:color w:val="auto"/>
                      <w:szCs w:val="21"/>
                    </w:rPr>
                    <w:fldChar w:fldCharType="end"/>
                  </w:r>
                  <w:r>
                    <w:rPr>
                      <w:rFonts w:hint="default"/>
                      <w:color w:val="auto"/>
                      <w:szCs w:val="21"/>
                      <w:vertAlign w:val="subscript"/>
                    </w:rPr>
                    <w:t>2</w:t>
                  </w:r>
                  <w:r>
                    <w:rPr>
                      <w:rFonts w:hint="default"/>
                      <w:color w:val="auto"/>
                      <w:szCs w:val="21"/>
                    </w:rPr>
                    <w:t>O</w:t>
                  </w:r>
                  <w:r>
                    <w:rPr>
                      <w:rFonts w:hint="default"/>
                      <w:color w:val="auto"/>
                      <w:szCs w:val="21"/>
                      <w:vertAlign w:val="subscript"/>
                    </w:rPr>
                    <w:t>8</w:t>
                  </w:r>
                  <w:r>
                    <w:rPr>
                      <w:rFonts w:hint="default"/>
                      <w:color w:val="auto"/>
                      <w:szCs w:val="21"/>
                    </w:rPr>
                    <w:t>·2H</w:t>
                  </w:r>
                  <w:r>
                    <w:rPr>
                      <w:rFonts w:hint="default"/>
                      <w:color w:val="auto"/>
                      <w:szCs w:val="21"/>
                      <w:vertAlign w:val="subscript"/>
                    </w:rPr>
                    <w:t>2</w:t>
                  </w:r>
                  <w:r>
                    <w:rPr>
                      <w:rFonts w:hint="default"/>
                      <w:color w:val="auto"/>
                      <w:szCs w:val="21"/>
                    </w:rPr>
                    <w:t>O，分子量：372.24，熔点248℃。白色或类白色</w:t>
                  </w:r>
                  <w:r>
                    <w:rPr>
                      <w:rFonts w:hint="default"/>
                      <w:color w:val="auto"/>
                      <w:szCs w:val="21"/>
                    </w:rPr>
                    <w:fldChar w:fldCharType="begin"/>
                  </w:r>
                  <w:r>
                    <w:rPr>
                      <w:rFonts w:hint="default"/>
                      <w:color w:val="auto"/>
                      <w:szCs w:val="21"/>
                    </w:rPr>
                    <w:instrText xml:space="preserve"> HYPERLINK "https://www.wiki8.cn/jiejing_109978/" \o "医学百科：结晶" </w:instrText>
                  </w:r>
                  <w:r>
                    <w:rPr>
                      <w:rFonts w:hint="default"/>
                      <w:color w:val="auto"/>
                      <w:szCs w:val="21"/>
                    </w:rPr>
                    <w:fldChar w:fldCharType="separate"/>
                  </w:r>
                  <w:r>
                    <w:rPr>
                      <w:rFonts w:hint="default"/>
                      <w:color w:val="auto"/>
                      <w:szCs w:val="21"/>
                    </w:rPr>
                    <w:t>结晶</w:t>
                  </w:r>
                  <w:r>
                    <w:rPr>
                      <w:rFonts w:hint="default"/>
                      <w:color w:val="auto"/>
                      <w:szCs w:val="21"/>
                    </w:rPr>
                    <w:fldChar w:fldCharType="end"/>
                  </w:r>
                  <w:r>
                    <w:rPr>
                      <w:rFonts w:hint="default"/>
                      <w:color w:val="auto"/>
                      <w:szCs w:val="21"/>
                    </w:rPr>
                    <w:t>性粉末；无臭。在水中</w:t>
                  </w:r>
                  <w:r>
                    <w:rPr>
                      <w:rFonts w:hint="default"/>
                      <w:color w:val="auto"/>
                    </w:rPr>
                    <w:fldChar w:fldCharType="begin"/>
                  </w:r>
                  <w:r>
                    <w:rPr>
                      <w:rFonts w:hint="default"/>
                      <w:color w:val="auto"/>
                    </w:rPr>
                    <w:instrText xml:space="preserve"> HYPERLINK "https://www.wiki8.cn/rongjie_109762/" \o "医学百科：溶解" </w:instrText>
                  </w:r>
                  <w:r>
                    <w:rPr>
                      <w:rFonts w:hint="default"/>
                      <w:color w:val="auto"/>
                    </w:rPr>
                    <w:fldChar w:fldCharType="separate"/>
                  </w:r>
                  <w:r>
                    <w:rPr>
                      <w:rFonts w:hint="default"/>
                      <w:color w:val="auto"/>
                      <w:szCs w:val="21"/>
                    </w:rPr>
                    <w:t>溶解</w:t>
                  </w:r>
                  <w:r>
                    <w:rPr>
                      <w:rFonts w:hint="default"/>
                      <w:color w:val="auto"/>
                      <w:szCs w:val="21"/>
                    </w:rPr>
                    <w:fldChar w:fldCharType="end"/>
                  </w:r>
                  <w:r>
                    <w:rPr>
                      <w:rFonts w:hint="default"/>
                      <w:color w:val="auto"/>
                      <w:szCs w:val="21"/>
                    </w:rPr>
                    <w:t>，在</w:t>
                  </w:r>
                  <w:r>
                    <w:rPr>
                      <w:rFonts w:hint="default"/>
                      <w:color w:val="auto"/>
                    </w:rPr>
                    <w:fldChar w:fldCharType="begin"/>
                  </w:r>
                  <w:r>
                    <w:rPr>
                      <w:rFonts w:hint="default"/>
                      <w:color w:val="auto"/>
                    </w:rPr>
                    <w:instrText xml:space="preserve"> HYPERLINK "https://www.wiki8.cn/jiachun_35829/" \o "医学百科：甲醇" </w:instrText>
                  </w:r>
                  <w:r>
                    <w:rPr>
                      <w:rFonts w:hint="default"/>
                      <w:color w:val="auto"/>
                    </w:rPr>
                    <w:fldChar w:fldCharType="separate"/>
                  </w:r>
                  <w:r>
                    <w:rPr>
                      <w:rFonts w:hint="default"/>
                      <w:color w:val="auto"/>
                      <w:szCs w:val="21"/>
                    </w:rPr>
                    <w:t>甲醇</w:t>
                  </w:r>
                  <w:r>
                    <w:rPr>
                      <w:rFonts w:hint="default"/>
                      <w:color w:val="auto"/>
                      <w:szCs w:val="21"/>
                    </w:rPr>
                    <w:fldChar w:fldCharType="end"/>
                  </w:r>
                  <w:r>
                    <w:rPr>
                      <w:rFonts w:hint="default"/>
                      <w:color w:val="auto"/>
                      <w:szCs w:val="21"/>
                    </w:rPr>
                    <w:t>、</w:t>
                  </w:r>
                  <w:r>
                    <w:rPr>
                      <w:rFonts w:hint="default"/>
                      <w:color w:val="auto"/>
                    </w:rPr>
                    <w:fldChar w:fldCharType="begin"/>
                  </w:r>
                  <w:r>
                    <w:rPr>
                      <w:rFonts w:hint="default"/>
                      <w:color w:val="auto"/>
                    </w:rPr>
                    <w:instrText xml:space="preserve"> HYPERLINK "https://www.wiki8.cn/yichun_24156/" \o "医学百科：乙醇" </w:instrText>
                  </w:r>
                  <w:r>
                    <w:rPr>
                      <w:rFonts w:hint="default"/>
                      <w:color w:val="auto"/>
                    </w:rPr>
                    <w:fldChar w:fldCharType="separate"/>
                  </w:r>
                  <w:r>
                    <w:rPr>
                      <w:rFonts w:hint="default"/>
                      <w:color w:val="auto"/>
                      <w:szCs w:val="21"/>
                    </w:rPr>
                    <w:t>乙醇</w:t>
                  </w:r>
                  <w:r>
                    <w:rPr>
                      <w:rFonts w:hint="default"/>
                      <w:color w:val="auto"/>
                      <w:szCs w:val="21"/>
                    </w:rPr>
                    <w:fldChar w:fldCharType="end"/>
                  </w:r>
                  <w:r>
                    <w:rPr>
                      <w:rFonts w:hint="default"/>
                      <w:color w:val="auto"/>
                      <w:szCs w:val="21"/>
                    </w:rPr>
                    <w:t>或</w:t>
                  </w:r>
                  <w:r>
                    <w:rPr>
                      <w:rFonts w:hint="default"/>
                      <w:color w:val="auto"/>
                    </w:rPr>
                    <w:fldChar w:fldCharType="begin"/>
                  </w:r>
                  <w:r>
                    <w:rPr>
                      <w:rFonts w:hint="default"/>
                      <w:color w:val="auto"/>
                    </w:rPr>
                    <w:instrText xml:space="preserve"> HYPERLINK "https://www.wiki8.cn/sanlvjiawan_121101/" \o "医学百科：三氯甲烷" </w:instrText>
                  </w:r>
                  <w:r>
                    <w:rPr>
                      <w:rFonts w:hint="default"/>
                      <w:color w:val="auto"/>
                    </w:rPr>
                    <w:fldChar w:fldCharType="separate"/>
                  </w:r>
                  <w:r>
                    <w:rPr>
                      <w:rFonts w:hint="default"/>
                      <w:color w:val="auto"/>
                      <w:szCs w:val="21"/>
                    </w:rPr>
                    <w:t>三氯甲烷</w:t>
                  </w:r>
                  <w:r>
                    <w:rPr>
                      <w:rFonts w:hint="default"/>
                      <w:color w:val="auto"/>
                      <w:szCs w:val="21"/>
                    </w:rPr>
                    <w:fldChar w:fldCharType="end"/>
                  </w:r>
                  <w:r>
                    <w:rPr>
                      <w:rFonts w:hint="default"/>
                      <w:color w:val="auto"/>
                      <w:szCs w:val="21"/>
                    </w:rPr>
                    <w:t>中几乎不溶。</w:t>
                  </w:r>
                </w:p>
              </w:tc>
            </w:tr>
            <w:tr w14:paraId="7356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273A3819">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lang w:bidi="ar"/>
                    </w:rPr>
                    <w:t>高锰酸钾</w:t>
                  </w:r>
                </w:p>
              </w:tc>
              <w:tc>
                <w:tcPr>
                  <w:tcW w:w="3765" w:type="pct"/>
                  <w:vAlign w:val="center"/>
                </w:tcPr>
                <w:p w14:paraId="5758AB48">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CAS号：7722-64-7，化学式：KMnO</w:t>
                  </w:r>
                  <w:r>
                    <w:rPr>
                      <w:rFonts w:hint="default"/>
                      <w:color w:val="auto"/>
                      <w:szCs w:val="21"/>
                      <w:vertAlign w:val="subscript"/>
                    </w:rPr>
                    <w:t>4</w:t>
                  </w:r>
                  <w:r>
                    <w:rPr>
                      <w:rFonts w:hint="default"/>
                      <w:color w:val="auto"/>
                      <w:szCs w:val="21"/>
                    </w:rPr>
                    <w:t>，分子量：158.03，相对密度（水=1）：2.7g/cm³，熔点240℃，是一种</w:t>
                  </w:r>
                  <w:r>
                    <w:rPr>
                      <w:rFonts w:hint="default"/>
                      <w:color w:val="auto"/>
                      <w:szCs w:val="21"/>
                    </w:rPr>
                    <w:fldChar w:fldCharType="begin"/>
                  </w:r>
                  <w:r>
                    <w:rPr>
                      <w:rFonts w:hint="default"/>
                      <w:color w:val="auto"/>
                      <w:szCs w:val="21"/>
                    </w:rPr>
                    <w:instrText xml:space="preserve">HYPERLINK "https://baike.baidu.com/item/%E5%BC%BA%E6%B0%A7%E5%8C%96%E5%89%82/1712635" \t "_blank"</w:instrText>
                  </w:r>
                  <w:r>
                    <w:rPr>
                      <w:rFonts w:hint="default"/>
                      <w:color w:val="auto"/>
                      <w:szCs w:val="21"/>
                    </w:rPr>
                    <w:fldChar w:fldCharType="separate"/>
                  </w:r>
                  <w:r>
                    <w:rPr>
                      <w:rFonts w:hint="default"/>
                      <w:color w:val="auto"/>
                      <w:szCs w:val="21"/>
                    </w:rPr>
                    <w:t>强氧化剂</w:t>
                  </w:r>
                  <w:r>
                    <w:rPr>
                      <w:rFonts w:hint="default"/>
                      <w:color w:val="auto"/>
                      <w:szCs w:val="21"/>
                    </w:rPr>
                    <w:fldChar w:fldCharType="end"/>
                  </w:r>
                  <w:r>
                    <w:rPr>
                      <w:rFonts w:hint="default"/>
                      <w:color w:val="auto"/>
                      <w:szCs w:val="21"/>
                    </w:rPr>
                    <w:t>，为黑紫色结晶，带蓝色的金属光泽，无臭，与某些有机物或易氧化物接触，易发生爆炸，溶于水、碱液，微溶于甲醇、丙酮、硫酸。</w:t>
                  </w:r>
                </w:p>
              </w:tc>
            </w:tr>
            <w:tr w14:paraId="526B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7B31B803">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lang w:bidi="ar"/>
                    </w:rPr>
                    <w:t>氯化钡</w:t>
                  </w:r>
                </w:p>
              </w:tc>
              <w:tc>
                <w:tcPr>
                  <w:tcW w:w="3765" w:type="pct"/>
                  <w:vAlign w:val="center"/>
                </w:tcPr>
                <w:p w14:paraId="2D264AC7">
                  <w:pPr>
                    <w:keepNext w:val="0"/>
                    <w:keepLines w:val="0"/>
                    <w:suppressLineNumbers w:val="0"/>
                    <w:spacing w:before="0" w:beforeAutospacing="0" w:after="0" w:afterAutospacing="0"/>
                    <w:ind w:left="0" w:right="0"/>
                    <w:rPr>
                      <w:rFonts w:hint="default"/>
                      <w:color w:val="auto"/>
                      <w:szCs w:val="21"/>
                    </w:rPr>
                  </w:pPr>
                  <w:r>
                    <w:rPr>
                      <w:rFonts w:hint="default"/>
                      <w:color w:val="auto"/>
                      <w:kern w:val="0"/>
                      <w:szCs w:val="21"/>
                    </w:rPr>
                    <w:t>CAS号：</w:t>
                  </w:r>
                  <w:r>
                    <w:rPr>
                      <w:rFonts w:hint="default"/>
                      <w:color w:val="auto"/>
                      <w:kern w:val="0"/>
                      <w:szCs w:val="21"/>
                    </w:rPr>
                    <w:fldChar w:fldCharType="begin"/>
                  </w:r>
                  <w:r>
                    <w:rPr>
                      <w:rFonts w:hint="default"/>
                      <w:color w:val="auto"/>
                      <w:kern w:val="0"/>
                      <w:szCs w:val="21"/>
                    </w:rPr>
                    <w:instrText xml:space="preserve"> HYPERLINK "https://www.chembk.com/cn/chem/10039-32-4" </w:instrText>
                  </w:r>
                  <w:r>
                    <w:rPr>
                      <w:rFonts w:hint="default"/>
                      <w:color w:val="auto"/>
                      <w:kern w:val="0"/>
                      <w:szCs w:val="21"/>
                    </w:rPr>
                    <w:fldChar w:fldCharType="separate"/>
                  </w:r>
                  <w:r>
                    <w:rPr>
                      <w:rFonts w:hint="default"/>
                      <w:color w:val="auto"/>
                      <w:kern w:val="0"/>
                      <w:szCs w:val="21"/>
                    </w:rPr>
                    <w:t>10361-37-2</w:t>
                  </w:r>
                  <w:r>
                    <w:rPr>
                      <w:rFonts w:hint="default"/>
                      <w:color w:val="auto"/>
                      <w:kern w:val="0"/>
                      <w:szCs w:val="21"/>
                    </w:rPr>
                    <w:fldChar w:fldCharType="end"/>
                  </w:r>
                  <w:r>
                    <w:rPr>
                      <w:rFonts w:hint="default"/>
                      <w:color w:val="auto"/>
                      <w:kern w:val="0"/>
                      <w:szCs w:val="21"/>
                    </w:rPr>
                    <w:t>，化学式BaCl</w:t>
                  </w:r>
                  <w:r>
                    <w:rPr>
                      <w:rFonts w:hint="default"/>
                      <w:color w:val="auto"/>
                      <w:kern w:val="0"/>
                      <w:szCs w:val="21"/>
                      <w:vertAlign w:val="subscript"/>
                    </w:rPr>
                    <w:t>2</w:t>
                  </w:r>
                  <w:r>
                    <w:rPr>
                      <w:rFonts w:hint="default"/>
                      <w:color w:val="auto"/>
                      <w:kern w:val="0"/>
                      <w:szCs w:val="21"/>
                    </w:rPr>
                    <w:t>，分子量208.23。氯化钡是白色的晶体，易溶于水，微溶于</w:t>
                  </w:r>
                  <w:r>
                    <w:rPr>
                      <w:rFonts w:hint="default"/>
                      <w:color w:val="auto"/>
                      <w:kern w:val="0"/>
                      <w:szCs w:val="21"/>
                    </w:rPr>
                    <w:fldChar w:fldCharType="begin"/>
                  </w:r>
                  <w:r>
                    <w:rPr>
                      <w:rFonts w:hint="default"/>
                      <w:color w:val="auto"/>
                      <w:kern w:val="0"/>
                      <w:szCs w:val="21"/>
                    </w:rPr>
                    <w:instrText xml:space="preserve"> HYPERLINK "https://baike.sogou.com/lemma/ShowInnerLink.htm?lemmaId=138785&amp;ss_c=ssc.citiao.link" \t "https://baike.sogou.com/_blank" </w:instrText>
                  </w:r>
                  <w:r>
                    <w:rPr>
                      <w:rFonts w:hint="default"/>
                      <w:color w:val="auto"/>
                      <w:kern w:val="0"/>
                      <w:szCs w:val="21"/>
                    </w:rPr>
                    <w:fldChar w:fldCharType="separate"/>
                  </w:r>
                  <w:r>
                    <w:rPr>
                      <w:rFonts w:hint="default"/>
                      <w:color w:val="auto"/>
                      <w:kern w:val="0"/>
                      <w:szCs w:val="21"/>
                    </w:rPr>
                    <w:t>盐酸</w:t>
                  </w:r>
                  <w:r>
                    <w:rPr>
                      <w:rFonts w:hint="default"/>
                      <w:color w:val="auto"/>
                      <w:kern w:val="0"/>
                      <w:szCs w:val="21"/>
                    </w:rPr>
                    <w:fldChar w:fldCharType="end"/>
                  </w:r>
                  <w:r>
                    <w:rPr>
                      <w:rFonts w:hint="default"/>
                      <w:color w:val="auto"/>
                      <w:kern w:val="0"/>
                      <w:szCs w:val="21"/>
                    </w:rPr>
                    <w:t>和</w:t>
                  </w:r>
                  <w:r>
                    <w:rPr>
                      <w:rFonts w:hint="default"/>
                      <w:color w:val="auto"/>
                    </w:rPr>
                    <w:fldChar w:fldCharType="begin"/>
                  </w:r>
                  <w:r>
                    <w:rPr>
                      <w:rFonts w:hint="default"/>
                      <w:color w:val="auto"/>
                    </w:rPr>
                    <w:instrText xml:space="preserve"> HYPERLINK "https://baike.sogou.com/lemma/ShowInnerLink.htm?lemmaId=294066&amp;ss_c=ssc.citiao.link" \t "https://baike.sogou.com/_blank" </w:instrText>
                  </w:r>
                  <w:r>
                    <w:rPr>
                      <w:rFonts w:hint="default"/>
                      <w:color w:val="auto"/>
                    </w:rPr>
                    <w:fldChar w:fldCharType="separate"/>
                  </w:r>
                  <w:r>
                    <w:rPr>
                      <w:rFonts w:hint="default"/>
                      <w:color w:val="auto"/>
                      <w:kern w:val="0"/>
                      <w:szCs w:val="21"/>
                    </w:rPr>
                    <w:t>硝酸</w:t>
                  </w:r>
                  <w:r>
                    <w:rPr>
                      <w:rFonts w:hint="default"/>
                      <w:color w:val="auto"/>
                      <w:kern w:val="0"/>
                      <w:szCs w:val="21"/>
                    </w:rPr>
                    <w:fldChar w:fldCharType="end"/>
                  </w:r>
                  <w:r>
                    <w:rPr>
                      <w:rFonts w:hint="default"/>
                      <w:color w:val="auto"/>
                      <w:kern w:val="0"/>
                      <w:szCs w:val="21"/>
                    </w:rPr>
                    <w:t>，难溶于乙醇和</w:t>
                  </w:r>
                  <w:r>
                    <w:rPr>
                      <w:rFonts w:hint="default"/>
                      <w:color w:val="auto"/>
                    </w:rPr>
                    <w:fldChar w:fldCharType="begin"/>
                  </w:r>
                  <w:r>
                    <w:rPr>
                      <w:rFonts w:hint="default"/>
                      <w:color w:val="auto"/>
                    </w:rPr>
                    <w:instrText xml:space="preserve"> HYPERLINK "https://baike.sogou.com/lemma/ShowInnerLink.htm?lemmaId=115284&amp;ss_c=ssc.citiao.link" \t "https://baike.sogou.com/_blank" </w:instrText>
                  </w:r>
                  <w:r>
                    <w:rPr>
                      <w:rFonts w:hint="default"/>
                      <w:color w:val="auto"/>
                    </w:rPr>
                    <w:fldChar w:fldCharType="separate"/>
                  </w:r>
                  <w:r>
                    <w:rPr>
                      <w:rFonts w:hint="default"/>
                      <w:color w:val="auto"/>
                      <w:kern w:val="0"/>
                      <w:szCs w:val="21"/>
                    </w:rPr>
                    <w:t>乙醚</w:t>
                  </w:r>
                  <w:r>
                    <w:rPr>
                      <w:rFonts w:hint="default"/>
                      <w:color w:val="auto"/>
                      <w:kern w:val="0"/>
                      <w:szCs w:val="21"/>
                    </w:rPr>
                    <w:fldChar w:fldCharType="end"/>
                  </w:r>
                  <w:r>
                    <w:rPr>
                      <w:rFonts w:hint="default"/>
                      <w:color w:val="auto"/>
                      <w:kern w:val="0"/>
                      <w:szCs w:val="21"/>
                    </w:rPr>
                    <w:t>，易吸湿，需密封保存。作分析试剂、</w:t>
                  </w:r>
                  <w:r>
                    <w:rPr>
                      <w:rFonts w:hint="default"/>
                      <w:color w:val="auto"/>
                    </w:rPr>
                    <w:fldChar w:fldCharType="begin"/>
                  </w:r>
                  <w:r>
                    <w:rPr>
                      <w:rFonts w:hint="default"/>
                      <w:color w:val="auto"/>
                    </w:rPr>
                    <w:instrText xml:space="preserve"> HYPERLINK "https://baike.sogou.com/lemma/ShowInnerLink.htm?lemmaId=8074780&amp;ss_c=ssc.citiao.link" \t "https://baike.sogou.com/_blank" </w:instrText>
                  </w:r>
                  <w:r>
                    <w:rPr>
                      <w:rFonts w:hint="default"/>
                      <w:color w:val="auto"/>
                    </w:rPr>
                    <w:fldChar w:fldCharType="separate"/>
                  </w:r>
                  <w:r>
                    <w:rPr>
                      <w:rFonts w:hint="default"/>
                      <w:color w:val="auto"/>
                      <w:kern w:val="0"/>
                      <w:szCs w:val="21"/>
                    </w:rPr>
                    <w:t>脱水剂</w:t>
                  </w:r>
                  <w:r>
                    <w:rPr>
                      <w:rFonts w:hint="default"/>
                      <w:color w:val="auto"/>
                      <w:kern w:val="0"/>
                      <w:szCs w:val="21"/>
                    </w:rPr>
                    <w:fldChar w:fldCharType="end"/>
                  </w:r>
                  <w:r>
                    <w:rPr>
                      <w:rFonts w:hint="default"/>
                      <w:color w:val="auto"/>
                      <w:kern w:val="0"/>
                      <w:szCs w:val="21"/>
                    </w:rPr>
                    <w:t>，制</w:t>
                  </w:r>
                  <w:r>
                    <w:rPr>
                      <w:rFonts w:hint="default"/>
                      <w:color w:val="auto"/>
                    </w:rPr>
                    <w:fldChar w:fldCharType="begin"/>
                  </w:r>
                  <w:r>
                    <w:rPr>
                      <w:rFonts w:hint="default"/>
                      <w:color w:val="auto"/>
                    </w:rPr>
                    <w:instrText xml:space="preserve"> HYPERLINK "https://baike.sogou.com/lemma/ShowInnerLink.htm?lemmaId=63804383&amp;ss_c=ssc.citiao.link" \t "https://baike.sogou.com/_blank" </w:instrText>
                  </w:r>
                  <w:r>
                    <w:rPr>
                      <w:rFonts w:hint="default"/>
                      <w:color w:val="auto"/>
                    </w:rPr>
                    <w:fldChar w:fldCharType="separate"/>
                  </w:r>
                  <w:r>
                    <w:rPr>
                      <w:rFonts w:hint="default"/>
                      <w:color w:val="auto"/>
                      <w:kern w:val="0"/>
                      <w:szCs w:val="21"/>
                    </w:rPr>
                    <w:t>钡盐</w:t>
                  </w:r>
                  <w:r>
                    <w:rPr>
                      <w:rFonts w:hint="default"/>
                      <w:color w:val="auto"/>
                      <w:kern w:val="0"/>
                      <w:szCs w:val="21"/>
                    </w:rPr>
                    <w:fldChar w:fldCharType="end"/>
                  </w:r>
                  <w:r>
                    <w:rPr>
                      <w:rFonts w:hint="default"/>
                      <w:color w:val="auto"/>
                      <w:kern w:val="0"/>
                      <w:szCs w:val="21"/>
                    </w:rPr>
                    <w:t>，以及用于电子、仪表、冶金等工业。</w:t>
                  </w:r>
                </w:p>
              </w:tc>
            </w:tr>
            <w:tr w14:paraId="38B6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48FE21D0">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lang w:bidi="ar"/>
                    </w:rPr>
                    <w:t>碳酸氢钠</w:t>
                  </w:r>
                </w:p>
              </w:tc>
              <w:tc>
                <w:tcPr>
                  <w:tcW w:w="3765" w:type="pct"/>
                  <w:vAlign w:val="center"/>
                </w:tcPr>
                <w:p w14:paraId="39BB5DA9">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碳酸氢钠分子式为 NaHCO</w:t>
                  </w:r>
                  <w:r>
                    <w:rPr>
                      <w:rFonts w:hint="default"/>
                      <w:color w:val="auto"/>
                      <w:szCs w:val="21"/>
                      <w:vertAlign w:val="subscript"/>
                    </w:rPr>
                    <w:t>3</w:t>
                  </w:r>
                  <w:r>
                    <w:rPr>
                      <w:rFonts w:hint="default"/>
                      <w:color w:val="auto"/>
                      <w:szCs w:val="21"/>
                    </w:rPr>
                    <w:t>，是一种无机盐，呈白色结晶性粉末，无臭，味碱，易溶于水，熔点为 270℃，沸点为851℃，密度 2.16g/cm</w:t>
                  </w:r>
                  <w:r>
                    <w:rPr>
                      <w:rFonts w:hint="default"/>
                      <w:color w:val="auto"/>
                      <w:szCs w:val="21"/>
                      <w:vertAlign w:val="superscript"/>
                    </w:rPr>
                    <w:t>3</w:t>
                  </w:r>
                  <w:r>
                    <w:rPr>
                      <w:rFonts w:hint="default"/>
                      <w:color w:val="auto"/>
                      <w:szCs w:val="21"/>
                    </w:rPr>
                    <w:t>；在潮湿空气或热空气中即缓慢分解，产生二氧化碳，加热至 270℃完全分解；遇酸则强烈分解即产生二氧化碳。</w:t>
                  </w:r>
                </w:p>
              </w:tc>
            </w:tr>
            <w:tr w14:paraId="1C55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37B6C272">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lang w:bidi="ar"/>
                    </w:rPr>
                    <w:t>高氯酸</w:t>
                  </w:r>
                </w:p>
              </w:tc>
              <w:tc>
                <w:tcPr>
                  <w:tcW w:w="3765" w:type="pct"/>
                  <w:vAlign w:val="center"/>
                </w:tcPr>
                <w:p w14:paraId="6202125A">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高氯酸是一种无机化合物，化学式为HClO</w:t>
                  </w:r>
                  <w:r>
                    <w:rPr>
                      <w:rFonts w:hint="default"/>
                      <w:color w:val="auto"/>
                      <w:szCs w:val="21"/>
                      <w:vertAlign w:val="subscript"/>
                    </w:rPr>
                    <w:t>4</w:t>
                  </w:r>
                  <w:r>
                    <w:rPr>
                      <w:rFonts w:hint="default"/>
                      <w:color w:val="auto"/>
                      <w:szCs w:val="21"/>
                    </w:rPr>
                    <w:t>，六大无机强酸之首，氯的最高价氧化物的水化物。是无色透明的发烟液体。高氯酸在无机含氧酸中酸性最强。高氯酸可助燃，具强腐蚀性、强刺激性，可致人体灼伤。工业上用于高氯酸盐的制备，人造金刚石提纯，电影胶片制造，医药工业，电抛光工业，用于生产砂轮，除去碳粒杂质，还可用作氧化剂等。</w:t>
                  </w:r>
                </w:p>
              </w:tc>
            </w:tr>
            <w:tr w14:paraId="4C41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5C95043E">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lang w:bidi="ar"/>
                    </w:rPr>
                    <w:t>氧化锌</w:t>
                  </w:r>
                </w:p>
              </w:tc>
              <w:tc>
                <w:tcPr>
                  <w:tcW w:w="3765" w:type="pct"/>
                  <w:vAlign w:val="center"/>
                </w:tcPr>
                <w:p w14:paraId="364E42C7">
                  <w:pPr>
                    <w:keepNext w:val="0"/>
                    <w:keepLines w:val="0"/>
                    <w:suppressLineNumbers w:val="0"/>
                    <w:spacing w:before="0" w:beforeAutospacing="0" w:after="0" w:afterAutospacing="0"/>
                    <w:ind w:left="0" w:right="0"/>
                    <w:rPr>
                      <w:rFonts w:hint="default"/>
                      <w:color w:val="auto"/>
                      <w:szCs w:val="21"/>
                    </w:rPr>
                  </w:pPr>
                  <w:r>
                    <w:rPr>
                      <w:rFonts w:hint="default"/>
                      <w:color w:val="auto"/>
                      <w:kern w:val="0"/>
                      <w:szCs w:val="21"/>
                    </w:rPr>
                    <w:t>CAS号：</w:t>
                  </w:r>
                  <w:r>
                    <w:rPr>
                      <w:rFonts w:hint="default"/>
                      <w:color w:val="auto"/>
                      <w:kern w:val="0"/>
                      <w:szCs w:val="21"/>
                    </w:rPr>
                    <w:fldChar w:fldCharType="begin"/>
                  </w:r>
                  <w:r>
                    <w:rPr>
                      <w:rFonts w:hint="default"/>
                      <w:color w:val="auto"/>
                      <w:kern w:val="0"/>
                      <w:szCs w:val="21"/>
                    </w:rPr>
                    <w:instrText xml:space="preserve"> HYPERLINK "https://www.chembk.com/cn/chem/10039-32-4" </w:instrText>
                  </w:r>
                  <w:r>
                    <w:rPr>
                      <w:rFonts w:hint="default"/>
                      <w:color w:val="auto"/>
                      <w:kern w:val="0"/>
                      <w:szCs w:val="21"/>
                    </w:rPr>
                    <w:fldChar w:fldCharType="separate"/>
                  </w:r>
                  <w:r>
                    <w:rPr>
                      <w:rFonts w:hint="default"/>
                      <w:color w:val="auto"/>
                      <w:kern w:val="0"/>
                      <w:szCs w:val="21"/>
                    </w:rPr>
                    <w:t>1314-13-2</w:t>
                  </w:r>
                  <w:r>
                    <w:rPr>
                      <w:rFonts w:hint="default"/>
                      <w:color w:val="auto"/>
                      <w:kern w:val="0"/>
                      <w:szCs w:val="21"/>
                    </w:rPr>
                    <w:fldChar w:fldCharType="end"/>
                  </w:r>
                  <w:r>
                    <w:rPr>
                      <w:rFonts w:hint="default"/>
                      <w:color w:val="auto"/>
                      <w:kern w:val="0"/>
                      <w:szCs w:val="21"/>
                    </w:rPr>
                    <w:t>，化学式：ZnO，分子量：81.39，</w:t>
                  </w:r>
                  <w:r>
                    <w:rPr>
                      <w:rFonts w:hint="default"/>
                      <w:color w:val="auto"/>
                      <w:szCs w:val="21"/>
                    </w:rPr>
                    <w:t>熔点为 1975℃，沸点为2360℃，密度5.6g/cm</w:t>
                  </w:r>
                  <w:r>
                    <w:rPr>
                      <w:rFonts w:hint="default"/>
                      <w:color w:val="auto"/>
                      <w:szCs w:val="21"/>
                      <w:vertAlign w:val="superscript"/>
                    </w:rPr>
                    <w:t>3</w:t>
                  </w:r>
                  <w:r>
                    <w:rPr>
                      <w:rFonts w:hint="default"/>
                      <w:color w:val="auto"/>
                      <w:szCs w:val="21"/>
                    </w:rPr>
                    <w:t>；白色粉末，不溶于水、乙醇，溶于酸、氢氧化钠水溶液、氯化铵</w:t>
                  </w:r>
                  <w:r>
                    <w:rPr>
                      <w:rFonts w:hint="default"/>
                      <w:color w:val="auto"/>
                      <w:kern w:val="0"/>
                      <w:szCs w:val="21"/>
                    </w:rPr>
                    <w:t>。</w:t>
                  </w:r>
                </w:p>
              </w:tc>
            </w:tr>
            <w:tr w14:paraId="23B0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76EBE961">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lang w:bidi="ar"/>
                    </w:rPr>
                    <w:t>氨水</w:t>
                  </w:r>
                </w:p>
              </w:tc>
              <w:tc>
                <w:tcPr>
                  <w:tcW w:w="3765" w:type="pct"/>
                  <w:vAlign w:val="center"/>
                </w:tcPr>
                <w:p w14:paraId="05891CE1">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分子式：NH</w:t>
                  </w:r>
                  <w:r>
                    <w:rPr>
                      <w:rFonts w:hint="default"/>
                      <w:color w:val="auto"/>
                      <w:szCs w:val="21"/>
                      <w:vertAlign w:val="subscript"/>
                    </w:rPr>
                    <w:t>4</w:t>
                  </w:r>
                  <w:r>
                    <w:rPr>
                      <w:rFonts w:hint="default"/>
                      <w:color w:val="auto"/>
                      <w:szCs w:val="21"/>
                    </w:rPr>
                    <w:t>OH；分子量：35.05，熔点（℃）：-77，沸点（℃）：36，无色透明液体。有强烈的刺激性臭味。溶于水、醇。</w:t>
                  </w:r>
                </w:p>
              </w:tc>
            </w:tr>
            <w:tr w14:paraId="7494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217F5F6C">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lang w:bidi="ar"/>
                    </w:rPr>
                    <w:t>重铬酸钾</w:t>
                  </w:r>
                </w:p>
              </w:tc>
              <w:tc>
                <w:tcPr>
                  <w:tcW w:w="3765" w:type="pct"/>
                  <w:vAlign w:val="center"/>
                </w:tcPr>
                <w:p w14:paraId="4FBEF40F">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重铬酸钾是一种无机化合物，化学式为 K</w:t>
                  </w:r>
                  <w:r>
                    <w:rPr>
                      <w:rFonts w:hint="default"/>
                      <w:color w:val="auto"/>
                      <w:szCs w:val="21"/>
                      <w:vertAlign w:val="subscript"/>
                    </w:rPr>
                    <w:t>2</w:t>
                  </w:r>
                  <w:r>
                    <w:rPr>
                      <w:rFonts w:hint="default"/>
                      <w:color w:val="auto"/>
                      <w:szCs w:val="21"/>
                    </w:rPr>
                    <w:t>Cr</w:t>
                  </w:r>
                  <w:r>
                    <w:rPr>
                      <w:rFonts w:hint="default"/>
                      <w:color w:val="auto"/>
                      <w:szCs w:val="21"/>
                      <w:vertAlign w:val="subscript"/>
                    </w:rPr>
                    <w:t>2</w:t>
                  </w:r>
                  <w:r>
                    <w:rPr>
                      <w:rFonts w:hint="default"/>
                      <w:color w:val="auto"/>
                      <w:szCs w:val="21"/>
                    </w:rPr>
                    <w:t>O</w:t>
                  </w:r>
                  <w:r>
                    <w:rPr>
                      <w:rFonts w:hint="default"/>
                      <w:color w:val="auto"/>
                      <w:szCs w:val="21"/>
                      <w:vertAlign w:val="subscript"/>
                    </w:rPr>
                    <w:t>7</w:t>
                  </w:r>
                  <w:r>
                    <w:rPr>
                      <w:rFonts w:hint="default"/>
                      <w:color w:val="auto"/>
                      <w:szCs w:val="21"/>
                    </w:rPr>
                    <w:t>，室温下为橘红色结晶性粉末，溶于水，不溶于乙醇，熔点为 398℃，沸点为 500℃，密度2.676g/cm</w:t>
                  </w:r>
                  <w:r>
                    <w:rPr>
                      <w:rFonts w:hint="default"/>
                      <w:color w:val="auto"/>
                      <w:szCs w:val="21"/>
                      <w:vertAlign w:val="superscript"/>
                    </w:rPr>
                    <w:t>3</w:t>
                  </w:r>
                  <w:r>
                    <w:rPr>
                      <w:rFonts w:hint="default"/>
                      <w:color w:val="auto"/>
                      <w:szCs w:val="21"/>
                    </w:rPr>
                    <w:t>；重铬酸钾是一种有毒且有致癌性的强氧化剂，它被国际癌症研究机构划归为第一类致癌物质，而且是强氧化剂，在实验室和工业中都有很广泛的应用。</w:t>
                  </w:r>
                </w:p>
              </w:tc>
            </w:tr>
            <w:tr w14:paraId="41C0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3C00EAD1">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lang w:bidi="ar"/>
                    </w:rPr>
                    <w:t>硫酸亚铁</w:t>
                  </w:r>
                </w:p>
              </w:tc>
              <w:tc>
                <w:tcPr>
                  <w:tcW w:w="3765" w:type="pct"/>
                  <w:vAlign w:val="center"/>
                </w:tcPr>
                <w:p w14:paraId="126136BD">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硫酸亚铁是一种无机物，化学式为 FeSO</w:t>
                  </w:r>
                  <w:r>
                    <w:rPr>
                      <w:rFonts w:hint="default"/>
                      <w:color w:val="auto"/>
                      <w:szCs w:val="21"/>
                      <w:vertAlign w:val="subscript"/>
                    </w:rPr>
                    <w:t>4</w:t>
                  </w:r>
                  <w:r>
                    <w:rPr>
                      <w:rFonts w:hint="default"/>
                      <w:color w:val="auto"/>
                      <w:szCs w:val="21"/>
                    </w:rPr>
                    <w:t>，外观为白色粉末无气味。熔点671℃，相对密度1.897g/cm</w:t>
                  </w:r>
                  <w:r>
                    <w:rPr>
                      <w:rFonts w:hint="default"/>
                      <w:color w:val="auto"/>
                      <w:szCs w:val="21"/>
                      <w:vertAlign w:val="superscript"/>
                    </w:rPr>
                    <w:t>3</w:t>
                  </w:r>
                  <w:r>
                    <w:rPr>
                      <w:rFonts w:hint="default"/>
                      <w:color w:val="auto"/>
                      <w:szCs w:val="21"/>
                    </w:rPr>
                    <w:t>，溶于水、甘油，不溶于乙醇，硫酸亚铁具有还原性，受高热分解放出有毒的气体，在潮湿空气中易氧化成难溶于水的棕黄色碱式硫酸铁。</w:t>
                  </w:r>
                </w:p>
              </w:tc>
            </w:tr>
            <w:tr w14:paraId="47D1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119DC302">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lang w:bidi="ar"/>
                    </w:rPr>
                    <w:t>磷酸氢二钠</w:t>
                  </w:r>
                </w:p>
              </w:tc>
              <w:tc>
                <w:tcPr>
                  <w:tcW w:w="3765" w:type="pct"/>
                  <w:vAlign w:val="center"/>
                </w:tcPr>
                <w:p w14:paraId="7D4637E2">
                  <w:pPr>
                    <w:keepNext w:val="0"/>
                    <w:keepLines w:val="0"/>
                    <w:suppressLineNumbers w:val="0"/>
                    <w:spacing w:before="0" w:beforeAutospacing="0" w:after="0" w:afterAutospacing="0"/>
                    <w:ind w:left="0" w:right="0"/>
                    <w:rPr>
                      <w:rFonts w:hint="default"/>
                      <w:color w:val="auto"/>
                      <w:szCs w:val="21"/>
                    </w:rPr>
                  </w:pPr>
                  <w:r>
                    <w:rPr>
                      <w:rFonts w:hint="default"/>
                      <w:color w:val="auto"/>
                      <w:kern w:val="0"/>
                      <w:szCs w:val="21"/>
                    </w:rPr>
                    <w:t>CAS号：</w:t>
                  </w:r>
                  <w:r>
                    <w:rPr>
                      <w:rFonts w:hint="default"/>
                      <w:color w:val="auto"/>
                      <w:kern w:val="0"/>
                      <w:szCs w:val="21"/>
                    </w:rPr>
                    <w:fldChar w:fldCharType="begin"/>
                  </w:r>
                  <w:r>
                    <w:rPr>
                      <w:rFonts w:hint="default"/>
                      <w:color w:val="auto"/>
                      <w:kern w:val="0"/>
                      <w:szCs w:val="21"/>
                    </w:rPr>
                    <w:instrText xml:space="preserve"> HYPERLINK "https://www.chembk.com/cn/chem/10039-32-4" </w:instrText>
                  </w:r>
                  <w:r>
                    <w:rPr>
                      <w:rFonts w:hint="default"/>
                      <w:color w:val="auto"/>
                      <w:kern w:val="0"/>
                      <w:szCs w:val="21"/>
                    </w:rPr>
                    <w:fldChar w:fldCharType="separate"/>
                  </w:r>
                  <w:r>
                    <w:rPr>
                      <w:rFonts w:hint="default"/>
                      <w:color w:val="auto"/>
                      <w:kern w:val="0"/>
                      <w:szCs w:val="21"/>
                    </w:rPr>
                    <w:t>10039-32-4</w:t>
                  </w:r>
                  <w:r>
                    <w:rPr>
                      <w:rFonts w:hint="default"/>
                      <w:color w:val="auto"/>
                      <w:kern w:val="0"/>
                      <w:szCs w:val="21"/>
                    </w:rPr>
                    <w:fldChar w:fldCharType="end"/>
                  </w:r>
                  <w:r>
                    <w:rPr>
                      <w:rFonts w:hint="default"/>
                      <w:color w:val="auto"/>
                      <w:kern w:val="0"/>
                      <w:szCs w:val="21"/>
                    </w:rPr>
                    <w:t>，化学式：</w:t>
                  </w:r>
                  <w:r>
                    <w:rPr>
                      <w:rFonts w:hint="default"/>
                      <w:color w:val="auto"/>
                      <w:kern w:val="0"/>
                      <w:szCs w:val="21"/>
                    </w:rPr>
                    <w:fldChar w:fldCharType="begin"/>
                  </w:r>
                  <w:r>
                    <w:rPr>
                      <w:rFonts w:hint="default"/>
                      <w:color w:val="auto"/>
                      <w:kern w:val="0"/>
                      <w:szCs w:val="21"/>
                    </w:rPr>
                    <w:instrText xml:space="preserve"> HYPERLINK "https://www.wiki8.com/Na_47194/index.html" \o "医学百科：Na" </w:instrText>
                  </w:r>
                  <w:r>
                    <w:rPr>
                      <w:rFonts w:hint="default"/>
                      <w:color w:val="auto"/>
                      <w:kern w:val="0"/>
                      <w:szCs w:val="21"/>
                    </w:rPr>
                    <w:fldChar w:fldCharType="separate"/>
                  </w:r>
                  <w:r>
                    <w:rPr>
                      <w:rFonts w:hint="default"/>
                      <w:color w:val="auto"/>
                      <w:kern w:val="0"/>
                      <w:szCs w:val="21"/>
                    </w:rPr>
                    <w:t>Na</w:t>
                  </w:r>
                  <w:r>
                    <w:rPr>
                      <w:rFonts w:hint="default"/>
                      <w:color w:val="auto"/>
                      <w:kern w:val="0"/>
                      <w:szCs w:val="21"/>
                    </w:rPr>
                    <w:fldChar w:fldCharType="end"/>
                  </w:r>
                  <w:r>
                    <w:rPr>
                      <w:rFonts w:hint="default"/>
                      <w:color w:val="auto"/>
                      <w:kern w:val="0"/>
                      <w:szCs w:val="21"/>
                      <w:vertAlign w:val="subscript"/>
                    </w:rPr>
                    <w:t>2</w:t>
                  </w:r>
                  <w:r>
                    <w:rPr>
                      <w:rFonts w:hint="default"/>
                      <w:color w:val="auto"/>
                      <w:kern w:val="0"/>
                      <w:szCs w:val="21"/>
                    </w:rPr>
                    <w:t>HPO</w:t>
                  </w:r>
                  <w:r>
                    <w:rPr>
                      <w:rFonts w:hint="default"/>
                      <w:color w:val="auto"/>
                      <w:kern w:val="0"/>
                      <w:szCs w:val="21"/>
                      <w:vertAlign w:val="subscript"/>
                    </w:rPr>
                    <w:t>4</w:t>
                  </w:r>
                  <w:r>
                    <w:rPr>
                      <w:rFonts w:hint="default"/>
                      <w:color w:val="auto"/>
                      <w:kern w:val="0"/>
                      <w:szCs w:val="21"/>
                    </w:rPr>
                    <w:t>·12H</w:t>
                  </w:r>
                  <w:r>
                    <w:rPr>
                      <w:rFonts w:hint="default"/>
                      <w:color w:val="auto"/>
                      <w:kern w:val="0"/>
                      <w:szCs w:val="21"/>
                      <w:vertAlign w:val="subscript"/>
                    </w:rPr>
                    <w:t>2</w:t>
                  </w:r>
                  <w:r>
                    <w:rPr>
                      <w:rFonts w:hint="default"/>
                      <w:color w:val="auto"/>
                      <w:kern w:val="0"/>
                      <w:szCs w:val="21"/>
                    </w:rPr>
                    <w:t>O，分子量：358.14，本品为无色或白色</w:t>
                  </w:r>
                  <w:r>
                    <w:rPr>
                      <w:rFonts w:hint="default"/>
                      <w:color w:val="auto"/>
                      <w:kern w:val="0"/>
                      <w:szCs w:val="21"/>
                    </w:rPr>
                    <w:fldChar w:fldCharType="begin"/>
                  </w:r>
                  <w:r>
                    <w:rPr>
                      <w:rFonts w:hint="default"/>
                      <w:color w:val="auto"/>
                      <w:kern w:val="0"/>
                      <w:szCs w:val="21"/>
                    </w:rPr>
                    <w:instrText xml:space="preserve"> HYPERLINK "https://www.wiki8.com/jiejing_109978/index.html" \o "医学百科：结晶" </w:instrText>
                  </w:r>
                  <w:r>
                    <w:rPr>
                      <w:rFonts w:hint="default"/>
                      <w:color w:val="auto"/>
                      <w:kern w:val="0"/>
                      <w:szCs w:val="21"/>
                    </w:rPr>
                    <w:fldChar w:fldCharType="separate"/>
                  </w:r>
                  <w:r>
                    <w:rPr>
                      <w:rFonts w:hint="default"/>
                      <w:color w:val="auto"/>
                      <w:kern w:val="0"/>
                      <w:szCs w:val="21"/>
                    </w:rPr>
                    <w:t>结晶</w:t>
                  </w:r>
                  <w:r>
                    <w:rPr>
                      <w:rFonts w:hint="default"/>
                      <w:color w:val="auto"/>
                      <w:kern w:val="0"/>
                      <w:szCs w:val="21"/>
                    </w:rPr>
                    <w:fldChar w:fldCharType="end"/>
                  </w:r>
                  <w:r>
                    <w:rPr>
                      <w:rFonts w:hint="default"/>
                      <w:color w:val="auto"/>
                      <w:kern w:val="0"/>
                      <w:szCs w:val="21"/>
                    </w:rPr>
                    <w:t>或块状物；无臭；常温置空</w:t>
                  </w:r>
                  <w:r>
                    <w:rPr>
                      <w:rFonts w:hint="default"/>
                      <w:color w:val="auto"/>
                    </w:rPr>
                    <w:fldChar w:fldCharType="begin"/>
                  </w:r>
                  <w:r>
                    <w:rPr>
                      <w:rFonts w:hint="default"/>
                      <w:color w:val="auto"/>
                    </w:rPr>
                    <w:instrText xml:space="preserve"> HYPERLINK "https://www.wiki8.com/qizhong_10458/index.html" \o "医学百科：气中" </w:instrText>
                  </w:r>
                  <w:r>
                    <w:rPr>
                      <w:rFonts w:hint="default"/>
                      <w:color w:val="auto"/>
                    </w:rPr>
                    <w:fldChar w:fldCharType="separate"/>
                  </w:r>
                  <w:r>
                    <w:rPr>
                      <w:rFonts w:hint="default"/>
                      <w:color w:val="auto"/>
                      <w:kern w:val="0"/>
                      <w:szCs w:val="21"/>
                    </w:rPr>
                    <w:t>气中</w:t>
                  </w:r>
                  <w:r>
                    <w:rPr>
                      <w:rFonts w:hint="default"/>
                      <w:color w:val="auto"/>
                      <w:kern w:val="0"/>
                      <w:szCs w:val="21"/>
                    </w:rPr>
                    <w:fldChar w:fldCharType="end"/>
                  </w:r>
                  <w:r>
                    <w:rPr>
                      <w:rFonts w:hint="default"/>
                      <w:color w:val="auto"/>
                      <w:kern w:val="0"/>
                      <w:szCs w:val="21"/>
                    </w:rPr>
                    <w:t>易</w:t>
                  </w:r>
                  <w:r>
                    <w:rPr>
                      <w:rFonts w:hint="default"/>
                      <w:color w:val="auto"/>
                    </w:rPr>
                    <w:fldChar w:fldCharType="begin"/>
                  </w:r>
                  <w:r>
                    <w:rPr>
                      <w:rFonts w:hint="default"/>
                      <w:color w:val="auto"/>
                    </w:rPr>
                    <w:instrText xml:space="preserve"> HYPERLINK "https://www.wiki8.com/fenghua_15917/index.html" \o "医学百科：风化" </w:instrText>
                  </w:r>
                  <w:r>
                    <w:rPr>
                      <w:rFonts w:hint="default"/>
                      <w:color w:val="auto"/>
                    </w:rPr>
                    <w:fldChar w:fldCharType="separate"/>
                  </w:r>
                  <w:r>
                    <w:rPr>
                      <w:rFonts w:hint="default"/>
                      <w:color w:val="auto"/>
                      <w:kern w:val="0"/>
                      <w:szCs w:val="21"/>
                    </w:rPr>
                    <w:t>风化</w:t>
                  </w:r>
                  <w:r>
                    <w:rPr>
                      <w:rFonts w:hint="default"/>
                      <w:color w:val="auto"/>
                      <w:kern w:val="0"/>
                      <w:szCs w:val="21"/>
                    </w:rPr>
                    <w:fldChar w:fldCharType="end"/>
                  </w:r>
                  <w:r>
                    <w:rPr>
                      <w:rFonts w:hint="default"/>
                      <w:color w:val="auto"/>
                      <w:kern w:val="0"/>
                      <w:szCs w:val="21"/>
                    </w:rPr>
                    <w:t>。本品在水中易溶，在</w:t>
                  </w:r>
                  <w:r>
                    <w:rPr>
                      <w:rFonts w:hint="default"/>
                      <w:color w:val="auto"/>
                    </w:rPr>
                    <w:fldChar w:fldCharType="begin"/>
                  </w:r>
                  <w:r>
                    <w:rPr>
                      <w:rFonts w:hint="default"/>
                      <w:color w:val="auto"/>
                    </w:rPr>
                    <w:instrText xml:space="preserve"> HYPERLINK "https://www.wiki8.com/yichun_24156/index.html" \o "医学百科：乙醇" </w:instrText>
                  </w:r>
                  <w:r>
                    <w:rPr>
                      <w:rFonts w:hint="default"/>
                      <w:color w:val="auto"/>
                    </w:rPr>
                    <w:fldChar w:fldCharType="separate"/>
                  </w:r>
                  <w:r>
                    <w:rPr>
                      <w:rFonts w:hint="default"/>
                      <w:color w:val="auto"/>
                      <w:kern w:val="0"/>
                      <w:szCs w:val="21"/>
                    </w:rPr>
                    <w:t>乙醇</w:t>
                  </w:r>
                  <w:r>
                    <w:rPr>
                      <w:rFonts w:hint="default"/>
                      <w:color w:val="auto"/>
                      <w:kern w:val="0"/>
                      <w:szCs w:val="21"/>
                    </w:rPr>
                    <w:fldChar w:fldCharType="end"/>
                  </w:r>
                  <w:r>
                    <w:rPr>
                      <w:rFonts w:hint="default"/>
                      <w:color w:val="auto"/>
                      <w:kern w:val="0"/>
                      <w:szCs w:val="21"/>
                    </w:rPr>
                    <w:t>中几乎不溶。</w:t>
                  </w:r>
                </w:p>
              </w:tc>
            </w:tr>
            <w:tr w14:paraId="0235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pct"/>
                  <w:vAlign w:val="center"/>
                </w:tcPr>
                <w:p w14:paraId="529599B8">
                  <w:pPr>
                    <w:keepNext w:val="0"/>
                    <w:keepLines w:val="0"/>
                    <w:suppressLineNumbers w:val="0"/>
                    <w:spacing w:before="0" w:beforeAutospacing="0" w:after="0" w:afterAutospacing="0"/>
                    <w:ind w:left="0" w:right="0"/>
                    <w:jc w:val="center"/>
                    <w:rPr>
                      <w:rFonts w:hint="default"/>
                      <w:color w:val="auto"/>
                      <w:kern w:val="0"/>
                      <w:szCs w:val="21"/>
                      <w:lang w:bidi="ar"/>
                    </w:rPr>
                  </w:pPr>
                  <w:r>
                    <w:rPr>
                      <w:rFonts w:hint="default"/>
                      <w:color w:val="auto"/>
                      <w:kern w:val="0"/>
                      <w:szCs w:val="21"/>
                      <w:lang w:bidi="ar"/>
                    </w:rPr>
                    <w:t>磷酸氢二钾</w:t>
                  </w:r>
                </w:p>
              </w:tc>
              <w:tc>
                <w:tcPr>
                  <w:tcW w:w="3765" w:type="pct"/>
                  <w:vAlign w:val="center"/>
                </w:tcPr>
                <w:p w14:paraId="38E63401">
                  <w:pPr>
                    <w:keepNext w:val="0"/>
                    <w:keepLines w:val="0"/>
                    <w:suppressLineNumbers w:val="0"/>
                    <w:spacing w:before="0" w:beforeAutospacing="0" w:after="0" w:afterAutospacing="0"/>
                    <w:ind w:left="0" w:right="0"/>
                    <w:rPr>
                      <w:rFonts w:hint="default" w:eastAsiaTheme="minorEastAsia"/>
                      <w:color w:val="auto"/>
                      <w:szCs w:val="21"/>
                    </w:rPr>
                  </w:pPr>
                  <w:r>
                    <w:rPr>
                      <w:rFonts w:hint="default" w:eastAsiaTheme="minorEastAsia"/>
                      <w:color w:val="auto"/>
                      <w:kern w:val="0"/>
                      <w:szCs w:val="21"/>
                    </w:rPr>
                    <w:t>CAS号：</w:t>
                  </w:r>
                  <w:r>
                    <w:rPr>
                      <w:rFonts w:hint="default" w:eastAsiaTheme="minorEastAsia"/>
                      <w:color w:val="auto"/>
                      <w:kern w:val="0"/>
                      <w:szCs w:val="21"/>
                    </w:rPr>
                    <w:fldChar w:fldCharType="begin"/>
                  </w:r>
                  <w:r>
                    <w:rPr>
                      <w:rFonts w:hint="default" w:eastAsiaTheme="minorEastAsia"/>
                      <w:color w:val="auto"/>
                      <w:kern w:val="0"/>
                      <w:szCs w:val="21"/>
                    </w:rPr>
                    <w:instrText xml:space="preserve"> HYPERLINK "https://www.chembk.com/cn/chem/10039-32-4" </w:instrText>
                  </w:r>
                  <w:r>
                    <w:rPr>
                      <w:rFonts w:hint="default" w:eastAsiaTheme="minorEastAsia"/>
                      <w:color w:val="auto"/>
                      <w:kern w:val="0"/>
                      <w:szCs w:val="21"/>
                    </w:rPr>
                    <w:fldChar w:fldCharType="separate"/>
                  </w:r>
                  <w:r>
                    <w:rPr>
                      <w:rFonts w:hint="default" w:eastAsiaTheme="minorEastAsia"/>
                      <w:color w:val="auto"/>
                      <w:kern w:val="0"/>
                      <w:szCs w:val="21"/>
                    </w:rPr>
                    <w:t>7758-11-4</w:t>
                  </w:r>
                  <w:r>
                    <w:rPr>
                      <w:rFonts w:hint="default" w:eastAsiaTheme="minorEastAsia"/>
                      <w:color w:val="auto"/>
                      <w:kern w:val="0"/>
                      <w:szCs w:val="21"/>
                    </w:rPr>
                    <w:fldChar w:fldCharType="end"/>
                  </w:r>
                  <w:r>
                    <w:rPr>
                      <w:rFonts w:hint="default" w:eastAsiaTheme="minorEastAsia"/>
                      <w:color w:val="auto"/>
                      <w:kern w:val="0"/>
                      <w:szCs w:val="21"/>
                    </w:rPr>
                    <w:t>，化学式：K2HPO4，分子量：174.176，</w:t>
                  </w:r>
                  <w:r>
                    <w:rPr>
                      <w:rFonts w:hint="default" w:eastAsiaTheme="minorEastAsia"/>
                      <w:color w:val="auto"/>
                      <w:szCs w:val="21"/>
                      <w:shd w:val="clear" w:color="auto" w:fill="FFFFFF"/>
                    </w:rPr>
                    <w:t>密度：2.44g/cm</w:t>
                  </w:r>
                  <w:r>
                    <w:rPr>
                      <w:rFonts w:hint="default" w:eastAsiaTheme="minorEastAsia"/>
                      <w:color w:val="auto"/>
                      <w:szCs w:val="21"/>
                      <w:shd w:val="clear" w:color="auto" w:fill="FFFFFF"/>
                      <w:vertAlign w:val="superscript"/>
                    </w:rPr>
                    <w:t>3</w:t>
                  </w:r>
                  <w:r>
                    <w:rPr>
                      <w:rFonts w:hint="default" w:eastAsiaTheme="minorEastAsia"/>
                      <w:color w:val="auto"/>
                      <w:szCs w:val="21"/>
                      <w:shd w:val="clear" w:color="auto" w:fill="FFFFFF"/>
                      <w:vertAlign w:val="subscript"/>
                    </w:rPr>
                    <w:t>，</w:t>
                  </w:r>
                  <w:r>
                    <w:rPr>
                      <w:rFonts w:hint="default" w:eastAsiaTheme="minorEastAsia"/>
                      <w:color w:val="auto"/>
                      <w:szCs w:val="21"/>
                      <w:shd w:val="clear" w:color="auto" w:fill="FFFFFF"/>
                    </w:rPr>
                    <w:t>熔点：340ºC，为</w:t>
                  </w:r>
                  <w:r>
                    <w:rPr>
                      <w:rFonts w:hint="default" w:eastAsiaTheme="minorEastAsia"/>
                      <w:color w:val="auto"/>
                      <w:kern w:val="0"/>
                      <w:szCs w:val="21"/>
                    </w:rPr>
                    <w:t>白色结晶性或无定形粉末，易溶于水，微溶于乙醇。</w:t>
                  </w:r>
                </w:p>
              </w:tc>
            </w:tr>
          </w:tbl>
          <w:p w14:paraId="6AC78E3D">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7. 劳动定员及工作制度</w:t>
            </w:r>
          </w:p>
          <w:p w14:paraId="243B8279">
            <w:pPr>
              <w:keepNext w:val="0"/>
              <w:keepLines w:val="0"/>
              <w:widowControl/>
              <w:suppressLineNumbers w:val="0"/>
              <w:spacing w:before="0" w:beforeAutospacing="0" w:after="0" w:afterAutospacing="0" w:line="360" w:lineRule="auto"/>
              <w:ind w:left="0" w:right="0" w:firstLine="480" w:firstLineChars="200"/>
              <w:rPr>
                <w:rFonts w:hint="default"/>
                <w:color w:val="auto"/>
                <w:sz w:val="24"/>
              </w:rPr>
            </w:pPr>
            <w:r>
              <w:rPr>
                <w:rFonts w:hint="default"/>
                <w:bCs/>
                <w:color w:val="auto"/>
                <w:sz w:val="24"/>
              </w:rPr>
              <w:t>劳动定员：</w:t>
            </w:r>
            <w:r>
              <w:rPr>
                <w:rFonts w:hint="default"/>
                <w:color w:val="auto"/>
                <w:sz w:val="24"/>
              </w:rPr>
              <w:t>项目建成后共有员工</w:t>
            </w:r>
            <w:r>
              <w:rPr>
                <w:rFonts w:hint="default"/>
                <w:bCs/>
                <w:color w:val="auto"/>
                <w:sz w:val="24"/>
              </w:rPr>
              <w:t>45人。</w:t>
            </w:r>
          </w:p>
          <w:p w14:paraId="49CF490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bCs/>
                <w:color w:val="auto"/>
                <w:sz w:val="24"/>
              </w:rPr>
              <w:t>工作制度：</w:t>
            </w:r>
            <w:r>
              <w:rPr>
                <w:rFonts w:hint="default"/>
                <w:color w:val="auto"/>
                <w:sz w:val="24"/>
              </w:rPr>
              <w:t>年工作300每天工作8小时，一班制。</w:t>
            </w:r>
          </w:p>
          <w:p w14:paraId="2BA0D67B">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项目建设进度：预计建设周期为</w:t>
            </w:r>
            <w:r>
              <w:rPr>
                <w:rFonts w:hint="eastAsia"/>
                <w:color w:val="auto"/>
                <w:sz w:val="24"/>
                <w:lang w:val="en-US" w:eastAsia="zh-CN"/>
              </w:rPr>
              <w:t>3</w:t>
            </w:r>
            <w:r>
              <w:rPr>
                <w:rFonts w:hint="default"/>
                <w:color w:val="auto"/>
                <w:sz w:val="24"/>
              </w:rPr>
              <w:t>月，</w:t>
            </w:r>
            <w:r>
              <w:rPr>
                <w:rFonts w:hint="eastAsia"/>
                <w:color w:val="auto"/>
                <w:sz w:val="24"/>
                <w:lang w:val="en-US" w:eastAsia="zh-CN"/>
              </w:rPr>
              <w:t>计划</w:t>
            </w:r>
            <w:r>
              <w:rPr>
                <w:rFonts w:hint="default"/>
                <w:color w:val="auto"/>
                <w:sz w:val="24"/>
              </w:rPr>
              <w:t>于</w:t>
            </w:r>
            <w:r>
              <w:rPr>
                <w:rFonts w:hint="default"/>
                <w:bCs/>
                <w:color w:val="auto"/>
                <w:sz w:val="24"/>
              </w:rPr>
              <w:t>2023年</w:t>
            </w:r>
            <w:r>
              <w:rPr>
                <w:rFonts w:hint="eastAsia"/>
                <w:bCs/>
                <w:color w:val="auto"/>
                <w:sz w:val="24"/>
                <w:lang w:val="en-US" w:eastAsia="zh-CN"/>
              </w:rPr>
              <w:t>11月</w:t>
            </w:r>
            <w:r>
              <w:rPr>
                <w:rFonts w:hint="default"/>
                <w:bCs/>
                <w:color w:val="auto"/>
                <w:sz w:val="24"/>
              </w:rPr>
              <w:t>开工建设，202</w:t>
            </w:r>
            <w:r>
              <w:rPr>
                <w:rFonts w:hint="eastAsia"/>
                <w:bCs/>
                <w:color w:val="auto"/>
                <w:sz w:val="24"/>
                <w:lang w:val="en-US" w:eastAsia="zh-CN"/>
              </w:rPr>
              <w:t>4</w:t>
            </w:r>
            <w:r>
              <w:rPr>
                <w:rFonts w:hint="default"/>
                <w:bCs/>
                <w:color w:val="auto"/>
                <w:sz w:val="24"/>
              </w:rPr>
              <w:t>年</w:t>
            </w:r>
            <w:r>
              <w:rPr>
                <w:rFonts w:hint="eastAsia"/>
                <w:bCs/>
                <w:color w:val="auto"/>
                <w:sz w:val="24"/>
                <w:lang w:val="en-US" w:eastAsia="zh-CN"/>
              </w:rPr>
              <w:t>1</w:t>
            </w:r>
            <w:r>
              <w:rPr>
                <w:rFonts w:hint="default"/>
                <w:bCs/>
                <w:color w:val="auto"/>
                <w:sz w:val="24"/>
              </w:rPr>
              <w:t>月</w:t>
            </w:r>
            <w:r>
              <w:rPr>
                <w:rFonts w:hint="default"/>
                <w:color w:val="auto"/>
                <w:sz w:val="24"/>
              </w:rPr>
              <w:t>竣工。</w:t>
            </w:r>
          </w:p>
          <w:p w14:paraId="09B2808A">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8. 总平面布置</w:t>
            </w:r>
          </w:p>
          <w:p w14:paraId="2BD6BAA0">
            <w:pPr>
              <w:keepNext w:val="0"/>
              <w:keepLines w:val="0"/>
              <w:suppressLineNumbers w:val="0"/>
              <w:spacing w:before="0" w:beforeAutospacing="0" w:after="0" w:afterAutospacing="0" w:line="360" w:lineRule="auto"/>
              <w:ind w:left="0" w:right="0" w:firstLine="480" w:firstLineChars="200"/>
              <w:rPr>
                <w:rFonts w:hint="default" w:eastAsiaTheme="minorEastAsia"/>
                <w:color w:val="auto"/>
                <w:sz w:val="24"/>
              </w:rPr>
            </w:pPr>
            <w:r>
              <w:rPr>
                <w:rFonts w:hint="default" w:eastAsiaTheme="minorEastAsia"/>
                <w:color w:val="auto"/>
                <w:sz w:val="24"/>
              </w:rPr>
              <w:t>云南</w:t>
            </w:r>
            <w:r>
              <w:rPr>
                <w:rFonts w:hint="eastAsia" w:eastAsiaTheme="minorEastAsia"/>
                <w:color w:val="auto"/>
                <w:sz w:val="24"/>
                <w:lang w:eastAsia="zh-CN"/>
              </w:rPr>
              <w:t>勘</w:t>
            </w:r>
            <w:r>
              <w:rPr>
                <w:rFonts w:hint="default" w:eastAsiaTheme="minorEastAsia"/>
                <w:color w:val="auto"/>
                <w:sz w:val="24"/>
              </w:rPr>
              <w:t>中达岩土工程质量检测有限公司实验室建设项目主要新租用的场地进行适应性装修改造，优化实验室功能区域。改造完成后主要分为实验区和办公区。项目实验区主要位于项目中间和西侧，办公区位于项目东侧，食堂位于办公楼一楼。实验区与办公区相互独立，互不影响。项目区平面布置图详见附图3。</w:t>
            </w:r>
          </w:p>
          <w:p w14:paraId="537738FD">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color w:val="auto"/>
                <w:sz w:val="24"/>
              </w:rPr>
            </w:pPr>
            <w:r>
              <w:rPr>
                <w:rFonts w:hint="default"/>
                <w:bCs/>
                <w:color w:val="auto"/>
                <w:kern w:val="0"/>
                <w:sz w:val="24"/>
              </w:rPr>
              <w:t xml:space="preserve">    实验楼一层设置钢筋试验间、抗冲模、抗渗试验间、岩石试验间、干缩间、拌合间、养护间、大土工实验室（备料间、击实间）、直剪试验间、小土工实验室等。二层装修后分为二层和加层，二层平面布置为</w:t>
            </w:r>
            <w:r>
              <w:rPr>
                <w:rFonts w:hint="default"/>
                <w:color w:val="auto"/>
                <w:sz w:val="24"/>
              </w:rPr>
              <w:t>小土工室、水泥试验间、土工合成材料间、PVC管材室、沥青混凝土试验间（压力室）、生态环境实验室等。加层平面布置为土工室办公室、材料室办公室、物探设备室、物探部办公室、质检部办公室、微生物实验室、生态环境实验室、药品室等。另外，在实验楼外西侧设置一间岩石加工间和西北侧设置一间样品暂存间。</w:t>
            </w:r>
          </w:p>
          <w:p w14:paraId="5F56D2FD">
            <w:pPr>
              <w:keepNext w:val="0"/>
              <w:keepLines w:val="0"/>
              <w:suppressLineNumbers w:val="0"/>
              <w:autoSpaceDE w:val="0"/>
              <w:autoSpaceDN w:val="0"/>
              <w:adjustRightInd w:val="0"/>
              <w:snapToGrid w:val="0"/>
              <w:spacing w:before="120" w:beforeLines="50" w:beforeAutospacing="0" w:after="0" w:afterAutospacing="0" w:line="360" w:lineRule="auto"/>
              <w:ind w:left="0" w:right="0" w:firstLine="480" w:firstLineChars="200"/>
              <w:rPr>
                <w:rFonts w:hint="default" w:eastAsia="宋体"/>
                <w:b/>
                <w:color w:val="auto"/>
                <w:kern w:val="0"/>
                <w:sz w:val="24"/>
                <w:lang w:val="en-US" w:eastAsia="zh-CN"/>
              </w:rPr>
            </w:pPr>
            <w:r>
              <w:rPr>
                <w:rFonts w:hint="eastAsia" w:hAnsi="宋体"/>
                <w:color w:val="auto"/>
                <w:kern w:val="0"/>
                <w:sz w:val="24"/>
              </w:rPr>
              <w:t>本项目</w:t>
            </w:r>
            <w:r>
              <w:rPr>
                <w:rFonts w:hint="eastAsia" w:hAnsi="宋体"/>
                <w:color w:val="auto"/>
                <w:kern w:val="0"/>
                <w:sz w:val="24"/>
                <w:lang w:val="en-US" w:eastAsia="zh-CN"/>
              </w:rPr>
              <w:t>化学</w:t>
            </w:r>
            <w:r>
              <w:rPr>
                <w:rFonts w:hint="eastAsia" w:hAnsi="宋体"/>
                <w:color w:val="auto"/>
                <w:kern w:val="0"/>
                <w:sz w:val="24"/>
              </w:rPr>
              <w:t>实验废水预处理设施拟设置于</w:t>
            </w:r>
            <w:r>
              <w:rPr>
                <w:rFonts w:hint="eastAsia" w:hAnsi="宋体"/>
                <w:color w:val="auto"/>
                <w:kern w:val="0"/>
                <w:sz w:val="24"/>
                <w:lang w:val="en-US" w:eastAsia="zh-CN"/>
              </w:rPr>
              <w:t>实验楼东</w:t>
            </w:r>
            <w:r>
              <w:rPr>
                <w:rFonts w:hint="eastAsia" w:hAnsi="宋体"/>
                <w:color w:val="auto"/>
                <w:kern w:val="0"/>
                <w:sz w:val="24"/>
              </w:rPr>
              <w:t>侧，</w:t>
            </w:r>
            <w:r>
              <w:rPr>
                <w:rFonts w:hint="eastAsia" w:hAnsi="宋体"/>
                <w:color w:val="auto"/>
                <w:kern w:val="0"/>
                <w:sz w:val="24"/>
                <w:lang w:val="en-US" w:eastAsia="zh-CN"/>
              </w:rPr>
              <w:t>三级沉淀池拟设置于实验楼西北角，实验楼东北侧楼顶拟设置DA001废气排放口，西北侧楼顶拟设置DA002废气排放口，危废暂存间拟设置于办公楼一楼的楼梯间。</w:t>
            </w:r>
            <w:r>
              <w:rPr>
                <w:rFonts w:hint="eastAsia" w:hAnsi="宋体"/>
                <w:color w:val="auto"/>
                <w:kern w:val="0"/>
                <w:sz w:val="24"/>
              </w:rPr>
              <w:t>具体位置详见附图4所示</w:t>
            </w:r>
          </w:p>
          <w:p w14:paraId="03A33EB3">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9. 水平衡分析</w:t>
            </w:r>
          </w:p>
          <w:p w14:paraId="46B27635">
            <w:pPr>
              <w:keepNext w:val="0"/>
              <w:keepLines w:val="0"/>
              <w:suppressLineNumbers w:val="0"/>
              <w:autoSpaceDE w:val="0"/>
              <w:autoSpaceDN w:val="0"/>
              <w:adjustRightInd w:val="0"/>
              <w:snapToGrid w:val="0"/>
              <w:spacing w:before="120" w:beforeLines="50" w:beforeAutospacing="0" w:after="0" w:afterAutospacing="0" w:line="360" w:lineRule="auto"/>
              <w:ind w:left="0" w:right="0" w:firstLine="480" w:firstLineChars="200"/>
              <w:jc w:val="left"/>
              <w:rPr>
                <w:rFonts w:hint="default"/>
                <w:color w:val="auto"/>
                <w:sz w:val="24"/>
              </w:rPr>
            </w:pPr>
            <w:r>
              <w:rPr>
                <w:rFonts w:hint="eastAsia"/>
                <w:color w:val="auto"/>
                <w:sz w:val="24"/>
              </w:rPr>
              <w:t>根据</w:t>
            </w:r>
            <w:r>
              <w:rPr>
                <w:rFonts w:hint="default"/>
                <w:color w:val="auto"/>
                <w:sz w:val="24"/>
              </w:rPr>
              <w:t>第四章运营期环境影响和保护措施中第</w:t>
            </w:r>
            <w:r>
              <w:rPr>
                <w:rFonts w:hint="eastAsia"/>
                <w:color w:val="auto"/>
                <w:sz w:val="24"/>
              </w:rPr>
              <w:t>2</w:t>
            </w:r>
            <w:r>
              <w:rPr>
                <w:rFonts w:hint="default"/>
                <w:color w:val="auto"/>
                <w:sz w:val="24"/>
              </w:rPr>
              <w:t>节可知，</w:t>
            </w:r>
            <w:r>
              <w:rPr>
                <w:rFonts w:hint="eastAsia"/>
                <w:color w:val="auto"/>
                <w:sz w:val="24"/>
              </w:rPr>
              <w:t>本项目运营期废水主要</w:t>
            </w:r>
            <w:r>
              <w:rPr>
                <w:rFonts w:hint="eastAsia"/>
                <w:b w:val="0"/>
                <w:bCs w:val="0"/>
                <w:color w:val="auto"/>
                <w:sz w:val="24"/>
              </w:rPr>
              <w:t>是</w:t>
            </w:r>
            <w:r>
              <w:rPr>
                <w:rFonts w:hint="default"/>
                <w:b w:val="0"/>
                <w:bCs w:val="0"/>
                <w:color w:val="auto"/>
                <w:sz w:val="24"/>
              </w:rPr>
              <w:t>生活废水，地面清洁废水，实验废水等。新鲜用水量</w:t>
            </w:r>
            <w:r>
              <w:rPr>
                <w:rFonts w:hint="default" w:ascii="Times New Roman" w:hAnsi="Times New Roman" w:cs="Times New Roman"/>
                <w:b w:val="0"/>
                <w:bCs w:val="0"/>
                <w:color w:val="auto"/>
                <w:sz w:val="24"/>
                <w:szCs w:val="24"/>
              </w:rPr>
              <w:t>约为</w:t>
            </w:r>
            <w:r>
              <w:rPr>
                <w:rFonts w:hint="default" w:ascii="Times New Roman" w:hAnsi="Times New Roman" w:eastAsia="宋体" w:cs="Times New Roman"/>
                <w:b w:val="0"/>
                <w:bCs w:val="0"/>
                <w:color w:val="auto"/>
                <w:kern w:val="2"/>
                <w:sz w:val="24"/>
                <w:szCs w:val="24"/>
                <w:lang w:val="en-US" w:eastAsia="zh-CN" w:bidi="ar"/>
              </w:rPr>
              <w:t>5.511</w:t>
            </w:r>
            <w:r>
              <w:rPr>
                <w:rFonts w:hint="default" w:ascii="Times New Roman" w:hAnsi="Times New Roman" w:cs="Times New Roman"/>
                <w:b w:val="0"/>
                <w:bCs w:val="0"/>
                <w:color w:val="auto"/>
                <w:sz w:val="24"/>
                <w:szCs w:val="24"/>
              </w:rPr>
              <w:t>m³/d，</w:t>
            </w:r>
            <w:r>
              <w:rPr>
                <w:rFonts w:hint="default" w:ascii="Times New Roman" w:hAnsi="Times New Roman" w:eastAsia="宋体" w:cs="Times New Roman"/>
                <w:b w:val="0"/>
                <w:bCs w:val="0"/>
                <w:color w:val="auto"/>
                <w:kern w:val="2"/>
                <w:sz w:val="24"/>
                <w:szCs w:val="24"/>
                <w:lang w:val="en-US" w:eastAsia="zh-CN" w:bidi="ar"/>
              </w:rPr>
              <w:t>1653.12</w:t>
            </w:r>
            <w:r>
              <w:rPr>
                <w:rFonts w:hint="default" w:ascii="Times New Roman" w:hAnsi="Times New Roman" w:cs="Times New Roman"/>
                <w:b w:val="0"/>
                <w:bCs w:val="0"/>
                <w:color w:val="auto"/>
                <w:sz w:val="24"/>
                <w:szCs w:val="24"/>
              </w:rPr>
              <w:t>m³/a，废水产生量为</w:t>
            </w:r>
            <w:r>
              <w:rPr>
                <w:rFonts w:hint="default" w:ascii="Times New Roman" w:hAnsi="Times New Roman" w:eastAsia="宋体" w:cs="Times New Roman"/>
                <w:b w:val="0"/>
                <w:bCs w:val="0"/>
                <w:color w:val="auto"/>
                <w:kern w:val="2"/>
                <w:sz w:val="24"/>
                <w:szCs w:val="24"/>
                <w:lang w:val="en-US" w:eastAsia="zh-CN" w:bidi="ar"/>
              </w:rPr>
              <w:t>4</w:t>
            </w:r>
            <w:r>
              <w:rPr>
                <w:rFonts w:hint="default" w:ascii="Times New Roman" w:hAnsi="Times New Roman" w:cs="Times New Roman"/>
                <w:b w:val="0"/>
                <w:bCs w:val="0"/>
                <w:color w:val="auto"/>
                <w:kern w:val="2"/>
                <w:sz w:val="24"/>
                <w:szCs w:val="24"/>
                <w:lang w:val="en-US" w:eastAsia="zh-CN" w:bidi="ar"/>
              </w:rPr>
              <w:t>.3</w:t>
            </w:r>
            <w:r>
              <w:rPr>
                <w:rFonts w:hint="eastAsia" w:cs="Times New Roman"/>
                <w:b w:val="0"/>
                <w:bCs w:val="0"/>
                <w:color w:val="auto"/>
                <w:kern w:val="2"/>
                <w:sz w:val="24"/>
                <w:szCs w:val="24"/>
                <w:lang w:val="en-US" w:eastAsia="zh-CN" w:bidi="ar"/>
              </w:rPr>
              <w:t>874</w:t>
            </w:r>
            <w:r>
              <w:rPr>
                <w:rFonts w:hint="default" w:ascii="Times New Roman" w:hAnsi="Times New Roman" w:cs="Times New Roman"/>
                <w:b w:val="0"/>
                <w:bCs w:val="0"/>
                <w:color w:val="auto"/>
                <w:sz w:val="24"/>
                <w:szCs w:val="24"/>
              </w:rPr>
              <w:t>m³/d，</w:t>
            </w:r>
            <w:r>
              <w:rPr>
                <w:rFonts w:hint="eastAsia" w:cs="Times New Roman"/>
                <w:b w:val="0"/>
                <w:bCs w:val="0"/>
                <w:color w:val="auto"/>
                <w:kern w:val="2"/>
                <w:sz w:val="24"/>
                <w:szCs w:val="24"/>
                <w:lang w:val="en-US" w:eastAsia="zh-CN" w:bidi="ar"/>
              </w:rPr>
              <w:t>1316.22</w:t>
            </w:r>
            <w:r>
              <w:rPr>
                <w:rFonts w:hint="default" w:ascii="Times New Roman" w:hAnsi="Times New Roman" w:cs="Times New Roman"/>
                <w:b w:val="0"/>
                <w:bCs w:val="0"/>
                <w:color w:val="auto"/>
                <w:sz w:val="24"/>
                <w:szCs w:val="24"/>
              </w:rPr>
              <w:t>m³/a。本项目用排水情况</w:t>
            </w:r>
            <w:r>
              <w:rPr>
                <w:rFonts w:hint="default"/>
                <w:b w:val="0"/>
                <w:bCs w:val="0"/>
                <w:color w:val="auto"/>
                <w:sz w:val="24"/>
              </w:rPr>
              <w:t>见下表所示，水量平衡图见图2-</w:t>
            </w:r>
            <w:r>
              <w:rPr>
                <w:rFonts w:hint="eastAsia"/>
                <w:b w:val="0"/>
                <w:bCs w:val="0"/>
                <w:color w:val="auto"/>
                <w:sz w:val="24"/>
                <w:lang w:val="en-US" w:eastAsia="zh-CN"/>
              </w:rPr>
              <w:t>1</w:t>
            </w:r>
            <w:r>
              <w:rPr>
                <w:rFonts w:hint="default"/>
                <w:b w:val="0"/>
                <w:bCs w:val="0"/>
                <w:color w:val="auto"/>
                <w:sz w:val="24"/>
              </w:rPr>
              <w:t>所示。</w:t>
            </w:r>
          </w:p>
          <w:p w14:paraId="547A36D6">
            <w:pPr>
              <w:keepNext w:val="0"/>
              <w:keepLines w:val="0"/>
              <w:suppressLineNumbers w:val="0"/>
              <w:autoSpaceDE w:val="0"/>
              <w:autoSpaceDN w:val="0"/>
              <w:adjustRightInd w:val="0"/>
              <w:snapToGrid w:val="0"/>
              <w:spacing w:before="120" w:beforeLines="50" w:beforeAutospacing="0" w:after="0" w:afterAutospacing="0" w:line="240" w:lineRule="auto"/>
              <w:ind w:left="0" w:right="0"/>
              <w:jc w:val="center"/>
              <w:rPr>
                <w:rFonts w:hint="default"/>
                <w:b/>
                <w:bCs/>
                <w:color w:val="auto"/>
                <w:sz w:val="21"/>
                <w:szCs w:val="21"/>
              </w:rPr>
            </w:pPr>
            <w:r>
              <w:rPr>
                <w:rFonts w:hint="default"/>
                <w:b/>
                <w:bCs/>
                <w:color w:val="auto"/>
                <w:sz w:val="21"/>
                <w:szCs w:val="21"/>
              </w:rPr>
              <w:t>表2-</w:t>
            </w:r>
            <w:r>
              <w:rPr>
                <w:rFonts w:hint="eastAsia"/>
                <w:b/>
                <w:bCs/>
                <w:color w:val="auto"/>
                <w:sz w:val="21"/>
                <w:szCs w:val="21"/>
                <w:lang w:val="en-US" w:eastAsia="zh-CN"/>
              </w:rPr>
              <w:t>7</w:t>
            </w:r>
            <w:r>
              <w:rPr>
                <w:rFonts w:hint="default"/>
                <w:b/>
                <w:bCs/>
                <w:color w:val="auto"/>
                <w:sz w:val="21"/>
                <w:szCs w:val="21"/>
              </w:rPr>
              <w:t xml:space="preserve">     本项目用排水情况一览表</w:t>
            </w:r>
          </w:p>
          <w:tbl>
            <w:tblPr>
              <w:tblStyle w:val="17"/>
              <w:tblW w:w="4993"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387"/>
              <w:gridCol w:w="1251"/>
              <w:gridCol w:w="732"/>
              <w:gridCol w:w="890"/>
              <w:gridCol w:w="706"/>
              <w:gridCol w:w="680"/>
              <w:gridCol w:w="838"/>
              <w:gridCol w:w="876"/>
              <w:gridCol w:w="1873"/>
            </w:tblGrid>
            <w:tr w14:paraId="521BF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19" w:hRule="atLeast"/>
              </w:trPr>
              <w:tc>
                <w:tcPr>
                  <w:tcW w:w="994" w:type="pct"/>
                  <w:gridSpan w:val="2"/>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65822260">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用水类别</w:t>
                  </w:r>
                </w:p>
              </w:tc>
              <w:tc>
                <w:tcPr>
                  <w:tcW w:w="985"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35C5AE41">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eastAsia" w:ascii="Times New Roman" w:hAnsi="Times New Roman" w:eastAsia="宋体" w:cs="宋体"/>
                      <w:b/>
                      <w:bCs w:val="0"/>
                      <w:color w:val="auto"/>
                      <w:kern w:val="2"/>
                      <w:sz w:val="21"/>
                      <w:szCs w:val="21"/>
                      <w:lang w:val="en-US" w:eastAsia="zh-CN" w:bidi="ar"/>
                    </w:rPr>
                    <w:t>新鲜用水量</w:t>
                  </w:r>
                </w:p>
              </w:tc>
              <w:tc>
                <w:tcPr>
                  <w:tcW w:w="841"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16FA2E7D">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eastAsia" w:ascii="Times New Roman" w:hAnsi="Times New Roman" w:eastAsia="宋体" w:cs="宋体"/>
                      <w:b/>
                      <w:bCs w:val="0"/>
                      <w:color w:val="auto"/>
                      <w:kern w:val="2"/>
                      <w:sz w:val="21"/>
                      <w:szCs w:val="21"/>
                      <w:lang w:val="en-US" w:eastAsia="zh-CN" w:bidi="ar"/>
                    </w:rPr>
                    <w:t>纯水用量</w:t>
                  </w:r>
                </w:p>
              </w:tc>
              <w:tc>
                <w:tcPr>
                  <w:tcW w:w="104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7F6181CF">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污水量</w:t>
                  </w:r>
                </w:p>
              </w:tc>
              <w:tc>
                <w:tcPr>
                  <w:tcW w:w="1137"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3FD88F06">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备注</w:t>
                  </w:r>
                </w:p>
              </w:tc>
            </w:tr>
            <w:tr w14:paraId="7A30E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9" w:hRule="atLeast"/>
              </w:trPr>
              <w:tc>
                <w:tcPr>
                  <w:tcW w:w="994" w:type="pct"/>
                  <w:gridSpan w:val="2"/>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CB20EF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5B26B3E9">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default" w:ascii="Times New Roman" w:hAnsi="Times New Roman" w:eastAsia="宋体" w:cs="Times New Roman"/>
                      <w:b/>
                      <w:bCs w:val="0"/>
                      <w:color w:val="auto"/>
                      <w:kern w:val="2"/>
                      <w:sz w:val="21"/>
                      <w:szCs w:val="21"/>
                      <w:lang w:val="en-US" w:eastAsia="zh-CN" w:bidi="ar"/>
                    </w:rPr>
                    <w:t>m³/d</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26B2BC07">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default" w:ascii="Times New Roman" w:hAnsi="Times New Roman" w:eastAsia="宋体" w:cs="Times New Roman"/>
                      <w:b/>
                      <w:bCs w:val="0"/>
                      <w:color w:val="auto"/>
                      <w:kern w:val="2"/>
                      <w:sz w:val="21"/>
                      <w:szCs w:val="21"/>
                      <w:lang w:val="en-US" w:eastAsia="zh-CN" w:bidi="ar"/>
                    </w:rPr>
                    <w:t>m³/a</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604D8AC4">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default" w:ascii="Times New Roman" w:hAnsi="Times New Roman" w:eastAsia="宋体" w:cs="Times New Roman"/>
                      <w:b/>
                      <w:bCs w:val="0"/>
                      <w:color w:val="auto"/>
                      <w:kern w:val="2"/>
                      <w:sz w:val="21"/>
                      <w:szCs w:val="21"/>
                      <w:lang w:val="en-US" w:eastAsia="zh-CN" w:bidi="ar"/>
                    </w:rPr>
                    <w:t>m³/d</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68687060">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default" w:ascii="Times New Roman" w:hAnsi="Times New Roman" w:eastAsia="宋体" w:cs="Times New Roman"/>
                      <w:b/>
                      <w:bCs w:val="0"/>
                      <w:color w:val="auto"/>
                      <w:kern w:val="2"/>
                      <w:sz w:val="21"/>
                      <w:szCs w:val="21"/>
                      <w:lang w:val="en-US" w:eastAsia="zh-CN" w:bidi="ar"/>
                    </w:rPr>
                    <w:t>m³/a</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042BBFCD">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default" w:ascii="Times New Roman" w:hAnsi="Times New Roman" w:eastAsia="宋体" w:cs="Times New Roman"/>
                      <w:b/>
                      <w:bCs w:val="0"/>
                      <w:color w:val="auto"/>
                      <w:kern w:val="2"/>
                      <w:sz w:val="21"/>
                      <w:szCs w:val="21"/>
                      <w:lang w:val="en-US" w:eastAsia="zh-CN" w:bidi="ar"/>
                    </w:rPr>
                    <w:t>m³/d</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5D7C80B8">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default" w:ascii="Times New Roman" w:hAnsi="Times New Roman" w:eastAsia="宋体" w:cs="Times New Roman"/>
                      <w:b/>
                      <w:bCs w:val="0"/>
                      <w:color w:val="auto"/>
                      <w:kern w:val="2"/>
                      <w:sz w:val="21"/>
                      <w:szCs w:val="21"/>
                      <w:lang w:val="en-US" w:eastAsia="zh-CN" w:bidi="ar"/>
                    </w:rPr>
                    <w:t>m³/a</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949B61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12113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34"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5645137B">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办公生活区</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11FF415D">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食堂废水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0C87E074">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0.9</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47ADD5F6">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270</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49DCA0A0">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5CF9F0E0">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612B06EA">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0.72</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69BB297A">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216</w:t>
                  </w:r>
                </w:p>
              </w:tc>
              <w:tc>
                <w:tcPr>
                  <w:tcW w:w="1137"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3C6341B0">
                  <w:pPr>
                    <w:keepNext w:val="0"/>
                    <w:keepLines w:val="0"/>
                    <w:widowControl w:val="0"/>
                    <w:suppressLineNumbers w:val="0"/>
                    <w:spacing w:before="0" w:beforeAutospacing="0" w:after="0" w:afterAutospacing="0"/>
                    <w:ind w:left="0" w:right="0"/>
                    <w:jc w:val="both"/>
                    <w:rPr>
                      <w:rFonts w:hint="default"/>
                      <w:color w:val="auto"/>
                      <w:szCs w:val="21"/>
                      <w:lang w:val="en-US"/>
                    </w:rPr>
                  </w:pPr>
                  <w:r>
                    <w:rPr>
                      <w:rFonts w:hint="eastAsia" w:ascii="Times New Roman" w:hAnsi="Times New Roman" w:eastAsia="宋体" w:cs="宋体"/>
                      <w:color w:val="auto"/>
                      <w:kern w:val="2"/>
                      <w:sz w:val="21"/>
                      <w:szCs w:val="21"/>
                      <w:lang w:val="en-US" w:eastAsia="zh-CN" w:bidi="ar"/>
                    </w:rPr>
                    <w:t>本项目食堂废水经隔油池处理后与其他生活废水、地面清洁水进入办公楼依托化粪池处理</w:t>
                  </w:r>
                  <w:r>
                    <w:rPr>
                      <w:rFonts w:hint="eastAsia" w:cs="宋体"/>
                      <w:color w:val="auto"/>
                      <w:kern w:val="2"/>
                      <w:sz w:val="21"/>
                      <w:szCs w:val="21"/>
                      <w:lang w:val="en-US" w:eastAsia="zh-CN" w:bidi="ar"/>
                    </w:rPr>
                    <w:t>达标后排入市政污水管网，最终进入昆明第五水质净化厂处理</w:t>
                  </w:r>
                  <w:r>
                    <w:rPr>
                      <w:rFonts w:hint="eastAsia" w:ascii="Times New Roman" w:hAnsi="Times New Roman" w:eastAsia="宋体" w:cs="宋体"/>
                      <w:color w:val="auto"/>
                      <w:kern w:val="2"/>
                      <w:sz w:val="21"/>
                      <w:szCs w:val="21"/>
                      <w:lang w:val="en-US" w:eastAsia="zh-CN" w:bidi="ar"/>
                    </w:rPr>
                    <w:t>。</w:t>
                  </w:r>
                </w:p>
              </w:tc>
            </w:tr>
            <w:tr w14:paraId="376F6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7"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1E7367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6D7D5FB5">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办公生活废水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6CDDFA70">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3.6</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764EA49C">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1080</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30472B86">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46F6DEE5">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360C50C6">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2.88</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2DBEEC9A">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864</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56DBCF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76CD9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4475B7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315E42DE">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2"/>
                      <w:sz w:val="21"/>
                      <w:szCs w:val="24"/>
                      <w:lang w:val="en-US" w:eastAsia="zh-CN" w:bidi="ar"/>
                    </w:rPr>
                    <w:t>地面清洁水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73F8BE92">
                  <w:pPr>
                    <w:keepNext w:val="0"/>
                    <w:keepLines w:val="0"/>
                    <w:widowControl w:val="0"/>
                    <w:suppressLineNumbers w:val="0"/>
                    <w:spacing w:before="0" w:beforeAutospacing="0" w:after="0" w:afterAutospacing="0"/>
                    <w:ind w:left="0" w:right="0"/>
                    <w:jc w:val="center"/>
                    <w:rPr>
                      <w:rFonts w:hint="default"/>
                      <w:color w:val="auto"/>
                      <w:lang w:val="en-US" w:bidi="ar"/>
                    </w:rPr>
                  </w:pPr>
                  <w:r>
                    <w:rPr>
                      <w:rFonts w:hint="default" w:ascii="Times New Roman" w:hAnsi="Times New Roman" w:eastAsia="宋体" w:cs="Times New Roman"/>
                      <w:color w:val="auto"/>
                      <w:kern w:val="2"/>
                      <w:sz w:val="21"/>
                      <w:szCs w:val="24"/>
                      <w:lang w:val="en-US" w:eastAsia="zh-CN" w:bidi="ar"/>
                    </w:rPr>
                    <w:t>0.218</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1EC024F3">
                  <w:pPr>
                    <w:keepNext w:val="0"/>
                    <w:keepLines w:val="0"/>
                    <w:widowControl w:val="0"/>
                    <w:suppressLineNumbers w:val="0"/>
                    <w:spacing w:before="0" w:beforeAutospacing="0" w:after="0" w:afterAutospacing="0"/>
                    <w:ind w:left="0" w:right="0"/>
                    <w:jc w:val="center"/>
                    <w:rPr>
                      <w:rFonts w:hint="default"/>
                      <w:color w:val="auto"/>
                      <w:lang w:val="en-US" w:bidi="ar"/>
                    </w:rPr>
                  </w:pPr>
                  <w:r>
                    <w:rPr>
                      <w:rFonts w:hint="default" w:ascii="Times New Roman" w:hAnsi="Times New Roman" w:eastAsia="宋体" w:cs="Times New Roman"/>
                      <w:color w:val="auto"/>
                      <w:kern w:val="2"/>
                      <w:sz w:val="21"/>
                      <w:szCs w:val="24"/>
                      <w:lang w:val="en-US" w:eastAsia="zh-CN" w:bidi="ar"/>
                    </w:rPr>
                    <w:t>65.4</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1D5A8421">
                  <w:pPr>
                    <w:keepNext w:val="0"/>
                    <w:keepLines w:val="0"/>
                    <w:widowControl w:val="0"/>
                    <w:suppressLineNumbers w:val="0"/>
                    <w:spacing w:before="0" w:beforeAutospacing="0" w:after="0" w:afterAutospacing="0"/>
                    <w:ind w:left="0" w:right="0"/>
                    <w:jc w:val="center"/>
                    <w:rPr>
                      <w:rFonts w:hint="default"/>
                      <w:color w:val="auto"/>
                      <w:lang w:val="en-US" w:bidi="ar"/>
                    </w:rPr>
                  </w:pPr>
                  <w:r>
                    <w:rPr>
                      <w:rFonts w:hint="default" w:ascii="Times New Roman" w:hAnsi="Times New Roman" w:eastAsia="宋体" w:cs="Times New Roman"/>
                      <w:color w:val="auto"/>
                      <w:kern w:val="2"/>
                      <w:sz w:val="21"/>
                      <w:szCs w:val="24"/>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51F4E601">
                  <w:pPr>
                    <w:keepNext w:val="0"/>
                    <w:keepLines w:val="0"/>
                    <w:widowControl w:val="0"/>
                    <w:suppressLineNumbers w:val="0"/>
                    <w:spacing w:before="0" w:beforeAutospacing="0" w:after="0" w:afterAutospacing="0"/>
                    <w:ind w:left="0" w:right="0"/>
                    <w:jc w:val="center"/>
                    <w:rPr>
                      <w:rFonts w:hint="default"/>
                      <w:color w:val="auto"/>
                      <w:lang w:val="en-US" w:bidi="ar"/>
                    </w:rPr>
                  </w:pPr>
                  <w:r>
                    <w:rPr>
                      <w:rFonts w:hint="default" w:ascii="Times New Roman" w:hAnsi="Times New Roman" w:eastAsia="宋体" w:cs="Times New Roman"/>
                      <w:color w:val="auto"/>
                      <w:kern w:val="2"/>
                      <w:sz w:val="21"/>
                      <w:szCs w:val="24"/>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4D58ACE5">
                  <w:pPr>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Times New Roman"/>
                      <w:color w:val="auto"/>
                      <w:kern w:val="2"/>
                      <w:sz w:val="21"/>
                      <w:szCs w:val="24"/>
                      <w:lang w:val="en-US" w:eastAsia="zh-CN" w:bidi="ar"/>
                    </w:rPr>
                    <w:t>0.1744</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35873977">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52.32</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8E078F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4FA2D4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702E6E7C">
                  <w:pPr>
                    <w:keepNext w:val="0"/>
                    <w:keepLines w:val="0"/>
                    <w:widowControl w:val="0"/>
                    <w:suppressLineNumbers w:val="0"/>
                    <w:spacing w:before="0" w:beforeAutospacing="0" w:after="0" w:afterAutospacing="0"/>
                    <w:ind w:left="0" w:right="0"/>
                    <w:jc w:val="center"/>
                    <w:rPr>
                      <w:rFonts w:hint="default"/>
                      <w:b/>
                      <w:bCs/>
                      <w:color w:val="auto"/>
                      <w:szCs w:val="21"/>
                      <w:lang w:val="en-US"/>
                    </w:rPr>
                  </w:pPr>
                  <w:r>
                    <w:rPr>
                      <w:rFonts w:hint="eastAsia" w:ascii="Times New Roman" w:hAnsi="Times New Roman" w:eastAsia="宋体" w:cs="宋体"/>
                      <w:b/>
                      <w:bCs/>
                      <w:color w:val="auto"/>
                      <w:kern w:val="2"/>
                      <w:sz w:val="21"/>
                      <w:szCs w:val="21"/>
                      <w:lang w:val="en-US" w:eastAsia="zh-CN" w:bidi="ar"/>
                    </w:rPr>
                    <w:t>合计</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4D1EFC5B">
                  <w:pPr>
                    <w:keepNext w:val="0"/>
                    <w:keepLines w:val="0"/>
                    <w:widowControl/>
                    <w:suppressLineNumbers w:val="0"/>
                    <w:spacing w:before="0" w:beforeAutospacing="0" w:after="0" w:afterAutospacing="0"/>
                    <w:ind w:left="0" w:right="0"/>
                    <w:jc w:val="center"/>
                    <w:textAlignment w:val="center"/>
                    <w:rPr>
                      <w:rFonts w:hint="default"/>
                      <w:b/>
                      <w:bCs/>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4.718</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6F25C44F">
                  <w:pPr>
                    <w:keepNext w:val="0"/>
                    <w:keepLines w:val="0"/>
                    <w:widowControl/>
                    <w:suppressLineNumbers w:val="0"/>
                    <w:spacing w:before="0" w:beforeAutospacing="0" w:after="0" w:afterAutospacing="0"/>
                    <w:ind w:left="0" w:right="0"/>
                    <w:jc w:val="center"/>
                    <w:textAlignment w:val="center"/>
                    <w:rPr>
                      <w:rFonts w:hint="default"/>
                      <w:b/>
                      <w:bCs/>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1415.4</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75BC2790">
                  <w:pPr>
                    <w:keepNext w:val="0"/>
                    <w:keepLines w:val="0"/>
                    <w:widowControl/>
                    <w:suppressLineNumbers w:val="0"/>
                    <w:spacing w:before="0" w:beforeAutospacing="0" w:after="0" w:afterAutospacing="0"/>
                    <w:ind w:left="0" w:right="0"/>
                    <w:jc w:val="center"/>
                    <w:textAlignment w:val="center"/>
                    <w:rPr>
                      <w:rFonts w:hint="default"/>
                      <w:b/>
                      <w:bCs/>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68621EC3">
                  <w:pPr>
                    <w:keepNext w:val="0"/>
                    <w:keepLines w:val="0"/>
                    <w:widowControl/>
                    <w:suppressLineNumbers w:val="0"/>
                    <w:spacing w:before="0" w:beforeAutospacing="0" w:after="0" w:afterAutospacing="0"/>
                    <w:ind w:left="0" w:right="0"/>
                    <w:jc w:val="center"/>
                    <w:textAlignment w:val="center"/>
                    <w:rPr>
                      <w:rFonts w:hint="default"/>
                      <w:b/>
                      <w:bCs/>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1B2A9D18">
                  <w:pPr>
                    <w:keepNext w:val="0"/>
                    <w:keepLines w:val="0"/>
                    <w:widowControl/>
                    <w:suppressLineNumbers w:val="0"/>
                    <w:spacing w:before="0" w:beforeAutospacing="0" w:after="0" w:afterAutospacing="0"/>
                    <w:ind w:left="0" w:right="0"/>
                    <w:jc w:val="center"/>
                    <w:textAlignment w:val="center"/>
                    <w:rPr>
                      <w:rFonts w:hint="default"/>
                      <w:b/>
                      <w:bCs/>
                      <w:color w:val="auto"/>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3.7744</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4410E5A1">
                  <w:pPr>
                    <w:keepNext w:val="0"/>
                    <w:keepLines w:val="0"/>
                    <w:widowControl/>
                    <w:suppressLineNumbers w:val="0"/>
                    <w:spacing w:before="0" w:beforeAutospacing="0" w:after="0" w:afterAutospacing="0"/>
                    <w:ind w:left="0" w:right="0"/>
                    <w:jc w:val="center"/>
                    <w:textAlignment w:val="center"/>
                    <w:rPr>
                      <w:rFonts w:hint="default"/>
                      <w:b/>
                      <w:bCs/>
                      <w:color w:val="auto"/>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1132.32</w:t>
                  </w:r>
                </w:p>
              </w:tc>
              <w:tc>
                <w:tcPr>
                  <w:tcW w:w="1137" w:type="pct"/>
                  <w:tcBorders>
                    <w:top w:val="single" w:color="auto" w:sz="6" w:space="0"/>
                    <w:left w:val="single" w:color="auto" w:sz="6" w:space="0"/>
                    <w:bottom w:val="single" w:color="auto" w:sz="6" w:space="0"/>
                    <w:right w:val="single" w:color="auto" w:sz="6" w:space="0"/>
                  </w:tcBorders>
                  <w:shd w:val="clear" w:color="auto" w:fill="auto"/>
                  <w:vAlign w:val="center"/>
                </w:tcPr>
                <w:p w14:paraId="6E641DC5">
                  <w:pPr>
                    <w:keepNext w:val="0"/>
                    <w:keepLines w:val="0"/>
                    <w:widowControl w:val="0"/>
                    <w:suppressLineNumbers w:val="0"/>
                    <w:spacing w:before="0" w:beforeAutospacing="0" w:after="0" w:afterAutospacing="0"/>
                    <w:ind w:left="0" w:right="0"/>
                    <w:jc w:val="center"/>
                    <w:rPr>
                      <w:rFonts w:hint="default"/>
                      <w:b/>
                      <w:bCs/>
                      <w:color w:val="auto"/>
                      <w:szCs w:val="21"/>
                      <w:lang w:val="en-US"/>
                    </w:rPr>
                  </w:pPr>
                  <w:r>
                    <w:rPr>
                      <w:rFonts w:hint="default" w:ascii="Times New Roman" w:hAnsi="Times New Roman" w:eastAsia="宋体" w:cs="Times New Roman"/>
                      <w:b/>
                      <w:bCs/>
                      <w:color w:val="auto"/>
                      <w:kern w:val="2"/>
                      <w:sz w:val="21"/>
                      <w:szCs w:val="21"/>
                      <w:lang w:val="en-US" w:eastAsia="zh-CN" w:bidi="ar"/>
                    </w:rPr>
                    <w:t>/</w:t>
                  </w:r>
                </w:p>
              </w:tc>
            </w:tr>
            <w:tr w14:paraId="24F1F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234"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2DE3033E">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实验区</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7AB302B0">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物理实验室废水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46DBDF27">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0.2</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37CDF3DB">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5F09E47E">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78C2653E">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4205C465">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07111A24">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48</w:t>
                  </w:r>
                </w:p>
              </w:tc>
              <w:tc>
                <w:tcPr>
                  <w:tcW w:w="1137"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55ED457F">
                  <w:pPr>
                    <w:pStyle w:val="67"/>
                    <w:keepNext w:val="0"/>
                    <w:keepLines w:val="0"/>
                    <w:widowControl/>
                    <w:suppressLineNumbers w:val="0"/>
                    <w:rPr>
                      <w:color w:val="auto"/>
                      <w:lang w:val="en-US"/>
                    </w:rPr>
                  </w:pPr>
                  <w:r>
                    <w:rPr>
                      <w:rFonts w:hint="eastAsia" w:ascii="Times New Roman" w:hAnsi="Times New Roman" w:eastAsia="宋体" w:cs="宋体"/>
                      <w:color w:val="auto"/>
                    </w:rPr>
                    <w:t>本项目物理实验废水和纯水制备废水进入实验楼配套的三级沉淀池处理。</w:t>
                  </w:r>
                </w:p>
              </w:tc>
            </w:tr>
            <w:tr w14:paraId="53A50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962662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46E7213D">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砂石冲洗废水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7DAD2371">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0.2</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0595570C">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3F0B66D6">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30386AF4">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5AE26E55">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4102CCA4">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48</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9AA0F1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5E87C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6CEAC4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703D80C3">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宋体" w:hAnsi="宋体" w:eastAsia="宋体" w:cs="宋体"/>
                      <w:color w:val="auto"/>
                      <w:kern w:val="2"/>
                      <w:sz w:val="21"/>
                      <w:szCs w:val="24"/>
                      <w:lang w:val="en-US" w:eastAsia="zh-CN" w:bidi="ar"/>
                    </w:rPr>
                    <w:t>纯水制备废水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29AA8F37">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0.214</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0FC04B95">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64.2</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483FD9F5">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5232459F">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5DE90422">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0.064</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49BB7B09">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842371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253CA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089221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0C2EC0DC">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宋体" w:hAnsi="宋体" w:eastAsia="宋体" w:cs="宋体"/>
                      <w:color w:val="auto"/>
                      <w:kern w:val="2"/>
                      <w:sz w:val="21"/>
                      <w:szCs w:val="24"/>
                      <w:lang w:val="en-US" w:eastAsia="zh-CN" w:bidi="ar"/>
                    </w:rPr>
                    <w:t>化学实验试剂配制用水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7C5E386F">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30725394">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2FBFFCB8">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1B797778">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63E33980">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Style w:val="71"/>
                      <w:rFonts w:eastAsia="宋体"/>
                      <w:color w:val="auto"/>
                      <w:lang w:val="en-US" w:eastAsia="zh-CN" w:bidi="ar"/>
                    </w:rPr>
                    <w:t>0.05</w:t>
                  </w:r>
                  <w:r>
                    <w:rPr>
                      <w:rStyle w:val="72"/>
                      <w:color w:val="auto"/>
                      <w:lang w:val="en-US" w:eastAsia="zh-CN" w:bidi="ar"/>
                    </w:rPr>
                    <w:t>（危废）</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54276456">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Style w:val="71"/>
                      <w:rFonts w:eastAsia="宋体"/>
                      <w:color w:val="auto"/>
                      <w:lang w:val="en-US" w:eastAsia="zh-CN" w:bidi="ar"/>
                    </w:rPr>
                    <w:t>15</w:t>
                  </w:r>
                  <w:r>
                    <w:rPr>
                      <w:rStyle w:val="72"/>
                      <w:color w:val="auto"/>
                      <w:lang w:val="en-US" w:eastAsia="zh-CN" w:bidi="ar"/>
                    </w:rPr>
                    <w:t>（危废）</w:t>
                  </w:r>
                </w:p>
              </w:tc>
              <w:tc>
                <w:tcPr>
                  <w:tcW w:w="1137"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45CC0CC1">
                  <w:pPr>
                    <w:keepNext w:val="0"/>
                    <w:keepLines w:val="0"/>
                    <w:widowControl w:val="0"/>
                    <w:suppressLineNumbers w:val="0"/>
                    <w:spacing w:before="0" w:beforeAutospacing="0" w:after="0" w:afterAutospacing="0"/>
                    <w:ind w:left="0" w:right="0"/>
                    <w:jc w:val="both"/>
                    <w:rPr>
                      <w:rFonts w:hint="default"/>
                      <w:color w:val="auto"/>
                      <w:szCs w:val="21"/>
                      <w:lang w:val="en-US"/>
                    </w:rPr>
                  </w:pPr>
                  <w:r>
                    <w:rPr>
                      <w:rFonts w:hint="eastAsia" w:ascii="Times New Roman" w:hAnsi="Times New Roman" w:eastAsia="宋体" w:cs="宋体"/>
                      <w:color w:val="auto"/>
                      <w:kern w:val="2"/>
                      <w:sz w:val="21"/>
                      <w:szCs w:val="21"/>
                      <w:lang w:val="en-US" w:eastAsia="zh-CN" w:bidi="ar"/>
                    </w:rPr>
                    <w:t>本项目实验试剂配制废水和第一二次器皿清洁废水作危废处理。其余实验废水和喷淋设施废水经</w:t>
                  </w:r>
                  <w:r>
                    <w:rPr>
                      <w:rFonts w:hint="eastAsia" w:cs="宋体"/>
                      <w:color w:val="auto"/>
                      <w:kern w:val="2"/>
                      <w:sz w:val="21"/>
                      <w:szCs w:val="21"/>
                      <w:lang w:val="en-US" w:eastAsia="zh-CN" w:bidi="ar"/>
                    </w:rPr>
                    <w:t>废水中和收集桶</w:t>
                  </w:r>
                  <w:r>
                    <w:rPr>
                      <w:rFonts w:hint="eastAsia" w:ascii="Times New Roman" w:hAnsi="Times New Roman" w:eastAsia="宋体" w:cs="宋体"/>
                      <w:color w:val="auto"/>
                      <w:kern w:val="2"/>
                      <w:sz w:val="21"/>
                      <w:szCs w:val="21"/>
                      <w:lang w:val="en-US" w:eastAsia="zh-CN" w:bidi="ar"/>
                    </w:rPr>
                    <w:t>中和处理后排入实验楼配套三级沉淀池处理</w:t>
                  </w:r>
                  <w:r>
                    <w:rPr>
                      <w:rFonts w:hint="eastAsia" w:cs="宋体"/>
                      <w:color w:val="auto"/>
                      <w:kern w:val="2"/>
                      <w:sz w:val="21"/>
                      <w:szCs w:val="21"/>
                      <w:lang w:val="en-US" w:eastAsia="zh-CN" w:bidi="ar"/>
                    </w:rPr>
                    <w:t>达标后排入市政污水管网，最终进入昆明第五水质净化厂处理</w:t>
                  </w:r>
                  <w:r>
                    <w:rPr>
                      <w:rFonts w:hint="eastAsia" w:ascii="Times New Roman" w:hAnsi="Times New Roman" w:eastAsia="宋体" w:cs="宋体"/>
                      <w:color w:val="auto"/>
                      <w:kern w:val="2"/>
                      <w:sz w:val="21"/>
                      <w:szCs w:val="21"/>
                      <w:lang w:val="en-US" w:eastAsia="zh-CN" w:bidi="ar"/>
                    </w:rPr>
                    <w:t>。</w:t>
                  </w:r>
                </w:p>
              </w:tc>
            </w:tr>
            <w:tr w14:paraId="016EE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3"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5980CD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495760BF">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宋体" w:hAnsi="宋体" w:eastAsia="宋体" w:cs="宋体"/>
                      <w:color w:val="auto"/>
                      <w:kern w:val="2"/>
                      <w:sz w:val="21"/>
                      <w:szCs w:val="24"/>
                      <w:lang w:val="en-US" w:eastAsia="zh-CN" w:bidi="ar"/>
                    </w:rPr>
                    <w:t>实验器具润洗用水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1280F349">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2063EF3F">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4DA619C7">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5B4DEE58">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36435CF4">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33AFC2D5">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DCB262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21F0B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8BC5BD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6BA38DF6">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lang w:val="en-US"/>
                    </w:rPr>
                  </w:pPr>
                  <w:r>
                    <w:rPr>
                      <w:rFonts w:hint="eastAsia" w:ascii="宋体" w:hAnsi="宋体" w:eastAsia="宋体" w:cs="宋体"/>
                      <w:color w:val="auto"/>
                      <w:kern w:val="2"/>
                      <w:sz w:val="21"/>
                      <w:szCs w:val="24"/>
                      <w:lang w:val="en-US" w:eastAsia="zh-CN" w:bidi="ar"/>
                    </w:rPr>
                    <w:t>第一、二次实验器皿清洗废水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21AF79A7">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2593135A">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18CE379D">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56DFC27E">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166AD9E7">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Style w:val="71"/>
                      <w:rFonts w:eastAsia="宋体"/>
                      <w:color w:val="auto"/>
                      <w:lang w:val="en-US" w:eastAsia="zh-CN" w:bidi="ar"/>
                    </w:rPr>
                    <w:t>0.018</w:t>
                  </w:r>
                  <w:r>
                    <w:rPr>
                      <w:rStyle w:val="72"/>
                      <w:color w:val="auto"/>
                      <w:lang w:val="en-US" w:eastAsia="zh-CN" w:bidi="ar"/>
                    </w:rPr>
                    <w:t>（危废）</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7A348B88">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Style w:val="71"/>
                      <w:rFonts w:eastAsia="宋体"/>
                      <w:color w:val="auto"/>
                      <w:lang w:val="en-US" w:eastAsia="zh-CN" w:bidi="ar"/>
                    </w:rPr>
                    <w:t>5.4</w:t>
                  </w:r>
                  <w:r>
                    <w:rPr>
                      <w:rStyle w:val="72"/>
                      <w:color w:val="auto"/>
                      <w:lang w:val="en-US" w:eastAsia="zh-CN" w:bidi="ar"/>
                    </w:rPr>
                    <w:t>（危废）</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02316B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2B979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21DB43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5C3F46AF">
                  <w:pPr>
                    <w:keepNext w:val="0"/>
                    <w:keepLines w:val="0"/>
                    <w:widowControl w:val="0"/>
                    <w:suppressLineNumbers w:val="0"/>
                    <w:spacing w:before="0" w:beforeAutospacing="0" w:after="0" w:afterAutospacing="0"/>
                    <w:ind w:left="0" w:right="0"/>
                    <w:jc w:val="center"/>
                    <w:rPr>
                      <w:rFonts w:hint="default" w:cs="宋体"/>
                      <w:color w:val="auto"/>
                      <w:szCs w:val="21"/>
                      <w:lang w:val="en-US" w:bidi="ar"/>
                    </w:rPr>
                  </w:pPr>
                  <w:r>
                    <w:rPr>
                      <w:rFonts w:hint="eastAsia" w:ascii="宋体" w:hAnsi="宋体" w:eastAsia="宋体" w:cs="宋体"/>
                      <w:color w:val="auto"/>
                      <w:kern w:val="2"/>
                      <w:sz w:val="21"/>
                      <w:szCs w:val="24"/>
                      <w:lang w:val="en-US" w:eastAsia="zh-CN" w:bidi="ar"/>
                    </w:rPr>
                    <w:t>第三次及以后</w:t>
                  </w:r>
                  <w:r>
                    <w:rPr>
                      <w:rFonts w:hint="eastAsia" w:ascii="Times New Roman" w:hAnsi="Times New Roman" w:eastAsia="宋体" w:cs="宋体"/>
                      <w:color w:val="auto"/>
                      <w:kern w:val="2"/>
                      <w:sz w:val="21"/>
                      <w:szCs w:val="21"/>
                      <w:lang w:val="en-US" w:eastAsia="zh-CN" w:bidi="ar"/>
                    </w:rPr>
                    <w:t>实验器皿清洗废水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408D8AC3">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0D26D506">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24519935">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254E0CCC">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24F917E0">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0.135</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2AB1B54C">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40.5</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B915DF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4BB46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1D718F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2DC6B1F5">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宋体" w:hAnsi="宋体" w:eastAsia="宋体" w:cs="宋体"/>
                      <w:color w:val="auto"/>
                      <w:kern w:val="2"/>
                      <w:sz w:val="21"/>
                      <w:szCs w:val="24"/>
                      <w:lang w:val="en-US" w:eastAsia="zh-CN" w:bidi="ar"/>
                    </w:rPr>
                    <w:t>喷淋废水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67EB0D29">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0.009</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2665EC48">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2.52</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268C93C4">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3ED93D28">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5F5BCB42">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1A024C55">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E3AC5F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73A58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994"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52167F03">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合计</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30B890AC">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0.793</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78EE1A51">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237.72</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7178E9C2">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0.15</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75B512CD">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45</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7BB16CE5">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0.613</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22CF66AC">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183.9</w:t>
                  </w:r>
                </w:p>
              </w:tc>
              <w:tc>
                <w:tcPr>
                  <w:tcW w:w="1137" w:type="pct"/>
                  <w:tcBorders>
                    <w:top w:val="single" w:color="auto" w:sz="6" w:space="0"/>
                    <w:left w:val="single" w:color="auto" w:sz="6" w:space="0"/>
                    <w:bottom w:val="single" w:color="auto" w:sz="6" w:space="0"/>
                    <w:right w:val="single" w:color="auto" w:sz="6" w:space="0"/>
                  </w:tcBorders>
                  <w:shd w:val="clear" w:color="auto" w:fill="auto"/>
                  <w:vAlign w:val="center"/>
                </w:tcPr>
                <w:p w14:paraId="4972E211">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w:t>
                  </w:r>
                </w:p>
              </w:tc>
            </w:tr>
            <w:tr w14:paraId="68078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994"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452BD9D2">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总计</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6140F393">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5.511</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043E14CE">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1653.12</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669DC29B">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0.15</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0F8B2C7C">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45</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76B458E0">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4.3874</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508EC555">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1316.22</w:t>
                  </w:r>
                </w:p>
              </w:tc>
              <w:tc>
                <w:tcPr>
                  <w:tcW w:w="1137" w:type="pct"/>
                  <w:tcBorders>
                    <w:top w:val="single" w:color="auto" w:sz="6" w:space="0"/>
                    <w:left w:val="single" w:color="auto" w:sz="6" w:space="0"/>
                    <w:bottom w:val="single" w:color="auto" w:sz="6" w:space="0"/>
                    <w:right w:val="single" w:color="auto" w:sz="6" w:space="0"/>
                  </w:tcBorders>
                  <w:shd w:val="clear" w:color="auto" w:fill="auto"/>
                  <w:vAlign w:val="center"/>
                </w:tcPr>
                <w:p w14:paraId="5C011CCD">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w:t>
                  </w:r>
                </w:p>
              </w:tc>
            </w:tr>
          </w:tbl>
          <w:p w14:paraId="00AC3D31">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 w:val="24"/>
              </w:rPr>
            </w:pPr>
          </w:p>
          <w:p w14:paraId="2A233A02">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 w:val="24"/>
              </w:rPr>
            </w:pPr>
            <w:r>
              <w:rPr>
                <w:rFonts w:hint="default" w:eastAsiaTheme="minorEastAsia"/>
                <w:b/>
                <w:color w:val="auto"/>
                <w:kern w:val="0"/>
                <w:sz w:val="24"/>
              </w:rPr>
              <w:object>
                <v:shape id="_x0000_i1025" o:spt="75" type="#_x0000_t75" style="height:442.55pt;width:410.5pt;" o:ole="t" filled="f" o:preferrelative="t" stroked="f" coordsize="21600,21600">
                  <v:path/>
                  <v:fill on="f" focussize="0,0"/>
                  <v:stroke on="f"/>
                  <v:imagedata r:id="rId10" o:title=""/>
                  <o:lock v:ext="edit" aspectratio="f"/>
                  <w10:wrap type="none"/>
                  <w10:anchorlock/>
                </v:shape>
                <o:OLEObject Type="Embed" ProgID="Visio.Drawing.15" ShapeID="_x0000_i1025" DrawAspect="Content" ObjectID="_1468075725" r:id="rId9">
                  <o:LockedField>false</o:LockedField>
                </o:OLEObject>
              </w:object>
            </w:r>
          </w:p>
          <w:p w14:paraId="3D4872CE">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 w:val="24"/>
              </w:rPr>
            </w:pPr>
            <w:r>
              <w:rPr>
                <w:rFonts w:hint="default" w:eastAsiaTheme="minorEastAsia"/>
                <w:b/>
                <w:color w:val="auto"/>
                <w:kern w:val="0"/>
                <w:sz w:val="24"/>
              </w:rPr>
              <w:t>图2-1   项目用水量平衡图   （m³/d）</w:t>
            </w:r>
          </w:p>
          <w:p w14:paraId="59EF2F36">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10. 环保投资</w:t>
            </w:r>
          </w:p>
          <w:p w14:paraId="1363AE43">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项目总投资为300万元，环保投资21.</w:t>
            </w:r>
            <w:r>
              <w:rPr>
                <w:rFonts w:hint="eastAsia" w:eastAsiaTheme="minorEastAsia"/>
                <w:color w:val="auto"/>
                <w:kern w:val="0"/>
                <w:sz w:val="24"/>
                <w:lang w:val="en-US" w:eastAsia="zh-CN"/>
              </w:rPr>
              <w:t>8</w:t>
            </w:r>
            <w:r>
              <w:rPr>
                <w:rFonts w:hint="default" w:eastAsiaTheme="minorEastAsia"/>
                <w:color w:val="auto"/>
                <w:kern w:val="0"/>
                <w:sz w:val="24"/>
              </w:rPr>
              <w:t>万元，占总投资的7.</w:t>
            </w:r>
            <w:r>
              <w:rPr>
                <w:rFonts w:hint="eastAsia" w:eastAsiaTheme="minorEastAsia"/>
                <w:color w:val="auto"/>
                <w:kern w:val="0"/>
                <w:sz w:val="24"/>
                <w:lang w:val="en-US" w:eastAsia="zh-CN"/>
              </w:rPr>
              <w:t>267</w:t>
            </w:r>
            <w:r>
              <w:rPr>
                <w:rFonts w:hint="default" w:eastAsiaTheme="minorEastAsia"/>
                <w:color w:val="auto"/>
                <w:kern w:val="0"/>
                <w:sz w:val="24"/>
              </w:rPr>
              <w:t>%。项目环保投资见表2-</w:t>
            </w:r>
            <w:r>
              <w:rPr>
                <w:rFonts w:hint="eastAsia" w:eastAsiaTheme="minorEastAsia"/>
                <w:color w:val="auto"/>
                <w:kern w:val="0"/>
                <w:sz w:val="24"/>
                <w:lang w:val="en-US" w:eastAsia="zh-CN"/>
              </w:rPr>
              <w:t>8</w:t>
            </w:r>
            <w:r>
              <w:rPr>
                <w:rFonts w:hint="default" w:eastAsiaTheme="minorEastAsia"/>
                <w:color w:val="auto"/>
                <w:kern w:val="0"/>
                <w:sz w:val="24"/>
              </w:rPr>
              <w:t>所示。</w:t>
            </w:r>
          </w:p>
          <w:p w14:paraId="637643D4">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表2-</w:t>
            </w:r>
            <w:r>
              <w:rPr>
                <w:rFonts w:hint="eastAsia" w:eastAsiaTheme="minorEastAsia"/>
                <w:b/>
                <w:color w:val="auto"/>
                <w:kern w:val="0"/>
                <w:szCs w:val="21"/>
                <w:lang w:val="en-US" w:eastAsia="zh-CN"/>
              </w:rPr>
              <w:t>8</w:t>
            </w:r>
            <w:r>
              <w:rPr>
                <w:rFonts w:hint="default" w:eastAsiaTheme="minorEastAsia"/>
                <w:b/>
                <w:color w:val="auto"/>
                <w:kern w:val="0"/>
                <w:szCs w:val="21"/>
              </w:rPr>
              <w:t xml:space="preserve">   项目环保投资估算表</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439"/>
              <w:gridCol w:w="875"/>
              <w:gridCol w:w="2643"/>
              <w:gridCol w:w="1295"/>
              <w:gridCol w:w="1312"/>
              <w:gridCol w:w="927"/>
            </w:tblGrid>
            <w:tr w14:paraId="40CC3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vAlign w:val="center"/>
                </w:tcPr>
                <w:p w14:paraId="231C9D5D">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序号</w:t>
                  </w:r>
                </w:p>
              </w:tc>
              <w:tc>
                <w:tcPr>
                  <w:tcW w:w="796" w:type="pct"/>
                  <w:gridSpan w:val="2"/>
                  <w:vAlign w:val="center"/>
                </w:tcPr>
                <w:p w14:paraId="03F9A0A7">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污染物</w:t>
                  </w:r>
                </w:p>
              </w:tc>
              <w:tc>
                <w:tcPr>
                  <w:tcW w:w="1601" w:type="pct"/>
                  <w:vAlign w:val="center"/>
                </w:tcPr>
                <w:p w14:paraId="47DE09ED">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环保设施名称</w:t>
                  </w:r>
                </w:p>
              </w:tc>
              <w:tc>
                <w:tcPr>
                  <w:tcW w:w="784" w:type="pct"/>
                  <w:vAlign w:val="center"/>
                </w:tcPr>
                <w:p w14:paraId="09A3D6F8">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数量、规模</w:t>
                  </w:r>
                </w:p>
              </w:tc>
              <w:tc>
                <w:tcPr>
                  <w:tcW w:w="795" w:type="pct"/>
                  <w:vAlign w:val="center"/>
                </w:tcPr>
                <w:p w14:paraId="77137BA3">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投资（万元）</w:t>
                  </w:r>
                </w:p>
              </w:tc>
              <w:tc>
                <w:tcPr>
                  <w:tcW w:w="561" w:type="pct"/>
                  <w:vAlign w:val="center"/>
                </w:tcPr>
                <w:p w14:paraId="3A0D8210">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备注</w:t>
                  </w:r>
                </w:p>
              </w:tc>
            </w:tr>
            <w:tr w14:paraId="0BDE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vMerge w:val="restart"/>
                  <w:vAlign w:val="center"/>
                </w:tcPr>
                <w:p w14:paraId="2572182A">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266" w:type="pct"/>
                  <w:vMerge w:val="restart"/>
                  <w:vAlign w:val="center"/>
                </w:tcPr>
                <w:p w14:paraId="77A259B6">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废气</w:t>
                  </w:r>
                </w:p>
              </w:tc>
              <w:tc>
                <w:tcPr>
                  <w:tcW w:w="530" w:type="pct"/>
                  <w:vMerge w:val="restart"/>
                  <w:vAlign w:val="center"/>
                </w:tcPr>
                <w:p w14:paraId="20A45B9A">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化学实验室废气</w:t>
                  </w:r>
                </w:p>
              </w:tc>
              <w:tc>
                <w:tcPr>
                  <w:tcW w:w="1601" w:type="pct"/>
                  <w:vAlign w:val="center"/>
                </w:tcPr>
                <w:p w14:paraId="41D20188">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通风橱</w:t>
                  </w:r>
                  <w:r>
                    <w:rPr>
                      <w:rFonts w:hint="default"/>
                      <w:color w:val="auto"/>
                      <w:szCs w:val="21"/>
                    </w:rPr>
                    <w:t>收集效率为90%</w:t>
                  </w:r>
                </w:p>
              </w:tc>
              <w:tc>
                <w:tcPr>
                  <w:tcW w:w="784" w:type="pct"/>
                  <w:vMerge w:val="restart"/>
                  <w:vAlign w:val="center"/>
                </w:tcPr>
                <w:p w14:paraId="7FEE231D">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1套</w:t>
                  </w:r>
                </w:p>
              </w:tc>
              <w:tc>
                <w:tcPr>
                  <w:tcW w:w="795" w:type="pct"/>
                  <w:vMerge w:val="restart"/>
                  <w:vAlign w:val="center"/>
                </w:tcPr>
                <w:p w14:paraId="57038DA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8.0</w:t>
                  </w:r>
                </w:p>
              </w:tc>
              <w:tc>
                <w:tcPr>
                  <w:tcW w:w="561" w:type="pct"/>
                  <w:vMerge w:val="restart"/>
                  <w:vAlign w:val="center"/>
                </w:tcPr>
                <w:p w14:paraId="2E06CE3C">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新建</w:t>
                  </w:r>
                </w:p>
              </w:tc>
            </w:tr>
            <w:tr w14:paraId="6888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vMerge w:val="continue"/>
                  <w:vAlign w:val="center"/>
                </w:tcPr>
                <w:p w14:paraId="40AB3B5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266" w:type="pct"/>
                  <w:vMerge w:val="continue"/>
                  <w:vAlign w:val="center"/>
                </w:tcPr>
                <w:p w14:paraId="022C59D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530" w:type="pct"/>
                  <w:vMerge w:val="continue"/>
                  <w:vAlign w:val="center"/>
                </w:tcPr>
                <w:p w14:paraId="5C217907">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1601" w:type="pct"/>
                  <w:vAlign w:val="center"/>
                </w:tcPr>
                <w:p w14:paraId="6E68F6D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集气罩</w:t>
                  </w:r>
                  <w:r>
                    <w:rPr>
                      <w:rFonts w:hint="default"/>
                      <w:color w:val="auto"/>
                      <w:szCs w:val="21"/>
                    </w:rPr>
                    <w:t>收集效率为90%</w:t>
                  </w:r>
                </w:p>
              </w:tc>
              <w:tc>
                <w:tcPr>
                  <w:tcW w:w="784" w:type="pct"/>
                  <w:vMerge w:val="continue"/>
                  <w:vAlign w:val="center"/>
                </w:tcPr>
                <w:p w14:paraId="16298780">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795" w:type="pct"/>
                  <w:vMerge w:val="continue"/>
                  <w:vAlign w:val="center"/>
                </w:tcPr>
                <w:p w14:paraId="248424F6">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561" w:type="pct"/>
                  <w:vMerge w:val="continue"/>
                  <w:vAlign w:val="center"/>
                </w:tcPr>
                <w:p w14:paraId="363FF41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r>
            <w:tr w14:paraId="4702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pct"/>
                  <w:vMerge w:val="continue"/>
                  <w:vAlign w:val="center"/>
                </w:tcPr>
                <w:p w14:paraId="0E5AFD2F">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266" w:type="pct"/>
                  <w:vMerge w:val="continue"/>
                  <w:vAlign w:val="center"/>
                </w:tcPr>
                <w:p w14:paraId="0314899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530" w:type="pct"/>
                  <w:vMerge w:val="continue"/>
                  <w:vAlign w:val="center"/>
                </w:tcPr>
                <w:p w14:paraId="524DD1FF">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1601" w:type="pct"/>
                  <w:vAlign w:val="center"/>
                </w:tcPr>
                <w:p w14:paraId="65532039">
                  <w:pPr>
                    <w:keepNext w:val="0"/>
                    <w:keepLines w:val="0"/>
                    <w:suppressLineNumbers w:val="0"/>
                    <w:adjustRightInd w:val="0"/>
                    <w:snapToGrid w:val="0"/>
                    <w:spacing w:before="0" w:beforeAutospacing="0" w:after="0" w:afterAutospacing="0"/>
                    <w:ind w:left="0" w:right="0"/>
                    <w:rPr>
                      <w:rFonts w:hint="default" w:eastAsiaTheme="minorEastAsia"/>
                      <w:color w:val="auto"/>
                      <w:kern w:val="0"/>
                      <w:szCs w:val="21"/>
                    </w:rPr>
                  </w:pPr>
                  <w:r>
                    <w:rPr>
                      <w:rFonts w:hint="eastAsia" w:eastAsiaTheme="minorEastAsia"/>
                      <w:color w:val="auto"/>
                      <w:kern w:val="0"/>
                      <w:szCs w:val="21"/>
                      <w:lang w:val="en-US" w:eastAsia="zh-CN"/>
                    </w:rPr>
                    <w:t>喷淋设施</w:t>
                  </w:r>
                  <w:r>
                    <w:rPr>
                      <w:rFonts w:hint="default" w:eastAsiaTheme="minorEastAsia"/>
                      <w:color w:val="auto"/>
                      <w:kern w:val="0"/>
                      <w:szCs w:val="21"/>
                    </w:rPr>
                    <w:t>+</w:t>
                  </w:r>
                  <w:r>
                    <w:rPr>
                      <w:rFonts w:hint="eastAsia" w:eastAsiaTheme="minorEastAsia"/>
                      <w:color w:val="auto"/>
                      <w:kern w:val="0"/>
                      <w:szCs w:val="21"/>
                      <w:lang w:val="en-US" w:eastAsia="zh-CN"/>
                    </w:rPr>
                    <w:t>1#二级</w:t>
                  </w:r>
                  <w:r>
                    <w:rPr>
                      <w:rFonts w:hint="default" w:eastAsiaTheme="minorEastAsia"/>
                      <w:color w:val="auto"/>
                      <w:kern w:val="0"/>
                      <w:szCs w:val="21"/>
                    </w:rPr>
                    <w:t>活性炭吸附</w:t>
                  </w:r>
                  <w:r>
                    <w:rPr>
                      <w:rFonts w:hint="default"/>
                      <w:color w:val="auto"/>
                      <w:szCs w:val="21"/>
                    </w:rPr>
                    <w:t>，</w:t>
                  </w:r>
                  <w:r>
                    <w:rPr>
                      <w:rFonts w:hint="default" w:eastAsiaTheme="minorEastAsia"/>
                      <w:color w:val="auto"/>
                      <w:szCs w:val="21"/>
                    </w:rPr>
                    <w:t>风机风量均为10600m</w:t>
                  </w:r>
                  <w:r>
                    <w:rPr>
                      <w:rFonts w:hint="default"/>
                      <w:color w:val="auto"/>
                      <w:szCs w:val="21"/>
                    </w:rPr>
                    <w:t>³</w:t>
                  </w:r>
                  <w:r>
                    <w:rPr>
                      <w:rFonts w:hint="default" w:eastAsiaTheme="minorEastAsia"/>
                      <w:color w:val="auto"/>
                      <w:szCs w:val="21"/>
                    </w:rPr>
                    <w:t>/h。</w:t>
                  </w:r>
                </w:p>
              </w:tc>
              <w:tc>
                <w:tcPr>
                  <w:tcW w:w="784" w:type="pct"/>
                  <w:vMerge w:val="continue"/>
                  <w:vAlign w:val="center"/>
                </w:tcPr>
                <w:p w14:paraId="148BE34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795" w:type="pct"/>
                  <w:vMerge w:val="continue"/>
                  <w:vAlign w:val="center"/>
                </w:tcPr>
                <w:p w14:paraId="58F0545F">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561" w:type="pct"/>
                  <w:vMerge w:val="continue"/>
                  <w:vAlign w:val="center"/>
                </w:tcPr>
                <w:p w14:paraId="2507EE6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r>
            <w:tr w14:paraId="30E3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vMerge w:val="continue"/>
                  <w:vAlign w:val="center"/>
                </w:tcPr>
                <w:p w14:paraId="41CFAC6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266" w:type="pct"/>
                  <w:vMerge w:val="continue"/>
                  <w:vAlign w:val="center"/>
                </w:tcPr>
                <w:p w14:paraId="5F50E560">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530" w:type="pct"/>
                  <w:vMerge w:val="restart"/>
                  <w:vAlign w:val="center"/>
                </w:tcPr>
                <w:p w14:paraId="0EE207A9">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沥青实验室废气</w:t>
                  </w:r>
                </w:p>
                <w:p w14:paraId="1ED695EB">
                  <w:pPr>
                    <w:pStyle w:val="2"/>
                    <w:keepNext w:val="0"/>
                    <w:keepLines w:val="0"/>
                    <w:suppressLineNumbers w:val="0"/>
                    <w:spacing w:before="0" w:beforeAutospacing="0" w:afterAutospacing="0"/>
                    <w:ind w:right="0"/>
                    <w:rPr>
                      <w:rFonts w:hint="default"/>
                      <w:color w:val="auto"/>
                    </w:rPr>
                  </w:pPr>
                </w:p>
              </w:tc>
              <w:tc>
                <w:tcPr>
                  <w:tcW w:w="1601" w:type="pct"/>
                  <w:vAlign w:val="center"/>
                </w:tcPr>
                <w:p w14:paraId="081B6EAA">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通风橱</w:t>
                  </w:r>
                  <w:r>
                    <w:rPr>
                      <w:rFonts w:hint="default"/>
                      <w:color w:val="auto"/>
                      <w:szCs w:val="21"/>
                    </w:rPr>
                    <w:t>收集效率为90%</w:t>
                  </w:r>
                </w:p>
              </w:tc>
              <w:tc>
                <w:tcPr>
                  <w:tcW w:w="784" w:type="pct"/>
                  <w:vMerge w:val="restart"/>
                  <w:vAlign w:val="center"/>
                </w:tcPr>
                <w:p w14:paraId="55E6179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1套</w:t>
                  </w:r>
                </w:p>
              </w:tc>
              <w:tc>
                <w:tcPr>
                  <w:tcW w:w="795" w:type="pct"/>
                  <w:vMerge w:val="restart"/>
                  <w:vAlign w:val="center"/>
                </w:tcPr>
                <w:p w14:paraId="150D2D70">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6.0</w:t>
                  </w:r>
                </w:p>
              </w:tc>
              <w:tc>
                <w:tcPr>
                  <w:tcW w:w="561" w:type="pct"/>
                  <w:vMerge w:val="continue"/>
                  <w:vAlign w:val="center"/>
                </w:tcPr>
                <w:p w14:paraId="7F660C3E">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r>
            <w:tr w14:paraId="6726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vMerge w:val="continue"/>
                  <w:vAlign w:val="center"/>
                </w:tcPr>
                <w:p w14:paraId="0126AB3F">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266" w:type="pct"/>
                  <w:vMerge w:val="continue"/>
                  <w:vAlign w:val="center"/>
                </w:tcPr>
                <w:p w14:paraId="3AEAF9F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530" w:type="pct"/>
                  <w:vMerge w:val="continue"/>
                  <w:vAlign w:val="center"/>
                </w:tcPr>
                <w:p w14:paraId="3B56FB77">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1601" w:type="pct"/>
                  <w:vAlign w:val="center"/>
                </w:tcPr>
                <w:p w14:paraId="21BBAB35">
                  <w:pPr>
                    <w:keepNext w:val="0"/>
                    <w:keepLines w:val="0"/>
                    <w:suppressLineNumbers w:val="0"/>
                    <w:adjustRightInd w:val="0"/>
                    <w:snapToGrid w:val="0"/>
                    <w:spacing w:before="0" w:beforeAutospacing="0" w:after="0" w:afterAutospacing="0"/>
                    <w:ind w:left="0" w:right="0"/>
                    <w:rPr>
                      <w:rFonts w:hint="default" w:eastAsiaTheme="minorEastAsia"/>
                      <w:b/>
                      <w:color w:val="auto"/>
                      <w:kern w:val="0"/>
                      <w:szCs w:val="21"/>
                    </w:rPr>
                  </w:pPr>
                  <w:r>
                    <w:rPr>
                      <w:rFonts w:hint="eastAsia" w:eastAsiaTheme="minorEastAsia"/>
                      <w:color w:val="auto"/>
                      <w:kern w:val="0"/>
                      <w:szCs w:val="21"/>
                      <w:lang w:val="en-US" w:eastAsia="zh-CN"/>
                    </w:rPr>
                    <w:t>2#二级</w:t>
                  </w:r>
                  <w:r>
                    <w:rPr>
                      <w:rFonts w:hint="default" w:eastAsiaTheme="minorEastAsia"/>
                      <w:color w:val="auto"/>
                      <w:kern w:val="0"/>
                      <w:szCs w:val="21"/>
                    </w:rPr>
                    <w:t>活性炭吸附，</w:t>
                  </w:r>
                  <w:r>
                    <w:rPr>
                      <w:rFonts w:hint="default"/>
                      <w:color w:val="auto"/>
                      <w:szCs w:val="21"/>
                    </w:rPr>
                    <w:t>处理效率为</w:t>
                  </w:r>
                  <w:r>
                    <w:rPr>
                      <w:rFonts w:hint="eastAsia"/>
                      <w:color w:val="auto"/>
                      <w:szCs w:val="21"/>
                      <w:lang w:val="en-US" w:eastAsia="zh-CN"/>
                    </w:rPr>
                    <w:t>75</w:t>
                  </w:r>
                  <w:r>
                    <w:rPr>
                      <w:rFonts w:hint="default"/>
                      <w:color w:val="auto"/>
                      <w:szCs w:val="21"/>
                    </w:rPr>
                    <w:t>%，</w:t>
                  </w:r>
                  <w:r>
                    <w:rPr>
                      <w:rFonts w:hint="default" w:eastAsiaTheme="minorEastAsia"/>
                      <w:color w:val="auto"/>
                      <w:szCs w:val="21"/>
                    </w:rPr>
                    <w:t>风机风量均为10600m</w:t>
                  </w:r>
                  <w:r>
                    <w:rPr>
                      <w:rFonts w:hint="default"/>
                      <w:color w:val="auto"/>
                      <w:szCs w:val="21"/>
                    </w:rPr>
                    <w:t>³</w:t>
                  </w:r>
                  <w:r>
                    <w:rPr>
                      <w:rFonts w:hint="default" w:eastAsiaTheme="minorEastAsia"/>
                      <w:color w:val="auto"/>
                      <w:szCs w:val="21"/>
                    </w:rPr>
                    <w:t>/h。</w:t>
                  </w:r>
                </w:p>
              </w:tc>
              <w:tc>
                <w:tcPr>
                  <w:tcW w:w="784" w:type="pct"/>
                  <w:vMerge w:val="continue"/>
                  <w:vAlign w:val="center"/>
                </w:tcPr>
                <w:p w14:paraId="0C2056A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795" w:type="pct"/>
                  <w:vMerge w:val="continue"/>
                  <w:vAlign w:val="center"/>
                </w:tcPr>
                <w:p w14:paraId="4E840F0D">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561" w:type="pct"/>
                  <w:vMerge w:val="continue"/>
                  <w:vAlign w:val="center"/>
                </w:tcPr>
                <w:p w14:paraId="4DD34FAF">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r>
            <w:tr w14:paraId="3F28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60" w:type="pct"/>
                  <w:vMerge w:val="restart"/>
                  <w:vAlign w:val="center"/>
                </w:tcPr>
                <w:p w14:paraId="38127A4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2</w:t>
                  </w:r>
                </w:p>
              </w:tc>
              <w:tc>
                <w:tcPr>
                  <w:tcW w:w="796" w:type="pct"/>
                  <w:gridSpan w:val="2"/>
                  <w:vMerge w:val="restart"/>
                  <w:vAlign w:val="center"/>
                </w:tcPr>
                <w:p w14:paraId="715D8C02">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废水</w:t>
                  </w:r>
                </w:p>
              </w:tc>
              <w:tc>
                <w:tcPr>
                  <w:tcW w:w="1601" w:type="pct"/>
                  <w:vAlign w:val="center"/>
                </w:tcPr>
                <w:p w14:paraId="624F6636">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eastAsia" w:eastAsiaTheme="minorEastAsia"/>
                      <w:color w:val="auto"/>
                      <w:kern w:val="0"/>
                      <w:szCs w:val="21"/>
                      <w:lang w:val="en-US" w:eastAsia="zh-CN"/>
                    </w:rPr>
                    <w:t>三级</w:t>
                  </w:r>
                  <w:r>
                    <w:rPr>
                      <w:rFonts w:hint="default" w:eastAsiaTheme="minorEastAsia"/>
                      <w:color w:val="auto"/>
                      <w:kern w:val="0"/>
                      <w:szCs w:val="21"/>
                    </w:rPr>
                    <w:t>沉淀池</w:t>
                  </w:r>
                </w:p>
              </w:tc>
              <w:tc>
                <w:tcPr>
                  <w:tcW w:w="784" w:type="pct"/>
                  <w:vAlign w:val="center"/>
                </w:tcPr>
                <w:p w14:paraId="2FEB069E">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容积不小于2m</w:t>
                  </w:r>
                  <w:r>
                    <w:rPr>
                      <w:rFonts w:hint="default"/>
                      <w:color w:val="auto"/>
                      <w:kern w:val="0"/>
                      <w:szCs w:val="21"/>
                    </w:rPr>
                    <w:t>³</w:t>
                  </w:r>
                </w:p>
              </w:tc>
              <w:tc>
                <w:tcPr>
                  <w:tcW w:w="795" w:type="pct"/>
                  <w:vAlign w:val="center"/>
                </w:tcPr>
                <w:p w14:paraId="6F451CC2">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1.0</w:t>
                  </w:r>
                </w:p>
              </w:tc>
              <w:tc>
                <w:tcPr>
                  <w:tcW w:w="561" w:type="pct"/>
                  <w:vAlign w:val="center"/>
                </w:tcPr>
                <w:p w14:paraId="513759D9">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新建</w:t>
                  </w:r>
                </w:p>
              </w:tc>
            </w:tr>
            <w:tr w14:paraId="40D3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60" w:type="pct"/>
                  <w:vMerge w:val="continue"/>
                  <w:vAlign w:val="center"/>
                </w:tcPr>
                <w:p w14:paraId="2D8634BC">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796" w:type="pct"/>
                  <w:gridSpan w:val="2"/>
                  <w:vMerge w:val="continue"/>
                  <w:vAlign w:val="center"/>
                </w:tcPr>
                <w:p w14:paraId="4EC48D5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1601" w:type="pct"/>
                  <w:vAlign w:val="center"/>
                </w:tcPr>
                <w:p w14:paraId="49ABA2DE">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lang w:val="en-US" w:eastAsia="zh-CN"/>
                    </w:rPr>
                  </w:pPr>
                  <w:r>
                    <w:rPr>
                      <w:rFonts w:hint="eastAsia" w:eastAsiaTheme="minorEastAsia"/>
                      <w:color w:val="auto"/>
                      <w:kern w:val="0"/>
                      <w:szCs w:val="21"/>
                      <w:lang w:val="en-US" w:eastAsia="zh-CN"/>
                    </w:rPr>
                    <w:t>废水中和收集桶</w:t>
                  </w:r>
                </w:p>
              </w:tc>
              <w:tc>
                <w:tcPr>
                  <w:tcW w:w="784" w:type="pct"/>
                  <w:vAlign w:val="center"/>
                </w:tcPr>
                <w:p w14:paraId="621062B8">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lang w:val="en-US" w:eastAsia="zh-CN"/>
                    </w:rPr>
                  </w:pPr>
                  <w:r>
                    <w:rPr>
                      <w:rFonts w:hint="eastAsia" w:eastAsiaTheme="minorEastAsia"/>
                      <w:color w:val="auto"/>
                      <w:kern w:val="0"/>
                      <w:szCs w:val="21"/>
                      <w:lang w:val="en-US" w:eastAsia="zh-CN"/>
                    </w:rPr>
                    <w:t>1只</w:t>
                  </w:r>
                </w:p>
              </w:tc>
              <w:tc>
                <w:tcPr>
                  <w:tcW w:w="795" w:type="pct"/>
                  <w:vAlign w:val="center"/>
                </w:tcPr>
                <w:p w14:paraId="57ECB4B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lang w:val="en-US" w:eastAsia="zh-CN"/>
                    </w:rPr>
                  </w:pPr>
                  <w:r>
                    <w:rPr>
                      <w:rFonts w:hint="eastAsia" w:eastAsiaTheme="minorEastAsia"/>
                      <w:color w:val="auto"/>
                      <w:kern w:val="0"/>
                      <w:szCs w:val="21"/>
                      <w:lang w:val="en-US" w:eastAsia="zh-CN"/>
                    </w:rPr>
                    <w:t>0.1</w:t>
                  </w:r>
                </w:p>
              </w:tc>
              <w:tc>
                <w:tcPr>
                  <w:tcW w:w="561" w:type="pct"/>
                  <w:vAlign w:val="center"/>
                </w:tcPr>
                <w:p w14:paraId="7C0E33E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新建</w:t>
                  </w:r>
                </w:p>
              </w:tc>
            </w:tr>
            <w:tr w14:paraId="0738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60" w:type="pct"/>
                  <w:vMerge w:val="continue"/>
                  <w:vAlign w:val="center"/>
                </w:tcPr>
                <w:p w14:paraId="6C8F18C7">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796" w:type="pct"/>
                  <w:gridSpan w:val="2"/>
                  <w:vMerge w:val="continue"/>
                  <w:vAlign w:val="center"/>
                </w:tcPr>
                <w:p w14:paraId="5EBBB91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1601" w:type="pct"/>
                  <w:vAlign w:val="center"/>
                </w:tcPr>
                <w:p w14:paraId="7B64DF7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隔油池</w:t>
                  </w:r>
                </w:p>
              </w:tc>
              <w:tc>
                <w:tcPr>
                  <w:tcW w:w="784" w:type="pct"/>
                  <w:vAlign w:val="center"/>
                </w:tcPr>
                <w:p w14:paraId="27F8F777">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容积不小于</w:t>
                  </w:r>
                  <w:r>
                    <w:rPr>
                      <w:rFonts w:hint="eastAsia" w:eastAsiaTheme="minorEastAsia"/>
                      <w:color w:val="auto"/>
                      <w:kern w:val="0"/>
                      <w:szCs w:val="21"/>
                      <w:lang w:val="en-US" w:eastAsia="zh-CN"/>
                    </w:rPr>
                    <w:t>1</w:t>
                  </w:r>
                  <w:r>
                    <w:rPr>
                      <w:rFonts w:hint="default" w:eastAsiaTheme="minorEastAsia"/>
                      <w:color w:val="auto"/>
                      <w:kern w:val="0"/>
                      <w:szCs w:val="21"/>
                    </w:rPr>
                    <w:t>m</w:t>
                  </w:r>
                  <w:r>
                    <w:rPr>
                      <w:rFonts w:hint="default"/>
                      <w:color w:val="auto"/>
                      <w:kern w:val="0"/>
                      <w:szCs w:val="21"/>
                    </w:rPr>
                    <w:t>³</w:t>
                  </w:r>
                </w:p>
              </w:tc>
              <w:tc>
                <w:tcPr>
                  <w:tcW w:w="795" w:type="pct"/>
                  <w:vAlign w:val="center"/>
                </w:tcPr>
                <w:p w14:paraId="42404DFC">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1.0</w:t>
                  </w:r>
                </w:p>
              </w:tc>
              <w:tc>
                <w:tcPr>
                  <w:tcW w:w="561" w:type="pct"/>
                  <w:vAlign w:val="center"/>
                </w:tcPr>
                <w:p w14:paraId="74828D2C">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新建</w:t>
                  </w:r>
                </w:p>
              </w:tc>
            </w:tr>
            <w:tr w14:paraId="260C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vAlign w:val="center"/>
                </w:tcPr>
                <w:p w14:paraId="7439A46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3</w:t>
                  </w:r>
                </w:p>
              </w:tc>
              <w:tc>
                <w:tcPr>
                  <w:tcW w:w="796" w:type="pct"/>
                  <w:gridSpan w:val="2"/>
                  <w:vAlign w:val="center"/>
                </w:tcPr>
                <w:p w14:paraId="6C237A18">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噪声</w:t>
                  </w:r>
                </w:p>
              </w:tc>
              <w:tc>
                <w:tcPr>
                  <w:tcW w:w="1601" w:type="pct"/>
                  <w:vAlign w:val="center"/>
                </w:tcPr>
                <w:p w14:paraId="6100CF2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建筑隔声、基础减震</w:t>
                  </w:r>
                </w:p>
              </w:tc>
              <w:tc>
                <w:tcPr>
                  <w:tcW w:w="784" w:type="pct"/>
                  <w:vAlign w:val="center"/>
                </w:tcPr>
                <w:p w14:paraId="4A33A3D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795" w:type="pct"/>
                  <w:vAlign w:val="center"/>
                </w:tcPr>
                <w:p w14:paraId="2FC5F553">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0.1</w:t>
                  </w:r>
                </w:p>
              </w:tc>
              <w:tc>
                <w:tcPr>
                  <w:tcW w:w="561" w:type="pct"/>
                  <w:vAlign w:val="center"/>
                </w:tcPr>
                <w:p w14:paraId="48D1421A">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新建</w:t>
                  </w:r>
                </w:p>
              </w:tc>
            </w:tr>
            <w:tr w14:paraId="56A7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vMerge w:val="restart"/>
                  <w:vAlign w:val="center"/>
                </w:tcPr>
                <w:p w14:paraId="62FC8D9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4</w:t>
                  </w:r>
                </w:p>
              </w:tc>
              <w:tc>
                <w:tcPr>
                  <w:tcW w:w="266" w:type="pct"/>
                  <w:vMerge w:val="restart"/>
                  <w:vAlign w:val="center"/>
                </w:tcPr>
                <w:p w14:paraId="13F2EFE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固废</w:t>
                  </w:r>
                </w:p>
              </w:tc>
              <w:tc>
                <w:tcPr>
                  <w:tcW w:w="530" w:type="pct"/>
                  <w:vAlign w:val="center"/>
                </w:tcPr>
                <w:p w14:paraId="3DBFD542">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实验室危险废物</w:t>
                  </w:r>
                </w:p>
              </w:tc>
              <w:tc>
                <w:tcPr>
                  <w:tcW w:w="1601" w:type="pct"/>
                  <w:vAlign w:val="center"/>
                </w:tcPr>
                <w:p w14:paraId="3AC514C2">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危废暂存间，按《危险废物贮存污染物控制标准》</w:t>
                  </w:r>
                  <w:r>
                    <w:rPr>
                      <w:rFonts w:hint="default" w:eastAsiaTheme="minorEastAsia"/>
                      <w:color w:val="auto"/>
                      <w:kern w:val="0"/>
                      <w:szCs w:val="21"/>
                      <w:lang w:val="en-US" w:eastAsia="zh-CN"/>
                    </w:rPr>
                    <w:t>（GB18597-2023）</w:t>
                  </w:r>
                  <w:r>
                    <w:rPr>
                      <w:rFonts w:hint="default" w:eastAsiaTheme="minorEastAsia"/>
                      <w:color w:val="auto"/>
                      <w:kern w:val="0"/>
                      <w:szCs w:val="21"/>
                    </w:rPr>
                    <w:t>要求进行建设，地面及墙裙进行防渗处理，设置专用容器收集，分类分区存放，不相容的危废不毗邻存放，危废暂存间内、外设置标识标牌。</w:t>
                  </w:r>
                </w:p>
              </w:tc>
              <w:tc>
                <w:tcPr>
                  <w:tcW w:w="784" w:type="pct"/>
                  <w:vAlign w:val="center"/>
                </w:tcPr>
                <w:p w14:paraId="02443D47">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1间，占地面积5m</w:t>
                  </w:r>
                  <w:r>
                    <w:rPr>
                      <w:rFonts w:hint="default"/>
                      <w:color w:val="auto"/>
                      <w:kern w:val="0"/>
                      <w:szCs w:val="21"/>
                    </w:rPr>
                    <w:t>²</w:t>
                  </w:r>
                  <w:r>
                    <w:rPr>
                      <w:rFonts w:hint="default" w:eastAsiaTheme="minorEastAsia"/>
                      <w:color w:val="auto"/>
                      <w:kern w:val="0"/>
                      <w:szCs w:val="21"/>
                    </w:rPr>
                    <w:t>。</w:t>
                  </w:r>
                </w:p>
              </w:tc>
              <w:tc>
                <w:tcPr>
                  <w:tcW w:w="795" w:type="pct"/>
                  <w:vAlign w:val="center"/>
                </w:tcPr>
                <w:p w14:paraId="15430E50">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5.0</w:t>
                  </w:r>
                </w:p>
              </w:tc>
              <w:tc>
                <w:tcPr>
                  <w:tcW w:w="561" w:type="pct"/>
                  <w:vAlign w:val="center"/>
                </w:tcPr>
                <w:p w14:paraId="54836A42">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新建</w:t>
                  </w:r>
                </w:p>
              </w:tc>
            </w:tr>
            <w:tr w14:paraId="7ED8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vMerge w:val="continue"/>
                  <w:vAlign w:val="center"/>
                </w:tcPr>
                <w:p w14:paraId="1699844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266" w:type="pct"/>
                  <w:vMerge w:val="continue"/>
                  <w:vAlign w:val="center"/>
                </w:tcPr>
                <w:p w14:paraId="03DD3CEE">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530" w:type="pct"/>
                  <w:vAlign w:val="center"/>
                </w:tcPr>
                <w:p w14:paraId="08EC688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一般固废</w:t>
                  </w:r>
                </w:p>
              </w:tc>
              <w:tc>
                <w:tcPr>
                  <w:tcW w:w="1601" w:type="pct"/>
                  <w:vAlign w:val="center"/>
                </w:tcPr>
                <w:p w14:paraId="16D548D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废料暂存间</w:t>
                  </w:r>
                </w:p>
              </w:tc>
              <w:tc>
                <w:tcPr>
                  <w:tcW w:w="784" w:type="pct"/>
                  <w:vAlign w:val="center"/>
                </w:tcPr>
                <w:p w14:paraId="42319367">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1间</w:t>
                  </w:r>
                </w:p>
              </w:tc>
              <w:tc>
                <w:tcPr>
                  <w:tcW w:w="795" w:type="pct"/>
                  <w:vAlign w:val="center"/>
                </w:tcPr>
                <w:p w14:paraId="7B63E57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0.5</w:t>
                  </w:r>
                </w:p>
              </w:tc>
              <w:tc>
                <w:tcPr>
                  <w:tcW w:w="561" w:type="pct"/>
                  <w:vAlign w:val="center"/>
                </w:tcPr>
                <w:p w14:paraId="396FE33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新建</w:t>
                  </w:r>
                </w:p>
              </w:tc>
            </w:tr>
            <w:tr w14:paraId="7298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vMerge w:val="continue"/>
                  <w:vAlign w:val="center"/>
                </w:tcPr>
                <w:p w14:paraId="178AD39E">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266" w:type="pct"/>
                  <w:vMerge w:val="continue"/>
                  <w:vAlign w:val="center"/>
                </w:tcPr>
                <w:p w14:paraId="7FD27BD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530" w:type="pct"/>
                  <w:vAlign w:val="center"/>
                </w:tcPr>
                <w:p w14:paraId="6F72D83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生活垃圾</w:t>
                  </w:r>
                </w:p>
              </w:tc>
              <w:tc>
                <w:tcPr>
                  <w:tcW w:w="1601" w:type="pct"/>
                  <w:vAlign w:val="center"/>
                </w:tcPr>
                <w:p w14:paraId="48F461CF">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垃圾收集桶</w:t>
                  </w:r>
                </w:p>
              </w:tc>
              <w:tc>
                <w:tcPr>
                  <w:tcW w:w="784" w:type="pct"/>
                  <w:vAlign w:val="center"/>
                </w:tcPr>
                <w:p w14:paraId="014245B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若干</w:t>
                  </w:r>
                </w:p>
              </w:tc>
              <w:tc>
                <w:tcPr>
                  <w:tcW w:w="795" w:type="pct"/>
                  <w:vAlign w:val="center"/>
                </w:tcPr>
                <w:p w14:paraId="0B49304D">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0.1</w:t>
                  </w:r>
                </w:p>
              </w:tc>
              <w:tc>
                <w:tcPr>
                  <w:tcW w:w="561" w:type="pct"/>
                  <w:vAlign w:val="center"/>
                </w:tcPr>
                <w:p w14:paraId="3FA2F313">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新建</w:t>
                  </w:r>
                </w:p>
              </w:tc>
            </w:tr>
            <w:tr w14:paraId="1DF9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3" w:type="pct"/>
                  <w:gridSpan w:val="5"/>
                  <w:vAlign w:val="center"/>
                </w:tcPr>
                <w:p w14:paraId="3A55138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合计</w:t>
                  </w:r>
                </w:p>
              </w:tc>
              <w:tc>
                <w:tcPr>
                  <w:tcW w:w="795" w:type="pct"/>
                  <w:vAlign w:val="center"/>
                </w:tcPr>
                <w:p w14:paraId="39A8D995">
                  <w:pPr>
                    <w:keepNext w:val="0"/>
                    <w:keepLines w:val="0"/>
                    <w:suppressLineNumbers w:val="0"/>
                    <w:adjustRightInd w:val="0"/>
                    <w:snapToGrid w:val="0"/>
                    <w:spacing w:before="0" w:beforeAutospacing="0" w:after="0" w:afterAutospacing="0"/>
                    <w:ind w:left="0" w:right="0"/>
                    <w:jc w:val="center"/>
                    <w:rPr>
                      <w:rFonts w:hint="eastAsia" w:eastAsiaTheme="minorEastAsia"/>
                      <w:color w:val="auto"/>
                      <w:kern w:val="0"/>
                      <w:szCs w:val="21"/>
                      <w:lang w:eastAsia="zh-CN"/>
                    </w:rPr>
                  </w:pPr>
                  <w:r>
                    <w:rPr>
                      <w:rFonts w:hint="default" w:eastAsiaTheme="minorEastAsia"/>
                      <w:color w:val="auto"/>
                      <w:kern w:val="0"/>
                      <w:szCs w:val="21"/>
                    </w:rPr>
                    <w:t>21.</w:t>
                  </w:r>
                  <w:r>
                    <w:rPr>
                      <w:rFonts w:hint="eastAsia" w:eastAsiaTheme="minorEastAsia"/>
                      <w:color w:val="auto"/>
                      <w:kern w:val="0"/>
                      <w:szCs w:val="21"/>
                      <w:lang w:val="en-US" w:eastAsia="zh-CN"/>
                    </w:rPr>
                    <w:t>8</w:t>
                  </w:r>
                </w:p>
              </w:tc>
              <w:tc>
                <w:tcPr>
                  <w:tcW w:w="561" w:type="pct"/>
                  <w:vAlign w:val="center"/>
                </w:tcPr>
                <w:p w14:paraId="49620FD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r>
          </w:tbl>
          <w:p w14:paraId="6D7A9E4A">
            <w:pPr>
              <w:keepNext w:val="0"/>
              <w:keepLines w:val="0"/>
              <w:suppressLineNumbers w:val="0"/>
              <w:adjustRightInd w:val="0"/>
              <w:snapToGrid w:val="0"/>
              <w:spacing w:before="0" w:beforeAutospacing="0" w:after="0" w:afterAutospacing="0" w:line="360" w:lineRule="auto"/>
              <w:ind w:left="0" w:right="0" w:firstLine="420" w:firstLineChars="200"/>
              <w:rPr>
                <w:rFonts w:hint="default"/>
                <w:bCs/>
                <w:color w:val="auto"/>
                <w:szCs w:val="21"/>
              </w:rPr>
            </w:pPr>
          </w:p>
        </w:tc>
      </w:tr>
      <w:tr w14:paraId="312AA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50" w:type="dxa"/>
          <w:trHeight w:val="397" w:hRule="atLeast"/>
          <w:jc w:val="center"/>
        </w:trPr>
        <w:tc>
          <w:tcPr>
            <w:tcW w:w="495" w:type="dxa"/>
            <w:vAlign w:val="center"/>
          </w:tcPr>
          <w:p w14:paraId="393A1BF7">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工艺流程和产排污环节</w:t>
            </w:r>
          </w:p>
        </w:tc>
        <w:tc>
          <w:tcPr>
            <w:tcW w:w="8477" w:type="dxa"/>
          </w:tcPr>
          <w:p w14:paraId="132343A9">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1. 施工期</w:t>
            </w:r>
          </w:p>
          <w:p w14:paraId="36CBBDB5">
            <w:pPr>
              <w:keepNext w:val="0"/>
              <w:keepLines w:val="0"/>
              <w:suppressLineNumbers w:val="0"/>
              <w:adjustRightInd w:val="0"/>
              <w:spacing w:before="0" w:beforeAutospacing="0" w:after="0" w:afterAutospacing="0" w:line="360" w:lineRule="auto"/>
              <w:ind w:left="0" w:right="0" w:firstLine="480" w:firstLineChars="200"/>
              <w:textAlignment w:val="baseline"/>
              <w:rPr>
                <w:rFonts w:hint="default"/>
                <w:color w:val="auto"/>
                <w:sz w:val="24"/>
              </w:rPr>
            </w:pPr>
            <w:r>
              <w:rPr>
                <w:rFonts w:hint="default"/>
                <w:color w:val="auto"/>
                <w:sz w:val="24"/>
              </w:rPr>
              <w:t>本项目利用原有的建筑物进行装修改造，无土建工程，仅对房间进行内部改造、装修及设备安装调试。项目施工期为3个月。施工期工艺流程及产污环节见下图：</w:t>
            </w:r>
          </w:p>
          <w:p w14:paraId="79FD3129">
            <w:pPr>
              <w:keepNext w:val="0"/>
              <w:keepLines w:val="0"/>
              <w:suppressLineNumbers w:val="0"/>
              <w:adjustRightInd w:val="0"/>
              <w:snapToGrid w:val="0"/>
              <w:spacing w:before="0" w:beforeAutospacing="0" w:after="0" w:afterAutospacing="0" w:line="360" w:lineRule="auto"/>
              <w:ind w:left="0" w:right="0"/>
              <w:jc w:val="center"/>
              <w:rPr>
                <w:rFonts w:hint="default"/>
                <w:color w:val="auto"/>
                <w:sz w:val="24"/>
              </w:rPr>
            </w:pPr>
            <w:r>
              <w:rPr>
                <w:rFonts w:hint="default"/>
                <w:color w:val="auto"/>
                <w:kern w:val="24"/>
                <w:sz w:val="28"/>
                <w:szCs w:val="28"/>
                <w:bdr w:val="single" w:color="auto" w:sz="4" w:space="0"/>
              </w:rPr>
              <w:drawing>
                <wp:anchor distT="0" distB="0" distL="114300" distR="114300" simplePos="0" relativeHeight="251661312" behindDoc="1" locked="0" layoutInCell="1" allowOverlap="1">
                  <wp:simplePos x="0" y="0"/>
                  <wp:positionH relativeFrom="column">
                    <wp:posOffset>165100</wp:posOffset>
                  </wp:positionH>
                  <wp:positionV relativeFrom="paragraph">
                    <wp:posOffset>1270</wp:posOffset>
                  </wp:positionV>
                  <wp:extent cx="4943475" cy="1165860"/>
                  <wp:effectExtent l="0" t="0" r="0" b="0"/>
                  <wp:wrapTight wrapText="bothSides">
                    <wp:wrapPolygon>
                      <wp:start x="0" y="0"/>
                      <wp:lineTo x="0" y="21176"/>
                      <wp:lineTo x="21558" y="21176"/>
                      <wp:lineTo x="21558" y="0"/>
                      <wp:lineTo x="0" y="0"/>
                    </wp:wrapPolygon>
                  </wp:wrapTight>
                  <wp:docPr id="7" name="图片 7" descr="QQ截图2017022614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702261458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43475" cy="1165860"/>
                          </a:xfrm>
                          <a:prstGeom prst="rect">
                            <a:avLst/>
                          </a:prstGeom>
                          <a:noFill/>
                          <a:ln>
                            <a:noFill/>
                          </a:ln>
                        </pic:spPr>
                      </pic:pic>
                    </a:graphicData>
                  </a:graphic>
                </wp:anchor>
              </w:drawing>
            </w:r>
          </w:p>
          <w:p w14:paraId="434087E6">
            <w:pPr>
              <w:keepNext w:val="0"/>
              <w:keepLines w:val="0"/>
              <w:suppressLineNumbers w:val="0"/>
              <w:spacing w:before="0" w:beforeAutospacing="0" w:after="0" w:afterAutospacing="0"/>
              <w:ind w:left="0" w:right="0"/>
              <w:jc w:val="center"/>
              <w:rPr>
                <w:rFonts w:hint="default"/>
                <w:b/>
                <w:color w:val="auto"/>
                <w:sz w:val="24"/>
              </w:rPr>
            </w:pPr>
            <w:r>
              <w:rPr>
                <w:rFonts w:hint="default"/>
                <w:b/>
                <w:color w:val="auto"/>
                <w:sz w:val="24"/>
              </w:rPr>
              <w:t>图2-</w:t>
            </w:r>
            <w:r>
              <w:rPr>
                <w:rFonts w:hint="eastAsia"/>
                <w:b/>
                <w:color w:val="auto"/>
                <w:sz w:val="24"/>
                <w:lang w:val="en-US" w:eastAsia="zh-CN"/>
              </w:rPr>
              <w:t>2</w:t>
            </w:r>
            <w:r>
              <w:rPr>
                <w:rFonts w:hint="default"/>
                <w:b/>
                <w:color w:val="auto"/>
                <w:sz w:val="24"/>
              </w:rPr>
              <w:t xml:space="preserve">   施工期工艺流程及产污节点图</w:t>
            </w:r>
          </w:p>
          <w:p w14:paraId="19A7EC12">
            <w:pPr>
              <w:keepNext w:val="0"/>
              <w:keepLines w:val="0"/>
              <w:suppressLineNumbers w:val="0"/>
              <w:adjustRightInd w:val="0"/>
              <w:spacing w:before="0" w:beforeAutospacing="0" w:after="0" w:afterAutospacing="0" w:line="360" w:lineRule="auto"/>
              <w:ind w:left="0" w:right="0" w:firstLine="480" w:firstLineChars="200"/>
              <w:textAlignment w:val="baseline"/>
              <w:rPr>
                <w:rFonts w:hint="default"/>
                <w:color w:val="auto"/>
                <w:sz w:val="24"/>
              </w:rPr>
            </w:pPr>
            <w:r>
              <w:rPr>
                <w:rFonts w:hint="default"/>
                <w:color w:val="auto"/>
                <w:sz w:val="24"/>
              </w:rPr>
              <w:t>（1）废气</w:t>
            </w:r>
          </w:p>
          <w:p w14:paraId="23DA08D1">
            <w:pPr>
              <w:keepNext w:val="0"/>
              <w:keepLines w:val="0"/>
              <w:suppressLineNumbers w:val="0"/>
              <w:adjustRightInd w:val="0"/>
              <w:spacing w:before="0" w:beforeAutospacing="0" w:after="0" w:afterAutospacing="0" w:line="360" w:lineRule="auto"/>
              <w:ind w:left="0" w:right="0" w:firstLine="480" w:firstLineChars="200"/>
              <w:textAlignment w:val="baseline"/>
              <w:rPr>
                <w:rFonts w:hint="default"/>
                <w:color w:val="auto"/>
                <w:sz w:val="24"/>
              </w:rPr>
            </w:pPr>
            <w:r>
              <w:rPr>
                <w:rFonts w:hint="default"/>
                <w:color w:val="auto"/>
                <w:sz w:val="24"/>
              </w:rPr>
              <w:t>粉尘：装修阶段粉尘主要产生在装修材料切割，墙面打孔等过程，产生量很少，为无组织排放。</w:t>
            </w:r>
          </w:p>
          <w:p w14:paraId="3FF0FF21">
            <w:pPr>
              <w:keepNext w:val="0"/>
              <w:keepLines w:val="0"/>
              <w:suppressLineNumbers w:val="0"/>
              <w:adjustRightInd w:val="0"/>
              <w:spacing w:before="0" w:beforeAutospacing="0" w:after="0" w:afterAutospacing="0" w:line="360" w:lineRule="auto"/>
              <w:ind w:left="0" w:right="0" w:firstLine="480" w:firstLineChars="200"/>
              <w:textAlignment w:val="baseline"/>
              <w:rPr>
                <w:rFonts w:hint="default"/>
                <w:color w:val="auto"/>
                <w:sz w:val="24"/>
              </w:rPr>
            </w:pPr>
            <w:r>
              <w:rPr>
                <w:rFonts w:hint="default"/>
                <w:color w:val="auto"/>
                <w:sz w:val="24"/>
              </w:rPr>
              <w:t>装修废气：装修废气主要来源于装修过程中使用的油漆、涂料、地板砖、黏合剂和装修木料等。装修废气的产生量及废气污染物的种类与所用涂料、油漆等装修建材的材质密接相关。该部分废气产生量相对较小，为无组织排放。</w:t>
            </w:r>
          </w:p>
          <w:p w14:paraId="3B56D7F7">
            <w:pPr>
              <w:keepNext w:val="0"/>
              <w:keepLines w:val="0"/>
              <w:suppressLineNumbers w:val="0"/>
              <w:adjustRightInd w:val="0"/>
              <w:spacing w:before="0" w:beforeAutospacing="0" w:after="0" w:afterAutospacing="0" w:line="360" w:lineRule="auto"/>
              <w:ind w:left="0" w:right="0" w:firstLine="480" w:firstLineChars="200"/>
              <w:textAlignment w:val="baseline"/>
              <w:rPr>
                <w:rFonts w:hint="default"/>
                <w:color w:val="auto"/>
                <w:sz w:val="24"/>
              </w:rPr>
            </w:pPr>
            <w:r>
              <w:rPr>
                <w:rFonts w:hint="default"/>
                <w:color w:val="auto"/>
                <w:sz w:val="24"/>
              </w:rPr>
              <w:t>（2）废水</w:t>
            </w:r>
          </w:p>
          <w:p w14:paraId="2E7349F8">
            <w:pPr>
              <w:keepNext w:val="0"/>
              <w:keepLines w:val="0"/>
              <w:suppressLineNumbers w:val="0"/>
              <w:adjustRightInd w:val="0"/>
              <w:spacing w:before="0" w:beforeAutospacing="0" w:after="0" w:afterAutospacing="0" w:line="360" w:lineRule="auto"/>
              <w:ind w:left="0" w:right="0" w:firstLine="480" w:firstLineChars="200"/>
              <w:textAlignment w:val="baseline"/>
              <w:rPr>
                <w:rFonts w:hint="default"/>
                <w:color w:val="auto"/>
                <w:sz w:val="24"/>
              </w:rPr>
            </w:pPr>
            <w:r>
              <w:rPr>
                <w:rFonts w:hint="default"/>
                <w:color w:val="auto"/>
                <w:sz w:val="24"/>
              </w:rPr>
              <w:t>施工人员不在现场住宿，不设食堂。项目施工期只是进行装修、设备安装工作及配套环保工程的建设，基本无施工废水产生，施工期产生的废水主要为施工人员洗手废水。</w:t>
            </w:r>
          </w:p>
          <w:p w14:paraId="511EBCD0">
            <w:pPr>
              <w:keepNext w:val="0"/>
              <w:keepLines w:val="0"/>
              <w:suppressLineNumbers w:val="0"/>
              <w:adjustRightInd w:val="0"/>
              <w:spacing w:before="0" w:beforeAutospacing="0" w:after="0" w:afterAutospacing="0" w:line="360" w:lineRule="auto"/>
              <w:ind w:left="0" w:right="0" w:firstLine="480" w:firstLineChars="200"/>
              <w:textAlignment w:val="baseline"/>
              <w:rPr>
                <w:rFonts w:hint="default"/>
                <w:color w:val="auto"/>
                <w:sz w:val="24"/>
              </w:rPr>
            </w:pPr>
            <w:r>
              <w:rPr>
                <w:rFonts w:hint="default"/>
                <w:color w:val="auto"/>
                <w:sz w:val="24"/>
              </w:rPr>
              <w:t>（3）噪声</w:t>
            </w:r>
          </w:p>
          <w:p w14:paraId="68E6921C">
            <w:pPr>
              <w:keepNext w:val="0"/>
              <w:keepLines w:val="0"/>
              <w:suppressLineNumbers w:val="0"/>
              <w:adjustRightInd w:val="0"/>
              <w:spacing w:before="0" w:beforeAutospacing="0" w:after="0" w:afterAutospacing="0" w:line="360" w:lineRule="auto"/>
              <w:ind w:left="0" w:right="0" w:firstLine="480" w:firstLineChars="200"/>
              <w:textAlignment w:val="baseline"/>
              <w:rPr>
                <w:rFonts w:hint="default"/>
                <w:color w:val="auto"/>
                <w:sz w:val="24"/>
              </w:rPr>
            </w:pPr>
            <w:r>
              <w:rPr>
                <w:rFonts w:hint="default"/>
                <w:color w:val="auto"/>
                <w:sz w:val="24"/>
              </w:rPr>
              <w:t>项目施工期主要拆除部分墙体修改布局以及后期房屋装修，无大型施工器械，项目施工噪声主要是在装修过程中产生的设备噪声，施工时各种机械的近场声级在80-105dB（A）之间。</w:t>
            </w:r>
          </w:p>
          <w:p w14:paraId="2D3DB8D1">
            <w:pPr>
              <w:keepNext w:val="0"/>
              <w:keepLines w:val="0"/>
              <w:suppressLineNumbers w:val="0"/>
              <w:adjustRightInd w:val="0"/>
              <w:spacing w:before="0" w:beforeAutospacing="0" w:after="0" w:afterAutospacing="0" w:line="360" w:lineRule="auto"/>
              <w:ind w:left="0" w:right="0" w:firstLine="480" w:firstLineChars="200"/>
              <w:jc w:val="left"/>
              <w:textAlignment w:val="baseline"/>
              <w:rPr>
                <w:rFonts w:hint="default"/>
                <w:color w:val="auto"/>
                <w:sz w:val="24"/>
              </w:rPr>
            </w:pPr>
            <w:r>
              <w:rPr>
                <w:rFonts w:hint="default"/>
                <w:color w:val="auto"/>
                <w:sz w:val="24"/>
              </w:rPr>
              <w:t>（4）固体废弃物</w:t>
            </w:r>
          </w:p>
          <w:p w14:paraId="020A0397">
            <w:pPr>
              <w:keepNext w:val="0"/>
              <w:keepLines w:val="0"/>
              <w:suppressLineNumbers w:val="0"/>
              <w:adjustRightInd w:val="0"/>
              <w:spacing w:before="0" w:beforeAutospacing="0" w:after="0" w:afterAutospacing="0" w:line="360" w:lineRule="auto"/>
              <w:ind w:left="0" w:right="0" w:firstLine="480" w:firstLineChars="200"/>
              <w:textAlignment w:val="baseline"/>
              <w:rPr>
                <w:rFonts w:hint="default"/>
                <w:color w:val="auto"/>
                <w:sz w:val="24"/>
              </w:rPr>
            </w:pPr>
            <w:r>
              <w:rPr>
                <w:rFonts w:hint="default"/>
                <w:color w:val="auto"/>
                <w:sz w:val="24"/>
              </w:rPr>
              <w:t>项目施工期固体废弃物主要为施工人员生活垃圾和装修垃圾，装修垃圾包括废弃装修材料、建材及设备包装纸板。</w:t>
            </w:r>
          </w:p>
          <w:p w14:paraId="099696AD">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color w:val="auto"/>
              </w:rPr>
            </w:pPr>
            <w:r>
              <w:rPr>
                <w:rFonts w:hint="default"/>
                <w:b/>
                <w:color w:val="auto"/>
                <w:kern w:val="0"/>
                <w:sz w:val="24"/>
              </w:rPr>
              <w:t>2.运营期</w:t>
            </w:r>
          </w:p>
          <w:p w14:paraId="4D10DF39">
            <w:pPr>
              <w:keepNext w:val="0"/>
              <w:keepLines w:val="0"/>
              <w:suppressLineNumbers w:val="0"/>
              <w:snapToGrid w:val="0"/>
              <w:spacing w:before="0" w:beforeAutospacing="0" w:after="0" w:afterAutospacing="0" w:line="360" w:lineRule="auto"/>
              <w:ind w:left="0" w:right="0" w:firstLine="482" w:firstLineChars="200"/>
              <w:jc w:val="left"/>
              <w:rPr>
                <w:rFonts w:hint="default"/>
                <w:b/>
                <w:bCs/>
                <w:color w:val="auto"/>
                <w:sz w:val="24"/>
                <w:lang w:val="en-US" w:eastAsia="zh-CN"/>
              </w:rPr>
            </w:pPr>
            <w:r>
              <w:rPr>
                <w:rFonts w:hint="eastAsia"/>
                <w:b/>
                <w:bCs/>
                <w:color w:val="auto"/>
                <w:sz w:val="24"/>
                <w:lang w:val="en-US" w:eastAsia="zh-CN"/>
              </w:rPr>
              <w:t>2.1工艺流程</w:t>
            </w:r>
          </w:p>
          <w:p w14:paraId="0CA45B2E">
            <w:pPr>
              <w:keepNext w:val="0"/>
              <w:keepLines w:val="0"/>
              <w:suppressLineNumbers w:val="0"/>
              <w:snapToGrid w:val="0"/>
              <w:spacing w:before="0" w:beforeAutospacing="0" w:after="0" w:afterAutospacing="0" w:line="360" w:lineRule="auto"/>
              <w:ind w:left="0" w:right="0" w:firstLine="480" w:firstLineChars="200"/>
              <w:jc w:val="left"/>
              <w:rPr>
                <w:rFonts w:hint="default" w:eastAsia="宋体"/>
                <w:color w:val="auto"/>
                <w:sz w:val="24"/>
                <w:lang w:val="en-US" w:eastAsia="zh-CN"/>
              </w:rPr>
            </w:pPr>
            <w:r>
              <w:rPr>
                <w:rFonts w:hint="eastAsia"/>
                <w:color w:val="auto"/>
                <w:sz w:val="24"/>
                <w:lang w:val="en-US" w:eastAsia="zh-CN"/>
              </w:rPr>
              <w:t>本</w:t>
            </w:r>
            <w:r>
              <w:rPr>
                <w:rFonts w:hint="default"/>
                <w:color w:val="auto"/>
                <w:sz w:val="24"/>
              </w:rPr>
              <w:t>项目</w:t>
            </w:r>
            <w:r>
              <w:rPr>
                <w:rFonts w:hint="eastAsia"/>
                <w:color w:val="auto"/>
                <w:sz w:val="24"/>
                <w:lang w:val="en-US" w:eastAsia="zh-CN"/>
              </w:rPr>
              <w:t>运行期</w:t>
            </w:r>
            <w:r>
              <w:rPr>
                <w:rFonts w:hint="default"/>
                <w:color w:val="auto"/>
                <w:sz w:val="24"/>
              </w:rPr>
              <w:t>主要进行工程质量检测和环境检测实验，</w:t>
            </w:r>
            <w:r>
              <w:rPr>
                <w:rFonts w:hint="eastAsia"/>
                <w:color w:val="auto"/>
                <w:sz w:val="24"/>
                <w:lang w:val="en-US" w:eastAsia="zh-CN"/>
              </w:rPr>
              <w:t>可分为物理实验和化学实验两种，物理实验又分为实验室检测和现场检测。</w:t>
            </w:r>
          </w:p>
          <w:p w14:paraId="1F02FB74">
            <w:pPr>
              <w:keepNext w:val="0"/>
              <w:keepLines w:val="0"/>
              <w:suppressLineNumbers w:val="0"/>
              <w:snapToGrid w:val="0"/>
              <w:spacing w:before="0" w:beforeAutospacing="0" w:after="0" w:afterAutospacing="0" w:line="360" w:lineRule="auto"/>
              <w:ind w:left="0" w:right="0" w:firstLine="482" w:firstLineChars="200"/>
              <w:jc w:val="left"/>
              <w:rPr>
                <w:rFonts w:hint="default"/>
                <w:b/>
                <w:bCs/>
                <w:color w:val="auto"/>
                <w:sz w:val="24"/>
                <w:highlight w:val="none"/>
              </w:rPr>
            </w:pPr>
            <w:r>
              <w:rPr>
                <w:rFonts w:hint="eastAsia"/>
                <w:b/>
                <w:bCs/>
                <w:color w:val="auto"/>
                <w:sz w:val="24"/>
                <w:highlight w:val="none"/>
              </w:rPr>
              <w:t>1、</w:t>
            </w:r>
            <w:r>
              <w:rPr>
                <w:rFonts w:hint="default"/>
                <w:b/>
                <w:bCs/>
                <w:color w:val="auto"/>
                <w:sz w:val="24"/>
                <w:highlight w:val="none"/>
              </w:rPr>
              <w:t>物理</w:t>
            </w:r>
            <w:r>
              <w:rPr>
                <w:rFonts w:hint="eastAsia"/>
                <w:b/>
                <w:bCs/>
                <w:color w:val="auto"/>
                <w:sz w:val="24"/>
                <w:highlight w:val="none"/>
                <w:lang w:val="en-US" w:eastAsia="zh-CN"/>
              </w:rPr>
              <w:t>检测实验工艺流程</w:t>
            </w:r>
          </w:p>
          <w:p w14:paraId="14B97FAB">
            <w:pPr>
              <w:keepNext w:val="0"/>
              <w:keepLines w:val="0"/>
              <w:suppressLineNumbers w:val="0"/>
              <w:snapToGrid w:val="0"/>
              <w:spacing w:before="0" w:beforeAutospacing="0" w:after="0" w:afterAutospacing="0" w:line="360" w:lineRule="auto"/>
              <w:ind w:left="0" w:right="0" w:firstLine="480" w:firstLineChars="200"/>
              <w:jc w:val="left"/>
              <w:rPr>
                <w:rFonts w:hint="eastAsia"/>
                <w:color w:val="auto"/>
                <w:sz w:val="24"/>
                <w:highlight w:val="none"/>
                <w:lang w:val="en-US" w:eastAsia="zh-CN"/>
              </w:rPr>
            </w:pPr>
            <w:r>
              <w:rPr>
                <w:rFonts w:hint="eastAsia"/>
                <w:color w:val="auto"/>
                <w:sz w:val="24"/>
                <w:highlight w:val="none"/>
                <w:lang w:val="en-US" w:eastAsia="zh-CN"/>
              </w:rPr>
              <w:t>物理实验分为现场检测和实验室检测。</w:t>
            </w:r>
          </w:p>
          <w:p w14:paraId="62F7C57B">
            <w:pPr>
              <w:keepNext w:val="0"/>
              <w:keepLines w:val="0"/>
              <w:suppressLineNumbers w:val="0"/>
              <w:snapToGrid w:val="0"/>
              <w:spacing w:before="0" w:beforeAutospacing="0" w:after="0" w:afterAutospacing="0" w:line="360" w:lineRule="auto"/>
              <w:ind w:left="0" w:right="0" w:firstLine="480" w:firstLineChars="200"/>
              <w:jc w:val="left"/>
              <w:rPr>
                <w:rFonts w:hint="eastAsia"/>
                <w:color w:val="auto"/>
                <w:sz w:val="24"/>
                <w:highlight w:val="yellow"/>
                <w:lang w:val="en-US" w:eastAsia="zh-CN"/>
              </w:rPr>
            </w:pPr>
            <w:r>
              <w:rPr>
                <w:rFonts w:hint="eastAsia"/>
                <w:color w:val="auto"/>
                <w:sz w:val="24"/>
                <w:highlight w:val="none"/>
                <w:lang w:val="en-US" w:eastAsia="zh-CN"/>
              </w:rPr>
              <w:t>现场检测主要包括：地基基础工程检测、主体结构工程现场检测、量测类、金属结构类、机械电气类现场检测等。现场检测主要为施工现场由检测人员携带仪器进行现场检测，不产生固废和废水等污染物。</w:t>
            </w:r>
          </w:p>
          <w:p w14:paraId="1FA65E85">
            <w:pPr>
              <w:keepNext w:val="0"/>
              <w:keepLines w:val="0"/>
              <w:suppressLineNumbers w:val="0"/>
              <w:snapToGrid w:val="0"/>
              <w:spacing w:before="0" w:beforeAutospacing="0" w:after="0" w:afterAutospacing="0" w:line="360" w:lineRule="auto"/>
              <w:ind w:left="0" w:right="0" w:firstLine="480" w:firstLineChars="200"/>
              <w:jc w:val="left"/>
              <w:rPr>
                <w:rFonts w:hint="default"/>
                <w:color w:val="auto"/>
                <w:sz w:val="24"/>
                <w:lang w:val="en-US" w:eastAsia="zh-CN"/>
              </w:rPr>
            </w:pPr>
            <w:r>
              <w:rPr>
                <w:rFonts w:hint="eastAsia"/>
                <w:color w:val="auto"/>
                <w:sz w:val="24"/>
                <w:lang w:val="en-US" w:eastAsia="zh-CN"/>
              </w:rPr>
              <w:t>项目运营期物理实验污染源主要为实验室检测室对周围环境可能产生的污染物分析。实验室检测主要为：部分的工程质量专项检测、工程质量见证取样检测、材料类产品试验检测。本项目在实验室进行物理实验时主要产生实验固废、噪声、废气和废水；其中废气主要实在样品处理过程中产生，废水主要是物理实验工具清洗废水。物理实验室检测总体工艺流程及产污环节见下图。</w:t>
            </w:r>
          </w:p>
          <w:p w14:paraId="5F2F104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b/>
                <w:bCs/>
                <w:color w:val="auto"/>
                <w:sz w:val="24"/>
              </w:rPr>
            </w:pPr>
            <w:r>
              <w:rPr>
                <w:rFonts w:hint="default"/>
                <w:color w:val="auto"/>
              </w:rPr>
              <w:drawing>
                <wp:inline distT="0" distB="0" distL="114300" distR="114300">
                  <wp:extent cx="5220970" cy="2031365"/>
                  <wp:effectExtent l="0" t="0" r="1778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20970" cy="2031365"/>
                          </a:xfrm>
                          <a:prstGeom prst="rect">
                            <a:avLst/>
                          </a:prstGeom>
                          <a:noFill/>
                          <a:ln>
                            <a:noFill/>
                          </a:ln>
                        </pic:spPr>
                      </pic:pic>
                    </a:graphicData>
                  </a:graphic>
                </wp:inline>
              </w:drawing>
            </w:r>
          </w:p>
          <w:p w14:paraId="2B722D13">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b/>
                <w:color w:val="auto"/>
                <w:kern w:val="24"/>
                <w:sz w:val="24"/>
              </w:rPr>
            </w:pPr>
            <w:r>
              <w:rPr>
                <w:rFonts w:hint="default"/>
                <w:b/>
                <w:color w:val="auto"/>
                <w:kern w:val="24"/>
                <w:sz w:val="24"/>
              </w:rPr>
              <w:t>图2-</w:t>
            </w:r>
            <w:r>
              <w:rPr>
                <w:rFonts w:hint="eastAsia"/>
                <w:b/>
                <w:color w:val="auto"/>
                <w:kern w:val="24"/>
                <w:sz w:val="24"/>
                <w:lang w:val="en-US" w:eastAsia="zh-CN"/>
              </w:rPr>
              <w:t xml:space="preserve">3 </w:t>
            </w:r>
            <w:r>
              <w:rPr>
                <w:rFonts w:hint="default"/>
                <w:b/>
                <w:color w:val="auto"/>
                <w:kern w:val="24"/>
                <w:sz w:val="24"/>
              </w:rPr>
              <w:t xml:space="preserve"> </w:t>
            </w:r>
            <w:r>
              <w:rPr>
                <w:rFonts w:hint="eastAsia"/>
                <w:b/>
                <w:color w:val="auto"/>
                <w:kern w:val="24"/>
                <w:sz w:val="24"/>
                <w:lang w:val="en-US" w:eastAsia="zh-CN"/>
              </w:rPr>
              <w:t>运营期物理实验工艺流程及产污环节示意</w:t>
            </w:r>
            <w:r>
              <w:rPr>
                <w:rFonts w:hint="default"/>
                <w:b/>
                <w:color w:val="auto"/>
                <w:kern w:val="24"/>
                <w:sz w:val="24"/>
              </w:rPr>
              <w:t>图</w:t>
            </w:r>
          </w:p>
          <w:p w14:paraId="634DA405">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eastAsia="zh-CN"/>
              </w:rPr>
              <w:t>（</w:t>
            </w:r>
            <w:r>
              <w:rPr>
                <w:rFonts w:hint="eastAsia"/>
                <w:b/>
                <w:bCs/>
                <w:color w:val="auto"/>
                <w:sz w:val="24"/>
                <w:lang w:val="en-US" w:eastAsia="zh-CN"/>
              </w:rPr>
              <w:t>1</w:t>
            </w:r>
            <w:r>
              <w:rPr>
                <w:rFonts w:hint="eastAsia"/>
                <w:b/>
                <w:bCs/>
                <w:color w:val="auto"/>
                <w:sz w:val="24"/>
                <w:lang w:eastAsia="zh-CN"/>
              </w:rPr>
              <w:t>）</w:t>
            </w:r>
            <w:r>
              <w:rPr>
                <w:rFonts w:hint="default"/>
                <w:b/>
                <w:bCs/>
                <w:color w:val="auto"/>
                <w:sz w:val="24"/>
              </w:rPr>
              <w:t>土工砂石实验（包含土；集料；岩石；水等检测项目）</w:t>
            </w:r>
          </w:p>
          <w:p w14:paraId="026A3AA2">
            <w:pPr>
              <w:keepNext w:val="0"/>
              <w:keepLines w:val="0"/>
              <w:suppressLineNumbers w:val="0"/>
              <w:snapToGrid w:val="0"/>
              <w:spacing w:before="0" w:beforeAutospacing="0" w:after="0" w:afterAutospacing="0"/>
              <w:ind w:left="0" w:right="0"/>
              <w:jc w:val="center"/>
              <w:rPr>
                <w:rFonts w:hint="default"/>
                <w:color w:val="auto"/>
              </w:rPr>
            </w:pPr>
            <w:bookmarkStart w:id="5" w:name="_Hlk75035151"/>
            <w:r>
              <w:rPr>
                <w:rFonts w:hint="default"/>
                <w:color w:val="auto"/>
                <w:sz w:val="24"/>
              </w:rPr>
              <w:pict>
                <v:shape id="_x0000_s1303" o:spid="_x0000_s1303" o:spt="202" type="#_x0000_t202" style="position:absolute;left:0pt;margin-left:136.65pt;margin-top:0.8pt;height:24.05pt;width:53.25pt;z-index:251662336;mso-width-relative:page;mso-height-relative:page;" fillcolor="#FFFFFF" filled="t" stroked="t" coordsize="21600,21600">
                  <v:path/>
                  <v:fill on="t" color2="#FFFFFF" focussize="0,0"/>
                  <v:stroke color="#000000"/>
                  <v:imagedata o:title=""/>
                  <o:lock v:ext="edit" aspectratio="f"/>
                  <v:textbox>
                    <w:txbxContent>
                      <w:p w14:paraId="67E8BB68">
                        <w:pPr>
                          <w:jc w:val="center"/>
                          <w:rPr>
                            <w:rFonts w:hint="default" w:eastAsia="宋体"/>
                            <w:sz w:val="24"/>
                            <w:szCs w:val="24"/>
                            <w:lang w:val="en-US" w:eastAsia="zh-CN"/>
                          </w:rPr>
                        </w:pPr>
                        <w:r>
                          <w:rPr>
                            <w:rFonts w:hint="eastAsia"/>
                            <w:sz w:val="24"/>
                            <w:szCs w:val="24"/>
                            <w:lang w:val="en-US" w:eastAsia="zh-CN"/>
                          </w:rPr>
                          <w:t>粉尘</w:t>
                        </w:r>
                      </w:p>
                    </w:txbxContent>
                  </v:textbox>
                </v:shape>
              </w:pict>
            </w:r>
          </w:p>
          <w:p w14:paraId="261256E8">
            <w:pPr>
              <w:keepNext w:val="0"/>
              <w:keepLines w:val="0"/>
              <w:suppressLineNumbers w:val="0"/>
              <w:snapToGrid w:val="0"/>
              <w:spacing w:before="0" w:beforeAutospacing="0" w:after="0" w:afterAutospacing="0"/>
              <w:ind w:left="0" w:right="0"/>
              <w:jc w:val="center"/>
              <w:rPr>
                <w:rFonts w:hint="default"/>
                <w:color w:val="auto"/>
              </w:rPr>
            </w:pPr>
          </w:p>
          <w:p w14:paraId="7365C982">
            <w:pPr>
              <w:keepNext w:val="0"/>
              <w:keepLines w:val="0"/>
              <w:suppressLineNumbers w:val="0"/>
              <w:snapToGrid w:val="0"/>
              <w:spacing w:before="0" w:beforeAutospacing="0" w:after="0" w:afterAutospacing="0"/>
              <w:ind w:left="0" w:right="0"/>
              <w:jc w:val="center"/>
              <w:rPr>
                <w:rFonts w:hint="default"/>
                <w:color w:val="auto"/>
                <w:sz w:val="24"/>
              </w:rPr>
            </w:pPr>
            <w:r>
              <w:rPr>
                <w:rFonts w:hint="default"/>
                <w:color w:val="auto"/>
              </w:rPr>
              <w:drawing>
                <wp:inline distT="0" distB="0" distL="0" distR="0">
                  <wp:extent cx="5144135" cy="1426210"/>
                  <wp:effectExtent l="0" t="0" r="1841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t="14373"/>
                          <a:stretch>
                            <a:fillRect/>
                          </a:stretch>
                        </pic:blipFill>
                        <pic:spPr>
                          <a:xfrm>
                            <a:off x="0" y="0"/>
                            <a:ext cx="5144135" cy="1426210"/>
                          </a:xfrm>
                          <a:prstGeom prst="rect">
                            <a:avLst/>
                          </a:prstGeom>
                          <a:noFill/>
                          <a:ln>
                            <a:noFill/>
                          </a:ln>
                        </pic:spPr>
                      </pic:pic>
                    </a:graphicData>
                  </a:graphic>
                </wp:inline>
              </w:drawing>
            </w:r>
          </w:p>
          <w:p w14:paraId="559699C3">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b/>
                <w:color w:val="auto"/>
                <w:kern w:val="24"/>
                <w:sz w:val="24"/>
              </w:rPr>
            </w:pPr>
            <w:r>
              <w:rPr>
                <w:rFonts w:hint="default"/>
                <w:b/>
                <w:color w:val="auto"/>
                <w:kern w:val="24"/>
                <w:sz w:val="24"/>
              </w:rPr>
              <w:t>图2-</w:t>
            </w:r>
            <w:r>
              <w:rPr>
                <w:rFonts w:hint="eastAsia"/>
                <w:b/>
                <w:color w:val="auto"/>
                <w:kern w:val="24"/>
                <w:sz w:val="24"/>
                <w:lang w:val="en-US" w:eastAsia="zh-CN"/>
              </w:rPr>
              <w:t>4</w:t>
            </w:r>
            <w:r>
              <w:rPr>
                <w:rFonts w:hint="default"/>
                <w:b/>
                <w:color w:val="auto"/>
                <w:kern w:val="24"/>
                <w:sz w:val="24"/>
              </w:rPr>
              <w:t xml:space="preserve"> 土工砂石物理性质指标实验流程图</w:t>
            </w:r>
          </w:p>
          <w:p w14:paraId="091029C1">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val="en-US" w:eastAsia="zh-CN"/>
              </w:rPr>
              <w:t>流程简述</w:t>
            </w:r>
            <w:r>
              <w:rPr>
                <w:rFonts w:hint="default"/>
                <w:b/>
                <w:bCs/>
                <w:color w:val="auto"/>
                <w:sz w:val="24"/>
              </w:rPr>
              <w:t>：</w:t>
            </w:r>
          </w:p>
          <w:p w14:paraId="1F1DF58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lang w:val="en-US" w:eastAsia="zh-CN"/>
              </w:rPr>
              <w:t>土砂石</w:t>
            </w:r>
            <w:r>
              <w:rPr>
                <w:rFonts w:hint="default"/>
                <w:color w:val="auto"/>
                <w:sz w:val="24"/>
              </w:rPr>
              <w:t>固体样品首先经过烘干，然后通过筛选后，经电子秤、指标测定仪等仪器测定砂石的含水率、堆积密度等指标。</w:t>
            </w:r>
            <w:r>
              <w:rPr>
                <w:rFonts w:hint="eastAsia"/>
                <w:color w:val="auto"/>
                <w:sz w:val="24"/>
                <w:lang w:val="en-US" w:eastAsia="zh-CN"/>
              </w:rPr>
              <w:t>在筛选</w:t>
            </w:r>
            <w:r>
              <w:rPr>
                <w:rFonts w:hint="default"/>
                <w:color w:val="auto"/>
                <w:sz w:val="24"/>
              </w:rPr>
              <w:t>过程中</w:t>
            </w:r>
            <w:r>
              <w:rPr>
                <w:rFonts w:hint="eastAsia"/>
                <w:color w:val="auto"/>
                <w:sz w:val="24"/>
                <w:lang w:val="en-US" w:eastAsia="zh-CN"/>
              </w:rPr>
              <w:t>会</w:t>
            </w:r>
            <w:r>
              <w:rPr>
                <w:rFonts w:hint="default"/>
                <w:color w:val="auto"/>
                <w:sz w:val="24"/>
              </w:rPr>
              <w:t>产生少量粉尘；多余样品及分筛、测定过程中产生的固废属于物理性实验固废。</w:t>
            </w:r>
          </w:p>
          <w:bookmarkEnd w:id="5"/>
          <w:p w14:paraId="57B568DF">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eastAsia="zh-CN"/>
              </w:rPr>
              <w:t>（</w:t>
            </w:r>
            <w:r>
              <w:rPr>
                <w:rFonts w:hint="eastAsia"/>
                <w:b/>
                <w:bCs/>
                <w:color w:val="auto"/>
                <w:sz w:val="24"/>
                <w:lang w:val="en-US" w:eastAsia="zh-CN"/>
              </w:rPr>
              <w:t>2</w:t>
            </w:r>
            <w:r>
              <w:rPr>
                <w:rFonts w:hint="eastAsia"/>
                <w:b/>
                <w:bCs/>
                <w:color w:val="auto"/>
                <w:sz w:val="24"/>
                <w:lang w:eastAsia="zh-CN"/>
              </w:rPr>
              <w:t>）</w:t>
            </w:r>
            <w:r>
              <w:rPr>
                <w:rFonts w:hint="default"/>
                <w:b/>
                <w:bCs/>
                <w:color w:val="auto"/>
                <w:sz w:val="24"/>
              </w:rPr>
              <w:t>水泥及混凝土实验（包含水泥；水泥混凝土、砂浆；水泥外加剂；路基路面；混凝土结构；基坑、地基与桩基等检测项目）</w:t>
            </w:r>
          </w:p>
          <w:p w14:paraId="1A67C08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水泥及混凝土实验主要分为水泥混凝土含气量和凝结时间实验、水泥砂浆实验等检测项目。</w:t>
            </w:r>
          </w:p>
          <w:p w14:paraId="5DF1178A">
            <w:pPr>
              <w:pStyle w:val="41"/>
              <w:keepNext w:val="0"/>
              <w:keepLines w:val="0"/>
              <w:numPr>
                <w:ilvl w:val="0"/>
                <w:numId w:val="0"/>
              </w:numPr>
              <w:suppressLineNumbers w:val="0"/>
              <w:autoSpaceDE w:val="0"/>
              <w:autoSpaceDN w:val="0"/>
              <w:adjustRightInd w:val="0"/>
              <w:snapToGrid w:val="0"/>
              <w:spacing w:before="0" w:beforeAutospacing="0" w:after="0" w:afterAutospacing="0" w:line="360" w:lineRule="auto"/>
              <w:ind w:left="480" w:leftChars="0" w:right="0" w:rightChars="0"/>
              <w:rPr>
                <w:rFonts w:hint="default"/>
                <w:color w:val="auto"/>
                <w:sz w:val="24"/>
              </w:rPr>
            </w:pPr>
            <w:r>
              <w:rPr>
                <w:rFonts w:hint="eastAsia"/>
                <w:color w:val="auto"/>
                <w:sz w:val="24"/>
                <w:lang w:val="en-US" w:eastAsia="zh-CN"/>
              </w:rPr>
              <w:t>①</w:t>
            </w:r>
            <w:r>
              <w:rPr>
                <w:rFonts w:hint="default"/>
                <w:color w:val="auto"/>
                <w:sz w:val="24"/>
              </w:rPr>
              <w:t>水泥混凝土含气量和凝结时间实验</w:t>
            </w:r>
          </w:p>
          <w:p w14:paraId="7F617E0D">
            <w:pPr>
              <w:keepNext w:val="0"/>
              <w:keepLines w:val="0"/>
              <w:suppressLineNumbers w:val="0"/>
              <w:snapToGrid w:val="0"/>
              <w:spacing w:before="0" w:beforeAutospacing="0" w:after="0" w:afterAutospacing="0"/>
              <w:ind w:left="0" w:right="0"/>
              <w:jc w:val="center"/>
              <w:rPr>
                <w:rFonts w:hint="default"/>
                <w:color w:val="auto"/>
              </w:rPr>
            </w:pPr>
            <w:r>
              <w:rPr>
                <w:rFonts w:hint="default"/>
                <w:color w:val="auto"/>
              </w:rPr>
              <w:drawing>
                <wp:inline distT="0" distB="0" distL="0" distR="0">
                  <wp:extent cx="5314950" cy="1908175"/>
                  <wp:effectExtent l="0" t="0" r="0"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14950" cy="1908175"/>
                          </a:xfrm>
                          <a:prstGeom prst="rect">
                            <a:avLst/>
                          </a:prstGeom>
                          <a:noFill/>
                          <a:ln>
                            <a:noFill/>
                          </a:ln>
                        </pic:spPr>
                      </pic:pic>
                    </a:graphicData>
                  </a:graphic>
                </wp:inline>
              </w:drawing>
            </w:r>
          </w:p>
          <w:p w14:paraId="48F4109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b/>
                <w:color w:val="auto"/>
                <w:kern w:val="24"/>
                <w:sz w:val="24"/>
              </w:rPr>
            </w:pPr>
            <w:r>
              <w:rPr>
                <w:rFonts w:hint="default"/>
                <w:b/>
                <w:color w:val="auto"/>
                <w:kern w:val="24"/>
                <w:sz w:val="24"/>
              </w:rPr>
              <w:t>图2-</w:t>
            </w:r>
            <w:r>
              <w:rPr>
                <w:rFonts w:hint="eastAsia"/>
                <w:b/>
                <w:color w:val="auto"/>
                <w:kern w:val="24"/>
                <w:sz w:val="24"/>
                <w:lang w:val="en-US" w:eastAsia="zh-CN"/>
              </w:rPr>
              <w:t>5</w:t>
            </w:r>
            <w:r>
              <w:rPr>
                <w:rFonts w:hint="default"/>
                <w:b/>
                <w:color w:val="auto"/>
                <w:kern w:val="24"/>
                <w:sz w:val="24"/>
              </w:rPr>
              <w:t xml:space="preserve">  水泥混凝土含气量和凝结时间实验流程图</w:t>
            </w:r>
          </w:p>
          <w:p w14:paraId="761160E1">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val="en-US" w:eastAsia="zh-CN"/>
              </w:rPr>
              <w:t>流程简述</w:t>
            </w:r>
            <w:r>
              <w:rPr>
                <w:rFonts w:hint="default"/>
                <w:b/>
                <w:bCs/>
                <w:color w:val="auto"/>
                <w:sz w:val="24"/>
              </w:rPr>
              <w:t>：</w:t>
            </w:r>
          </w:p>
          <w:p w14:paraId="78300E3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按规范要求取砂石材料，根据客户要求的混凝土强度等级，设计计算配合比，根据配合比数据称量试样，将称好的水泥砂石材料和水倒入搅拌机，按规定时间搅拌，搅拌完成后产生拌合物，测量其坍落度，满足要求后，分别取拌合物用混凝土含气量测定仪和混凝土贯入阻力仪测定水泥混凝土含气量和凝结时间，记录数据并整理</w:t>
            </w:r>
            <w:r>
              <w:rPr>
                <w:rFonts w:hint="eastAsia"/>
                <w:color w:val="auto"/>
                <w:sz w:val="24"/>
                <w:lang w:eastAsia="zh-CN"/>
              </w:rPr>
              <w:t>。</w:t>
            </w:r>
            <w:r>
              <w:rPr>
                <w:rFonts w:hint="default"/>
                <w:color w:val="auto"/>
                <w:sz w:val="24"/>
              </w:rPr>
              <w:t>多余的样品及检测完成后的固废属于物理性实验固废。</w:t>
            </w:r>
          </w:p>
          <w:p w14:paraId="40D5C8A2">
            <w:pPr>
              <w:pStyle w:val="41"/>
              <w:keepNext w:val="0"/>
              <w:keepLines w:val="0"/>
              <w:numPr>
                <w:ilvl w:val="0"/>
                <w:numId w:val="0"/>
              </w:numPr>
              <w:suppressLineNumbers w:val="0"/>
              <w:autoSpaceDE w:val="0"/>
              <w:autoSpaceDN w:val="0"/>
              <w:adjustRightInd w:val="0"/>
              <w:snapToGrid w:val="0"/>
              <w:spacing w:before="0" w:beforeAutospacing="0" w:after="0" w:afterAutospacing="0" w:line="360" w:lineRule="auto"/>
              <w:ind w:left="480" w:leftChars="0" w:right="0" w:rightChars="0"/>
              <w:rPr>
                <w:rFonts w:hint="default"/>
                <w:color w:val="auto"/>
                <w:sz w:val="24"/>
              </w:rPr>
            </w:pPr>
            <w:r>
              <w:rPr>
                <w:rFonts w:hint="eastAsia"/>
                <w:color w:val="auto"/>
                <w:sz w:val="24"/>
                <w:lang w:val="en-US" w:eastAsia="zh-CN"/>
              </w:rPr>
              <w:t>②</w:t>
            </w:r>
            <w:r>
              <w:rPr>
                <w:rFonts w:hint="default"/>
                <w:color w:val="auto"/>
                <w:sz w:val="24"/>
              </w:rPr>
              <w:t>水泥砂浆实验</w:t>
            </w:r>
          </w:p>
          <w:p w14:paraId="7B41B6C6">
            <w:pPr>
              <w:keepNext w:val="0"/>
              <w:keepLines w:val="0"/>
              <w:suppressLineNumbers w:val="0"/>
              <w:snapToGrid w:val="0"/>
              <w:spacing w:before="0" w:beforeAutospacing="0" w:after="0" w:afterAutospacing="0"/>
              <w:ind w:left="0" w:right="0"/>
              <w:jc w:val="center"/>
              <w:rPr>
                <w:rFonts w:hint="default"/>
                <w:color w:val="auto"/>
              </w:rPr>
            </w:pPr>
            <w:r>
              <w:rPr>
                <w:rFonts w:hint="default"/>
                <w:color w:val="auto"/>
              </w:rPr>
              <w:drawing>
                <wp:inline distT="0" distB="0" distL="0" distR="0">
                  <wp:extent cx="5317490" cy="864235"/>
                  <wp:effectExtent l="0" t="0" r="16510"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17490" cy="864235"/>
                          </a:xfrm>
                          <a:prstGeom prst="rect">
                            <a:avLst/>
                          </a:prstGeom>
                          <a:noFill/>
                          <a:ln>
                            <a:noFill/>
                          </a:ln>
                        </pic:spPr>
                      </pic:pic>
                    </a:graphicData>
                  </a:graphic>
                </wp:inline>
              </w:drawing>
            </w:r>
          </w:p>
          <w:p w14:paraId="2F9F59D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b/>
                <w:color w:val="auto"/>
                <w:kern w:val="24"/>
                <w:sz w:val="24"/>
              </w:rPr>
            </w:pPr>
            <w:r>
              <w:rPr>
                <w:rFonts w:hint="default"/>
                <w:b/>
                <w:color w:val="auto"/>
                <w:kern w:val="24"/>
                <w:sz w:val="24"/>
              </w:rPr>
              <w:t>图2-</w:t>
            </w:r>
            <w:r>
              <w:rPr>
                <w:rFonts w:hint="eastAsia"/>
                <w:b/>
                <w:color w:val="auto"/>
                <w:kern w:val="24"/>
                <w:sz w:val="24"/>
                <w:lang w:val="en-US" w:eastAsia="zh-CN"/>
              </w:rPr>
              <w:t>6</w:t>
            </w:r>
            <w:r>
              <w:rPr>
                <w:rFonts w:hint="default"/>
                <w:b/>
                <w:color w:val="auto"/>
                <w:kern w:val="24"/>
                <w:sz w:val="24"/>
              </w:rPr>
              <w:t xml:space="preserve">   水泥砂浆实验流程图</w:t>
            </w:r>
          </w:p>
          <w:p w14:paraId="7E8F4B38">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val="en-US" w:eastAsia="zh-CN"/>
              </w:rPr>
              <w:t>流程简述</w:t>
            </w:r>
            <w:r>
              <w:rPr>
                <w:rFonts w:hint="default"/>
                <w:b/>
                <w:bCs/>
                <w:color w:val="auto"/>
                <w:sz w:val="24"/>
              </w:rPr>
              <w:t>：</w:t>
            </w:r>
          </w:p>
          <w:p w14:paraId="656AAF8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按规范要求和客户要求的砂浆强度等级，设计计算配合比，根据配合比数据称量试样，将称好的水泥、砂和水倒入搅拌机，按规定时间搅拌，搅拌完成后产生拌合物，测量其稠度，满足要求后，装入试模制样，记录数据并整理。多余的样品及检测完成后的固废属于物理性实验固废。</w:t>
            </w:r>
          </w:p>
          <w:p w14:paraId="752AF5C9">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val="en-US" w:eastAsia="zh-CN"/>
              </w:rPr>
              <w:t>|（3）</w:t>
            </w:r>
            <w:r>
              <w:rPr>
                <w:rFonts w:hint="default"/>
                <w:b/>
                <w:bCs/>
                <w:color w:val="auto"/>
                <w:sz w:val="24"/>
              </w:rPr>
              <w:t>沥青检测（包含沥青；沥青混合料等检测项目）</w:t>
            </w:r>
          </w:p>
          <w:p w14:paraId="155C650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根据建设单位提供的资料，项目沥青检测内容均为物理性检测，由于沥青部分检测项目中需对沥青样品进行加热升温，使的沥青样品中部分组分挥发，产生沥青废气。</w:t>
            </w:r>
          </w:p>
          <w:p w14:paraId="0A33AFE3">
            <w:pPr>
              <w:keepNext w:val="0"/>
              <w:keepLines w:val="0"/>
              <w:suppressLineNumbers w:val="0"/>
              <w:snapToGrid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项目沥青组分检测项目工艺流程及产污流程见图2-</w:t>
            </w:r>
            <w:r>
              <w:rPr>
                <w:rFonts w:hint="eastAsia"/>
                <w:color w:val="auto"/>
                <w:sz w:val="24"/>
                <w:lang w:val="en-US" w:eastAsia="zh-CN"/>
              </w:rPr>
              <w:t>7</w:t>
            </w:r>
            <w:r>
              <w:rPr>
                <w:rFonts w:hint="default"/>
                <w:color w:val="auto"/>
                <w:sz w:val="24"/>
              </w:rPr>
              <w:t>。</w:t>
            </w:r>
          </w:p>
          <w:p w14:paraId="62158316">
            <w:pPr>
              <w:keepNext w:val="0"/>
              <w:keepLines w:val="0"/>
              <w:suppressLineNumbers w:val="0"/>
              <w:spacing w:before="0" w:beforeAutospacing="0" w:after="0" w:afterAutospacing="0"/>
              <w:ind w:left="0" w:right="0"/>
              <w:jc w:val="center"/>
              <w:rPr>
                <w:rFonts w:hint="default"/>
                <w:color w:val="auto"/>
              </w:rPr>
            </w:pPr>
          </w:p>
          <w:p w14:paraId="52B41602">
            <w:pPr>
              <w:keepNext w:val="0"/>
              <w:keepLines w:val="0"/>
              <w:suppressLineNumbers w:val="0"/>
              <w:spacing w:before="0" w:beforeAutospacing="0" w:after="0" w:afterAutospacing="0"/>
              <w:ind w:left="0" w:right="0"/>
              <w:jc w:val="center"/>
              <w:rPr>
                <w:rFonts w:hint="default"/>
                <w:color w:val="auto"/>
              </w:rPr>
            </w:pPr>
            <w:r>
              <w:rPr>
                <w:rFonts w:hint="default"/>
                <w:color w:val="auto"/>
              </w:rPr>
              <w:drawing>
                <wp:inline distT="0" distB="0" distL="114300" distR="114300">
                  <wp:extent cx="5217160" cy="2134235"/>
                  <wp:effectExtent l="0" t="0" r="2540"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5217160" cy="2134235"/>
                          </a:xfrm>
                          <a:prstGeom prst="rect">
                            <a:avLst/>
                          </a:prstGeom>
                          <a:noFill/>
                          <a:ln>
                            <a:noFill/>
                          </a:ln>
                        </pic:spPr>
                      </pic:pic>
                    </a:graphicData>
                  </a:graphic>
                </wp:inline>
              </w:drawing>
            </w:r>
          </w:p>
          <w:p w14:paraId="2D3B776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b/>
                <w:color w:val="auto"/>
                <w:kern w:val="24"/>
                <w:sz w:val="24"/>
              </w:rPr>
            </w:pPr>
            <w:r>
              <w:rPr>
                <w:rFonts w:hint="default"/>
                <w:b/>
                <w:color w:val="auto"/>
                <w:kern w:val="24"/>
                <w:sz w:val="24"/>
              </w:rPr>
              <w:t>图2-</w:t>
            </w:r>
            <w:r>
              <w:rPr>
                <w:rFonts w:hint="eastAsia"/>
                <w:b/>
                <w:color w:val="auto"/>
                <w:kern w:val="24"/>
                <w:sz w:val="24"/>
                <w:lang w:val="en-US" w:eastAsia="zh-CN"/>
              </w:rPr>
              <w:t>7</w:t>
            </w:r>
            <w:r>
              <w:rPr>
                <w:rFonts w:hint="default"/>
                <w:b/>
                <w:color w:val="auto"/>
                <w:kern w:val="24"/>
                <w:sz w:val="24"/>
              </w:rPr>
              <w:t xml:space="preserve">  项目沥青检测工艺流程图</w:t>
            </w:r>
          </w:p>
          <w:p w14:paraId="5193F891">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rPr>
            </w:pPr>
            <w:r>
              <w:rPr>
                <w:rFonts w:hint="default"/>
                <w:b/>
                <w:bCs/>
                <w:color w:val="auto"/>
                <w:sz w:val="24"/>
              </w:rPr>
              <w:t>流程简述：</w:t>
            </w:r>
          </w:p>
          <w:p w14:paraId="6CF1420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采用抽提仪法进行沥青组分检测，抽提仪法检测沥青时，是将沥青送检样品编号后，放入烘箱（烘箱密闭），温度调至80℃，将沥青样本由固态加热软化，软化后根据检测项目取样检测，检测后记录数据编制检测报告。</w:t>
            </w:r>
          </w:p>
          <w:p w14:paraId="57EC56F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产污环节：沥青样品加热、检测、仪器清洗时产生的废气；使用三氯乙烯清洗仪器时产生的废液作为危险废物。</w:t>
            </w:r>
          </w:p>
          <w:p w14:paraId="5526529D">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val="en-US" w:eastAsia="zh-CN"/>
              </w:rPr>
              <w:t>（4）</w:t>
            </w:r>
            <w:r>
              <w:rPr>
                <w:rFonts w:hint="default"/>
                <w:b/>
                <w:bCs/>
                <w:color w:val="auto"/>
                <w:sz w:val="24"/>
              </w:rPr>
              <w:t>金属材料实验（包含钢材与连接接头）</w:t>
            </w:r>
          </w:p>
          <w:p w14:paraId="513642D9">
            <w:pPr>
              <w:keepNext w:val="0"/>
              <w:keepLines w:val="0"/>
              <w:suppressLineNumbers w:val="0"/>
              <w:snapToGrid w:val="0"/>
              <w:spacing w:before="0" w:beforeAutospacing="0" w:after="0" w:afterAutospacing="0"/>
              <w:ind w:left="0" w:right="0"/>
              <w:jc w:val="center"/>
              <w:rPr>
                <w:rFonts w:hint="default"/>
                <w:color w:val="auto"/>
              </w:rPr>
            </w:pPr>
            <w:r>
              <w:rPr>
                <w:rFonts w:hint="default"/>
                <w:color w:val="auto"/>
              </w:rPr>
              <w:drawing>
                <wp:inline distT="0" distB="0" distL="114300" distR="114300">
                  <wp:extent cx="5270500" cy="1483995"/>
                  <wp:effectExtent l="0" t="0" r="6350" b="190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7"/>
                          <a:stretch>
                            <a:fillRect/>
                          </a:stretch>
                        </pic:blipFill>
                        <pic:spPr>
                          <a:xfrm>
                            <a:off x="0" y="0"/>
                            <a:ext cx="5270500" cy="1483995"/>
                          </a:xfrm>
                          <a:prstGeom prst="rect">
                            <a:avLst/>
                          </a:prstGeom>
                          <a:noFill/>
                          <a:ln>
                            <a:noFill/>
                          </a:ln>
                        </pic:spPr>
                      </pic:pic>
                    </a:graphicData>
                  </a:graphic>
                </wp:inline>
              </w:drawing>
            </w:r>
          </w:p>
          <w:p w14:paraId="57C01B08">
            <w:pPr>
              <w:keepNext w:val="0"/>
              <w:keepLines w:val="0"/>
              <w:suppressLineNumbers w:val="0"/>
              <w:snapToGrid w:val="0"/>
              <w:spacing w:before="0" w:beforeAutospacing="0" w:after="0" w:afterAutospacing="0" w:line="360" w:lineRule="auto"/>
              <w:ind w:left="0" w:right="0"/>
              <w:jc w:val="center"/>
              <w:rPr>
                <w:rFonts w:hint="default"/>
                <w:b/>
                <w:color w:val="auto"/>
                <w:kern w:val="24"/>
                <w:sz w:val="24"/>
              </w:rPr>
            </w:pPr>
            <w:r>
              <w:rPr>
                <w:rFonts w:hint="default"/>
                <w:b/>
                <w:color w:val="auto"/>
                <w:kern w:val="24"/>
                <w:sz w:val="24"/>
              </w:rPr>
              <w:t>图2-</w:t>
            </w:r>
            <w:r>
              <w:rPr>
                <w:rFonts w:hint="eastAsia"/>
                <w:b/>
                <w:color w:val="auto"/>
                <w:kern w:val="24"/>
                <w:sz w:val="24"/>
                <w:lang w:val="en-US" w:eastAsia="zh-CN"/>
              </w:rPr>
              <w:t>8</w:t>
            </w:r>
            <w:r>
              <w:rPr>
                <w:rFonts w:hint="default"/>
                <w:b/>
                <w:color w:val="auto"/>
                <w:kern w:val="24"/>
                <w:sz w:val="24"/>
              </w:rPr>
              <w:t xml:space="preserve">  金属材料拉伸实验流程图</w:t>
            </w:r>
          </w:p>
          <w:p w14:paraId="49D0AB1E">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val="en-US" w:eastAsia="zh-CN"/>
              </w:rPr>
              <w:t>流程简述</w:t>
            </w:r>
            <w:r>
              <w:rPr>
                <w:rFonts w:hint="default"/>
                <w:b/>
                <w:bCs/>
                <w:color w:val="auto"/>
                <w:sz w:val="24"/>
              </w:rPr>
              <w:t>：</w:t>
            </w:r>
          </w:p>
          <w:p w14:paraId="01E92CD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金属材料检测实验主要为金属材料拉伸实验，将样品（钢材与连接接头）放在</w:t>
            </w:r>
            <w:r>
              <w:rPr>
                <w:rFonts w:hint="eastAsia"/>
                <w:color w:val="auto"/>
                <w:sz w:val="24"/>
                <w:lang w:val="en-US" w:eastAsia="zh-CN"/>
              </w:rPr>
              <w:t>电液式</w:t>
            </w:r>
            <w:r>
              <w:rPr>
                <w:rFonts w:hint="default"/>
                <w:color w:val="auto"/>
                <w:sz w:val="24"/>
              </w:rPr>
              <w:t>万能试验</w:t>
            </w:r>
            <w:r>
              <w:rPr>
                <w:rFonts w:hint="eastAsia"/>
                <w:color w:val="auto"/>
                <w:sz w:val="24"/>
                <w:lang w:val="en-US" w:eastAsia="zh-CN"/>
              </w:rPr>
              <w:t>机</w:t>
            </w:r>
            <w:r>
              <w:rPr>
                <w:rFonts w:hint="default"/>
                <w:color w:val="auto"/>
                <w:sz w:val="24"/>
              </w:rPr>
              <w:t>上进行抗拉强度、屈服强度及弯曲性能等指标的检测，记录数据进行整理。多余的样品及检测完成后的固废属于物理性实验固废。</w:t>
            </w:r>
          </w:p>
          <w:p w14:paraId="7444BA5D">
            <w:pPr>
              <w:keepNext w:val="0"/>
              <w:keepLines w:val="0"/>
              <w:suppressLineNumbers w:val="0"/>
              <w:tabs>
                <w:tab w:val="left" w:pos="3520"/>
              </w:tabs>
              <w:autoSpaceDE w:val="0"/>
              <w:autoSpaceDN w:val="0"/>
              <w:adjustRightInd w:val="0"/>
              <w:snapToGrid w:val="0"/>
              <w:spacing w:before="0" w:beforeAutospacing="0" w:after="0" w:afterAutospacing="0" w:line="360" w:lineRule="auto"/>
              <w:ind w:left="0" w:right="0" w:firstLine="482"/>
              <w:jc w:val="left"/>
              <w:rPr>
                <w:rFonts w:hint="default" w:eastAsia="宋体"/>
                <w:b/>
                <w:bCs/>
                <w:color w:val="auto"/>
                <w:kern w:val="0"/>
                <w:sz w:val="24"/>
                <w:szCs w:val="20"/>
                <w:lang w:val="en-US" w:eastAsia="zh-CN"/>
              </w:rPr>
            </w:pPr>
            <w:bookmarkStart w:id="6" w:name="_Toc1067"/>
            <w:r>
              <w:rPr>
                <w:rFonts w:hint="default"/>
                <w:b/>
                <w:bCs/>
                <w:color w:val="auto"/>
                <w:kern w:val="0"/>
                <w:sz w:val="24"/>
                <w:szCs w:val="20"/>
              </w:rPr>
              <w:t>2、</w:t>
            </w:r>
            <w:bookmarkEnd w:id="6"/>
            <w:r>
              <w:rPr>
                <w:rFonts w:hint="eastAsia"/>
                <w:b/>
                <w:bCs/>
                <w:color w:val="auto"/>
                <w:kern w:val="0"/>
                <w:sz w:val="24"/>
                <w:szCs w:val="20"/>
                <w:lang w:val="en-US" w:eastAsia="zh-CN"/>
              </w:rPr>
              <w:t>化学实验检测工艺流程</w:t>
            </w:r>
          </w:p>
          <w:p w14:paraId="28C0D4D9">
            <w:pPr>
              <w:keepNext w:val="0"/>
              <w:keepLines w:val="0"/>
              <w:suppressLineNumbers w:val="0"/>
              <w:tabs>
                <w:tab w:val="left" w:pos="3520"/>
              </w:tabs>
              <w:autoSpaceDE w:val="0"/>
              <w:autoSpaceDN w:val="0"/>
              <w:adjustRightInd w:val="0"/>
              <w:snapToGrid w:val="0"/>
              <w:spacing w:before="0" w:beforeAutospacing="0" w:after="0" w:afterAutospacing="0" w:line="360" w:lineRule="auto"/>
              <w:ind w:left="0" w:right="0" w:firstLine="482"/>
              <w:jc w:val="left"/>
              <w:rPr>
                <w:rFonts w:hint="default"/>
                <w:color w:val="auto"/>
                <w:kern w:val="0"/>
                <w:sz w:val="24"/>
                <w:szCs w:val="20"/>
              </w:rPr>
            </w:pPr>
            <w:r>
              <w:rPr>
                <w:rFonts w:hint="default"/>
                <w:color w:val="auto"/>
                <w:kern w:val="0"/>
                <w:sz w:val="24"/>
                <w:szCs w:val="20"/>
              </w:rPr>
              <w:t>项目化学检测主要为</w:t>
            </w:r>
            <w:r>
              <w:rPr>
                <w:rFonts w:hint="eastAsia"/>
                <w:color w:val="auto"/>
                <w:kern w:val="0"/>
                <w:sz w:val="24"/>
                <w:szCs w:val="20"/>
                <w:lang w:val="en-US" w:eastAsia="zh-CN"/>
              </w:rPr>
              <w:t>水质分析检测</w:t>
            </w:r>
            <w:r>
              <w:rPr>
                <w:rFonts w:hint="default"/>
                <w:color w:val="auto"/>
                <w:kern w:val="0"/>
                <w:sz w:val="24"/>
                <w:szCs w:val="20"/>
              </w:rPr>
              <w:t>。项目化学检测工艺及产污环节图如下图</w:t>
            </w:r>
            <w:r>
              <w:rPr>
                <w:rFonts w:hint="eastAsia"/>
                <w:color w:val="auto"/>
                <w:kern w:val="0"/>
                <w:sz w:val="24"/>
                <w:szCs w:val="20"/>
              </w:rPr>
              <w:t>：</w:t>
            </w:r>
          </w:p>
          <w:p w14:paraId="0D32613A">
            <w:pPr>
              <w:keepNext w:val="0"/>
              <w:keepLines w:val="0"/>
              <w:suppressLineNumbers w:val="0"/>
              <w:autoSpaceDE w:val="0"/>
              <w:autoSpaceDN w:val="0"/>
              <w:spacing w:before="100" w:beforeAutospacing="1" w:after="100" w:afterAutospacing="1" w:line="360" w:lineRule="auto"/>
              <w:ind w:left="0" w:right="0" w:firstLine="420" w:firstLineChars="200"/>
              <w:rPr>
                <w:rFonts w:hint="default"/>
                <w:color w:val="auto"/>
                <w:kern w:val="0"/>
                <w:sz w:val="24"/>
                <w:lang w:eastAsia="en-US"/>
              </w:rPr>
            </w:pPr>
            <w:r>
              <w:rPr>
                <w:rFonts w:hint="default"/>
                <w:color w:val="auto"/>
              </w:rPr>
              <w:drawing>
                <wp:inline distT="0" distB="0" distL="114300" distR="114300">
                  <wp:extent cx="4787900" cy="3530600"/>
                  <wp:effectExtent l="0" t="0" r="12700"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4787900" cy="3530600"/>
                          </a:xfrm>
                          <a:prstGeom prst="rect">
                            <a:avLst/>
                          </a:prstGeom>
                          <a:noFill/>
                          <a:ln>
                            <a:noFill/>
                          </a:ln>
                        </pic:spPr>
                      </pic:pic>
                    </a:graphicData>
                  </a:graphic>
                </wp:inline>
              </w:drawing>
            </w:r>
          </w:p>
          <w:p w14:paraId="7284CCC8">
            <w:pPr>
              <w:keepNext w:val="0"/>
              <w:keepLines w:val="0"/>
              <w:suppressLineNumbers w:val="0"/>
              <w:autoSpaceDE w:val="0"/>
              <w:autoSpaceDN w:val="0"/>
              <w:spacing w:before="100" w:beforeAutospacing="1" w:after="100" w:afterAutospacing="1" w:line="360" w:lineRule="auto"/>
              <w:ind w:left="0" w:right="0"/>
              <w:jc w:val="center"/>
              <w:outlineLvl w:val="2"/>
              <w:rPr>
                <w:rFonts w:hint="default"/>
                <w:b/>
                <w:bCs/>
                <w:color w:val="auto"/>
                <w:kern w:val="0"/>
                <w:sz w:val="24"/>
              </w:rPr>
            </w:pPr>
            <w:bookmarkStart w:id="7" w:name="_Toc18212"/>
            <w:r>
              <w:rPr>
                <w:rFonts w:hint="default"/>
                <w:b/>
                <w:bCs/>
                <w:color w:val="auto"/>
                <w:sz w:val="24"/>
                <w:lang w:bidi="ar"/>
              </w:rPr>
              <w:t>图2-</w:t>
            </w:r>
            <w:r>
              <w:rPr>
                <w:rFonts w:hint="eastAsia"/>
                <w:b/>
                <w:bCs/>
                <w:color w:val="auto"/>
                <w:sz w:val="24"/>
                <w:lang w:val="en-US" w:eastAsia="zh-CN" w:bidi="ar"/>
              </w:rPr>
              <w:t>9</w:t>
            </w:r>
            <w:r>
              <w:rPr>
                <w:rFonts w:hint="default"/>
                <w:b/>
                <w:bCs/>
                <w:color w:val="auto"/>
                <w:sz w:val="24"/>
                <w:lang w:bidi="ar"/>
              </w:rPr>
              <w:t xml:space="preserve">   化学检测</w:t>
            </w:r>
            <w:r>
              <w:rPr>
                <w:rFonts w:hint="eastAsia"/>
                <w:b/>
                <w:bCs/>
                <w:color w:val="auto"/>
                <w:sz w:val="24"/>
                <w:lang w:val="en-US" w:eastAsia="zh-CN" w:bidi="ar"/>
              </w:rPr>
              <w:t>实验</w:t>
            </w:r>
            <w:r>
              <w:rPr>
                <w:rFonts w:hint="default"/>
                <w:b/>
                <w:bCs/>
                <w:color w:val="auto"/>
                <w:sz w:val="24"/>
                <w:lang w:bidi="ar"/>
              </w:rPr>
              <w:t>工艺流程图</w:t>
            </w:r>
            <w:bookmarkEnd w:id="7"/>
          </w:p>
          <w:p w14:paraId="03503E7E">
            <w:pPr>
              <w:keepNext w:val="0"/>
              <w:keepLines w:val="0"/>
              <w:suppressLineNumbers w:val="0"/>
              <w:tabs>
                <w:tab w:val="left" w:pos="3520"/>
              </w:tabs>
              <w:autoSpaceDE w:val="0"/>
              <w:autoSpaceDN w:val="0"/>
              <w:adjustRightInd w:val="0"/>
              <w:snapToGrid w:val="0"/>
              <w:spacing w:before="0" w:beforeAutospacing="0" w:after="0" w:afterAutospacing="0" w:line="360" w:lineRule="auto"/>
              <w:ind w:left="0" w:right="0" w:firstLine="482"/>
              <w:jc w:val="left"/>
              <w:rPr>
                <w:rFonts w:hint="default"/>
                <w:b/>
                <w:bCs/>
                <w:color w:val="auto"/>
                <w:kern w:val="0"/>
                <w:sz w:val="24"/>
                <w:szCs w:val="20"/>
              </w:rPr>
            </w:pPr>
            <w:r>
              <w:rPr>
                <w:rFonts w:hint="default"/>
                <w:b/>
                <w:bCs/>
                <w:color w:val="auto"/>
                <w:kern w:val="0"/>
                <w:sz w:val="24"/>
                <w:szCs w:val="20"/>
              </w:rPr>
              <w:t>流程简述：</w:t>
            </w:r>
          </w:p>
          <w:p w14:paraId="4B003FB2">
            <w:pPr>
              <w:keepNext w:val="0"/>
              <w:keepLines w:val="0"/>
              <w:suppressLineNumbers w:val="0"/>
              <w:tabs>
                <w:tab w:val="left" w:pos="3520"/>
              </w:tabs>
              <w:autoSpaceDE w:val="0"/>
              <w:autoSpaceDN w:val="0"/>
              <w:adjustRightInd w:val="0"/>
              <w:snapToGrid w:val="0"/>
              <w:spacing w:before="0" w:beforeAutospacing="0" w:after="0" w:afterAutospacing="0" w:line="360" w:lineRule="auto"/>
              <w:ind w:left="0" w:right="0" w:firstLine="482"/>
              <w:jc w:val="left"/>
              <w:rPr>
                <w:rFonts w:hint="default"/>
                <w:color w:val="auto"/>
                <w:kern w:val="0"/>
                <w:sz w:val="24"/>
                <w:szCs w:val="20"/>
              </w:rPr>
            </w:pPr>
            <w:r>
              <w:rPr>
                <w:rFonts w:hint="default"/>
                <w:color w:val="auto"/>
                <w:kern w:val="0"/>
                <w:sz w:val="24"/>
                <w:szCs w:val="20"/>
              </w:rPr>
              <w:t>样品登记：外来检测的样本根据来源、检测内容不同进行分类登记</w:t>
            </w:r>
          </w:p>
          <w:p w14:paraId="59B9C823">
            <w:pPr>
              <w:keepNext w:val="0"/>
              <w:keepLines w:val="0"/>
              <w:suppressLineNumbers w:val="0"/>
              <w:tabs>
                <w:tab w:val="left" w:pos="3520"/>
              </w:tabs>
              <w:autoSpaceDE w:val="0"/>
              <w:autoSpaceDN w:val="0"/>
              <w:adjustRightInd w:val="0"/>
              <w:snapToGrid w:val="0"/>
              <w:spacing w:before="0" w:beforeAutospacing="0" w:after="0" w:afterAutospacing="0" w:line="360" w:lineRule="auto"/>
              <w:ind w:left="0" w:right="0" w:firstLine="482"/>
              <w:jc w:val="left"/>
              <w:rPr>
                <w:rFonts w:hint="default"/>
                <w:color w:val="auto"/>
                <w:kern w:val="0"/>
                <w:sz w:val="24"/>
                <w:szCs w:val="20"/>
              </w:rPr>
            </w:pPr>
            <w:r>
              <w:rPr>
                <w:rFonts w:hint="default"/>
                <w:color w:val="auto"/>
                <w:kern w:val="0"/>
                <w:sz w:val="24"/>
                <w:szCs w:val="20"/>
              </w:rPr>
              <w:t>样品预处理：称取一定量样品制成检测溶液，然后进行标定，根据检测项目滴加不同的试剂，部分项目检测需使用电热恒温干燥箱控制试验所需温度范围，此过程会产生少量的</w:t>
            </w:r>
            <w:r>
              <w:rPr>
                <w:rFonts w:hint="eastAsia"/>
                <w:color w:val="auto"/>
                <w:kern w:val="0"/>
                <w:sz w:val="24"/>
                <w:szCs w:val="20"/>
                <w:lang w:val="en-US" w:eastAsia="zh-CN"/>
              </w:rPr>
              <w:t>无机废气和有机废气，</w:t>
            </w:r>
            <w:r>
              <w:rPr>
                <w:rFonts w:hint="default"/>
                <w:color w:val="auto"/>
                <w:kern w:val="0"/>
                <w:sz w:val="24"/>
                <w:szCs w:val="20"/>
              </w:rPr>
              <w:t>废试剂和废试剂瓶。</w:t>
            </w:r>
          </w:p>
          <w:p w14:paraId="3375A619">
            <w:pPr>
              <w:keepNext w:val="0"/>
              <w:keepLines w:val="0"/>
              <w:suppressLineNumbers w:val="0"/>
              <w:tabs>
                <w:tab w:val="left" w:pos="3520"/>
              </w:tabs>
              <w:autoSpaceDE w:val="0"/>
              <w:autoSpaceDN w:val="0"/>
              <w:adjustRightInd w:val="0"/>
              <w:snapToGrid w:val="0"/>
              <w:spacing w:before="0" w:beforeAutospacing="0" w:after="0" w:afterAutospacing="0" w:line="360" w:lineRule="auto"/>
              <w:ind w:left="0" w:right="0" w:firstLine="482"/>
              <w:jc w:val="left"/>
              <w:rPr>
                <w:rFonts w:hint="default"/>
                <w:color w:val="auto"/>
                <w:kern w:val="0"/>
                <w:sz w:val="24"/>
                <w:szCs w:val="20"/>
              </w:rPr>
            </w:pPr>
            <w:r>
              <w:rPr>
                <w:rFonts w:hint="default"/>
                <w:color w:val="auto"/>
                <w:kern w:val="0"/>
                <w:sz w:val="24"/>
                <w:szCs w:val="20"/>
              </w:rPr>
              <w:t>仪器检测：主要使用滴定法对检验溶液进行检测实验，并进行结果计算。此过程会产生少量的实验废液、实验废料等有机试剂挥发产生的有机废气。</w:t>
            </w:r>
          </w:p>
          <w:p w14:paraId="15B8B555">
            <w:pPr>
              <w:keepNext w:val="0"/>
              <w:keepLines w:val="0"/>
              <w:suppressLineNumbers w:val="0"/>
              <w:tabs>
                <w:tab w:val="left" w:pos="3520"/>
              </w:tabs>
              <w:autoSpaceDE w:val="0"/>
              <w:autoSpaceDN w:val="0"/>
              <w:adjustRightInd w:val="0"/>
              <w:snapToGrid w:val="0"/>
              <w:spacing w:before="0" w:beforeAutospacing="0" w:after="0" w:afterAutospacing="0" w:line="360" w:lineRule="auto"/>
              <w:ind w:left="0" w:right="0" w:firstLine="482"/>
              <w:jc w:val="left"/>
              <w:rPr>
                <w:rFonts w:hint="default"/>
                <w:color w:val="auto"/>
                <w:kern w:val="0"/>
                <w:sz w:val="24"/>
                <w:szCs w:val="20"/>
              </w:rPr>
            </w:pPr>
            <w:r>
              <w:rPr>
                <w:rFonts w:hint="default"/>
                <w:color w:val="auto"/>
                <w:kern w:val="0"/>
                <w:sz w:val="24"/>
                <w:szCs w:val="20"/>
              </w:rPr>
              <w:t>记录数据：记录每次试验结果，并汇总存为原始数据。</w:t>
            </w:r>
          </w:p>
          <w:p w14:paraId="712808F2">
            <w:pPr>
              <w:keepNext w:val="0"/>
              <w:keepLines w:val="0"/>
              <w:suppressLineNumbers w:val="0"/>
              <w:tabs>
                <w:tab w:val="left" w:pos="3520"/>
              </w:tabs>
              <w:autoSpaceDE w:val="0"/>
              <w:autoSpaceDN w:val="0"/>
              <w:adjustRightInd w:val="0"/>
              <w:snapToGrid w:val="0"/>
              <w:spacing w:before="0" w:beforeAutospacing="0" w:after="0" w:afterAutospacing="0" w:line="360" w:lineRule="auto"/>
              <w:ind w:left="0" w:right="0" w:firstLine="482"/>
              <w:jc w:val="left"/>
              <w:rPr>
                <w:rFonts w:hint="default"/>
                <w:color w:val="auto"/>
                <w:kern w:val="0"/>
                <w:sz w:val="24"/>
                <w:szCs w:val="20"/>
              </w:rPr>
            </w:pPr>
            <w:r>
              <w:rPr>
                <w:rFonts w:hint="default"/>
                <w:color w:val="auto"/>
                <w:kern w:val="0"/>
                <w:sz w:val="24"/>
                <w:szCs w:val="20"/>
              </w:rPr>
              <w:t>仪器清洁：对完成检测的试验设备进行清洁，清洗介质为自来水，此过程会产生少量的仪器清洗废水。</w:t>
            </w:r>
          </w:p>
          <w:p w14:paraId="5981C626">
            <w:pPr>
              <w:keepNext w:val="0"/>
              <w:keepLines w:val="0"/>
              <w:suppressLineNumbers w:val="0"/>
              <w:tabs>
                <w:tab w:val="left" w:pos="3520"/>
              </w:tabs>
              <w:autoSpaceDE w:val="0"/>
              <w:autoSpaceDN w:val="0"/>
              <w:adjustRightInd w:val="0"/>
              <w:snapToGrid w:val="0"/>
              <w:spacing w:before="0" w:beforeAutospacing="0" w:after="0" w:afterAutospacing="0" w:line="360" w:lineRule="auto"/>
              <w:ind w:left="0" w:right="0" w:firstLine="482"/>
              <w:jc w:val="left"/>
              <w:rPr>
                <w:rFonts w:hint="default"/>
                <w:color w:val="auto"/>
                <w:kern w:val="0"/>
                <w:sz w:val="24"/>
                <w:szCs w:val="20"/>
              </w:rPr>
            </w:pPr>
            <w:r>
              <w:rPr>
                <w:rFonts w:hint="default"/>
                <w:color w:val="auto"/>
                <w:kern w:val="0"/>
                <w:sz w:val="24"/>
                <w:szCs w:val="20"/>
              </w:rPr>
              <w:t>报告编制：检测数据按照规范格式编制成报告，交付业主及存档。</w:t>
            </w:r>
          </w:p>
          <w:p w14:paraId="0F990BB5">
            <w:pPr>
              <w:keepNext w:val="0"/>
              <w:keepLines w:val="0"/>
              <w:suppressLineNumbers w:val="0"/>
              <w:tabs>
                <w:tab w:val="left" w:pos="420"/>
              </w:tabs>
              <w:adjustRightInd w:val="0"/>
              <w:snapToGrid w:val="0"/>
              <w:spacing w:before="0" w:beforeAutospacing="0" w:after="0" w:afterAutospacing="0" w:line="360" w:lineRule="auto"/>
              <w:ind w:left="0" w:right="0"/>
              <w:outlineLvl w:val="1"/>
              <w:rPr>
                <w:rFonts w:hint="default"/>
                <w:b/>
                <w:color w:val="auto"/>
                <w:sz w:val="24"/>
                <w:szCs w:val="20"/>
              </w:rPr>
            </w:pPr>
            <w:r>
              <w:rPr>
                <w:rFonts w:hint="default"/>
                <w:b/>
                <w:color w:val="auto"/>
                <w:sz w:val="24"/>
                <w:szCs w:val="20"/>
              </w:rPr>
              <w:t>2.2主要污染工序</w:t>
            </w:r>
          </w:p>
          <w:p w14:paraId="36D6E982">
            <w:pPr>
              <w:keepNext w:val="0"/>
              <w:keepLines w:val="0"/>
              <w:suppressLineNumbers w:val="0"/>
              <w:tabs>
                <w:tab w:val="left" w:pos="420"/>
              </w:tabs>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项目主要污染物来源、排放方式等详见表2-</w:t>
            </w:r>
            <w:r>
              <w:rPr>
                <w:rFonts w:hint="eastAsia"/>
                <w:color w:val="auto"/>
                <w:sz w:val="24"/>
                <w:lang w:val="en-US" w:eastAsia="zh-CN"/>
              </w:rPr>
              <w:t>9</w:t>
            </w:r>
            <w:r>
              <w:rPr>
                <w:rFonts w:hint="default"/>
                <w:color w:val="auto"/>
                <w:sz w:val="24"/>
              </w:rPr>
              <w:t>。</w:t>
            </w:r>
          </w:p>
          <w:p w14:paraId="65E4B8A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Times New Roman" w:hAnsi="宋体" w:eastAsia="宋体" w:cs="Times New Roman"/>
                <w:b/>
                <w:bCs w:val="0"/>
                <w:color w:val="auto"/>
                <w:kern w:val="2"/>
                <w:sz w:val="21"/>
                <w:szCs w:val="21"/>
                <w:lang w:val="en-US" w:eastAsia="zh-CN" w:bidi="ar"/>
              </w:rPr>
            </w:pPr>
            <w:r>
              <w:rPr>
                <w:rFonts w:hint="default"/>
                <w:b/>
                <w:color w:val="auto"/>
              </w:rPr>
              <w:t>表2-</w:t>
            </w:r>
            <w:r>
              <w:rPr>
                <w:rFonts w:hint="eastAsia"/>
                <w:b/>
                <w:color w:val="auto"/>
                <w:lang w:val="en-US" w:eastAsia="zh-CN"/>
              </w:rPr>
              <w:t>9</w:t>
            </w:r>
            <w:r>
              <w:rPr>
                <w:rFonts w:hint="default"/>
                <w:b/>
                <w:color w:val="auto"/>
              </w:rPr>
              <w:t xml:space="preserve">   </w:t>
            </w:r>
            <w:r>
              <w:rPr>
                <w:rFonts w:hint="eastAsia" w:ascii="Times New Roman" w:hAnsi="宋体" w:eastAsia="宋体" w:cs="Times New Roman"/>
                <w:b/>
                <w:bCs w:val="0"/>
                <w:color w:val="auto"/>
                <w:kern w:val="2"/>
                <w:sz w:val="21"/>
                <w:szCs w:val="21"/>
                <w:lang w:val="en-US" w:eastAsia="zh-CN" w:bidi="ar"/>
              </w:rPr>
              <w:t>项目运营期产污环节一览表</w:t>
            </w:r>
          </w:p>
          <w:tbl>
            <w:tblPr>
              <w:tblStyle w:val="17"/>
              <w:tblW w:w="8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73"/>
              <w:gridCol w:w="1241"/>
              <w:gridCol w:w="1623"/>
              <w:gridCol w:w="367"/>
              <w:gridCol w:w="301"/>
              <w:gridCol w:w="1877"/>
              <w:gridCol w:w="2242"/>
            </w:tblGrid>
            <w:tr w14:paraId="3D38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7847097D">
                  <w:pPr>
                    <w:pStyle w:val="15"/>
                    <w:keepNext w:val="0"/>
                    <w:keepLines w:val="0"/>
                    <w:widowControl w:val="0"/>
                    <w:suppressLineNumbers w:val="0"/>
                    <w:spacing w:before="0" w:beforeAutospacing="0" w:after="0" w:afterAutospacing="0"/>
                    <w:ind w:left="0" w:leftChars="0" w:right="0" w:firstLine="0" w:firstLineChars="0"/>
                    <w:jc w:val="center"/>
                    <w:rPr>
                      <w:rFonts w:hint="default"/>
                      <w:b/>
                      <w:bCs w:val="0"/>
                      <w:color w:val="auto"/>
                      <w:sz w:val="21"/>
                      <w:szCs w:val="21"/>
                      <w:lang w:val="en-US"/>
                    </w:rPr>
                  </w:pPr>
                  <w:r>
                    <w:rPr>
                      <w:rFonts w:hint="eastAsia" w:ascii="Times New Roman" w:hAnsi="Times New Roman" w:eastAsia="宋体" w:cs="宋体"/>
                      <w:b/>
                      <w:bCs w:val="0"/>
                      <w:color w:val="auto"/>
                      <w:kern w:val="2"/>
                      <w:sz w:val="21"/>
                      <w:szCs w:val="21"/>
                      <w:lang w:val="en-US" w:eastAsia="zh-CN" w:bidi="ar"/>
                    </w:rPr>
                    <w:t>污染类别</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0E5B6657">
                  <w:pPr>
                    <w:pStyle w:val="15"/>
                    <w:keepNext w:val="0"/>
                    <w:keepLines w:val="0"/>
                    <w:widowControl w:val="0"/>
                    <w:suppressLineNumbers w:val="0"/>
                    <w:spacing w:before="0" w:beforeAutospacing="0" w:after="0" w:afterAutospacing="0"/>
                    <w:ind w:left="0" w:leftChars="0" w:right="0" w:firstLine="0" w:firstLineChars="0"/>
                    <w:jc w:val="center"/>
                    <w:rPr>
                      <w:rFonts w:hint="default"/>
                      <w:b/>
                      <w:bCs w:val="0"/>
                      <w:color w:val="auto"/>
                      <w:sz w:val="21"/>
                      <w:szCs w:val="21"/>
                      <w:lang w:val="en-US"/>
                    </w:rPr>
                  </w:pPr>
                  <w:r>
                    <w:rPr>
                      <w:rFonts w:hint="eastAsia" w:ascii="Times New Roman" w:hAnsi="Times New Roman" w:eastAsia="宋体" w:cs="宋体"/>
                      <w:b/>
                      <w:bCs w:val="0"/>
                      <w:color w:val="auto"/>
                      <w:kern w:val="2"/>
                      <w:sz w:val="21"/>
                      <w:szCs w:val="21"/>
                      <w:lang w:val="en-US" w:eastAsia="zh-CN" w:bidi="ar"/>
                    </w:rPr>
                    <w:t>污染源</w:t>
                  </w: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79E72C89">
                  <w:pPr>
                    <w:pStyle w:val="15"/>
                    <w:keepNext w:val="0"/>
                    <w:keepLines w:val="0"/>
                    <w:widowControl w:val="0"/>
                    <w:suppressLineNumbers w:val="0"/>
                    <w:spacing w:before="0" w:beforeAutospacing="0" w:after="0" w:afterAutospacing="0"/>
                    <w:ind w:left="0" w:leftChars="0" w:right="0" w:firstLine="0" w:firstLineChars="0"/>
                    <w:jc w:val="center"/>
                    <w:rPr>
                      <w:rFonts w:hint="default"/>
                      <w:b/>
                      <w:bCs w:val="0"/>
                      <w:color w:val="auto"/>
                      <w:sz w:val="21"/>
                      <w:szCs w:val="21"/>
                      <w:lang w:val="en-US"/>
                    </w:rPr>
                  </w:pPr>
                  <w:r>
                    <w:rPr>
                      <w:rFonts w:hint="eastAsia" w:ascii="Times New Roman" w:hAnsi="Times New Roman" w:eastAsia="宋体" w:cs="宋体"/>
                      <w:b/>
                      <w:bCs w:val="0"/>
                      <w:color w:val="auto"/>
                      <w:kern w:val="2"/>
                      <w:sz w:val="21"/>
                      <w:szCs w:val="21"/>
                      <w:lang w:val="en-US" w:eastAsia="zh-CN" w:bidi="ar"/>
                    </w:rPr>
                    <w:t>产生环节</w:t>
                  </w:r>
                </w:p>
              </w:tc>
              <w:tc>
                <w:tcPr>
                  <w:tcW w:w="25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2A17A8B">
                  <w:pPr>
                    <w:pStyle w:val="15"/>
                    <w:keepNext w:val="0"/>
                    <w:keepLines w:val="0"/>
                    <w:widowControl w:val="0"/>
                    <w:suppressLineNumbers w:val="0"/>
                    <w:spacing w:before="0" w:beforeAutospacing="0" w:after="0" w:afterAutospacing="0"/>
                    <w:ind w:left="0" w:leftChars="0" w:right="0" w:firstLine="0" w:firstLineChars="0"/>
                    <w:jc w:val="center"/>
                    <w:rPr>
                      <w:rFonts w:hint="default"/>
                      <w:b/>
                      <w:bCs w:val="0"/>
                      <w:color w:val="auto"/>
                      <w:sz w:val="21"/>
                      <w:szCs w:val="21"/>
                      <w:lang w:val="en-US"/>
                    </w:rPr>
                  </w:pPr>
                  <w:r>
                    <w:rPr>
                      <w:rFonts w:hint="eastAsia" w:ascii="Times New Roman" w:hAnsi="Times New Roman" w:eastAsia="宋体" w:cs="宋体"/>
                      <w:b/>
                      <w:bCs w:val="0"/>
                      <w:color w:val="auto"/>
                      <w:kern w:val="2"/>
                      <w:sz w:val="21"/>
                      <w:szCs w:val="21"/>
                      <w:lang w:val="en-US" w:eastAsia="zh-CN" w:bidi="ar"/>
                    </w:rPr>
                    <w:t>污染物种类</w:t>
                  </w:r>
                </w:p>
              </w:tc>
              <w:tc>
                <w:tcPr>
                  <w:tcW w:w="2242" w:type="dxa"/>
                  <w:tcBorders>
                    <w:top w:val="single" w:color="auto" w:sz="4" w:space="0"/>
                    <w:left w:val="single" w:color="auto" w:sz="4" w:space="0"/>
                    <w:bottom w:val="single" w:color="auto" w:sz="4" w:space="0"/>
                    <w:right w:val="single" w:color="auto" w:sz="4" w:space="0"/>
                  </w:tcBorders>
                  <w:shd w:val="clear" w:color="auto" w:fill="auto"/>
                  <w:vAlign w:val="center"/>
                </w:tcPr>
                <w:p w14:paraId="44953CCF">
                  <w:pPr>
                    <w:pStyle w:val="15"/>
                    <w:keepNext w:val="0"/>
                    <w:keepLines w:val="0"/>
                    <w:widowControl w:val="0"/>
                    <w:suppressLineNumbers w:val="0"/>
                    <w:spacing w:before="0" w:beforeAutospacing="0" w:after="0" w:afterAutospacing="0"/>
                    <w:ind w:left="0" w:leftChars="0" w:right="0" w:firstLine="0" w:firstLineChars="0"/>
                    <w:jc w:val="center"/>
                    <w:rPr>
                      <w:rFonts w:hint="default"/>
                      <w:b/>
                      <w:bCs w:val="0"/>
                      <w:color w:val="auto"/>
                      <w:sz w:val="21"/>
                      <w:szCs w:val="21"/>
                      <w:lang w:val="en-US"/>
                    </w:rPr>
                  </w:pPr>
                  <w:r>
                    <w:rPr>
                      <w:rFonts w:hint="eastAsia" w:ascii="Times New Roman" w:hAnsi="Times New Roman" w:eastAsia="宋体" w:cs="宋体"/>
                      <w:b/>
                      <w:bCs w:val="0"/>
                      <w:color w:val="auto"/>
                      <w:kern w:val="2"/>
                      <w:sz w:val="21"/>
                      <w:szCs w:val="21"/>
                      <w:lang w:val="en-US" w:eastAsia="zh-CN" w:bidi="ar"/>
                    </w:rPr>
                    <w:t>环保措施</w:t>
                  </w:r>
                </w:p>
              </w:tc>
            </w:tr>
            <w:tr w14:paraId="1D2C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C95524">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废气</w:t>
                  </w:r>
                </w:p>
                <w:p w14:paraId="10776601">
                  <w:pPr>
                    <w:keepNext w:val="0"/>
                    <w:keepLines w:val="0"/>
                    <w:widowControl w:val="0"/>
                    <w:suppressLineNumbers w:val="0"/>
                    <w:spacing w:before="0" w:beforeAutospacing="0" w:after="0" w:afterAutospacing="0"/>
                    <w:ind w:left="0" w:right="0"/>
                    <w:jc w:val="both"/>
                    <w:rPr>
                      <w:rFonts w:hint="default"/>
                      <w:color w:val="auto"/>
                      <w:sz w:val="21"/>
                      <w:szCs w:val="21"/>
                      <w:lang w:val="en-US"/>
                    </w:rPr>
                  </w:pPr>
                </w:p>
              </w:tc>
              <w:tc>
                <w:tcPr>
                  <w:tcW w:w="12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A05157">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化学实验室</w:t>
                  </w:r>
                </w:p>
              </w:tc>
              <w:tc>
                <w:tcPr>
                  <w:tcW w:w="16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FC59BE">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试剂配制、样品处理、样品分析检测</w:t>
                  </w:r>
                </w:p>
              </w:tc>
              <w:tc>
                <w:tcPr>
                  <w:tcW w:w="6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E787BB">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有组织</w:t>
                  </w:r>
                </w:p>
              </w:tc>
              <w:tc>
                <w:tcPr>
                  <w:tcW w:w="1877" w:type="dxa"/>
                  <w:tcBorders>
                    <w:top w:val="single" w:color="auto" w:sz="4" w:space="0"/>
                    <w:left w:val="single" w:color="auto" w:sz="4" w:space="0"/>
                    <w:bottom w:val="single" w:color="auto" w:sz="4" w:space="0"/>
                    <w:right w:val="single" w:color="auto" w:sz="4" w:space="0"/>
                  </w:tcBorders>
                  <w:shd w:val="clear" w:color="auto" w:fill="auto"/>
                  <w:vAlign w:val="center"/>
                </w:tcPr>
                <w:p w14:paraId="15BC833D">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非甲烷总烃、氯化氢、硫酸雾</w:t>
                  </w:r>
                  <w:r>
                    <w:rPr>
                      <w:rFonts w:hint="eastAsia" w:ascii="Times New Roman" w:hAnsi="Times New Roman" w:cs="Times New Roman"/>
                      <w:color w:val="auto"/>
                      <w:kern w:val="2"/>
                      <w:sz w:val="21"/>
                      <w:szCs w:val="21"/>
                      <w:lang w:val="en-US" w:eastAsia="zh-CN" w:bidi="ar"/>
                    </w:rPr>
                    <w:t>、氨</w:t>
                  </w:r>
                  <w:r>
                    <w:rPr>
                      <w:rFonts w:hint="default" w:ascii="Times New Roman" w:hAnsi="Times New Roman" w:eastAsia="宋体" w:cs="Times New Roman"/>
                      <w:color w:val="auto"/>
                      <w:kern w:val="2"/>
                      <w:sz w:val="21"/>
                      <w:szCs w:val="21"/>
                      <w:lang w:val="en-US" w:eastAsia="zh-CN" w:bidi="ar"/>
                    </w:rPr>
                    <w:t>；</w:t>
                  </w:r>
                </w:p>
              </w:tc>
              <w:tc>
                <w:tcPr>
                  <w:tcW w:w="2242" w:type="dxa"/>
                  <w:tcBorders>
                    <w:top w:val="single" w:color="auto" w:sz="4" w:space="0"/>
                    <w:left w:val="single" w:color="auto" w:sz="4" w:space="0"/>
                    <w:bottom w:val="single" w:color="auto" w:sz="4" w:space="0"/>
                    <w:right w:val="single" w:color="auto" w:sz="4" w:space="0"/>
                  </w:tcBorders>
                  <w:shd w:val="clear" w:color="auto" w:fill="auto"/>
                  <w:vAlign w:val="center"/>
                </w:tcPr>
                <w:p w14:paraId="39C1764F">
                  <w:pPr>
                    <w:pStyle w:val="15"/>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rPr>
                    <w:t>通过</w:t>
                  </w:r>
                  <w:r>
                    <w:rPr>
                      <w:rFonts w:hint="default" w:ascii="Times New Roman" w:hAnsi="Times New Roman" w:cs="Times New Roman"/>
                      <w:bCs/>
                      <w:color w:val="auto"/>
                      <w:sz w:val="21"/>
                      <w:szCs w:val="21"/>
                      <w:lang w:val="en-US" w:eastAsia="zh-CN"/>
                    </w:rPr>
                    <w:t>通风橱、集气罩收集</w:t>
                  </w:r>
                  <w:r>
                    <w:rPr>
                      <w:rFonts w:hint="default" w:ascii="Times New Roman" w:hAnsi="Times New Roman" w:cs="Times New Roman"/>
                      <w:bCs/>
                      <w:color w:val="auto"/>
                      <w:sz w:val="21"/>
                      <w:szCs w:val="21"/>
                    </w:rPr>
                    <w:t>，经</w:t>
                  </w:r>
                  <w:r>
                    <w:rPr>
                      <w:rFonts w:hint="default" w:ascii="Times New Roman" w:hAnsi="Times New Roman" w:cs="Times New Roman"/>
                      <w:bCs/>
                      <w:color w:val="auto"/>
                      <w:sz w:val="21"/>
                      <w:szCs w:val="21"/>
                      <w:lang w:val="en-US" w:eastAsia="zh-CN"/>
                    </w:rPr>
                    <w:t>喷淋设施+</w:t>
                  </w:r>
                  <w:r>
                    <w:rPr>
                      <w:rFonts w:hint="eastAsia" w:ascii="Times New Roman" w:hAnsi="Times New Roman" w:cs="Times New Roman"/>
                      <w:bCs/>
                      <w:color w:val="auto"/>
                      <w:sz w:val="21"/>
                      <w:szCs w:val="21"/>
                      <w:lang w:val="en-US" w:eastAsia="zh-CN"/>
                    </w:rPr>
                    <w:t>1#二级</w:t>
                  </w:r>
                  <w:r>
                    <w:rPr>
                      <w:rFonts w:hint="default" w:ascii="Times New Roman" w:hAnsi="Times New Roman" w:cs="Times New Roman"/>
                      <w:bCs/>
                      <w:color w:val="auto"/>
                      <w:sz w:val="21"/>
                      <w:szCs w:val="21"/>
                      <w:lang w:val="en-US" w:eastAsia="zh-CN"/>
                    </w:rPr>
                    <w:t>活性炭吸附装置</w:t>
                  </w:r>
                  <w:r>
                    <w:rPr>
                      <w:rFonts w:hint="default" w:ascii="Times New Roman" w:hAnsi="Times New Roman" w:cs="Times New Roman"/>
                      <w:bCs/>
                      <w:color w:val="auto"/>
                      <w:sz w:val="21"/>
                      <w:szCs w:val="21"/>
                    </w:rPr>
                    <w:t>处理后，通过15m排气筒DA001排放。</w:t>
                  </w:r>
                </w:p>
              </w:tc>
            </w:tr>
            <w:tr w14:paraId="6BF3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4A3F02">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F66FF6">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573DA0">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6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002243">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无组织</w:t>
                  </w:r>
                </w:p>
              </w:tc>
              <w:tc>
                <w:tcPr>
                  <w:tcW w:w="1877" w:type="dxa"/>
                  <w:tcBorders>
                    <w:top w:val="single" w:color="auto" w:sz="4" w:space="0"/>
                    <w:left w:val="single" w:color="auto" w:sz="4" w:space="0"/>
                    <w:bottom w:val="single" w:color="auto" w:sz="4" w:space="0"/>
                    <w:right w:val="single" w:color="auto" w:sz="4" w:space="0"/>
                  </w:tcBorders>
                  <w:shd w:val="clear" w:color="auto" w:fill="auto"/>
                  <w:vAlign w:val="center"/>
                </w:tcPr>
                <w:p w14:paraId="043B7AC5">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非甲烷总烃、氯化氢、硫酸雾</w:t>
                  </w:r>
                  <w:r>
                    <w:rPr>
                      <w:rFonts w:hint="eastAsia" w:ascii="Times New Roman" w:hAnsi="Times New Roman" w:cs="Times New Roman"/>
                      <w:color w:val="auto"/>
                      <w:kern w:val="2"/>
                      <w:sz w:val="21"/>
                      <w:szCs w:val="21"/>
                      <w:lang w:val="en-US" w:eastAsia="zh-CN" w:bidi="ar"/>
                    </w:rPr>
                    <w:t>、氨、臭气浓度</w:t>
                  </w:r>
                  <w:r>
                    <w:rPr>
                      <w:rFonts w:hint="eastAsia" w:ascii="Times New Roman" w:hAnsi="Times New Roman" w:eastAsia="宋体" w:cs="宋体"/>
                      <w:color w:val="auto"/>
                      <w:kern w:val="2"/>
                      <w:sz w:val="21"/>
                      <w:szCs w:val="21"/>
                      <w:lang w:val="en-US" w:eastAsia="zh-CN" w:bidi="ar"/>
                    </w:rPr>
                    <w:t>；</w:t>
                  </w:r>
                </w:p>
              </w:tc>
              <w:tc>
                <w:tcPr>
                  <w:tcW w:w="2242" w:type="dxa"/>
                  <w:tcBorders>
                    <w:top w:val="single" w:color="auto" w:sz="4" w:space="0"/>
                    <w:left w:val="single" w:color="auto" w:sz="4" w:space="0"/>
                    <w:bottom w:val="single" w:color="auto" w:sz="4" w:space="0"/>
                    <w:right w:val="single" w:color="auto" w:sz="4" w:space="0"/>
                  </w:tcBorders>
                  <w:shd w:val="clear" w:color="auto" w:fill="auto"/>
                  <w:vAlign w:val="center"/>
                </w:tcPr>
                <w:p w14:paraId="0B5A3741">
                  <w:pPr>
                    <w:pStyle w:val="15"/>
                    <w:keepNext w:val="0"/>
                    <w:keepLines w:val="0"/>
                    <w:widowControl w:val="0"/>
                    <w:suppressLineNumbers w:val="0"/>
                    <w:spacing w:before="0" w:beforeAutospacing="0" w:after="0" w:afterAutospacing="0"/>
                    <w:ind w:left="0" w:leftChars="0" w:right="0" w:firstLine="0" w:firstLineChars="0"/>
                    <w:jc w:val="both"/>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在通风橱内，密闭环境下规范操作，自然扩散。</w:t>
                  </w:r>
                </w:p>
              </w:tc>
            </w:tr>
            <w:tr w14:paraId="0963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2726E6">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D5118D">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宋体" w:eastAsia="宋体" w:cs="宋体"/>
                      <w:color w:val="auto"/>
                      <w:kern w:val="2"/>
                      <w:sz w:val="21"/>
                      <w:szCs w:val="21"/>
                      <w:lang w:val="en-US" w:eastAsia="zh-CN" w:bidi="ar"/>
                    </w:rPr>
                    <w:t>沥青试验间</w:t>
                  </w:r>
                </w:p>
              </w:tc>
              <w:tc>
                <w:tcPr>
                  <w:tcW w:w="16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69E777">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沥青加热</w:t>
                  </w:r>
                </w:p>
              </w:tc>
              <w:tc>
                <w:tcPr>
                  <w:tcW w:w="6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EDBB5E">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有组织</w:t>
                  </w:r>
                </w:p>
              </w:tc>
              <w:tc>
                <w:tcPr>
                  <w:tcW w:w="1877" w:type="dxa"/>
                  <w:tcBorders>
                    <w:top w:val="single" w:color="auto" w:sz="4" w:space="0"/>
                    <w:left w:val="single" w:color="auto" w:sz="4" w:space="0"/>
                    <w:bottom w:val="single" w:color="auto" w:sz="4" w:space="0"/>
                    <w:right w:val="single" w:color="auto" w:sz="4" w:space="0"/>
                  </w:tcBorders>
                  <w:shd w:val="clear" w:color="auto" w:fill="auto"/>
                  <w:vAlign w:val="center"/>
                </w:tcPr>
                <w:p w14:paraId="7A841E0D">
                  <w:pPr>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Times New Roman"/>
                      <w:color w:val="auto"/>
                      <w:kern w:val="2"/>
                      <w:sz w:val="21"/>
                      <w:szCs w:val="21"/>
                      <w:lang w:val="en-US" w:eastAsia="zh-CN" w:bidi="ar"/>
                    </w:rPr>
                    <w:t>苯并</w:t>
                  </w:r>
                  <w:r>
                    <w:rPr>
                      <w:rFonts w:hint="default" w:ascii="Times New Roman" w:hAnsi="Times New Roman" w:eastAsia="宋体" w:cs="Times New Roman"/>
                      <w:color w:val="auto"/>
                      <w:kern w:val="2"/>
                      <w:sz w:val="21"/>
                      <w:szCs w:val="21"/>
                      <w:lang w:val="en-US" w:eastAsia="zh-CN" w:bidi="ar"/>
                    </w:rPr>
                    <w:t>[a]</w:t>
                  </w:r>
                  <w:r>
                    <w:rPr>
                      <w:rFonts w:hint="eastAsia" w:ascii="Times New Roman" w:hAnsi="Times New Roman" w:eastAsia="宋体" w:cs="Times New Roman"/>
                      <w:color w:val="auto"/>
                      <w:kern w:val="2"/>
                      <w:sz w:val="21"/>
                      <w:szCs w:val="21"/>
                      <w:lang w:val="en-US" w:eastAsia="zh-CN" w:bidi="ar"/>
                    </w:rPr>
                    <w:t>芘、沥青废气</w:t>
                  </w:r>
                </w:p>
              </w:tc>
              <w:tc>
                <w:tcPr>
                  <w:tcW w:w="2242" w:type="dxa"/>
                  <w:tcBorders>
                    <w:top w:val="single" w:color="auto" w:sz="4" w:space="0"/>
                    <w:left w:val="single" w:color="auto" w:sz="4" w:space="0"/>
                    <w:bottom w:val="single" w:color="auto" w:sz="4" w:space="0"/>
                    <w:right w:val="single" w:color="auto" w:sz="4" w:space="0"/>
                  </w:tcBorders>
                  <w:shd w:val="clear" w:color="auto" w:fill="auto"/>
                  <w:vAlign w:val="center"/>
                </w:tcPr>
                <w:p w14:paraId="1B24BADB">
                  <w:pPr>
                    <w:pStyle w:val="15"/>
                    <w:keepNext w:val="0"/>
                    <w:keepLines w:val="0"/>
                    <w:widowControl w:val="0"/>
                    <w:suppressLineNumbers w:val="0"/>
                    <w:spacing w:before="0" w:beforeAutospacing="0" w:after="0" w:afterAutospacing="0"/>
                    <w:ind w:left="0" w:leftChars="0" w:right="0" w:firstLine="0" w:firstLineChars="0"/>
                    <w:jc w:val="both"/>
                    <w:rPr>
                      <w:rFonts w:hint="default"/>
                      <w:color w:val="auto"/>
                      <w:sz w:val="21"/>
                      <w:szCs w:val="21"/>
                      <w:lang w:val="en-US"/>
                    </w:rPr>
                  </w:pPr>
                  <w:r>
                    <w:rPr>
                      <w:rFonts w:hint="eastAsia" w:ascii="Times New Roman" w:hAnsi="Times New Roman" w:eastAsia="宋体" w:cs="Times New Roman"/>
                      <w:color w:val="auto"/>
                      <w:kern w:val="2"/>
                      <w:sz w:val="21"/>
                      <w:szCs w:val="21"/>
                      <w:lang w:val="en-US" w:eastAsia="zh-CN" w:bidi="ar"/>
                    </w:rPr>
                    <w:t>通风橱或集气罩收集，</w:t>
                  </w:r>
                  <w:r>
                    <w:rPr>
                      <w:rFonts w:hint="eastAsia" w:ascii="Times New Roman" w:hAnsi="Times New Roman" w:cs="Times New Roman"/>
                      <w:color w:val="auto"/>
                      <w:kern w:val="2"/>
                      <w:sz w:val="21"/>
                      <w:szCs w:val="21"/>
                      <w:lang w:val="en-US" w:eastAsia="zh-CN" w:bidi="ar"/>
                    </w:rPr>
                    <w:t>2#二级</w:t>
                  </w:r>
                  <w:r>
                    <w:rPr>
                      <w:rFonts w:hint="eastAsia" w:ascii="Times New Roman" w:hAnsi="Times New Roman" w:eastAsia="宋体" w:cs="Times New Roman"/>
                      <w:color w:val="auto"/>
                      <w:kern w:val="2"/>
                      <w:sz w:val="21"/>
                      <w:szCs w:val="21"/>
                      <w:lang w:val="en-US" w:eastAsia="zh-CN" w:bidi="ar"/>
                    </w:rPr>
                    <w:t>活性炭吸附装置处理达标，通过</w:t>
                  </w:r>
                  <w:r>
                    <w:rPr>
                      <w:rFonts w:hint="default" w:ascii="Times New Roman" w:hAnsi="Times New Roman" w:eastAsia="宋体" w:cs="Times New Roman"/>
                      <w:color w:val="auto"/>
                      <w:kern w:val="2"/>
                      <w:sz w:val="21"/>
                      <w:szCs w:val="21"/>
                      <w:lang w:val="en-US" w:eastAsia="zh-CN" w:bidi="ar"/>
                    </w:rPr>
                    <w:t>15m</w:t>
                  </w:r>
                  <w:r>
                    <w:rPr>
                      <w:rFonts w:hint="eastAsia" w:ascii="Times New Roman" w:hAnsi="Times New Roman" w:eastAsia="宋体" w:cs="Times New Roman"/>
                      <w:color w:val="auto"/>
                      <w:kern w:val="2"/>
                      <w:sz w:val="21"/>
                      <w:szCs w:val="21"/>
                      <w:lang w:val="en-US" w:eastAsia="zh-CN" w:bidi="ar"/>
                    </w:rPr>
                    <w:t>高排气筒（</w:t>
                  </w:r>
                  <w:r>
                    <w:rPr>
                      <w:rFonts w:hint="default" w:ascii="Times New Roman" w:hAnsi="Times New Roman" w:eastAsia="宋体" w:cs="Times New Roman"/>
                      <w:color w:val="auto"/>
                      <w:kern w:val="2"/>
                      <w:sz w:val="21"/>
                      <w:szCs w:val="21"/>
                      <w:lang w:val="en-US" w:eastAsia="zh-CN" w:bidi="ar"/>
                    </w:rPr>
                    <w:t>DA002</w:t>
                  </w:r>
                  <w:r>
                    <w:rPr>
                      <w:rFonts w:hint="eastAsia" w:ascii="Times New Roman" w:hAnsi="Times New Roman" w:eastAsia="宋体" w:cs="Times New Roman"/>
                      <w:color w:val="auto"/>
                      <w:kern w:val="2"/>
                      <w:sz w:val="21"/>
                      <w:szCs w:val="21"/>
                      <w:lang w:val="en-US" w:eastAsia="zh-CN" w:bidi="ar"/>
                    </w:rPr>
                    <w:t>）有组织排放。</w:t>
                  </w:r>
                </w:p>
              </w:tc>
            </w:tr>
            <w:tr w14:paraId="0FE3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FFECEC">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569635">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3D37EB">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6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32F495">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无组织</w:t>
                  </w:r>
                </w:p>
              </w:tc>
              <w:tc>
                <w:tcPr>
                  <w:tcW w:w="1877" w:type="dxa"/>
                  <w:tcBorders>
                    <w:top w:val="single" w:color="auto" w:sz="4" w:space="0"/>
                    <w:left w:val="single" w:color="auto" w:sz="4" w:space="0"/>
                    <w:bottom w:val="single" w:color="auto" w:sz="4" w:space="0"/>
                    <w:right w:val="single" w:color="auto" w:sz="4" w:space="0"/>
                  </w:tcBorders>
                  <w:shd w:val="clear" w:color="auto" w:fill="auto"/>
                  <w:vAlign w:val="center"/>
                </w:tcPr>
                <w:p w14:paraId="6F79FBC2">
                  <w:pPr>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Times New Roman"/>
                      <w:color w:val="auto"/>
                      <w:kern w:val="2"/>
                      <w:sz w:val="21"/>
                      <w:szCs w:val="21"/>
                      <w:lang w:val="en-US" w:eastAsia="zh-CN" w:bidi="ar"/>
                    </w:rPr>
                    <w:t>苯并</w:t>
                  </w:r>
                  <w:r>
                    <w:rPr>
                      <w:rFonts w:hint="default" w:ascii="Times New Roman" w:hAnsi="Times New Roman" w:eastAsia="宋体" w:cs="Times New Roman"/>
                      <w:color w:val="auto"/>
                      <w:kern w:val="2"/>
                      <w:sz w:val="21"/>
                      <w:szCs w:val="21"/>
                      <w:lang w:val="en-US" w:eastAsia="zh-CN" w:bidi="ar"/>
                    </w:rPr>
                    <w:t>[a]</w:t>
                  </w:r>
                  <w:r>
                    <w:rPr>
                      <w:rFonts w:hint="eastAsia" w:ascii="Times New Roman" w:hAnsi="Times New Roman" w:eastAsia="宋体" w:cs="Times New Roman"/>
                      <w:color w:val="auto"/>
                      <w:kern w:val="2"/>
                      <w:sz w:val="21"/>
                      <w:szCs w:val="21"/>
                      <w:lang w:val="en-US" w:eastAsia="zh-CN" w:bidi="ar"/>
                    </w:rPr>
                    <w:t>芘、沥青废气</w:t>
                  </w:r>
                </w:p>
              </w:tc>
              <w:tc>
                <w:tcPr>
                  <w:tcW w:w="2242" w:type="dxa"/>
                  <w:tcBorders>
                    <w:top w:val="single" w:color="auto" w:sz="4" w:space="0"/>
                    <w:left w:val="single" w:color="auto" w:sz="4" w:space="0"/>
                    <w:bottom w:val="single" w:color="auto" w:sz="4" w:space="0"/>
                    <w:right w:val="single" w:color="auto" w:sz="4" w:space="0"/>
                  </w:tcBorders>
                  <w:shd w:val="clear" w:color="auto" w:fill="auto"/>
                  <w:vAlign w:val="center"/>
                </w:tcPr>
                <w:p w14:paraId="204A9E57">
                  <w:pPr>
                    <w:pStyle w:val="15"/>
                    <w:keepNext w:val="0"/>
                    <w:keepLines w:val="0"/>
                    <w:widowControl w:val="0"/>
                    <w:suppressLineNumbers w:val="0"/>
                    <w:spacing w:before="0" w:beforeAutospacing="0" w:after="0" w:afterAutospacing="0"/>
                    <w:ind w:left="0" w:leftChars="0" w:right="0" w:firstLine="0" w:firstLineChars="0"/>
                    <w:jc w:val="both"/>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在通风橱内密闭环境下规范操，或在集气罩下操作，自然扩散。</w:t>
                  </w:r>
                </w:p>
              </w:tc>
            </w:tr>
            <w:tr w14:paraId="39D8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5BC59D">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0CE318C5">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Times New Roman"/>
                      <w:color w:val="auto"/>
                      <w:kern w:val="2"/>
                      <w:sz w:val="21"/>
                      <w:szCs w:val="21"/>
                      <w:lang w:val="en-US" w:eastAsia="zh-CN" w:bidi="ar"/>
                    </w:rPr>
                    <w:t>物理实验室</w:t>
                  </w: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32C25DF2">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样品处理、检测等过程</w:t>
                  </w:r>
                </w:p>
              </w:tc>
              <w:tc>
                <w:tcPr>
                  <w:tcW w:w="6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B2E09C">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无组织</w:t>
                  </w:r>
                </w:p>
              </w:tc>
              <w:tc>
                <w:tcPr>
                  <w:tcW w:w="1877" w:type="dxa"/>
                  <w:tcBorders>
                    <w:top w:val="single" w:color="auto" w:sz="4" w:space="0"/>
                    <w:left w:val="single" w:color="auto" w:sz="4" w:space="0"/>
                    <w:bottom w:val="single" w:color="auto" w:sz="4" w:space="0"/>
                    <w:right w:val="single" w:color="auto" w:sz="4" w:space="0"/>
                  </w:tcBorders>
                  <w:shd w:val="clear" w:color="auto" w:fill="auto"/>
                  <w:vAlign w:val="center"/>
                </w:tcPr>
                <w:p w14:paraId="0A80F4CC">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颗粒物</w:t>
                  </w:r>
                </w:p>
              </w:tc>
              <w:tc>
                <w:tcPr>
                  <w:tcW w:w="2242" w:type="dxa"/>
                  <w:tcBorders>
                    <w:top w:val="single" w:color="auto" w:sz="4" w:space="0"/>
                    <w:left w:val="single" w:color="auto" w:sz="4" w:space="0"/>
                    <w:bottom w:val="single" w:color="auto" w:sz="4" w:space="0"/>
                    <w:right w:val="single" w:color="auto" w:sz="4" w:space="0"/>
                  </w:tcBorders>
                  <w:shd w:val="clear" w:color="auto" w:fill="auto"/>
                  <w:vAlign w:val="center"/>
                </w:tcPr>
                <w:p w14:paraId="699CA4B9">
                  <w:pPr>
                    <w:pStyle w:val="15"/>
                    <w:keepNext w:val="0"/>
                    <w:keepLines w:val="0"/>
                    <w:widowControl w:val="0"/>
                    <w:suppressLineNumbers w:val="0"/>
                    <w:spacing w:before="0" w:beforeAutospacing="0" w:after="0" w:afterAutospacing="0"/>
                    <w:ind w:left="0" w:leftChars="0" w:right="0" w:firstLine="0" w:firstLineChars="0"/>
                    <w:jc w:val="both"/>
                    <w:rPr>
                      <w:rFonts w:hint="default"/>
                      <w:color w:val="auto"/>
                      <w:sz w:val="21"/>
                      <w:szCs w:val="21"/>
                      <w:lang w:val="en-US"/>
                    </w:rPr>
                  </w:pPr>
                  <w:r>
                    <w:rPr>
                      <w:rFonts w:hint="eastAsia" w:ascii="Times New Roman" w:hAnsi="Times New Roman" w:eastAsia="宋体" w:cs="Times New Roman"/>
                      <w:color w:val="auto"/>
                      <w:kern w:val="2"/>
                      <w:sz w:val="21"/>
                      <w:szCs w:val="21"/>
                      <w:lang w:val="en-US" w:eastAsia="zh-CN" w:bidi="ar"/>
                    </w:rPr>
                    <w:t>在密闭封闭的房间内进行，室内沉降，通过实验室换风系统呈无组织排放。</w:t>
                  </w:r>
                </w:p>
              </w:tc>
            </w:tr>
            <w:tr w14:paraId="4103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Merge w:val="restart"/>
                  <w:tcBorders>
                    <w:top w:val="single" w:color="auto" w:sz="4" w:space="0"/>
                    <w:left w:val="single" w:color="auto" w:sz="4" w:space="0"/>
                    <w:right w:val="single" w:color="auto" w:sz="4" w:space="0"/>
                  </w:tcBorders>
                  <w:shd w:val="clear" w:color="auto" w:fill="auto"/>
                  <w:vAlign w:val="center"/>
                </w:tcPr>
                <w:p w14:paraId="28DB49B8">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废水</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35FFCAEE">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宋体"/>
                      <w:color w:val="auto"/>
                      <w:kern w:val="2"/>
                      <w:sz w:val="21"/>
                      <w:szCs w:val="21"/>
                      <w:lang w:val="en-US" w:eastAsia="zh-CN" w:bidi="ar"/>
                    </w:rPr>
                  </w:pPr>
                  <w:r>
                    <w:rPr>
                      <w:rFonts w:hint="eastAsia" w:ascii="Times New Roman" w:hAnsi="Times New Roman" w:cs="宋体"/>
                      <w:color w:val="auto"/>
                      <w:kern w:val="2"/>
                      <w:sz w:val="21"/>
                      <w:szCs w:val="21"/>
                      <w:lang w:val="en-US" w:eastAsia="zh-CN" w:bidi="ar"/>
                    </w:rPr>
                    <w:t>食堂</w:t>
                  </w: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2FB8A904">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宋体"/>
                      <w:color w:val="auto"/>
                      <w:kern w:val="2"/>
                      <w:sz w:val="21"/>
                      <w:szCs w:val="21"/>
                      <w:lang w:val="en-US" w:eastAsia="zh-CN" w:bidi="ar"/>
                    </w:rPr>
                  </w:pPr>
                  <w:r>
                    <w:rPr>
                      <w:rFonts w:hint="eastAsia" w:ascii="Times New Roman" w:hAnsi="Times New Roman" w:cs="宋体"/>
                      <w:color w:val="auto"/>
                      <w:kern w:val="2"/>
                      <w:sz w:val="21"/>
                      <w:szCs w:val="21"/>
                      <w:lang w:val="en-US" w:eastAsia="zh-CN" w:bidi="ar"/>
                    </w:rPr>
                    <w:t>食堂用餐</w:t>
                  </w:r>
                </w:p>
              </w:tc>
              <w:tc>
                <w:tcPr>
                  <w:tcW w:w="2545" w:type="dxa"/>
                  <w:gridSpan w:val="3"/>
                  <w:vMerge w:val="restart"/>
                  <w:tcBorders>
                    <w:top w:val="single" w:color="auto" w:sz="4" w:space="0"/>
                    <w:left w:val="single" w:color="auto" w:sz="4" w:space="0"/>
                    <w:right w:val="single" w:color="auto" w:sz="4" w:space="0"/>
                  </w:tcBorders>
                  <w:shd w:val="clear" w:color="auto" w:fill="auto"/>
                  <w:vAlign w:val="center"/>
                </w:tcPr>
                <w:p w14:paraId="6D68D7B4">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CODcr</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NH</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-N</w:t>
                  </w:r>
                  <w:r>
                    <w:rPr>
                      <w:rFonts w:hint="eastAsia" w:ascii="Times New Roman" w:hAnsi="Times New Roman" w:eastAsia="宋体" w:cs="宋体"/>
                      <w:color w:val="auto"/>
                      <w:kern w:val="2"/>
                      <w:sz w:val="21"/>
                      <w:szCs w:val="21"/>
                      <w:lang w:val="en-US" w:eastAsia="zh-CN" w:bidi="ar"/>
                    </w:rPr>
                    <w:t>、总磷、动植物油</w:t>
                  </w:r>
                </w:p>
              </w:tc>
              <w:tc>
                <w:tcPr>
                  <w:tcW w:w="2242" w:type="dxa"/>
                  <w:vMerge w:val="restart"/>
                  <w:tcBorders>
                    <w:top w:val="single" w:color="auto" w:sz="4" w:space="0"/>
                    <w:left w:val="single" w:color="auto" w:sz="4" w:space="0"/>
                    <w:right w:val="single" w:color="auto" w:sz="4" w:space="0"/>
                  </w:tcBorders>
                  <w:shd w:val="clear" w:color="auto" w:fill="auto"/>
                  <w:vAlign w:val="center"/>
                </w:tcPr>
                <w:p w14:paraId="3EE4D0EF">
                  <w:pPr>
                    <w:pStyle w:val="15"/>
                    <w:keepNext w:val="0"/>
                    <w:keepLines w:val="0"/>
                    <w:widowControl w:val="0"/>
                    <w:suppressLineNumbers w:val="0"/>
                    <w:spacing w:before="0" w:beforeAutospacing="0" w:after="0" w:afterAutospacing="0"/>
                    <w:ind w:left="0" w:leftChars="0" w:right="0" w:firstLine="0" w:firstLineChars="0"/>
                    <w:jc w:val="both"/>
                    <w:rPr>
                      <w:rFonts w:hint="default"/>
                      <w:color w:val="auto"/>
                      <w:sz w:val="21"/>
                      <w:szCs w:val="21"/>
                      <w:lang w:val="en-US"/>
                    </w:rPr>
                  </w:pPr>
                  <w:r>
                    <w:rPr>
                      <w:rFonts w:hint="eastAsia" w:ascii="Times New Roman" w:hAnsi="Times New Roman" w:cs="宋体"/>
                      <w:color w:val="auto"/>
                      <w:kern w:val="2"/>
                      <w:sz w:val="21"/>
                      <w:szCs w:val="21"/>
                      <w:lang w:val="en-US" w:eastAsia="zh-CN" w:bidi="ar"/>
                    </w:rPr>
                    <w:t>食堂废水经隔油池预处理后与其他生活废水和地面清洁水</w:t>
                  </w:r>
                  <w:r>
                    <w:rPr>
                      <w:rFonts w:hint="eastAsia" w:ascii="Times New Roman" w:hAnsi="Times New Roman" w:eastAsia="宋体" w:cs="宋体"/>
                      <w:color w:val="auto"/>
                      <w:kern w:val="2"/>
                      <w:sz w:val="21"/>
                      <w:szCs w:val="21"/>
                      <w:lang w:val="en-US" w:eastAsia="zh-CN" w:bidi="ar"/>
                    </w:rPr>
                    <w:t>依托办公楼已有配套化粪池处理达标后排入龙泉路市政污水管，最终进入昆明市第五水质净化厂处理。</w:t>
                  </w:r>
                </w:p>
              </w:tc>
            </w:tr>
            <w:tr w14:paraId="5879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continue"/>
                  <w:tcBorders>
                    <w:left w:val="single" w:color="auto" w:sz="4" w:space="0"/>
                    <w:right w:val="single" w:color="auto" w:sz="4" w:space="0"/>
                  </w:tcBorders>
                  <w:shd w:val="clear" w:color="auto" w:fill="auto"/>
                  <w:vAlign w:val="center"/>
                </w:tcPr>
                <w:p w14:paraId="03076F34">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2491BE85">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办公人员</w:t>
                  </w: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193DFB35">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办公生活</w:t>
                  </w:r>
                </w:p>
              </w:tc>
              <w:tc>
                <w:tcPr>
                  <w:tcW w:w="2545" w:type="dxa"/>
                  <w:gridSpan w:val="3"/>
                  <w:vMerge w:val="continue"/>
                  <w:tcBorders>
                    <w:left w:val="single" w:color="auto" w:sz="4" w:space="0"/>
                    <w:right w:val="single" w:color="auto" w:sz="4" w:space="0"/>
                  </w:tcBorders>
                  <w:shd w:val="clear" w:color="auto" w:fill="auto"/>
                  <w:vAlign w:val="center"/>
                </w:tcPr>
                <w:p w14:paraId="06E1012E">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p>
              </w:tc>
              <w:tc>
                <w:tcPr>
                  <w:tcW w:w="2242" w:type="dxa"/>
                  <w:vMerge w:val="continue"/>
                  <w:tcBorders>
                    <w:left w:val="single" w:color="auto" w:sz="4" w:space="0"/>
                    <w:right w:val="single" w:color="auto" w:sz="4" w:space="0"/>
                  </w:tcBorders>
                  <w:shd w:val="clear" w:color="auto" w:fill="auto"/>
                  <w:vAlign w:val="center"/>
                </w:tcPr>
                <w:p w14:paraId="1F6F2190">
                  <w:pPr>
                    <w:pStyle w:val="15"/>
                    <w:keepNext w:val="0"/>
                    <w:keepLines w:val="0"/>
                    <w:widowControl w:val="0"/>
                    <w:suppressLineNumbers w:val="0"/>
                    <w:spacing w:before="0" w:beforeAutospacing="0" w:after="0" w:afterAutospacing="0"/>
                    <w:ind w:left="0" w:leftChars="0" w:right="0" w:firstLine="0" w:firstLineChars="0"/>
                    <w:jc w:val="both"/>
                    <w:rPr>
                      <w:rFonts w:hint="default"/>
                      <w:color w:val="auto"/>
                      <w:sz w:val="21"/>
                      <w:szCs w:val="21"/>
                      <w:lang w:val="en-US"/>
                    </w:rPr>
                  </w:pPr>
                </w:p>
              </w:tc>
            </w:tr>
            <w:tr w14:paraId="750C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continue"/>
                  <w:tcBorders>
                    <w:left w:val="single" w:color="auto" w:sz="4" w:space="0"/>
                    <w:right w:val="single" w:color="auto" w:sz="4" w:space="0"/>
                  </w:tcBorders>
                  <w:shd w:val="clear" w:color="auto" w:fill="auto"/>
                  <w:vAlign w:val="center"/>
                </w:tcPr>
                <w:p w14:paraId="5B2F7765">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0263DA68">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实验区、办公区</w:t>
                  </w: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191E30CB">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地面清洁</w:t>
                  </w:r>
                </w:p>
              </w:tc>
              <w:tc>
                <w:tcPr>
                  <w:tcW w:w="2545" w:type="dxa"/>
                  <w:gridSpan w:val="3"/>
                  <w:vMerge w:val="continue"/>
                  <w:tcBorders>
                    <w:left w:val="single" w:color="auto" w:sz="4" w:space="0"/>
                    <w:bottom w:val="single" w:color="auto" w:sz="4" w:space="0"/>
                    <w:right w:val="single" w:color="auto" w:sz="4" w:space="0"/>
                  </w:tcBorders>
                  <w:shd w:val="clear" w:color="auto" w:fill="auto"/>
                  <w:vAlign w:val="center"/>
                </w:tcPr>
                <w:p w14:paraId="2EB2B369">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242" w:type="dxa"/>
                  <w:vMerge w:val="continue"/>
                  <w:tcBorders>
                    <w:left w:val="single" w:color="auto" w:sz="4" w:space="0"/>
                    <w:bottom w:val="single" w:color="auto" w:sz="4" w:space="0"/>
                    <w:right w:val="single" w:color="auto" w:sz="4" w:space="0"/>
                  </w:tcBorders>
                  <w:shd w:val="clear" w:color="auto" w:fill="auto"/>
                  <w:vAlign w:val="center"/>
                </w:tcPr>
                <w:p w14:paraId="3EAB5F95">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14:paraId="191F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continue"/>
                  <w:tcBorders>
                    <w:left w:val="single" w:color="auto" w:sz="4" w:space="0"/>
                    <w:right w:val="single" w:color="auto" w:sz="4" w:space="0"/>
                  </w:tcBorders>
                  <w:shd w:val="clear" w:color="auto" w:fill="auto"/>
                  <w:vAlign w:val="center"/>
                </w:tcPr>
                <w:p w14:paraId="36CB5077">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73E8ACA6">
                  <w:pPr>
                    <w:pStyle w:val="15"/>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宋体"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制水间纯水机</w:t>
                  </w: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2C54B657">
                  <w:pPr>
                    <w:pStyle w:val="15"/>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宋体"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纯水制备过程</w:t>
                  </w:r>
                </w:p>
              </w:tc>
              <w:tc>
                <w:tcPr>
                  <w:tcW w:w="2545" w:type="dxa"/>
                  <w:gridSpan w:val="3"/>
                  <w:vMerge w:val="restart"/>
                  <w:tcBorders>
                    <w:top w:val="single" w:color="auto" w:sz="4" w:space="0"/>
                    <w:left w:val="single" w:color="auto" w:sz="4" w:space="0"/>
                    <w:right w:val="single" w:color="auto" w:sz="4" w:space="0"/>
                  </w:tcBorders>
                  <w:shd w:val="clear" w:color="auto" w:fill="auto"/>
                  <w:vAlign w:val="center"/>
                </w:tcPr>
                <w:p w14:paraId="7CEDF955">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pH</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CODcr</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NH</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-N</w:t>
                  </w:r>
                  <w:r>
                    <w:rPr>
                      <w:rFonts w:hint="eastAsia" w:ascii="Times New Roman" w:hAnsi="Times New Roman" w:eastAsia="宋体" w:cs="宋体"/>
                      <w:color w:val="auto"/>
                      <w:kern w:val="2"/>
                      <w:sz w:val="21"/>
                      <w:szCs w:val="21"/>
                      <w:lang w:val="en-US" w:eastAsia="zh-CN" w:bidi="ar"/>
                    </w:rPr>
                    <w:t>、总磷</w:t>
                  </w:r>
                </w:p>
              </w:tc>
              <w:tc>
                <w:tcPr>
                  <w:tcW w:w="2242" w:type="dxa"/>
                  <w:vMerge w:val="restart"/>
                  <w:tcBorders>
                    <w:top w:val="single" w:color="auto" w:sz="4" w:space="0"/>
                    <w:left w:val="single" w:color="auto" w:sz="4" w:space="0"/>
                    <w:right w:val="single" w:color="auto" w:sz="4" w:space="0"/>
                  </w:tcBorders>
                  <w:shd w:val="clear" w:color="auto" w:fill="auto"/>
                  <w:vAlign w:val="center"/>
                </w:tcPr>
                <w:p w14:paraId="422A6B26">
                  <w:pPr>
                    <w:pStyle w:val="15"/>
                    <w:keepNext w:val="0"/>
                    <w:keepLines w:val="0"/>
                    <w:widowControl w:val="0"/>
                    <w:suppressLineNumbers w:val="0"/>
                    <w:spacing w:before="0" w:beforeAutospacing="0" w:after="0" w:afterAutospacing="0"/>
                    <w:ind w:left="0" w:leftChars="0" w:right="0" w:firstLine="0" w:firstLineChars="0"/>
                    <w:jc w:val="both"/>
                    <w:rPr>
                      <w:rFonts w:hint="default"/>
                      <w:color w:val="auto"/>
                      <w:sz w:val="21"/>
                      <w:szCs w:val="21"/>
                      <w:lang w:val="en-US"/>
                    </w:rPr>
                  </w:pPr>
                  <w:r>
                    <w:rPr>
                      <w:rFonts w:hint="eastAsia" w:ascii="Times New Roman" w:hAnsi="Times New Roman" w:cs="宋体"/>
                      <w:color w:val="auto"/>
                      <w:kern w:val="2"/>
                      <w:sz w:val="21"/>
                      <w:szCs w:val="21"/>
                      <w:lang w:val="en-US" w:eastAsia="zh-CN" w:bidi="ar"/>
                    </w:rPr>
                    <w:t>化学实验废水和喷淋废水经废水中和桶预处理后与物理实验过程废水、纯水制备废水</w:t>
                  </w:r>
                  <w:r>
                    <w:rPr>
                      <w:rFonts w:hint="eastAsia" w:ascii="Times New Roman" w:hAnsi="Times New Roman" w:eastAsia="宋体" w:cs="宋体"/>
                      <w:color w:val="auto"/>
                      <w:kern w:val="2"/>
                      <w:sz w:val="21"/>
                      <w:szCs w:val="21"/>
                      <w:lang w:val="en-US" w:eastAsia="zh-CN" w:bidi="ar"/>
                    </w:rPr>
                    <w:t>经自建的</w:t>
                  </w:r>
                  <w:r>
                    <w:rPr>
                      <w:rFonts w:hint="eastAsia" w:ascii="Times New Roman" w:cs="宋体"/>
                      <w:color w:val="auto"/>
                      <w:kern w:val="2"/>
                      <w:sz w:val="21"/>
                      <w:szCs w:val="21"/>
                      <w:lang w:val="en-US" w:eastAsia="zh-CN" w:bidi="ar"/>
                    </w:rPr>
                    <w:t>三级</w:t>
                  </w:r>
                  <w:r>
                    <w:rPr>
                      <w:rFonts w:hint="eastAsia" w:ascii="Times New Roman" w:hAnsi="宋体" w:eastAsia="宋体" w:cs="宋体"/>
                      <w:color w:val="auto"/>
                      <w:kern w:val="2"/>
                      <w:sz w:val="21"/>
                      <w:szCs w:val="21"/>
                      <w:lang w:val="en-US" w:eastAsia="zh-CN" w:bidi="ar"/>
                    </w:rPr>
                    <w:t>沉淀池处理后，</w:t>
                  </w:r>
                  <w:r>
                    <w:rPr>
                      <w:rFonts w:hint="eastAsia" w:ascii="Times New Roman" w:hAnsi="Times New Roman" w:eastAsia="宋体" w:cs="宋体"/>
                      <w:color w:val="auto"/>
                      <w:kern w:val="2"/>
                      <w:sz w:val="21"/>
                      <w:szCs w:val="21"/>
                      <w:lang w:val="en-US" w:eastAsia="zh-CN" w:bidi="ar"/>
                    </w:rPr>
                    <w:t>排入</w:t>
                  </w:r>
                  <w:r>
                    <w:rPr>
                      <w:rFonts w:hint="eastAsia" w:ascii="Times New Roman" w:hAnsi="Times New Roman" w:cs="宋体"/>
                      <w:color w:val="auto"/>
                      <w:kern w:val="2"/>
                      <w:sz w:val="21"/>
                      <w:szCs w:val="21"/>
                      <w:lang w:val="en-US" w:eastAsia="zh-CN" w:bidi="ar"/>
                    </w:rPr>
                    <w:t>龙泉路</w:t>
                  </w:r>
                  <w:r>
                    <w:rPr>
                      <w:rFonts w:hint="eastAsia" w:ascii="Times New Roman" w:hAnsi="Times New Roman" w:eastAsia="宋体" w:cs="宋体"/>
                      <w:color w:val="auto"/>
                      <w:kern w:val="2"/>
                      <w:sz w:val="21"/>
                      <w:szCs w:val="21"/>
                      <w:lang w:val="en-US" w:eastAsia="zh-CN" w:bidi="ar"/>
                    </w:rPr>
                    <w:t>市政污水管，最终进入昆明市第</w:t>
                  </w:r>
                  <w:r>
                    <w:rPr>
                      <w:rFonts w:hint="eastAsia" w:ascii="Times New Roman" w:hAnsi="Times New Roman" w:cs="宋体"/>
                      <w:color w:val="auto"/>
                      <w:kern w:val="2"/>
                      <w:sz w:val="21"/>
                      <w:szCs w:val="21"/>
                      <w:lang w:val="en-US" w:eastAsia="zh-CN" w:bidi="ar"/>
                    </w:rPr>
                    <w:t>五</w:t>
                  </w:r>
                  <w:r>
                    <w:rPr>
                      <w:rFonts w:hint="eastAsia" w:ascii="Times New Roman" w:hAnsi="Times New Roman" w:eastAsia="宋体" w:cs="宋体"/>
                      <w:color w:val="auto"/>
                      <w:kern w:val="2"/>
                      <w:sz w:val="21"/>
                      <w:szCs w:val="21"/>
                      <w:lang w:val="en-US" w:eastAsia="zh-CN" w:bidi="ar"/>
                    </w:rPr>
                    <w:t>水质净化厂处理。</w:t>
                  </w:r>
                </w:p>
              </w:tc>
            </w:tr>
            <w:tr w14:paraId="507C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continue"/>
                  <w:tcBorders>
                    <w:left w:val="single" w:color="auto" w:sz="4" w:space="0"/>
                    <w:right w:val="single" w:color="auto" w:sz="4" w:space="0"/>
                  </w:tcBorders>
                  <w:shd w:val="clear" w:color="auto" w:fill="auto"/>
                  <w:vAlign w:val="center"/>
                </w:tcPr>
                <w:p w14:paraId="3B0F5EEA">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4E556D48">
                  <w:pPr>
                    <w:pStyle w:val="15"/>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1"/>
                      <w:lang w:val="en-US" w:eastAsia="zh-CN" w:bidi="ar"/>
                    </w:rPr>
                  </w:pPr>
                  <w:r>
                    <w:rPr>
                      <w:rFonts w:hint="eastAsia" w:ascii="Times New Roman" w:hAnsi="Times New Roman" w:cs="宋体"/>
                      <w:color w:val="auto"/>
                      <w:kern w:val="2"/>
                      <w:sz w:val="21"/>
                      <w:szCs w:val="21"/>
                      <w:lang w:val="en-US" w:eastAsia="zh-CN" w:bidi="ar"/>
                    </w:rPr>
                    <w:t>喷淋废水</w:t>
                  </w: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59614A73">
                  <w:pPr>
                    <w:pStyle w:val="15"/>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1"/>
                      <w:lang w:val="en-US" w:eastAsia="zh-CN" w:bidi="ar"/>
                    </w:rPr>
                  </w:pPr>
                  <w:r>
                    <w:rPr>
                      <w:rFonts w:hint="eastAsia" w:ascii="Times New Roman" w:hAnsi="Times New Roman" w:cs="宋体"/>
                      <w:color w:val="auto"/>
                      <w:kern w:val="2"/>
                      <w:sz w:val="21"/>
                      <w:szCs w:val="21"/>
                      <w:lang w:val="en-US" w:eastAsia="zh-CN" w:bidi="ar"/>
                    </w:rPr>
                    <w:t>喷淋设施</w:t>
                  </w:r>
                </w:p>
              </w:tc>
              <w:tc>
                <w:tcPr>
                  <w:tcW w:w="2545" w:type="dxa"/>
                  <w:gridSpan w:val="3"/>
                  <w:vMerge w:val="continue"/>
                  <w:tcBorders>
                    <w:left w:val="single" w:color="auto" w:sz="4" w:space="0"/>
                    <w:right w:val="single" w:color="auto" w:sz="4" w:space="0"/>
                  </w:tcBorders>
                  <w:shd w:val="clear" w:color="auto" w:fill="auto"/>
                  <w:vAlign w:val="center"/>
                </w:tcPr>
                <w:p w14:paraId="05100EFF">
                  <w:pPr>
                    <w:pStyle w:val="15"/>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p>
              </w:tc>
              <w:tc>
                <w:tcPr>
                  <w:tcW w:w="2242" w:type="dxa"/>
                  <w:vMerge w:val="continue"/>
                  <w:tcBorders>
                    <w:left w:val="single" w:color="auto" w:sz="4" w:space="0"/>
                    <w:right w:val="single" w:color="auto" w:sz="4" w:space="0"/>
                  </w:tcBorders>
                  <w:shd w:val="clear" w:color="auto" w:fill="auto"/>
                  <w:vAlign w:val="center"/>
                </w:tcPr>
                <w:p w14:paraId="3BAB7507">
                  <w:pPr>
                    <w:pStyle w:val="15"/>
                    <w:keepNext w:val="0"/>
                    <w:keepLines w:val="0"/>
                    <w:widowControl w:val="0"/>
                    <w:suppressLineNumbers w:val="0"/>
                    <w:spacing w:before="0" w:beforeAutospacing="0" w:after="0" w:afterAutospacing="0"/>
                    <w:ind w:left="0" w:leftChars="0" w:right="0" w:firstLine="0" w:firstLineChars="0"/>
                    <w:jc w:val="both"/>
                    <w:rPr>
                      <w:rFonts w:hint="eastAsia" w:ascii="Times New Roman" w:hAnsi="Times New Roman" w:eastAsia="宋体" w:cs="宋体"/>
                      <w:color w:val="auto"/>
                      <w:kern w:val="2"/>
                      <w:sz w:val="21"/>
                      <w:szCs w:val="21"/>
                      <w:lang w:val="en-US" w:eastAsia="zh-CN" w:bidi="ar"/>
                    </w:rPr>
                  </w:pPr>
                </w:p>
              </w:tc>
            </w:tr>
            <w:tr w14:paraId="5A57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continue"/>
                  <w:tcBorders>
                    <w:left w:val="single" w:color="auto" w:sz="4" w:space="0"/>
                    <w:right w:val="single" w:color="auto" w:sz="4" w:space="0"/>
                  </w:tcBorders>
                  <w:shd w:val="clear" w:color="auto" w:fill="auto"/>
                  <w:vAlign w:val="center"/>
                </w:tcPr>
                <w:p w14:paraId="0B300974">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restart"/>
                  <w:tcBorders>
                    <w:top w:val="single" w:color="auto" w:sz="4" w:space="0"/>
                    <w:left w:val="single" w:color="auto" w:sz="4" w:space="0"/>
                    <w:right w:val="single" w:color="auto" w:sz="4" w:space="0"/>
                  </w:tcBorders>
                  <w:shd w:val="clear" w:color="auto" w:fill="auto"/>
                  <w:vAlign w:val="center"/>
                </w:tcPr>
                <w:p w14:paraId="57CB9BB4">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宋体" w:eastAsia="宋体" w:cs="宋体"/>
                      <w:color w:val="auto"/>
                      <w:kern w:val="2"/>
                      <w:sz w:val="21"/>
                      <w:szCs w:val="21"/>
                      <w:lang w:val="en-US" w:eastAsia="zh-CN" w:bidi="ar"/>
                    </w:rPr>
                  </w:pPr>
                  <w:r>
                    <w:rPr>
                      <w:rFonts w:hint="eastAsia" w:ascii="Times New Roman" w:hAnsi="宋体" w:eastAsia="宋体" w:cs="宋体"/>
                      <w:color w:val="auto"/>
                      <w:kern w:val="2"/>
                      <w:sz w:val="21"/>
                      <w:szCs w:val="21"/>
                      <w:lang w:val="en-US" w:eastAsia="zh-CN" w:bidi="ar"/>
                    </w:rPr>
                    <w:t>化学实验废水</w:t>
                  </w: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7ABC7416">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宋体" w:eastAsia="宋体" w:cs="宋体"/>
                      <w:color w:val="auto"/>
                      <w:kern w:val="2"/>
                      <w:sz w:val="21"/>
                      <w:szCs w:val="21"/>
                      <w:lang w:val="en-US" w:eastAsia="zh-CN" w:bidi="ar"/>
                    </w:rPr>
                  </w:pPr>
                  <w:r>
                    <w:rPr>
                      <w:rFonts w:hint="eastAsia" w:ascii="Times New Roman" w:cs="宋体"/>
                      <w:color w:val="auto"/>
                      <w:kern w:val="2"/>
                      <w:sz w:val="21"/>
                      <w:szCs w:val="21"/>
                      <w:lang w:val="en-US" w:eastAsia="zh-CN" w:bidi="ar"/>
                    </w:rPr>
                    <w:t>第三次及以后</w:t>
                  </w:r>
                  <w:r>
                    <w:rPr>
                      <w:rFonts w:hint="eastAsia" w:ascii="Times New Roman" w:hAnsi="宋体" w:eastAsia="宋体" w:cs="宋体"/>
                      <w:color w:val="auto"/>
                      <w:kern w:val="2"/>
                      <w:sz w:val="21"/>
                      <w:szCs w:val="21"/>
                      <w:lang w:val="en-US" w:eastAsia="zh-CN" w:bidi="ar"/>
                    </w:rPr>
                    <w:t>器皿清洗</w:t>
                  </w:r>
                  <w:r>
                    <w:rPr>
                      <w:rFonts w:hint="eastAsia" w:ascii="Times New Roman" w:cs="宋体"/>
                      <w:color w:val="auto"/>
                      <w:kern w:val="2"/>
                      <w:sz w:val="21"/>
                      <w:szCs w:val="21"/>
                      <w:lang w:val="en-US" w:eastAsia="zh-CN" w:bidi="ar"/>
                    </w:rPr>
                    <w:t>水</w:t>
                  </w:r>
                </w:p>
              </w:tc>
              <w:tc>
                <w:tcPr>
                  <w:tcW w:w="2545" w:type="dxa"/>
                  <w:gridSpan w:val="3"/>
                  <w:vMerge w:val="continue"/>
                  <w:tcBorders>
                    <w:left w:val="single" w:color="auto" w:sz="4" w:space="0"/>
                    <w:right w:val="single" w:color="auto" w:sz="4" w:space="0"/>
                  </w:tcBorders>
                  <w:shd w:val="clear" w:color="auto" w:fill="auto"/>
                  <w:vAlign w:val="center"/>
                </w:tcPr>
                <w:p w14:paraId="7014F81D">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bidi="ar"/>
                    </w:rPr>
                  </w:pPr>
                </w:p>
              </w:tc>
              <w:tc>
                <w:tcPr>
                  <w:tcW w:w="2242" w:type="dxa"/>
                  <w:vMerge w:val="continue"/>
                  <w:tcBorders>
                    <w:left w:val="single" w:color="auto" w:sz="4" w:space="0"/>
                    <w:right w:val="single" w:color="auto" w:sz="4" w:space="0"/>
                  </w:tcBorders>
                  <w:shd w:val="clear" w:color="auto" w:fill="auto"/>
                  <w:vAlign w:val="center"/>
                </w:tcPr>
                <w:p w14:paraId="7D968D16">
                  <w:pPr>
                    <w:pStyle w:val="15"/>
                    <w:keepNext w:val="0"/>
                    <w:keepLines w:val="0"/>
                    <w:widowControl w:val="0"/>
                    <w:suppressLineNumbers w:val="0"/>
                    <w:spacing w:before="0" w:beforeAutospacing="0" w:after="0" w:afterAutospacing="0"/>
                    <w:ind w:left="0" w:leftChars="0" w:right="0" w:firstLine="0" w:firstLineChars="0"/>
                    <w:jc w:val="both"/>
                    <w:rPr>
                      <w:rFonts w:hint="eastAsia" w:ascii="Times New Roman" w:hAnsi="Times New Roman" w:eastAsia="宋体" w:cs="宋体"/>
                      <w:color w:val="auto"/>
                      <w:kern w:val="2"/>
                      <w:sz w:val="21"/>
                      <w:szCs w:val="21"/>
                      <w:lang w:val="en-US" w:eastAsia="zh-CN" w:bidi="ar"/>
                    </w:rPr>
                  </w:pPr>
                </w:p>
              </w:tc>
            </w:tr>
            <w:tr w14:paraId="21DB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Merge w:val="continue"/>
                  <w:tcBorders>
                    <w:left w:val="single" w:color="auto" w:sz="4" w:space="0"/>
                    <w:right w:val="single" w:color="auto" w:sz="4" w:space="0"/>
                  </w:tcBorders>
                  <w:shd w:val="clear" w:color="auto" w:fill="auto"/>
                  <w:vAlign w:val="center"/>
                </w:tcPr>
                <w:p w14:paraId="231F546E">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left w:val="single" w:color="auto" w:sz="4" w:space="0"/>
                    <w:bottom w:val="single" w:color="auto" w:sz="4" w:space="0"/>
                    <w:right w:val="single" w:color="auto" w:sz="4" w:space="0"/>
                  </w:tcBorders>
                  <w:shd w:val="clear" w:color="auto" w:fill="auto"/>
                  <w:vAlign w:val="center"/>
                </w:tcPr>
                <w:p w14:paraId="2DAF80D5">
                  <w:pPr>
                    <w:pStyle w:val="15"/>
                    <w:keepNext w:val="0"/>
                    <w:keepLines w:val="0"/>
                    <w:widowControl w:val="0"/>
                    <w:suppressLineNumbers w:val="0"/>
                    <w:spacing w:before="0" w:beforeAutospacing="0" w:after="0" w:afterAutospacing="0"/>
                    <w:ind w:left="0" w:leftChars="0" w:right="0" w:firstLine="0" w:firstLineChars="0"/>
                    <w:jc w:val="center"/>
                    <w:rPr>
                      <w:rFonts w:hint="eastAsia" w:ascii="Times New Roman" w:hAnsi="宋体" w:eastAsia="宋体" w:cs="宋体"/>
                      <w:color w:val="auto"/>
                      <w:kern w:val="2"/>
                      <w:sz w:val="21"/>
                      <w:szCs w:val="21"/>
                      <w:lang w:val="en-US" w:eastAsia="zh-CN" w:bidi="ar"/>
                    </w:rPr>
                  </w:pP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3294F56D">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宋体" w:eastAsia="宋体" w:cs="宋体"/>
                      <w:color w:val="auto"/>
                      <w:kern w:val="2"/>
                      <w:sz w:val="21"/>
                      <w:szCs w:val="21"/>
                      <w:lang w:val="en-US" w:eastAsia="zh-CN" w:bidi="ar"/>
                    </w:rPr>
                  </w:pPr>
                  <w:r>
                    <w:rPr>
                      <w:rFonts w:hint="eastAsia" w:ascii="Times New Roman" w:cs="宋体"/>
                      <w:color w:val="auto"/>
                      <w:kern w:val="2"/>
                      <w:sz w:val="21"/>
                      <w:szCs w:val="21"/>
                      <w:lang w:val="en-US" w:eastAsia="zh-CN" w:bidi="ar"/>
                    </w:rPr>
                    <w:t>实验器具润洗用水</w:t>
                  </w:r>
                </w:p>
              </w:tc>
              <w:tc>
                <w:tcPr>
                  <w:tcW w:w="2545" w:type="dxa"/>
                  <w:gridSpan w:val="3"/>
                  <w:vMerge w:val="continue"/>
                  <w:tcBorders>
                    <w:left w:val="single" w:color="auto" w:sz="4" w:space="0"/>
                    <w:right w:val="single" w:color="auto" w:sz="4" w:space="0"/>
                  </w:tcBorders>
                  <w:shd w:val="clear" w:color="auto" w:fill="auto"/>
                  <w:vAlign w:val="center"/>
                </w:tcPr>
                <w:p w14:paraId="163685BE">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bidi="ar"/>
                    </w:rPr>
                  </w:pPr>
                </w:p>
              </w:tc>
              <w:tc>
                <w:tcPr>
                  <w:tcW w:w="2242" w:type="dxa"/>
                  <w:vMerge w:val="continue"/>
                  <w:tcBorders>
                    <w:left w:val="single" w:color="auto" w:sz="4" w:space="0"/>
                    <w:right w:val="single" w:color="auto" w:sz="4" w:space="0"/>
                  </w:tcBorders>
                  <w:shd w:val="clear" w:color="auto" w:fill="auto"/>
                  <w:vAlign w:val="center"/>
                </w:tcPr>
                <w:p w14:paraId="3D5A4521">
                  <w:pPr>
                    <w:pStyle w:val="15"/>
                    <w:keepNext w:val="0"/>
                    <w:keepLines w:val="0"/>
                    <w:widowControl w:val="0"/>
                    <w:suppressLineNumbers w:val="0"/>
                    <w:spacing w:before="0" w:beforeAutospacing="0" w:after="0" w:afterAutospacing="0"/>
                    <w:ind w:left="0" w:leftChars="0" w:right="0" w:firstLine="0" w:firstLineChars="0"/>
                    <w:jc w:val="both"/>
                    <w:rPr>
                      <w:rFonts w:hint="eastAsia" w:ascii="Times New Roman" w:hAnsi="Times New Roman" w:eastAsia="宋体" w:cs="宋体"/>
                      <w:color w:val="auto"/>
                      <w:kern w:val="2"/>
                      <w:sz w:val="21"/>
                      <w:szCs w:val="21"/>
                      <w:lang w:val="en-US" w:eastAsia="zh-CN" w:bidi="ar"/>
                    </w:rPr>
                  </w:pPr>
                </w:p>
              </w:tc>
            </w:tr>
            <w:tr w14:paraId="5A5E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continue"/>
                  <w:tcBorders>
                    <w:left w:val="single" w:color="auto" w:sz="4" w:space="0"/>
                    <w:right w:val="single" w:color="auto" w:sz="4" w:space="0"/>
                  </w:tcBorders>
                  <w:shd w:val="clear" w:color="auto" w:fill="auto"/>
                  <w:vAlign w:val="center"/>
                </w:tcPr>
                <w:p w14:paraId="731311AE">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restart"/>
                  <w:tcBorders>
                    <w:top w:val="single" w:color="auto" w:sz="4" w:space="0"/>
                    <w:left w:val="single" w:color="auto" w:sz="4" w:space="0"/>
                    <w:right w:val="single" w:color="auto" w:sz="4" w:space="0"/>
                  </w:tcBorders>
                  <w:shd w:val="clear" w:color="auto" w:fill="auto"/>
                  <w:vAlign w:val="center"/>
                </w:tcPr>
                <w:p w14:paraId="734FA1EC">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宋体" w:eastAsia="宋体" w:cs="宋体"/>
                      <w:color w:val="auto"/>
                      <w:kern w:val="2"/>
                      <w:sz w:val="21"/>
                      <w:szCs w:val="21"/>
                      <w:lang w:val="en-US" w:eastAsia="zh-CN" w:bidi="ar"/>
                    </w:rPr>
                    <w:t>物理实验区</w:t>
                  </w: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46DE0016">
                  <w:pPr>
                    <w:pStyle w:val="15"/>
                    <w:keepNext w:val="0"/>
                    <w:keepLines w:val="0"/>
                    <w:widowControl w:val="0"/>
                    <w:suppressLineNumbers w:val="0"/>
                    <w:spacing w:before="0" w:beforeAutospacing="0" w:after="0" w:afterAutospacing="0"/>
                    <w:ind w:left="0" w:leftChars="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设备清洗废水</w:t>
                  </w:r>
                </w:p>
              </w:tc>
              <w:tc>
                <w:tcPr>
                  <w:tcW w:w="2545" w:type="dxa"/>
                  <w:gridSpan w:val="3"/>
                  <w:vMerge w:val="continue"/>
                  <w:tcBorders>
                    <w:left w:val="single" w:color="auto" w:sz="4" w:space="0"/>
                    <w:right w:val="single" w:color="auto" w:sz="4" w:space="0"/>
                  </w:tcBorders>
                  <w:shd w:val="clear" w:color="auto" w:fill="auto"/>
                  <w:vAlign w:val="center"/>
                </w:tcPr>
                <w:p w14:paraId="6F994869">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p>
              </w:tc>
              <w:tc>
                <w:tcPr>
                  <w:tcW w:w="2242" w:type="dxa"/>
                  <w:vMerge w:val="continue"/>
                  <w:tcBorders>
                    <w:left w:val="single" w:color="auto" w:sz="4" w:space="0"/>
                    <w:right w:val="single" w:color="auto" w:sz="4" w:space="0"/>
                  </w:tcBorders>
                  <w:shd w:val="clear" w:color="auto" w:fill="auto"/>
                  <w:vAlign w:val="center"/>
                </w:tcPr>
                <w:p w14:paraId="7472B33C">
                  <w:pPr>
                    <w:pStyle w:val="15"/>
                    <w:keepNext w:val="0"/>
                    <w:keepLines w:val="0"/>
                    <w:widowControl w:val="0"/>
                    <w:suppressLineNumbers w:val="0"/>
                    <w:spacing w:before="0" w:beforeAutospacing="0" w:after="0" w:afterAutospacing="0"/>
                    <w:ind w:left="0" w:leftChars="0" w:right="0" w:firstLine="0" w:firstLineChars="0"/>
                    <w:jc w:val="both"/>
                    <w:rPr>
                      <w:rFonts w:hint="default"/>
                      <w:color w:val="auto"/>
                      <w:sz w:val="21"/>
                      <w:szCs w:val="21"/>
                      <w:lang w:val="en-US"/>
                    </w:rPr>
                  </w:pPr>
                </w:p>
              </w:tc>
            </w:tr>
            <w:tr w14:paraId="2A66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Merge w:val="continue"/>
                  <w:tcBorders>
                    <w:left w:val="single" w:color="auto" w:sz="4" w:space="0"/>
                    <w:right w:val="single" w:color="auto" w:sz="4" w:space="0"/>
                  </w:tcBorders>
                  <w:shd w:val="clear" w:color="auto" w:fill="auto"/>
                  <w:vAlign w:val="center"/>
                </w:tcPr>
                <w:p w14:paraId="674D5EB7">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left w:val="single" w:color="auto" w:sz="4" w:space="0"/>
                    <w:bottom w:val="single" w:color="auto" w:sz="4" w:space="0"/>
                    <w:right w:val="single" w:color="auto" w:sz="4" w:space="0"/>
                  </w:tcBorders>
                  <w:shd w:val="clear" w:color="auto" w:fill="auto"/>
                  <w:vAlign w:val="center"/>
                </w:tcPr>
                <w:p w14:paraId="2A9D0018">
                  <w:pPr>
                    <w:pStyle w:val="15"/>
                    <w:keepNext w:val="0"/>
                    <w:keepLines w:val="0"/>
                    <w:widowControl w:val="0"/>
                    <w:suppressLineNumbers w:val="0"/>
                    <w:spacing w:before="0" w:beforeAutospacing="0" w:after="0" w:afterAutospacing="0"/>
                    <w:ind w:left="0" w:leftChars="0" w:right="0" w:firstLine="0" w:firstLineChars="0"/>
                    <w:jc w:val="center"/>
                    <w:rPr>
                      <w:rFonts w:hint="eastAsia" w:ascii="Times New Roman" w:hAnsi="宋体" w:eastAsia="宋体" w:cs="宋体"/>
                      <w:color w:val="auto"/>
                      <w:kern w:val="2"/>
                      <w:sz w:val="21"/>
                      <w:szCs w:val="21"/>
                      <w:lang w:val="en-US" w:eastAsia="zh-CN" w:bidi="ar"/>
                    </w:rPr>
                  </w:pP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4FB59C5F">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eastAsia="zh-CN"/>
                    </w:rPr>
                  </w:pPr>
                  <w:r>
                    <w:rPr>
                      <w:rFonts w:hint="eastAsia"/>
                      <w:color w:val="auto"/>
                      <w:sz w:val="21"/>
                      <w:szCs w:val="21"/>
                      <w:lang w:val="en-US" w:eastAsia="zh-CN"/>
                    </w:rPr>
                    <w:t>砂石冲洗废水</w:t>
                  </w:r>
                </w:p>
              </w:tc>
              <w:tc>
                <w:tcPr>
                  <w:tcW w:w="2545" w:type="dxa"/>
                  <w:gridSpan w:val="3"/>
                  <w:vMerge w:val="continue"/>
                  <w:tcBorders>
                    <w:left w:val="single" w:color="auto" w:sz="4" w:space="0"/>
                    <w:bottom w:val="single" w:color="auto" w:sz="4" w:space="0"/>
                    <w:right w:val="single" w:color="auto" w:sz="4" w:space="0"/>
                  </w:tcBorders>
                  <w:shd w:val="clear" w:color="auto" w:fill="auto"/>
                  <w:vAlign w:val="center"/>
                </w:tcPr>
                <w:p w14:paraId="6F4F9CC4">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p>
              </w:tc>
              <w:tc>
                <w:tcPr>
                  <w:tcW w:w="2242" w:type="dxa"/>
                  <w:vMerge w:val="continue"/>
                  <w:tcBorders>
                    <w:left w:val="single" w:color="auto" w:sz="4" w:space="0"/>
                    <w:bottom w:val="single" w:color="auto" w:sz="4" w:space="0"/>
                    <w:right w:val="single" w:color="auto" w:sz="4" w:space="0"/>
                  </w:tcBorders>
                  <w:shd w:val="clear" w:color="auto" w:fill="auto"/>
                  <w:vAlign w:val="center"/>
                </w:tcPr>
                <w:p w14:paraId="63810FB1">
                  <w:pPr>
                    <w:pStyle w:val="15"/>
                    <w:keepNext w:val="0"/>
                    <w:keepLines w:val="0"/>
                    <w:widowControl w:val="0"/>
                    <w:suppressLineNumbers w:val="0"/>
                    <w:spacing w:before="0" w:beforeAutospacing="0" w:after="0" w:afterAutospacing="0"/>
                    <w:ind w:left="0" w:leftChars="0" w:right="0" w:firstLine="0" w:firstLineChars="0"/>
                    <w:jc w:val="both"/>
                    <w:rPr>
                      <w:rFonts w:hint="default"/>
                      <w:color w:val="auto"/>
                      <w:sz w:val="21"/>
                      <w:szCs w:val="21"/>
                      <w:lang w:val="en-US"/>
                    </w:rPr>
                  </w:pPr>
                </w:p>
              </w:tc>
            </w:tr>
            <w:tr w14:paraId="2DA4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14:paraId="062149ED">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噪声</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10E5B4D8">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实验设备及环保设施</w:t>
                  </w: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511D9E01">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实验过程</w:t>
                  </w:r>
                </w:p>
              </w:tc>
              <w:tc>
                <w:tcPr>
                  <w:tcW w:w="25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069BFE1">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等效</w:t>
                  </w:r>
                  <w:r>
                    <w:rPr>
                      <w:rFonts w:hint="default" w:ascii="Times New Roman" w:hAnsi="Times New Roman" w:eastAsia="宋体" w:cs="Times New Roman"/>
                      <w:color w:val="auto"/>
                      <w:kern w:val="2"/>
                      <w:sz w:val="21"/>
                      <w:szCs w:val="21"/>
                      <w:lang w:val="en-US" w:eastAsia="zh-CN" w:bidi="ar"/>
                    </w:rPr>
                    <w:t>A</w:t>
                  </w:r>
                  <w:r>
                    <w:rPr>
                      <w:rFonts w:hint="eastAsia" w:ascii="Times New Roman" w:hAnsi="Times New Roman" w:eastAsia="宋体" w:cs="宋体"/>
                      <w:color w:val="auto"/>
                      <w:kern w:val="2"/>
                      <w:sz w:val="21"/>
                      <w:szCs w:val="21"/>
                      <w:lang w:val="en-US" w:eastAsia="zh-CN" w:bidi="ar"/>
                    </w:rPr>
                    <w:t>声级</w:t>
                  </w:r>
                </w:p>
              </w:tc>
              <w:tc>
                <w:tcPr>
                  <w:tcW w:w="2242" w:type="dxa"/>
                  <w:tcBorders>
                    <w:top w:val="single" w:color="auto" w:sz="4" w:space="0"/>
                    <w:left w:val="single" w:color="auto" w:sz="4" w:space="0"/>
                    <w:bottom w:val="single" w:color="auto" w:sz="4" w:space="0"/>
                    <w:right w:val="single" w:color="auto" w:sz="4" w:space="0"/>
                  </w:tcBorders>
                  <w:shd w:val="clear" w:color="auto" w:fill="auto"/>
                  <w:vAlign w:val="center"/>
                </w:tcPr>
                <w:p w14:paraId="7802FAE7">
                  <w:pPr>
                    <w:pStyle w:val="15"/>
                    <w:keepNext w:val="0"/>
                    <w:keepLines w:val="0"/>
                    <w:widowControl w:val="0"/>
                    <w:suppressLineNumbers w:val="0"/>
                    <w:spacing w:before="0" w:beforeAutospacing="0" w:after="0" w:afterAutospacing="0"/>
                    <w:ind w:left="0" w:leftChars="0" w:right="0" w:firstLine="0" w:firstLineChars="0"/>
                    <w:jc w:val="both"/>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合理布局、厂房隔声、距离衰减、风机安装消声器。</w:t>
                  </w:r>
                </w:p>
              </w:tc>
            </w:tr>
            <w:tr w14:paraId="66A3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4158D3">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固废</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0F143A93">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办公人员</w:t>
                  </w: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621FCDF7">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办公生活</w:t>
                  </w:r>
                </w:p>
              </w:tc>
              <w:tc>
                <w:tcPr>
                  <w:tcW w:w="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0A0419B">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一般</w:t>
                  </w:r>
                  <w:r>
                    <w:rPr>
                      <w:rFonts w:hint="eastAsia" w:ascii="Times New Roman" w:hAnsi="Times New Roman" w:cs="宋体"/>
                      <w:color w:val="auto"/>
                      <w:kern w:val="2"/>
                      <w:sz w:val="21"/>
                      <w:szCs w:val="21"/>
                      <w:lang w:val="en-US" w:eastAsia="zh-CN" w:bidi="ar"/>
                    </w:rPr>
                    <w:t>工业</w:t>
                  </w:r>
                  <w:r>
                    <w:rPr>
                      <w:rFonts w:hint="eastAsia" w:ascii="Times New Roman" w:hAnsi="Times New Roman" w:eastAsia="宋体" w:cs="宋体"/>
                      <w:color w:val="auto"/>
                      <w:kern w:val="2"/>
                      <w:sz w:val="21"/>
                      <w:szCs w:val="21"/>
                      <w:lang w:val="en-US" w:eastAsia="zh-CN" w:bidi="ar"/>
                    </w:rPr>
                    <w:t>固废</w:t>
                  </w: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8C3717">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生活垃圾</w:t>
                  </w:r>
                </w:p>
              </w:tc>
              <w:tc>
                <w:tcPr>
                  <w:tcW w:w="2242" w:type="dxa"/>
                  <w:tcBorders>
                    <w:top w:val="single" w:color="auto" w:sz="4" w:space="0"/>
                    <w:left w:val="single" w:color="auto" w:sz="4" w:space="0"/>
                    <w:bottom w:val="single" w:color="auto" w:sz="4" w:space="0"/>
                    <w:right w:val="single" w:color="auto" w:sz="4" w:space="0"/>
                  </w:tcBorders>
                  <w:shd w:val="clear" w:color="auto" w:fill="auto"/>
                  <w:vAlign w:val="center"/>
                </w:tcPr>
                <w:p w14:paraId="03A0CC4B">
                  <w:pPr>
                    <w:pStyle w:val="15"/>
                    <w:keepNext w:val="0"/>
                    <w:keepLines w:val="0"/>
                    <w:widowControl w:val="0"/>
                    <w:suppressLineNumbers w:val="0"/>
                    <w:spacing w:before="0" w:beforeAutospacing="0" w:after="0" w:afterAutospacing="0"/>
                    <w:ind w:left="0" w:leftChars="0" w:right="0" w:firstLine="0" w:firstLineChars="0"/>
                    <w:jc w:val="both"/>
                    <w:rPr>
                      <w:rFonts w:hint="default"/>
                      <w:color w:val="auto"/>
                      <w:sz w:val="21"/>
                      <w:szCs w:val="21"/>
                      <w:lang w:val="en-US"/>
                    </w:rPr>
                  </w:pPr>
                  <w:r>
                    <w:rPr>
                      <w:rFonts w:hint="eastAsia" w:ascii="Times New Roman" w:hAnsi="Times New Roman" w:eastAsia="宋体" w:cs="宋体"/>
                      <w:bCs/>
                      <w:color w:val="auto"/>
                      <w:kern w:val="0"/>
                      <w:sz w:val="21"/>
                      <w:szCs w:val="21"/>
                      <w:lang w:val="en-US" w:eastAsia="zh-CN" w:bidi="ar"/>
                    </w:rPr>
                    <w:t>垃圾桶收集后定期委托环卫部门统一清运处置，日产日清。</w:t>
                  </w:r>
                </w:p>
              </w:tc>
            </w:tr>
            <w:tr w14:paraId="63CD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4" w:hRule="atLeast"/>
              </w:trPr>
              <w:tc>
                <w:tcPr>
                  <w:tcW w:w="573" w:type="dxa"/>
                  <w:vMerge w:val="continue"/>
                  <w:tcBorders>
                    <w:left w:val="single" w:color="auto" w:sz="4" w:space="0"/>
                    <w:right w:val="single" w:color="auto" w:sz="4" w:space="0"/>
                  </w:tcBorders>
                  <w:shd w:val="clear" w:color="auto" w:fill="auto"/>
                  <w:vAlign w:val="center"/>
                </w:tcPr>
                <w:p w14:paraId="57485F49">
                  <w:pPr>
                    <w:pStyle w:val="15"/>
                    <w:keepNext w:val="0"/>
                    <w:keepLines w:val="0"/>
                    <w:widowControl w:val="0"/>
                    <w:suppressLineNumbers w:val="0"/>
                    <w:spacing w:before="0" w:beforeAutospacing="0" w:after="0" w:afterAutospacing="0"/>
                    <w:ind w:left="0" w:leftChars="0" w:right="0" w:firstLine="0" w:firstLineChars="0"/>
                    <w:jc w:val="center"/>
                    <w:rPr>
                      <w:rFonts w:hint="eastAsia" w:ascii="Times New Roman" w:hAnsi="Times New Roman" w:eastAsia="宋体" w:cs="宋体"/>
                      <w:color w:val="auto"/>
                      <w:kern w:val="2"/>
                      <w:sz w:val="21"/>
                      <w:szCs w:val="21"/>
                      <w:lang w:val="en-US" w:eastAsia="zh-CN" w:bidi="ar"/>
                    </w:rPr>
                  </w:pPr>
                </w:p>
              </w:tc>
              <w:tc>
                <w:tcPr>
                  <w:tcW w:w="1241" w:type="dxa"/>
                  <w:vMerge w:val="restart"/>
                  <w:tcBorders>
                    <w:top w:val="single" w:color="auto" w:sz="4" w:space="0"/>
                    <w:left w:val="single" w:color="auto" w:sz="4" w:space="0"/>
                    <w:right w:val="single" w:color="auto" w:sz="4" w:space="0"/>
                  </w:tcBorders>
                  <w:shd w:val="clear" w:color="auto" w:fill="auto"/>
                  <w:vAlign w:val="center"/>
                </w:tcPr>
                <w:p w14:paraId="7D88E73C">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食堂</w:t>
                  </w: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3AF8FF3B">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宋体"/>
                      <w:color w:val="auto"/>
                      <w:kern w:val="2"/>
                      <w:sz w:val="21"/>
                      <w:szCs w:val="21"/>
                      <w:lang w:val="en-US" w:eastAsia="zh-CN" w:bidi="ar"/>
                    </w:rPr>
                  </w:pPr>
                  <w:r>
                    <w:rPr>
                      <w:rFonts w:hint="eastAsia" w:ascii="Times New Roman" w:hAnsi="Times New Roman" w:cs="宋体"/>
                      <w:color w:val="auto"/>
                      <w:kern w:val="2"/>
                      <w:sz w:val="21"/>
                      <w:szCs w:val="21"/>
                      <w:lang w:val="en-US" w:eastAsia="zh-CN" w:bidi="ar"/>
                    </w:rPr>
                    <w:t>用餐过程</w:t>
                  </w:r>
                </w:p>
              </w:tc>
              <w:tc>
                <w:tcPr>
                  <w:tcW w:w="367" w:type="dxa"/>
                  <w:vMerge w:val="continue"/>
                  <w:tcBorders>
                    <w:left w:val="single" w:color="auto" w:sz="4" w:space="0"/>
                    <w:right w:val="single" w:color="auto" w:sz="4" w:space="0"/>
                  </w:tcBorders>
                  <w:shd w:val="clear" w:color="auto" w:fill="auto"/>
                  <w:vAlign w:val="center"/>
                </w:tcPr>
                <w:p w14:paraId="759B7BFF">
                  <w:pPr>
                    <w:pStyle w:val="15"/>
                    <w:keepNext w:val="0"/>
                    <w:keepLines w:val="0"/>
                    <w:widowControl w:val="0"/>
                    <w:suppressLineNumbers w:val="0"/>
                    <w:spacing w:before="0" w:beforeAutospacing="0" w:after="0" w:afterAutospacing="0"/>
                    <w:ind w:left="0" w:leftChars="0" w:right="0" w:firstLine="0" w:firstLineChars="0"/>
                    <w:jc w:val="center"/>
                    <w:rPr>
                      <w:rFonts w:hint="eastAsia" w:ascii="Times New Roman" w:hAnsi="Times New Roman" w:eastAsia="宋体" w:cs="宋体"/>
                      <w:color w:val="auto"/>
                      <w:kern w:val="2"/>
                      <w:sz w:val="21"/>
                      <w:szCs w:val="21"/>
                      <w:lang w:val="en-US" w:eastAsia="zh-CN" w:bidi="ar"/>
                    </w:rPr>
                  </w:pP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7D7CA4">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宋体"/>
                      <w:color w:val="auto"/>
                      <w:kern w:val="2"/>
                      <w:sz w:val="21"/>
                      <w:szCs w:val="21"/>
                      <w:lang w:val="en-US" w:eastAsia="zh-CN" w:bidi="ar"/>
                    </w:rPr>
                  </w:pPr>
                  <w:r>
                    <w:rPr>
                      <w:rFonts w:hint="eastAsia" w:ascii="Times New Roman" w:hAnsi="Times New Roman" w:cs="宋体"/>
                      <w:color w:val="auto"/>
                      <w:kern w:val="2"/>
                      <w:sz w:val="21"/>
                      <w:szCs w:val="21"/>
                      <w:lang w:val="en-US" w:eastAsia="zh-CN" w:bidi="ar"/>
                    </w:rPr>
                    <w:t>餐厨垃圾</w:t>
                  </w:r>
                </w:p>
              </w:tc>
              <w:tc>
                <w:tcPr>
                  <w:tcW w:w="2242" w:type="dxa"/>
                  <w:tcBorders>
                    <w:top w:val="single" w:color="auto" w:sz="4" w:space="0"/>
                    <w:left w:val="single" w:color="auto" w:sz="4" w:space="0"/>
                    <w:bottom w:val="single" w:color="auto" w:sz="4" w:space="0"/>
                    <w:right w:val="single" w:color="auto" w:sz="4" w:space="0"/>
                  </w:tcBorders>
                  <w:shd w:val="clear" w:color="auto" w:fill="auto"/>
                  <w:vAlign w:val="center"/>
                </w:tcPr>
                <w:p w14:paraId="162AAE5E">
                  <w:pPr>
                    <w:pStyle w:val="15"/>
                    <w:keepNext w:val="0"/>
                    <w:keepLines w:val="0"/>
                    <w:widowControl w:val="0"/>
                    <w:suppressLineNumbers w:val="0"/>
                    <w:spacing w:before="0" w:beforeAutospacing="0" w:after="0" w:afterAutospacing="0"/>
                    <w:ind w:left="0" w:leftChars="0" w:right="0" w:firstLine="0" w:firstLineChars="0"/>
                    <w:jc w:val="both"/>
                    <w:rPr>
                      <w:rFonts w:hint="eastAsia" w:ascii="Times New Roman" w:hAnsi="Times New Roman" w:eastAsia="宋体" w:cs="宋体"/>
                      <w:bCs/>
                      <w:color w:val="auto"/>
                      <w:kern w:val="0"/>
                      <w:sz w:val="21"/>
                      <w:szCs w:val="21"/>
                      <w:lang w:val="en-US" w:eastAsia="zh-CN" w:bidi="ar"/>
                    </w:rPr>
                  </w:pPr>
                  <w:r>
                    <w:rPr>
                      <w:rFonts w:hint="eastAsia" w:ascii="Times New Roman" w:hAnsi="Times New Roman" w:eastAsia="宋体" w:cs="宋体"/>
                      <w:bCs/>
                      <w:color w:val="auto"/>
                      <w:kern w:val="0"/>
                      <w:sz w:val="21"/>
                      <w:szCs w:val="21"/>
                      <w:lang w:val="en-US" w:eastAsia="zh-CN" w:bidi="ar"/>
                    </w:rPr>
                    <w:t>委托相关回收单位</w:t>
                  </w:r>
                  <w:r>
                    <w:rPr>
                      <w:rFonts w:hint="eastAsia" w:ascii="Times New Roman" w:hAnsi="Times New Roman" w:cs="宋体"/>
                      <w:bCs/>
                      <w:color w:val="auto"/>
                      <w:kern w:val="0"/>
                      <w:sz w:val="21"/>
                      <w:szCs w:val="21"/>
                      <w:lang w:val="en-US" w:eastAsia="zh-CN" w:bidi="ar"/>
                    </w:rPr>
                    <w:t>清运</w:t>
                  </w:r>
                  <w:r>
                    <w:rPr>
                      <w:rFonts w:hint="eastAsia" w:ascii="Times New Roman" w:hAnsi="Times New Roman" w:eastAsia="宋体" w:cs="宋体"/>
                      <w:bCs/>
                      <w:color w:val="auto"/>
                      <w:kern w:val="0"/>
                      <w:sz w:val="21"/>
                      <w:szCs w:val="21"/>
                      <w:lang w:val="en-US" w:eastAsia="zh-CN" w:bidi="ar"/>
                    </w:rPr>
                    <w:t>处置。</w:t>
                  </w:r>
                </w:p>
              </w:tc>
            </w:tr>
            <w:tr w14:paraId="21D3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Merge w:val="continue"/>
                  <w:tcBorders>
                    <w:left w:val="single" w:color="auto" w:sz="4" w:space="0"/>
                    <w:right w:val="single" w:color="auto" w:sz="4" w:space="0"/>
                  </w:tcBorders>
                  <w:shd w:val="clear" w:color="auto" w:fill="auto"/>
                  <w:vAlign w:val="center"/>
                </w:tcPr>
                <w:p w14:paraId="3863B3AD">
                  <w:pPr>
                    <w:pStyle w:val="15"/>
                    <w:keepNext w:val="0"/>
                    <w:keepLines w:val="0"/>
                    <w:widowControl w:val="0"/>
                    <w:suppressLineNumbers w:val="0"/>
                    <w:spacing w:before="0" w:beforeAutospacing="0" w:after="0" w:afterAutospacing="0"/>
                    <w:ind w:left="0" w:leftChars="0" w:right="0" w:firstLine="0" w:firstLineChars="0"/>
                    <w:jc w:val="center"/>
                    <w:rPr>
                      <w:rFonts w:hint="eastAsia" w:ascii="Times New Roman" w:hAnsi="Times New Roman" w:eastAsia="宋体" w:cs="宋体"/>
                      <w:color w:val="auto"/>
                      <w:kern w:val="2"/>
                      <w:sz w:val="21"/>
                      <w:szCs w:val="21"/>
                      <w:lang w:val="en-US" w:eastAsia="zh-CN" w:bidi="ar"/>
                    </w:rPr>
                  </w:pPr>
                </w:p>
              </w:tc>
              <w:tc>
                <w:tcPr>
                  <w:tcW w:w="1241" w:type="dxa"/>
                  <w:vMerge w:val="continue"/>
                  <w:tcBorders>
                    <w:left w:val="single" w:color="auto" w:sz="4" w:space="0"/>
                    <w:bottom w:val="single" w:color="auto" w:sz="4" w:space="0"/>
                    <w:right w:val="single" w:color="auto" w:sz="4" w:space="0"/>
                  </w:tcBorders>
                  <w:shd w:val="clear" w:color="auto" w:fill="auto"/>
                  <w:vAlign w:val="center"/>
                </w:tcPr>
                <w:p w14:paraId="4B20F82E">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宋体"/>
                      <w:color w:val="auto"/>
                      <w:kern w:val="2"/>
                      <w:sz w:val="21"/>
                      <w:szCs w:val="21"/>
                      <w:lang w:val="en-US" w:eastAsia="zh-CN" w:bidi="ar"/>
                    </w:rPr>
                  </w:pP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0787190F">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隔油池</w:t>
                  </w:r>
                </w:p>
              </w:tc>
              <w:tc>
                <w:tcPr>
                  <w:tcW w:w="367" w:type="dxa"/>
                  <w:vMerge w:val="continue"/>
                  <w:tcBorders>
                    <w:left w:val="single" w:color="auto" w:sz="4" w:space="0"/>
                    <w:right w:val="single" w:color="auto" w:sz="4" w:space="0"/>
                  </w:tcBorders>
                  <w:shd w:val="clear" w:color="auto" w:fill="auto"/>
                  <w:vAlign w:val="center"/>
                </w:tcPr>
                <w:p w14:paraId="429F8217">
                  <w:pPr>
                    <w:pStyle w:val="15"/>
                    <w:keepNext w:val="0"/>
                    <w:keepLines w:val="0"/>
                    <w:widowControl w:val="0"/>
                    <w:suppressLineNumbers w:val="0"/>
                    <w:spacing w:before="0" w:beforeAutospacing="0" w:after="0" w:afterAutospacing="0"/>
                    <w:ind w:left="0" w:leftChars="0" w:right="0" w:firstLine="0" w:firstLineChars="0"/>
                    <w:jc w:val="center"/>
                    <w:rPr>
                      <w:rFonts w:hint="eastAsia" w:ascii="Times New Roman" w:hAnsi="Times New Roman" w:eastAsia="宋体" w:cs="宋体"/>
                      <w:color w:val="auto"/>
                      <w:kern w:val="2"/>
                      <w:sz w:val="21"/>
                      <w:szCs w:val="21"/>
                      <w:lang w:val="en-US" w:eastAsia="zh-CN" w:bidi="ar"/>
                    </w:rPr>
                  </w:pP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71F471">
                  <w:pPr>
                    <w:pStyle w:val="15"/>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油污</w:t>
                  </w:r>
                </w:p>
              </w:tc>
              <w:tc>
                <w:tcPr>
                  <w:tcW w:w="2242" w:type="dxa"/>
                  <w:tcBorders>
                    <w:top w:val="single" w:color="auto" w:sz="4" w:space="0"/>
                    <w:left w:val="single" w:color="auto" w:sz="4" w:space="0"/>
                    <w:bottom w:val="single" w:color="auto" w:sz="4" w:space="0"/>
                    <w:right w:val="single" w:color="auto" w:sz="4" w:space="0"/>
                  </w:tcBorders>
                  <w:shd w:val="clear" w:color="auto" w:fill="auto"/>
                  <w:vAlign w:val="center"/>
                </w:tcPr>
                <w:p w14:paraId="76E687FB">
                  <w:pPr>
                    <w:pStyle w:val="15"/>
                    <w:keepNext w:val="0"/>
                    <w:keepLines w:val="0"/>
                    <w:widowControl w:val="0"/>
                    <w:suppressLineNumbers w:val="0"/>
                    <w:spacing w:before="0" w:beforeAutospacing="0" w:after="0" w:afterAutospacing="0"/>
                    <w:ind w:left="0" w:leftChars="0" w:right="0" w:firstLine="0" w:firstLineChars="0"/>
                    <w:jc w:val="both"/>
                    <w:rPr>
                      <w:rFonts w:hint="eastAsia" w:ascii="Times New Roman" w:hAnsi="Times New Roman" w:eastAsia="宋体" w:cs="宋体"/>
                      <w:bCs/>
                      <w:color w:val="auto"/>
                      <w:kern w:val="0"/>
                      <w:sz w:val="21"/>
                      <w:szCs w:val="21"/>
                      <w:lang w:val="en-US" w:eastAsia="zh-CN" w:bidi="ar"/>
                    </w:rPr>
                  </w:pPr>
                  <w:r>
                    <w:rPr>
                      <w:rFonts w:hint="eastAsia" w:ascii="Times New Roman" w:hAnsi="Times New Roman" w:eastAsia="宋体" w:cs="宋体"/>
                      <w:bCs/>
                      <w:color w:val="auto"/>
                      <w:kern w:val="0"/>
                      <w:sz w:val="21"/>
                      <w:szCs w:val="21"/>
                      <w:lang w:val="en-US" w:eastAsia="zh-CN" w:bidi="ar"/>
                    </w:rPr>
                    <w:t>委托相关回收单位进行清掏处置。</w:t>
                  </w:r>
                </w:p>
              </w:tc>
            </w:tr>
            <w:tr w14:paraId="032E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4" w:hRule="atLeast"/>
              </w:trPr>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F5B626">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590F63">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实验室</w:t>
                  </w:r>
                </w:p>
              </w:tc>
              <w:tc>
                <w:tcPr>
                  <w:tcW w:w="16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7AAD20">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实验过程</w:t>
                  </w:r>
                </w:p>
              </w:tc>
              <w:tc>
                <w:tcPr>
                  <w:tcW w:w="3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6F096E">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03FB77">
                  <w:pPr>
                    <w:keepNext w:val="0"/>
                    <w:keepLines w:val="0"/>
                    <w:widowControl w:val="0"/>
                    <w:suppressLineNumbers w:val="0"/>
                    <w:spacing w:before="0" w:beforeAutospacing="0" w:after="0" w:afterAutospacing="0" w:line="240" w:lineRule="exact"/>
                    <w:ind w:left="0" w:right="0"/>
                    <w:jc w:val="center"/>
                    <w:rPr>
                      <w:rFonts w:hint="default"/>
                      <w:bCs/>
                      <w:color w:val="auto"/>
                      <w:kern w:val="0"/>
                      <w:sz w:val="21"/>
                      <w:szCs w:val="21"/>
                      <w:lang w:val="en-US"/>
                    </w:rPr>
                  </w:pPr>
                  <w:r>
                    <w:rPr>
                      <w:rFonts w:hint="eastAsia" w:ascii="Times New Roman" w:hAnsi="Times New Roman" w:eastAsia="宋体" w:cs="宋体"/>
                      <w:bCs/>
                      <w:color w:val="auto"/>
                      <w:kern w:val="0"/>
                      <w:sz w:val="21"/>
                      <w:szCs w:val="21"/>
                      <w:lang w:val="en-US" w:eastAsia="zh-CN" w:bidi="ar"/>
                    </w:rPr>
                    <w:t>破碎玻璃（未沾染化学试剂）和废包装物</w:t>
                  </w:r>
                </w:p>
              </w:tc>
              <w:tc>
                <w:tcPr>
                  <w:tcW w:w="2242" w:type="dxa"/>
                  <w:vMerge w:val="restart"/>
                  <w:tcBorders>
                    <w:top w:val="single" w:color="auto" w:sz="4" w:space="0"/>
                    <w:left w:val="single" w:color="auto" w:sz="4" w:space="0"/>
                    <w:right w:val="single" w:color="auto" w:sz="4" w:space="0"/>
                  </w:tcBorders>
                  <w:shd w:val="clear" w:color="auto" w:fill="auto"/>
                  <w:vAlign w:val="center"/>
                </w:tcPr>
                <w:p w14:paraId="73AF4DDE">
                  <w:pPr>
                    <w:keepNext w:val="0"/>
                    <w:keepLines w:val="0"/>
                    <w:widowControl w:val="0"/>
                    <w:suppressLineNumbers w:val="0"/>
                    <w:spacing w:before="0" w:beforeAutospacing="0" w:after="0" w:afterAutospacing="0"/>
                    <w:ind w:left="0" w:right="0"/>
                    <w:jc w:val="both"/>
                    <w:rPr>
                      <w:rFonts w:hint="default"/>
                      <w:color w:val="auto"/>
                      <w:sz w:val="21"/>
                      <w:szCs w:val="21"/>
                      <w:lang w:val="en-US"/>
                    </w:rPr>
                  </w:pPr>
                  <w:r>
                    <w:rPr>
                      <w:rFonts w:hint="eastAsia" w:ascii="Times New Roman" w:hAnsi="Times New Roman" w:eastAsia="宋体" w:cs="宋体"/>
                      <w:bCs/>
                      <w:color w:val="auto"/>
                      <w:kern w:val="0"/>
                      <w:sz w:val="21"/>
                      <w:szCs w:val="21"/>
                      <w:lang w:val="en-US" w:eastAsia="zh-CN" w:bidi="ar"/>
                    </w:rPr>
                    <w:t>分类收集，可回收部分卖给废品收购站进行回收利用，不可回收部分</w:t>
                  </w:r>
                  <w:r>
                    <w:rPr>
                      <w:rFonts w:hint="eastAsia" w:cs="宋体"/>
                      <w:bCs/>
                      <w:color w:val="auto"/>
                      <w:kern w:val="0"/>
                      <w:sz w:val="21"/>
                      <w:szCs w:val="21"/>
                      <w:lang w:val="en-US" w:eastAsia="zh-CN" w:bidi="ar"/>
                    </w:rPr>
                    <w:t>委托清运处置</w:t>
                  </w:r>
                  <w:r>
                    <w:rPr>
                      <w:rFonts w:hint="eastAsia" w:ascii="Times New Roman" w:hAnsi="Times New Roman" w:eastAsia="宋体" w:cs="宋体"/>
                      <w:bCs/>
                      <w:color w:val="auto"/>
                      <w:kern w:val="0"/>
                      <w:sz w:val="21"/>
                      <w:szCs w:val="21"/>
                      <w:lang w:val="en-US" w:eastAsia="zh-CN" w:bidi="ar"/>
                    </w:rPr>
                    <w:t>。</w:t>
                  </w:r>
                </w:p>
              </w:tc>
            </w:tr>
            <w:tr w14:paraId="7D80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4447DD">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33CFED">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211DC1">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9C3869">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2AA19E">
                  <w:pPr>
                    <w:keepNext w:val="0"/>
                    <w:keepLines w:val="0"/>
                    <w:widowControl w:val="0"/>
                    <w:suppressLineNumbers w:val="0"/>
                    <w:spacing w:before="0" w:beforeAutospacing="0" w:after="0" w:afterAutospacing="0" w:line="240" w:lineRule="exact"/>
                    <w:ind w:left="0" w:right="0"/>
                    <w:jc w:val="center"/>
                    <w:rPr>
                      <w:rFonts w:hint="default"/>
                      <w:bCs/>
                      <w:color w:val="auto"/>
                      <w:kern w:val="0"/>
                      <w:sz w:val="21"/>
                      <w:szCs w:val="21"/>
                      <w:lang w:val="en-US"/>
                    </w:rPr>
                  </w:pPr>
                  <w:r>
                    <w:rPr>
                      <w:rFonts w:hint="eastAsia" w:ascii="Times New Roman" w:hAnsi="Times New Roman" w:eastAsia="宋体" w:cs="宋体"/>
                      <w:bCs/>
                      <w:color w:val="auto"/>
                      <w:kern w:val="0"/>
                      <w:sz w:val="21"/>
                      <w:szCs w:val="21"/>
                      <w:lang w:val="en-US" w:eastAsia="zh-CN" w:bidi="ar"/>
                    </w:rPr>
                    <w:t>实验室检测废料</w:t>
                  </w:r>
                </w:p>
              </w:tc>
              <w:tc>
                <w:tcPr>
                  <w:tcW w:w="2242" w:type="dxa"/>
                  <w:vMerge w:val="continue"/>
                  <w:tcBorders>
                    <w:left w:val="single" w:color="auto" w:sz="4" w:space="0"/>
                    <w:bottom w:val="single" w:color="auto" w:sz="4" w:space="0"/>
                    <w:right w:val="single" w:color="auto" w:sz="4" w:space="0"/>
                  </w:tcBorders>
                  <w:shd w:val="clear" w:color="auto" w:fill="auto"/>
                  <w:vAlign w:val="center"/>
                </w:tcPr>
                <w:p w14:paraId="7D093CEA">
                  <w:pPr>
                    <w:keepNext w:val="0"/>
                    <w:keepLines w:val="0"/>
                    <w:widowControl w:val="0"/>
                    <w:suppressLineNumbers w:val="0"/>
                    <w:spacing w:before="0" w:beforeAutospacing="0" w:after="0" w:afterAutospacing="0"/>
                    <w:ind w:left="0" w:right="0"/>
                    <w:jc w:val="both"/>
                    <w:rPr>
                      <w:rFonts w:hint="default"/>
                      <w:color w:val="auto"/>
                      <w:sz w:val="21"/>
                      <w:szCs w:val="21"/>
                      <w:lang w:val="en-US"/>
                    </w:rPr>
                  </w:pPr>
                </w:p>
              </w:tc>
            </w:tr>
            <w:tr w14:paraId="2B24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A62A8D">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362BE2">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22C86B6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宋体"/>
                      <w:bCs/>
                      <w:color w:val="auto"/>
                      <w:kern w:val="0"/>
                      <w:sz w:val="21"/>
                      <w:szCs w:val="21"/>
                      <w:lang w:val="en-US" w:eastAsia="zh-CN" w:bidi="ar"/>
                    </w:rPr>
                  </w:pPr>
                  <w:r>
                    <w:rPr>
                      <w:rFonts w:hint="eastAsia" w:cs="宋体"/>
                      <w:bCs/>
                      <w:color w:val="auto"/>
                      <w:kern w:val="0"/>
                      <w:sz w:val="21"/>
                      <w:szCs w:val="21"/>
                      <w:lang w:val="en-US" w:eastAsia="zh-CN" w:bidi="ar"/>
                    </w:rPr>
                    <w:t>三级</w:t>
                  </w:r>
                  <w:r>
                    <w:rPr>
                      <w:rFonts w:hint="eastAsia" w:ascii="Times New Roman" w:hAnsi="Times New Roman" w:eastAsia="宋体" w:cs="宋体"/>
                      <w:bCs/>
                      <w:color w:val="auto"/>
                      <w:kern w:val="0"/>
                      <w:sz w:val="21"/>
                      <w:szCs w:val="21"/>
                      <w:lang w:val="en-US" w:eastAsia="zh-CN" w:bidi="ar"/>
                    </w:rPr>
                    <w:t>沉淀池</w:t>
                  </w:r>
                </w:p>
              </w:tc>
              <w:tc>
                <w:tcPr>
                  <w:tcW w:w="3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F9E799">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宋体"/>
                      <w:bCs/>
                      <w:color w:val="auto"/>
                      <w:kern w:val="0"/>
                      <w:sz w:val="21"/>
                      <w:szCs w:val="21"/>
                      <w:lang w:val="en-US" w:eastAsia="zh-CN" w:bidi="ar"/>
                    </w:rPr>
                  </w:pP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D53F04">
                  <w:pPr>
                    <w:keepNext w:val="0"/>
                    <w:keepLines w:val="0"/>
                    <w:widowControl w:val="0"/>
                    <w:suppressLineNumbers w:val="0"/>
                    <w:spacing w:before="0" w:beforeAutospacing="0" w:after="0" w:afterAutospacing="0" w:line="240" w:lineRule="exact"/>
                    <w:ind w:left="0" w:right="0"/>
                    <w:jc w:val="center"/>
                    <w:rPr>
                      <w:rFonts w:hint="eastAsia" w:ascii="Times New Roman" w:hAnsi="Times New Roman" w:eastAsia="宋体" w:cs="宋体"/>
                      <w:bCs/>
                      <w:color w:val="auto"/>
                      <w:kern w:val="0"/>
                      <w:sz w:val="21"/>
                      <w:szCs w:val="21"/>
                      <w:lang w:val="en-US" w:eastAsia="zh-CN" w:bidi="ar"/>
                    </w:rPr>
                  </w:pPr>
                  <w:r>
                    <w:rPr>
                      <w:rFonts w:hint="default" w:ascii="Times New Roman" w:hAnsi="Times New Roman" w:eastAsia="宋体" w:cs="宋体"/>
                      <w:bCs/>
                      <w:color w:val="auto"/>
                      <w:kern w:val="0"/>
                      <w:sz w:val="21"/>
                      <w:szCs w:val="21"/>
                      <w:lang w:val="en-US" w:eastAsia="zh-CN" w:bidi="ar"/>
                    </w:rPr>
                    <w:t>沉淀池污泥</w:t>
                  </w:r>
                </w:p>
              </w:tc>
              <w:tc>
                <w:tcPr>
                  <w:tcW w:w="2242" w:type="dxa"/>
                  <w:tcBorders>
                    <w:top w:val="single" w:color="auto" w:sz="4" w:space="0"/>
                    <w:left w:val="single" w:color="auto" w:sz="4" w:space="0"/>
                    <w:bottom w:val="single" w:color="auto" w:sz="4" w:space="0"/>
                    <w:right w:val="single" w:color="auto" w:sz="4" w:space="0"/>
                  </w:tcBorders>
                  <w:shd w:val="clear" w:color="auto" w:fill="auto"/>
                  <w:vAlign w:val="center"/>
                </w:tcPr>
                <w:p w14:paraId="6854724E">
                  <w:pPr>
                    <w:keepNext w:val="0"/>
                    <w:keepLines w:val="0"/>
                    <w:widowControl w:val="0"/>
                    <w:suppressLineNumbers w:val="0"/>
                    <w:spacing w:before="0" w:beforeAutospacing="0" w:after="0" w:afterAutospacing="0" w:line="240" w:lineRule="exact"/>
                    <w:ind w:left="0" w:right="0"/>
                    <w:jc w:val="center"/>
                    <w:rPr>
                      <w:rFonts w:hint="eastAsia" w:ascii="Times New Roman" w:hAnsi="Times New Roman" w:eastAsia="宋体" w:cs="宋体"/>
                      <w:bCs/>
                      <w:color w:val="auto"/>
                      <w:kern w:val="0"/>
                      <w:sz w:val="21"/>
                      <w:szCs w:val="21"/>
                      <w:lang w:val="en-US" w:eastAsia="zh-CN" w:bidi="ar"/>
                    </w:rPr>
                  </w:pPr>
                  <w:r>
                    <w:rPr>
                      <w:rFonts w:hint="default" w:ascii="Times New Roman" w:hAnsi="Times New Roman" w:eastAsia="宋体" w:cs="宋体"/>
                      <w:bCs/>
                      <w:color w:val="auto"/>
                      <w:kern w:val="0"/>
                      <w:sz w:val="21"/>
                      <w:szCs w:val="21"/>
                      <w:lang w:val="en-US" w:eastAsia="zh-CN" w:bidi="ar"/>
                    </w:rPr>
                    <w:t>定期委托清掏。</w:t>
                  </w:r>
                </w:p>
              </w:tc>
            </w:tr>
            <w:tr w14:paraId="4B43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AE16B2">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301D5B">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7FB24C46">
                  <w:pPr>
                    <w:keepNext w:val="0"/>
                    <w:keepLines w:val="0"/>
                    <w:widowControl w:val="0"/>
                    <w:suppressLineNumbers w:val="0"/>
                    <w:spacing w:before="0" w:beforeAutospacing="0" w:after="0" w:afterAutospacing="0" w:line="240" w:lineRule="exact"/>
                    <w:ind w:left="0" w:right="0"/>
                    <w:jc w:val="center"/>
                    <w:rPr>
                      <w:rFonts w:hint="default"/>
                      <w:bCs/>
                      <w:color w:val="auto"/>
                      <w:kern w:val="0"/>
                      <w:sz w:val="21"/>
                      <w:szCs w:val="21"/>
                      <w:lang w:val="en-US"/>
                    </w:rPr>
                  </w:pPr>
                  <w:r>
                    <w:rPr>
                      <w:rFonts w:hint="eastAsia" w:ascii="Times New Roman" w:hAnsi="Times New Roman" w:eastAsia="宋体" w:cs="宋体"/>
                      <w:bCs/>
                      <w:color w:val="auto"/>
                      <w:kern w:val="0"/>
                      <w:sz w:val="21"/>
                      <w:szCs w:val="21"/>
                      <w:lang w:val="en-US" w:eastAsia="zh-CN" w:bidi="ar"/>
                    </w:rPr>
                    <w:t>纯水机</w:t>
                  </w:r>
                </w:p>
              </w:tc>
              <w:tc>
                <w:tcPr>
                  <w:tcW w:w="3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6BA748">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CB105E">
                  <w:pPr>
                    <w:keepNext w:val="0"/>
                    <w:keepLines w:val="0"/>
                    <w:widowControl w:val="0"/>
                    <w:suppressLineNumbers w:val="0"/>
                    <w:spacing w:before="0" w:beforeAutospacing="0" w:after="0" w:afterAutospacing="0" w:line="240" w:lineRule="exact"/>
                    <w:ind w:left="0" w:right="0"/>
                    <w:jc w:val="center"/>
                    <w:rPr>
                      <w:rFonts w:hint="default"/>
                      <w:bCs/>
                      <w:color w:val="auto"/>
                      <w:kern w:val="0"/>
                      <w:sz w:val="21"/>
                      <w:szCs w:val="21"/>
                      <w:lang w:val="en-US"/>
                    </w:rPr>
                  </w:pPr>
                  <w:r>
                    <w:rPr>
                      <w:rFonts w:hint="eastAsia" w:ascii="Times New Roman" w:hAnsi="Times New Roman" w:eastAsia="宋体" w:cs="宋体"/>
                      <w:bCs/>
                      <w:color w:val="auto"/>
                      <w:kern w:val="0"/>
                      <w:sz w:val="21"/>
                      <w:szCs w:val="21"/>
                      <w:lang w:val="en-US" w:eastAsia="zh-CN" w:bidi="ar"/>
                    </w:rPr>
                    <w:t>废滤芯及废过滤膜</w:t>
                  </w:r>
                </w:p>
              </w:tc>
              <w:tc>
                <w:tcPr>
                  <w:tcW w:w="2242" w:type="dxa"/>
                  <w:tcBorders>
                    <w:top w:val="single" w:color="auto" w:sz="4" w:space="0"/>
                    <w:left w:val="single" w:color="auto" w:sz="4" w:space="0"/>
                    <w:bottom w:val="single" w:color="auto" w:sz="4" w:space="0"/>
                    <w:right w:val="single" w:color="auto" w:sz="4" w:space="0"/>
                  </w:tcBorders>
                  <w:shd w:val="clear" w:color="auto" w:fill="auto"/>
                  <w:vAlign w:val="center"/>
                </w:tcPr>
                <w:p w14:paraId="47924B06">
                  <w:pPr>
                    <w:keepNext w:val="0"/>
                    <w:keepLines w:val="0"/>
                    <w:widowControl w:val="0"/>
                    <w:suppressLineNumbers w:val="0"/>
                    <w:spacing w:before="0" w:beforeAutospacing="0" w:after="0" w:afterAutospacing="0"/>
                    <w:ind w:left="0" w:right="0" w:firstLine="210" w:firstLineChars="100"/>
                    <w:jc w:val="both"/>
                    <w:rPr>
                      <w:rFonts w:hint="default"/>
                      <w:color w:val="auto"/>
                      <w:sz w:val="21"/>
                      <w:szCs w:val="21"/>
                      <w:lang w:val="en-US"/>
                    </w:rPr>
                  </w:pPr>
                  <w:r>
                    <w:rPr>
                      <w:rFonts w:hint="eastAsia" w:ascii="Times New Roman" w:hAnsi="Times New Roman" w:eastAsia="宋体" w:cs="宋体"/>
                      <w:bCs/>
                      <w:color w:val="auto"/>
                      <w:kern w:val="0"/>
                      <w:sz w:val="21"/>
                      <w:szCs w:val="21"/>
                      <w:lang w:val="en-US" w:eastAsia="zh-CN" w:bidi="ar"/>
                    </w:rPr>
                    <w:t>定期进行更换，同生活垃圾一起处理。</w:t>
                  </w:r>
                </w:p>
              </w:tc>
            </w:tr>
            <w:tr w14:paraId="47D6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16D386">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3ED231">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97BB21">
                  <w:pPr>
                    <w:pStyle w:val="15"/>
                    <w:keepNext w:val="0"/>
                    <w:keepLines w:val="0"/>
                    <w:widowControl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ascii="Times New Roman" w:hAnsi="Times New Roman" w:eastAsia="宋体" w:cs="宋体"/>
                      <w:color w:val="auto"/>
                      <w:kern w:val="2"/>
                      <w:sz w:val="21"/>
                      <w:szCs w:val="21"/>
                      <w:lang w:val="en-US" w:eastAsia="zh-CN" w:bidi="ar"/>
                    </w:rPr>
                    <w:t>实验过程</w:t>
                  </w:r>
                </w:p>
              </w:tc>
              <w:tc>
                <w:tcPr>
                  <w:tcW w:w="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B99109">
                  <w:pPr>
                    <w:keepNext w:val="0"/>
                    <w:keepLines w:val="0"/>
                    <w:widowControl w:val="0"/>
                    <w:suppressLineNumbers w:val="0"/>
                    <w:spacing w:before="0" w:beforeAutospacing="0" w:after="0" w:afterAutospacing="0" w:line="240" w:lineRule="exact"/>
                    <w:ind w:left="0" w:right="0"/>
                    <w:jc w:val="center"/>
                    <w:rPr>
                      <w:rFonts w:hint="default"/>
                      <w:bCs/>
                      <w:color w:val="auto"/>
                      <w:kern w:val="0"/>
                      <w:sz w:val="21"/>
                      <w:szCs w:val="21"/>
                      <w:lang w:val="en-US"/>
                    </w:rPr>
                  </w:pPr>
                  <w:r>
                    <w:rPr>
                      <w:rFonts w:hint="eastAsia" w:ascii="Times New Roman" w:hAnsi="Times New Roman" w:eastAsia="宋体" w:cs="宋体"/>
                      <w:bCs/>
                      <w:color w:val="auto"/>
                      <w:kern w:val="0"/>
                      <w:sz w:val="21"/>
                      <w:szCs w:val="21"/>
                      <w:lang w:val="en-US" w:eastAsia="zh-CN" w:bidi="ar"/>
                    </w:rPr>
                    <w:t>危险废物</w:t>
                  </w: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CA1F4F">
                  <w:pPr>
                    <w:keepNext w:val="0"/>
                    <w:keepLines w:val="0"/>
                    <w:widowControl w:val="0"/>
                    <w:suppressLineNumbers w:val="0"/>
                    <w:spacing w:before="0" w:beforeAutospacing="0" w:after="0" w:afterAutospacing="0" w:line="240" w:lineRule="exact"/>
                    <w:ind w:left="0" w:right="0"/>
                    <w:jc w:val="center"/>
                    <w:rPr>
                      <w:rFonts w:hint="default"/>
                      <w:bCs/>
                      <w:color w:val="auto"/>
                      <w:kern w:val="0"/>
                      <w:sz w:val="21"/>
                      <w:szCs w:val="21"/>
                      <w:lang w:val="en-US"/>
                    </w:rPr>
                  </w:pPr>
                  <w:r>
                    <w:rPr>
                      <w:rFonts w:hint="eastAsia" w:cs="宋体"/>
                      <w:bCs/>
                      <w:color w:val="auto"/>
                      <w:kern w:val="0"/>
                      <w:sz w:val="21"/>
                      <w:szCs w:val="21"/>
                      <w:lang w:val="en-US" w:eastAsia="zh-CN" w:bidi="ar"/>
                    </w:rPr>
                    <w:t>实验废液</w:t>
                  </w:r>
                </w:p>
              </w:tc>
              <w:tc>
                <w:tcPr>
                  <w:tcW w:w="22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B0DC3C8">
                  <w:pPr>
                    <w:keepNext w:val="0"/>
                    <w:keepLines w:val="0"/>
                    <w:widowControl w:val="0"/>
                    <w:suppressLineNumbers w:val="0"/>
                    <w:spacing w:before="0" w:beforeAutospacing="0" w:after="0" w:afterAutospacing="0"/>
                    <w:ind w:left="0" w:right="0"/>
                    <w:jc w:val="both"/>
                    <w:rPr>
                      <w:rFonts w:hint="default"/>
                      <w:color w:val="auto"/>
                      <w:sz w:val="21"/>
                      <w:szCs w:val="21"/>
                      <w:lang w:val="en-US"/>
                    </w:rPr>
                  </w:pPr>
                  <w:r>
                    <w:rPr>
                      <w:rFonts w:hint="eastAsia" w:ascii="Times New Roman" w:hAnsi="Times New Roman" w:eastAsia="宋体" w:cs="宋体"/>
                      <w:bCs/>
                      <w:color w:val="auto"/>
                      <w:kern w:val="0"/>
                      <w:sz w:val="21"/>
                      <w:szCs w:val="21"/>
                      <w:lang w:val="en-US" w:eastAsia="zh-CN" w:bidi="ar"/>
                    </w:rPr>
                    <w:t>分类收集，危废暂存间暂存，然后委托有资质单位定期清运处置。</w:t>
                  </w:r>
                </w:p>
              </w:tc>
            </w:tr>
            <w:tr w14:paraId="105B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B46BC6">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DB8AE1">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23" w:type="dxa"/>
                  <w:vMerge w:val="continue"/>
                  <w:tcBorders>
                    <w:left w:val="single" w:color="auto" w:sz="4" w:space="0"/>
                    <w:right w:val="single" w:color="auto" w:sz="4" w:space="0"/>
                  </w:tcBorders>
                  <w:shd w:val="clear" w:color="auto" w:fill="auto"/>
                  <w:vAlign w:val="center"/>
                </w:tcPr>
                <w:p w14:paraId="311C7132">
                  <w:pPr>
                    <w:pStyle w:val="15"/>
                    <w:keepNext w:val="0"/>
                    <w:keepLines w:val="0"/>
                    <w:widowControl w:val="0"/>
                    <w:suppressLineNumbers w:val="0"/>
                    <w:spacing w:before="0" w:beforeAutospacing="0" w:after="0" w:afterAutospacing="0"/>
                    <w:ind w:left="0" w:leftChars="0" w:right="0" w:firstLine="0" w:firstLineChars="0"/>
                    <w:jc w:val="center"/>
                    <w:rPr>
                      <w:rFonts w:hint="eastAsia" w:ascii="Times New Roman" w:hAnsi="Times New Roman" w:eastAsia="宋体" w:cs="宋体"/>
                      <w:color w:val="auto"/>
                      <w:kern w:val="2"/>
                      <w:sz w:val="21"/>
                      <w:szCs w:val="21"/>
                      <w:lang w:val="en-US" w:eastAsia="zh-CN" w:bidi="ar"/>
                    </w:rPr>
                  </w:pPr>
                </w:p>
              </w:tc>
              <w:tc>
                <w:tcPr>
                  <w:tcW w:w="367" w:type="dxa"/>
                  <w:vMerge w:val="continue"/>
                  <w:tcBorders>
                    <w:left w:val="single" w:color="auto" w:sz="4" w:space="0"/>
                    <w:right w:val="single" w:color="auto" w:sz="4" w:space="0"/>
                  </w:tcBorders>
                  <w:shd w:val="clear" w:color="auto" w:fill="auto"/>
                  <w:vAlign w:val="center"/>
                </w:tcPr>
                <w:p w14:paraId="3551EB77">
                  <w:pPr>
                    <w:keepNext w:val="0"/>
                    <w:keepLines w:val="0"/>
                    <w:widowControl w:val="0"/>
                    <w:suppressLineNumbers w:val="0"/>
                    <w:spacing w:before="0" w:beforeAutospacing="0" w:after="0" w:afterAutospacing="0" w:line="240" w:lineRule="exact"/>
                    <w:ind w:left="0" w:right="0"/>
                    <w:jc w:val="center"/>
                    <w:rPr>
                      <w:rFonts w:hint="eastAsia" w:ascii="Times New Roman" w:hAnsi="Times New Roman" w:eastAsia="宋体" w:cs="宋体"/>
                      <w:bCs/>
                      <w:color w:val="auto"/>
                      <w:kern w:val="0"/>
                      <w:sz w:val="21"/>
                      <w:szCs w:val="21"/>
                      <w:lang w:val="en-US" w:eastAsia="zh-CN" w:bidi="ar"/>
                    </w:rPr>
                  </w:pP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CC4F8A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宋体"/>
                      <w:bCs/>
                      <w:color w:val="auto"/>
                      <w:kern w:val="0"/>
                      <w:sz w:val="21"/>
                      <w:szCs w:val="21"/>
                      <w:lang w:val="en-US" w:eastAsia="zh-CN" w:bidi="ar"/>
                    </w:rPr>
                  </w:pPr>
                  <w:r>
                    <w:rPr>
                      <w:rFonts w:hint="eastAsia" w:cs="宋体"/>
                      <w:bCs/>
                      <w:color w:val="auto"/>
                      <w:kern w:val="0"/>
                      <w:sz w:val="21"/>
                      <w:szCs w:val="21"/>
                      <w:lang w:val="en-US" w:eastAsia="zh-CN" w:bidi="ar"/>
                    </w:rPr>
                    <w:t>实验室第一、二次器皿清洗废水</w:t>
                  </w:r>
                </w:p>
              </w:tc>
              <w:tc>
                <w:tcPr>
                  <w:tcW w:w="2242" w:type="dxa"/>
                  <w:vMerge w:val="continue"/>
                  <w:tcBorders>
                    <w:left w:val="single" w:color="auto" w:sz="4" w:space="0"/>
                    <w:right w:val="single" w:color="auto" w:sz="4" w:space="0"/>
                  </w:tcBorders>
                  <w:shd w:val="clear" w:color="auto" w:fill="auto"/>
                  <w:vAlign w:val="center"/>
                </w:tcPr>
                <w:p w14:paraId="61E9203B">
                  <w:pPr>
                    <w:keepNext w:val="0"/>
                    <w:keepLines w:val="0"/>
                    <w:widowControl w:val="0"/>
                    <w:suppressLineNumbers w:val="0"/>
                    <w:spacing w:before="0" w:beforeAutospacing="0" w:after="0" w:afterAutospacing="0"/>
                    <w:ind w:left="0" w:right="0"/>
                    <w:jc w:val="both"/>
                    <w:rPr>
                      <w:rFonts w:hint="eastAsia" w:ascii="Times New Roman" w:hAnsi="Times New Roman" w:eastAsia="宋体" w:cs="宋体"/>
                      <w:bCs/>
                      <w:color w:val="auto"/>
                      <w:kern w:val="0"/>
                      <w:sz w:val="21"/>
                      <w:szCs w:val="21"/>
                      <w:lang w:val="en-US" w:eastAsia="zh-CN" w:bidi="ar"/>
                    </w:rPr>
                  </w:pPr>
                </w:p>
              </w:tc>
            </w:tr>
            <w:tr w14:paraId="60CF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EB9EA8">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A3B66A">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23" w:type="dxa"/>
                  <w:vMerge w:val="continue"/>
                  <w:tcBorders>
                    <w:left w:val="single" w:color="auto" w:sz="4" w:space="0"/>
                    <w:right w:val="single" w:color="auto" w:sz="4" w:space="0"/>
                  </w:tcBorders>
                  <w:shd w:val="clear" w:color="auto" w:fill="auto"/>
                  <w:vAlign w:val="center"/>
                </w:tcPr>
                <w:p w14:paraId="15280911">
                  <w:pPr>
                    <w:pStyle w:val="15"/>
                    <w:keepNext w:val="0"/>
                    <w:keepLines w:val="0"/>
                    <w:widowControl w:val="0"/>
                    <w:suppressLineNumbers w:val="0"/>
                    <w:spacing w:before="0" w:beforeAutospacing="0" w:after="0" w:afterAutospacing="0"/>
                    <w:ind w:left="0" w:leftChars="0" w:right="0" w:firstLine="0" w:firstLineChars="0"/>
                    <w:jc w:val="center"/>
                    <w:rPr>
                      <w:rFonts w:hint="eastAsia" w:ascii="Times New Roman" w:hAnsi="Times New Roman" w:eastAsia="宋体" w:cs="宋体"/>
                      <w:color w:val="auto"/>
                      <w:kern w:val="2"/>
                      <w:sz w:val="21"/>
                      <w:szCs w:val="21"/>
                      <w:lang w:val="en-US" w:eastAsia="zh-CN" w:bidi="ar"/>
                    </w:rPr>
                  </w:pPr>
                </w:p>
              </w:tc>
              <w:tc>
                <w:tcPr>
                  <w:tcW w:w="367" w:type="dxa"/>
                  <w:vMerge w:val="continue"/>
                  <w:tcBorders>
                    <w:left w:val="single" w:color="auto" w:sz="4" w:space="0"/>
                    <w:right w:val="single" w:color="auto" w:sz="4" w:space="0"/>
                  </w:tcBorders>
                  <w:shd w:val="clear" w:color="auto" w:fill="auto"/>
                  <w:vAlign w:val="center"/>
                </w:tcPr>
                <w:p w14:paraId="33096C27">
                  <w:pPr>
                    <w:keepNext w:val="0"/>
                    <w:keepLines w:val="0"/>
                    <w:widowControl w:val="0"/>
                    <w:suppressLineNumbers w:val="0"/>
                    <w:spacing w:before="0" w:beforeAutospacing="0" w:after="0" w:afterAutospacing="0" w:line="240" w:lineRule="exact"/>
                    <w:ind w:left="0" w:right="0"/>
                    <w:jc w:val="center"/>
                    <w:rPr>
                      <w:rFonts w:hint="eastAsia" w:ascii="Times New Roman" w:hAnsi="Times New Roman" w:eastAsia="宋体" w:cs="宋体"/>
                      <w:bCs/>
                      <w:color w:val="auto"/>
                      <w:kern w:val="0"/>
                      <w:sz w:val="21"/>
                      <w:szCs w:val="21"/>
                      <w:lang w:val="en-US" w:eastAsia="zh-CN" w:bidi="ar"/>
                    </w:rPr>
                  </w:pP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8AFD17">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宋体"/>
                      <w:bCs/>
                      <w:color w:val="auto"/>
                      <w:kern w:val="0"/>
                      <w:sz w:val="21"/>
                      <w:szCs w:val="21"/>
                      <w:lang w:val="en-US" w:eastAsia="zh-CN" w:bidi="ar"/>
                    </w:rPr>
                  </w:pPr>
                  <w:r>
                    <w:rPr>
                      <w:rFonts w:hint="eastAsia" w:cs="宋体"/>
                      <w:bCs/>
                      <w:color w:val="auto"/>
                      <w:kern w:val="0"/>
                      <w:sz w:val="21"/>
                      <w:szCs w:val="21"/>
                      <w:lang w:val="en-US" w:eastAsia="zh-CN" w:bidi="ar"/>
                    </w:rPr>
                    <w:t>过期试剂及废试剂瓶</w:t>
                  </w:r>
                </w:p>
              </w:tc>
              <w:tc>
                <w:tcPr>
                  <w:tcW w:w="2242" w:type="dxa"/>
                  <w:vMerge w:val="continue"/>
                  <w:tcBorders>
                    <w:left w:val="single" w:color="auto" w:sz="4" w:space="0"/>
                    <w:right w:val="single" w:color="auto" w:sz="4" w:space="0"/>
                  </w:tcBorders>
                  <w:shd w:val="clear" w:color="auto" w:fill="auto"/>
                  <w:vAlign w:val="center"/>
                </w:tcPr>
                <w:p w14:paraId="4FD36EE3">
                  <w:pPr>
                    <w:keepNext w:val="0"/>
                    <w:keepLines w:val="0"/>
                    <w:widowControl w:val="0"/>
                    <w:suppressLineNumbers w:val="0"/>
                    <w:spacing w:before="0" w:beforeAutospacing="0" w:after="0" w:afterAutospacing="0"/>
                    <w:ind w:left="0" w:right="0"/>
                    <w:jc w:val="both"/>
                    <w:rPr>
                      <w:rFonts w:hint="eastAsia" w:ascii="Times New Roman" w:hAnsi="Times New Roman" w:eastAsia="宋体" w:cs="宋体"/>
                      <w:bCs/>
                      <w:color w:val="auto"/>
                      <w:kern w:val="0"/>
                      <w:sz w:val="21"/>
                      <w:szCs w:val="21"/>
                      <w:lang w:val="en-US" w:eastAsia="zh-CN" w:bidi="ar"/>
                    </w:rPr>
                  </w:pPr>
                </w:p>
              </w:tc>
            </w:tr>
            <w:tr w14:paraId="726B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4F3C04">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1833DA">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23" w:type="dxa"/>
                  <w:vMerge w:val="continue"/>
                  <w:tcBorders>
                    <w:left w:val="single" w:color="auto" w:sz="4" w:space="0"/>
                    <w:right w:val="single" w:color="auto" w:sz="4" w:space="0"/>
                  </w:tcBorders>
                  <w:shd w:val="clear" w:color="auto" w:fill="auto"/>
                  <w:vAlign w:val="center"/>
                </w:tcPr>
                <w:p w14:paraId="2607EE8D">
                  <w:pPr>
                    <w:pStyle w:val="15"/>
                    <w:keepNext w:val="0"/>
                    <w:keepLines w:val="0"/>
                    <w:widowControl w:val="0"/>
                    <w:suppressLineNumbers w:val="0"/>
                    <w:spacing w:before="0" w:beforeAutospacing="0" w:after="0" w:afterAutospacing="0"/>
                    <w:ind w:left="0" w:leftChars="0" w:right="0" w:firstLine="0" w:firstLineChars="0"/>
                    <w:jc w:val="center"/>
                    <w:rPr>
                      <w:rFonts w:hint="eastAsia" w:ascii="Times New Roman" w:hAnsi="Times New Roman" w:eastAsia="宋体" w:cs="宋体"/>
                      <w:color w:val="auto"/>
                      <w:kern w:val="2"/>
                      <w:sz w:val="21"/>
                      <w:szCs w:val="21"/>
                      <w:lang w:val="en-US" w:eastAsia="zh-CN" w:bidi="ar"/>
                    </w:rPr>
                  </w:pPr>
                </w:p>
              </w:tc>
              <w:tc>
                <w:tcPr>
                  <w:tcW w:w="367" w:type="dxa"/>
                  <w:vMerge w:val="continue"/>
                  <w:tcBorders>
                    <w:left w:val="single" w:color="auto" w:sz="4" w:space="0"/>
                    <w:right w:val="single" w:color="auto" w:sz="4" w:space="0"/>
                  </w:tcBorders>
                  <w:shd w:val="clear" w:color="auto" w:fill="auto"/>
                  <w:vAlign w:val="center"/>
                </w:tcPr>
                <w:p w14:paraId="4EA8205A">
                  <w:pPr>
                    <w:keepNext w:val="0"/>
                    <w:keepLines w:val="0"/>
                    <w:widowControl w:val="0"/>
                    <w:suppressLineNumbers w:val="0"/>
                    <w:spacing w:before="0" w:beforeAutospacing="0" w:after="0" w:afterAutospacing="0" w:line="240" w:lineRule="exact"/>
                    <w:ind w:left="0" w:right="0"/>
                    <w:jc w:val="center"/>
                    <w:rPr>
                      <w:rFonts w:hint="eastAsia" w:ascii="Times New Roman" w:hAnsi="Times New Roman" w:eastAsia="宋体" w:cs="宋体"/>
                      <w:bCs/>
                      <w:color w:val="auto"/>
                      <w:kern w:val="0"/>
                      <w:sz w:val="21"/>
                      <w:szCs w:val="21"/>
                      <w:lang w:val="en-US" w:eastAsia="zh-CN" w:bidi="ar"/>
                    </w:rPr>
                  </w:pP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D6429B">
                  <w:pPr>
                    <w:keepNext w:val="0"/>
                    <w:keepLines w:val="0"/>
                    <w:widowControl w:val="0"/>
                    <w:suppressLineNumbers w:val="0"/>
                    <w:spacing w:before="0" w:beforeAutospacing="0" w:after="0" w:afterAutospacing="0" w:line="240" w:lineRule="exact"/>
                    <w:ind w:left="0" w:leftChars="0" w:right="0" w:rightChars="0"/>
                    <w:jc w:val="center"/>
                    <w:rPr>
                      <w:rFonts w:hint="eastAsia" w:ascii="Times New Roman" w:hAnsi="Times New Roman" w:eastAsia="宋体" w:cs="宋体"/>
                      <w:bCs/>
                      <w:color w:val="auto"/>
                      <w:kern w:val="0"/>
                      <w:sz w:val="21"/>
                      <w:szCs w:val="21"/>
                      <w:lang w:val="en-US" w:eastAsia="zh-CN" w:bidi="ar"/>
                    </w:rPr>
                  </w:pPr>
                  <w:r>
                    <w:rPr>
                      <w:rFonts w:hint="default" w:eastAsiaTheme="minorEastAsia"/>
                      <w:color w:val="auto"/>
                      <w:kern w:val="0"/>
                      <w:sz w:val="21"/>
                      <w:szCs w:val="21"/>
                    </w:rPr>
                    <w:t>检测废物（废沥青）</w:t>
                  </w:r>
                </w:p>
              </w:tc>
              <w:tc>
                <w:tcPr>
                  <w:tcW w:w="2242" w:type="dxa"/>
                  <w:vMerge w:val="continue"/>
                  <w:tcBorders>
                    <w:left w:val="single" w:color="auto" w:sz="4" w:space="0"/>
                    <w:right w:val="single" w:color="auto" w:sz="4" w:space="0"/>
                  </w:tcBorders>
                  <w:shd w:val="clear" w:color="auto" w:fill="auto"/>
                  <w:vAlign w:val="center"/>
                </w:tcPr>
                <w:p w14:paraId="3C8D9CFF">
                  <w:pPr>
                    <w:keepNext w:val="0"/>
                    <w:keepLines w:val="0"/>
                    <w:widowControl w:val="0"/>
                    <w:suppressLineNumbers w:val="0"/>
                    <w:spacing w:before="0" w:beforeAutospacing="0" w:after="0" w:afterAutospacing="0"/>
                    <w:ind w:left="0" w:right="0"/>
                    <w:jc w:val="both"/>
                    <w:rPr>
                      <w:rFonts w:hint="eastAsia" w:ascii="Times New Roman" w:hAnsi="Times New Roman" w:eastAsia="宋体" w:cs="宋体"/>
                      <w:bCs/>
                      <w:color w:val="auto"/>
                      <w:kern w:val="0"/>
                      <w:sz w:val="21"/>
                      <w:szCs w:val="21"/>
                      <w:lang w:val="en-US" w:eastAsia="zh-CN" w:bidi="ar"/>
                    </w:rPr>
                  </w:pPr>
                </w:p>
              </w:tc>
            </w:tr>
            <w:tr w14:paraId="0520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FFF1D0">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963930">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B2215D">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CB94F7">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3EE0C6">
                  <w:pPr>
                    <w:keepNext w:val="0"/>
                    <w:keepLines w:val="0"/>
                    <w:widowControl w:val="0"/>
                    <w:suppressLineNumbers w:val="0"/>
                    <w:spacing w:before="0" w:beforeAutospacing="0" w:after="0" w:afterAutospacing="0" w:line="240" w:lineRule="exact"/>
                    <w:ind w:left="0" w:leftChars="0" w:right="0" w:rightChars="0"/>
                    <w:jc w:val="center"/>
                    <w:rPr>
                      <w:rFonts w:hint="default"/>
                      <w:bCs/>
                      <w:color w:val="auto"/>
                      <w:kern w:val="0"/>
                      <w:sz w:val="21"/>
                      <w:szCs w:val="21"/>
                      <w:lang w:val="en-US"/>
                    </w:rPr>
                  </w:pPr>
                  <w:r>
                    <w:rPr>
                      <w:rFonts w:hint="default" w:eastAsiaTheme="minorEastAsia"/>
                      <w:color w:val="auto"/>
                      <w:kern w:val="0"/>
                      <w:sz w:val="21"/>
                      <w:szCs w:val="21"/>
                    </w:rPr>
                    <w:t>废沥青</w:t>
                  </w:r>
                  <w:r>
                    <w:rPr>
                      <w:rFonts w:hint="default" w:eastAsiaTheme="minorEastAsia"/>
                      <w:color w:val="auto"/>
                      <w:kern w:val="0"/>
                      <w:sz w:val="21"/>
                      <w:szCs w:val="21"/>
                      <w:lang w:val="en-US" w:eastAsia="zh-CN"/>
                    </w:rPr>
                    <w:t>清洗</w:t>
                  </w:r>
                  <w:r>
                    <w:rPr>
                      <w:rFonts w:hint="eastAsia" w:eastAsiaTheme="minorEastAsia"/>
                      <w:color w:val="auto"/>
                      <w:kern w:val="0"/>
                      <w:sz w:val="21"/>
                      <w:szCs w:val="21"/>
                      <w:lang w:val="en-US" w:eastAsia="zh-CN"/>
                    </w:rPr>
                    <w:t>液</w:t>
                  </w:r>
                </w:p>
              </w:tc>
              <w:tc>
                <w:tcPr>
                  <w:tcW w:w="22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BB2CD1">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14:paraId="5103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D101E4">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CCDBD3">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5175C1AB">
                  <w:pPr>
                    <w:keepNext w:val="0"/>
                    <w:keepLines w:val="0"/>
                    <w:widowControl w:val="0"/>
                    <w:suppressLineNumbers w:val="0"/>
                    <w:spacing w:before="0" w:beforeAutospacing="0" w:after="0" w:afterAutospacing="0" w:line="240" w:lineRule="exact"/>
                    <w:ind w:left="0" w:right="0"/>
                    <w:jc w:val="center"/>
                    <w:rPr>
                      <w:rFonts w:hint="default"/>
                      <w:bCs/>
                      <w:color w:val="auto"/>
                      <w:kern w:val="0"/>
                      <w:sz w:val="21"/>
                      <w:szCs w:val="21"/>
                      <w:lang w:val="en-US"/>
                    </w:rPr>
                  </w:pPr>
                  <w:r>
                    <w:rPr>
                      <w:rFonts w:hint="eastAsia" w:ascii="Times New Roman" w:hAnsi="Times New Roman" w:eastAsia="宋体" w:cs="宋体"/>
                      <w:bCs/>
                      <w:color w:val="auto"/>
                      <w:kern w:val="0"/>
                      <w:sz w:val="21"/>
                      <w:szCs w:val="21"/>
                      <w:lang w:val="en-US" w:eastAsia="zh-CN" w:bidi="ar"/>
                    </w:rPr>
                    <w:t>活性炭吸附装置</w:t>
                  </w:r>
                </w:p>
              </w:tc>
              <w:tc>
                <w:tcPr>
                  <w:tcW w:w="3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07B4E4">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B740D6">
                  <w:pPr>
                    <w:keepNext w:val="0"/>
                    <w:keepLines w:val="0"/>
                    <w:widowControl w:val="0"/>
                    <w:suppressLineNumbers w:val="0"/>
                    <w:spacing w:before="0" w:beforeAutospacing="0" w:after="0" w:afterAutospacing="0" w:line="240" w:lineRule="exact"/>
                    <w:ind w:left="0" w:right="0"/>
                    <w:jc w:val="center"/>
                    <w:rPr>
                      <w:rFonts w:hint="default"/>
                      <w:bCs/>
                      <w:color w:val="auto"/>
                      <w:kern w:val="0"/>
                      <w:sz w:val="21"/>
                      <w:szCs w:val="21"/>
                      <w:lang w:val="en-US"/>
                    </w:rPr>
                  </w:pPr>
                  <w:r>
                    <w:rPr>
                      <w:rFonts w:hint="eastAsia" w:ascii="Times New Roman" w:hAnsi="Times New Roman" w:eastAsia="宋体" w:cs="宋体"/>
                      <w:bCs/>
                      <w:color w:val="auto"/>
                      <w:kern w:val="0"/>
                      <w:sz w:val="21"/>
                      <w:szCs w:val="21"/>
                      <w:lang w:val="en-US" w:eastAsia="zh-CN" w:bidi="ar"/>
                    </w:rPr>
                    <w:t>废活性炭</w:t>
                  </w:r>
                </w:p>
              </w:tc>
              <w:tc>
                <w:tcPr>
                  <w:tcW w:w="22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71F15E">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14:paraId="06E7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C1ED23">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04F1B4">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23" w:type="dxa"/>
                  <w:tcBorders>
                    <w:top w:val="single" w:color="auto" w:sz="4" w:space="0"/>
                    <w:left w:val="single" w:color="auto" w:sz="4" w:space="0"/>
                    <w:bottom w:val="single" w:color="auto" w:sz="4" w:space="0"/>
                    <w:right w:val="single" w:color="auto" w:sz="4" w:space="0"/>
                  </w:tcBorders>
                  <w:shd w:val="clear" w:color="auto" w:fill="auto"/>
                  <w:vAlign w:val="center"/>
                </w:tcPr>
                <w:p w14:paraId="702B5A18">
                  <w:pPr>
                    <w:keepNext w:val="0"/>
                    <w:keepLines w:val="0"/>
                    <w:widowControl w:val="0"/>
                    <w:suppressLineNumbers w:val="0"/>
                    <w:spacing w:before="0" w:beforeAutospacing="0" w:after="0" w:afterAutospacing="0" w:line="240" w:lineRule="exact"/>
                    <w:ind w:left="0" w:right="0"/>
                    <w:jc w:val="center"/>
                    <w:rPr>
                      <w:rFonts w:hint="default"/>
                      <w:bCs/>
                      <w:color w:val="auto"/>
                      <w:kern w:val="0"/>
                      <w:sz w:val="21"/>
                      <w:szCs w:val="21"/>
                      <w:lang w:val="en-US"/>
                    </w:rPr>
                  </w:pPr>
                  <w:r>
                    <w:rPr>
                      <w:rFonts w:hint="eastAsia" w:ascii="Times New Roman" w:hAnsi="Times New Roman" w:eastAsia="宋体" w:cs="宋体"/>
                      <w:color w:val="auto"/>
                      <w:kern w:val="0"/>
                      <w:sz w:val="21"/>
                      <w:szCs w:val="21"/>
                      <w:lang w:val="en-US" w:eastAsia="zh-CN" w:bidi="ar"/>
                    </w:rPr>
                    <w:t>废水</w:t>
                  </w:r>
                  <w:r>
                    <w:rPr>
                      <w:rFonts w:hint="eastAsia" w:cs="宋体"/>
                      <w:color w:val="auto"/>
                      <w:kern w:val="0"/>
                      <w:sz w:val="21"/>
                      <w:szCs w:val="21"/>
                      <w:lang w:val="en-US" w:eastAsia="zh-CN" w:bidi="ar"/>
                    </w:rPr>
                    <w:t>中和收集桶</w:t>
                  </w:r>
                </w:p>
              </w:tc>
              <w:tc>
                <w:tcPr>
                  <w:tcW w:w="3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009066">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1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8415FF">
                  <w:pPr>
                    <w:keepNext w:val="0"/>
                    <w:keepLines w:val="0"/>
                    <w:widowControl w:val="0"/>
                    <w:suppressLineNumbers w:val="0"/>
                    <w:spacing w:before="0" w:beforeAutospacing="0" w:after="0" w:afterAutospacing="0" w:line="240" w:lineRule="exact"/>
                    <w:ind w:left="0" w:right="0"/>
                    <w:jc w:val="center"/>
                    <w:rPr>
                      <w:rFonts w:hint="default"/>
                      <w:bCs/>
                      <w:color w:val="auto"/>
                      <w:kern w:val="0"/>
                      <w:sz w:val="21"/>
                      <w:szCs w:val="21"/>
                      <w:lang w:val="en-US"/>
                    </w:rPr>
                  </w:pPr>
                  <w:r>
                    <w:rPr>
                      <w:rFonts w:hint="eastAsia" w:ascii="Times New Roman" w:hAnsi="Times New Roman" w:eastAsia="宋体" w:cs="宋体"/>
                      <w:color w:val="auto"/>
                      <w:kern w:val="0"/>
                      <w:sz w:val="21"/>
                      <w:szCs w:val="21"/>
                      <w:lang w:val="en-US" w:eastAsia="zh-CN" w:bidi="ar"/>
                    </w:rPr>
                    <w:t>废水</w:t>
                  </w:r>
                  <w:r>
                    <w:rPr>
                      <w:rFonts w:hint="eastAsia" w:cs="宋体"/>
                      <w:color w:val="auto"/>
                      <w:kern w:val="0"/>
                      <w:sz w:val="21"/>
                      <w:szCs w:val="21"/>
                      <w:lang w:val="en-US" w:eastAsia="zh-CN" w:bidi="ar"/>
                    </w:rPr>
                    <w:t>中和收集桶</w:t>
                  </w:r>
                  <w:r>
                    <w:rPr>
                      <w:rFonts w:hint="eastAsia" w:ascii="Times New Roman" w:hAnsi="Times New Roman" w:eastAsia="宋体" w:cs="宋体"/>
                      <w:bCs/>
                      <w:color w:val="auto"/>
                      <w:kern w:val="0"/>
                      <w:sz w:val="21"/>
                      <w:szCs w:val="21"/>
                      <w:lang w:val="en-US" w:eastAsia="zh-CN" w:bidi="ar"/>
                    </w:rPr>
                    <w:t>沉渣</w:t>
                  </w:r>
                </w:p>
              </w:tc>
              <w:tc>
                <w:tcPr>
                  <w:tcW w:w="22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B36C5A">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bl>
          <w:p w14:paraId="310BADD0">
            <w:pPr>
              <w:pStyle w:val="4"/>
              <w:keepNext w:val="0"/>
              <w:keepLines w:val="0"/>
              <w:suppressLineNumbers w:val="0"/>
              <w:spacing w:beforeAutospacing="0" w:afterAutospacing="0"/>
              <w:ind w:left="0" w:leftChars="0" w:firstLine="0" w:firstLineChars="0"/>
              <w:rPr>
                <w:rFonts w:hint="default"/>
                <w:color w:val="auto"/>
              </w:rPr>
            </w:pPr>
          </w:p>
        </w:tc>
      </w:tr>
      <w:tr w14:paraId="38489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95" w:type="dxa"/>
            <w:vAlign w:val="center"/>
          </w:tcPr>
          <w:p w14:paraId="510FBF83">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bCs/>
                <w:color w:val="auto"/>
                <w:kern w:val="2"/>
                <w:sz w:val="21"/>
                <w:szCs w:val="21"/>
              </w:rPr>
              <w:t>项目有关的原有环境污染问题</w:t>
            </w:r>
          </w:p>
        </w:tc>
        <w:tc>
          <w:tcPr>
            <w:tcW w:w="8527" w:type="dxa"/>
            <w:gridSpan w:val="2"/>
          </w:tcPr>
          <w:p w14:paraId="630CFBB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项目租用昆明市盘龙区茨坝街道昆机社区龙泉路714号附1号（昆明机床厂劳动服务公司）车间建设实验室，所租用生产厂房目前处于闲置状态，经环评单位现场踏勘调查，项目场地不存在原有污染源问题。</w:t>
            </w:r>
          </w:p>
          <w:p w14:paraId="6E3BB91A">
            <w:pPr>
              <w:keepNext w:val="0"/>
              <w:keepLines w:val="0"/>
              <w:suppressLineNumbers w:val="0"/>
              <w:spacing w:before="0" w:beforeAutospacing="0" w:after="0" w:afterAutospacing="0" w:line="360" w:lineRule="auto"/>
              <w:ind w:left="0" w:right="0" w:firstLine="480" w:firstLineChars="200"/>
              <w:rPr>
                <w:rFonts w:hint="default"/>
                <w:color w:val="auto"/>
                <w:sz w:val="24"/>
              </w:rPr>
            </w:pPr>
          </w:p>
          <w:p w14:paraId="208CE61D">
            <w:pPr>
              <w:keepNext w:val="0"/>
              <w:keepLines w:val="0"/>
              <w:suppressLineNumbers w:val="0"/>
              <w:spacing w:before="0" w:beforeAutospacing="0" w:after="0" w:afterAutospacing="0" w:line="360" w:lineRule="auto"/>
              <w:ind w:left="0" w:right="0" w:firstLine="480" w:firstLineChars="200"/>
              <w:rPr>
                <w:rFonts w:hint="default"/>
                <w:color w:val="auto"/>
                <w:sz w:val="24"/>
              </w:rPr>
            </w:pPr>
          </w:p>
          <w:p w14:paraId="27C2603F">
            <w:pPr>
              <w:keepNext w:val="0"/>
              <w:keepLines w:val="0"/>
              <w:suppressLineNumbers w:val="0"/>
              <w:spacing w:before="0" w:beforeAutospacing="0" w:after="0" w:afterAutospacing="0" w:line="360" w:lineRule="auto"/>
              <w:ind w:left="0" w:right="0" w:firstLine="480" w:firstLineChars="200"/>
              <w:rPr>
                <w:rFonts w:hint="default"/>
                <w:color w:val="auto"/>
                <w:sz w:val="24"/>
              </w:rPr>
            </w:pPr>
          </w:p>
          <w:p w14:paraId="1B266379">
            <w:pPr>
              <w:keepNext w:val="0"/>
              <w:keepLines w:val="0"/>
              <w:suppressLineNumbers w:val="0"/>
              <w:spacing w:before="0" w:beforeAutospacing="0" w:after="0" w:afterAutospacing="0" w:line="360" w:lineRule="auto"/>
              <w:ind w:left="0" w:right="0" w:firstLine="480" w:firstLineChars="200"/>
              <w:rPr>
                <w:rFonts w:hint="default"/>
                <w:color w:val="auto"/>
                <w:sz w:val="24"/>
              </w:rPr>
            </w:pPr>
          </w:p>
          <w:p w14:paraId="0C5F64D5">
            <w:pPr>
              <w:keepNext w:val="0"/>
              <w:keepLines w:val="0"/>
              <w:suppressLineNumbers w:val="0"/>
              <w:spacing w:before="0" w:beforeAutospacing="0" w:after="0" w:afterAutospacing="0" w:line="360" w:lineRule="auto"/>
              <w:ind w:left="0" w:right="0" w:firstLine="480" w:firstLineChars="200"/>
              <w:rPr>
                <w:rFonts w:hint="default"/>
                <w:color w:val="auto"/>
                <w:sz w:val="24"/>
              </w:rPr>
            </w:pPr>
          </w:p>
          <w:p w14:paraId="4D7B309D">
            <w:pPr>
              <w:keepNext w:val="0"/>
              <w:keepLines w:val="0"/>
              <w:suppressLineNumbers w:val="0"/>
              <w:spacing w:before="0" w:beforeAutospacing="0" w:after="0" w:afterAutospacing="0" w:line="360" w:lineRule="auto"/>
              <w:ind w:left="0" w:right="0" w:firstLine="480" w:firstLineChars="200"/>
              <w:rPr>
                <w:rFonts w:hint="default"/>
                <w:color w:val="auto"/>
                <w:sz w:val="24"/>
              </w:rPr>
            </w:pPr>
          </w:p>
          <w:p w14:paraId="0D96BDA4">
            <w:pPr>
              <w:keepNext w:val="0"/>
              <w:keepLines w:val="0"/>
              <w:suppressLineNumbers w:val="0"/>
              <w:spacing w:before="0" w:beforeAutospacing="0" w:after="0" w:afterAutospacing="0" w:line="360" w:lineRule="auto"/>
              <w:ind w:left="0" w:right="0" w:firstLine="480" w:firstLineChars="200"/>
              <w:rPr>
                <w:rFonts w:hint="default"/>
                <w:color w:val="auto"/>
                <w:sz w:val="24"/>
              </w:rPr>
            </w:pPr>
          </w:p>
          <w:p w14:paraId="49C90E8E">
            <w:pPr>
              <w:keepNext w:val="0"/>
              <w:keepLines w:val="0"/>
              <w:suppressLineNumbers w:val="0"/>
              <w:spacing w:before="0" w:beforeAutospacing="0" w:after="0" w:afterAutospacing="0" w:line="360" w:lineRule="auto"/>
              <w:ind w:left="0" w:right="0" w:firstLine="480" w:firstLineChars="200"/>
              <w:rPr>
                <w:rFonts w:hint="default"/>
                <w:color w:val="auto"/>
                <w:sz w:val="24"/>
              </w:rPr>
            </w:pPr>
          </w:p>
        </w:tc>
      </w:tr>
    </w:tbl>
    <w:p w14:paraId="68AD9A09">
      <w:pPr>
        <w:adjustRightInd w:val="0"/>
        <w:snapToGrid w:val="0"/>
        <w:spacing w:line="360" w:lineRule="auto"/>
        <w:rPr>
          <w:rFonts w:eastAsiaTheme="minorEastAsia"/>
          <w:color w:val="auto"/>
          <w:kern w:val="0"/>
          <w:sz w:val="24"/>
        </w:rPr>
      </w:pPr>
    </w:p>
    <w:p w14:paraId="3D13A230">
      <w:pPr>
        <w:adjustRightInd w:val="0"/>
        <w:snapToGrid w:val="0"/>
        <w:spacing w:line="360" w:lineRule="auto"/>
        <w:ind w:firstLine="480" w:firstLineChars="200"/>
        <w:rPr>
          <w:rFonts w:eastAsiaTheme="minorEastAsia"/>
          <w:color w:val="auto"/>
          <w:kern w:val="0"/>
          <w:sz w:val="24"/>
        </w:rPr>
        <w:sectPr>
          <w:pgSz w:w="11906" w:h="16838"/>
          <w:pgMar w:top="1701" w:right="1531" w:bottom="1701" w:left="1531" w:header="851" w:footer="851" w:gutter="0"/>
          <w:pgNumType w:fmt="decimal"/>
          <w:cols w:space="720" w:num="1"/>
          <w:docGrid w:linePitch="312" w:charSpace="0"/>
        </w:sectPr>
      </w:pPr>
    </w:p>
    <w:p w14:paraId="6DDB4805">
      <w:pPr>
        <w:pStyle w:val="15"/>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06A6C5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0" w:type="dxa"/>
            <w:vAlign w:val="center"/>
          </w:tcPr>
          <w:p w14:paraId="190FBF68">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区域</w:t>
            </w:r>
          </w:p>
          <w:p w14:paraId="218A19C0">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环境</w:t>
            </w:r>
          </w:p>
          <w:p w14:paraId="7733FAB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质量</w:t>
            </w:r>
          </w:p>
          <w:p w14:paraId="5CAD624D">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现状</w:t>
            </w:r>
          </w:p>
        </w:tc>
        <w:tc>
          <w:tcPr>
            <w:tcW w:w="8190" w:type="dxa"/>
            <w:vAlign w:val="center"/>
          </w:tcPr>
          <w:p w14:paraId="239C1368">
            <w:pPr>
              <w:keepNext w:val="0"/>
              <w:keepLines w:val="0"/>
              <w:suppressLineNumbers w:val="0"/>
              <w:adjustRightInd w:val="0"/>
              <w:snapToGrid w:val="0"/>
              <w:spacing w:before="120" w:beforeLines="50" w:beforeAutospacing="0" w:after="0" w:afterAutospacing="0" w:line="360" w:lineRule="auto"/>
              <w:ind w:left="0" w:right="0"/>
              <w:rPr>
                <w:rFonts w:hint="default" w:eastAsiaTheme="minorEastAsia"/>
                <w:b/>
                <w:color w:val="auto"/>
                <w:kern w:val="0"/>
                <w:sz w:val="24"/>
              </w:rPr>
            </w:pPr>
            <w:r>
              <w:rPr>
                <w:rFonts w:hint="default" w:eastAsiaTheme="minorEastAsia"/>
                <w:b/>
                <w:color w:val="auto"/>
                <w:kern w:val="0"/>
                <w:sz w:val="24"/>
              </w:rPr>
              <w:t>1.环境空气质量现状</w:t>
            </w:r>
          </w:p>
          <w:p w14:paraId="6FF90F44">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bookmarkStart w:id="8" w:name="_Hlk139529765"/>
            <w:r>
              <w:rPr>
                <w:rFonts w:hint="default" w:eastAsiaTheme="minorEastAsia"/>
                <w:color w:val="auto"/>
                <w:kern w:val="0"/>
                <w:sz w:val="24"/>
              </w:rPr>
              <w:t>项目位</w:t>
            </w:r>
            <w:r>
              <w:rPr>
                <w:rFonts w:hint="default"/>
                <w:color w:val="auto"/>
                <w:sz w:val="24"/>
              </w:rPr>
              <w:t>云南省昆明市盘龙区茨坝街道昆机社区龙泉路714号附1号（昆明机床厂劳动服务公司</w:t>
            </w:r>
            <w:r>
              <w:rPr>
                <w:rFonts w:hint="eastAsia"/>
                <w:color w:val="auto"/>
                <w:sz w:val="24"/>
                <w:lang w:val="en-US" w:eastAsia="zh-CN"/>
              </w:rPr>
              <w:t>内</w:t>
            </w:r>
            <w:r>
              <w:rPr>
                <w:rFonts w:hint="default"/>
                <w:color w:val="auto"/>
                <w:sz w:val="24"/>
              </w:rPr>
              <w:t>）</w:t>
            </w:r>
            <w:r>
              <w:rPr>
                <w:rFonts w:hint="default" w:eastAsiaTheme="minorEastAsia"/>
                <w:color w:val="auto"/>
                <w:kern w:val="0"/>
                <w:sz w:val="24"/>
              </w:rPr>
              <w:t>，所在区域为二类环境空气质量功能区，执行《环境空气质量标准》（GB3095-2012）二级标准。</w:t>
            </w:r>
          </w:p>
          <w:p w14:paraId="6396951D">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根据昆明市生态环境局发布的《2022年昆明市生态环境状况公报》，2022昆明市主城区（五华区、盘龙区、西山区、官渡区、呈贡区）环境空气优良率达100%。与2021年相比，优级天数增加37天，环境空气污染综合指数降低13.68%，</w:t>
            </w:r>
            <w:r>
              <w:rPr>
                <w:rFonts w:hint="default"/>
                <w:color w:val="auto"/>
                <w:kern w:val="0"/>
                <w:sz w:val="24"/>
              </w:rPr>
              <w:t>空气质量大幅度改善。</w:t>
            </w:r>
            <w:r>
              <w:rPr>
                <w:rFonts w:hint="eastAsia"/>
                <w:color w:val="auto"/>
                <w:kern w:val="0"/>
                <w:sz w:val="24"/>
              </w:rPr>
              <w:t>因此项目</w:t>
            </w:r>
            <w:r>
              <w:rPr>
                <w:rFonts w:hint="default"/>
                <w:color w:val="auto"/>
                <w:kern w:val="0"/>
                <w:sz w:val="24"/>
              </w:rPr>
              <w:t>所在地环境空气质量达到《环境空气质量标准》（GB3095-2012）二级标准要求，环境空气质量良好</w:t>
            </w:r>
            <w:r>
              <w:rPr>
                <w:rFonts w:hint="eastAsia"/>
                <w:color w:val="auto"/>
                <w:kern w:val="0"/>
                <w:sz w:val="24"/>
              </w:rPr>
              <w:t>。</w:t>
            </w:r>
          </w:p>
          <w:p w14:paraId="49FF178A">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为进一步了解项目区的环境空气质量，建设单位委托</w:t>
            </w:r>
            <w:r>
              <w:rPr>
                <w:rFonts w:hint="default"/>
                <w:color w:val="auto"/>
                <w:kern w:val="0"/>
                <w:sz w:val="24"/>
              </w:rPr>
              <w:t>云南中科检测技术有限公司于202</w:t>
            </w:r>
            <w:r>
              <w:rPr>
                <w:rFonts w:hint="eastAsia"/>
                <w:color w:val="auto"/>
                <w:kern w:val="0"/>
                <w:sz w:val="24"/>
              </w:rPr>
              <w:t>3</w:t>
            </w:r>
            <w:r>
              <w:rPr>
                <w:rFonts w:hint="default"/>
                <w:color w:val="auto"/>
                <w:kern w:val="0"/>
                <w:sz w:val="24"/>
              </w:rPr>
              <w:t>年</w:t>
            </w:r>
            <w:r>
              <w:rPr>
                <w:rFonts w:hint="eastAsia"/>
                <w:color w:val="auto"/>
                <w:kern w:val="0"/>
                <w:sz w:val="24"/>
              </w:rPr>
              <w:t>7</w:t>
            </w:r>
            <w:r>
              <w:rPr>
                <w:rFonts w:hint="default"/>
                <w:color w:val="auto"/>
                <w:kern w:val="0"/>
                <w:sz w:val="24"/>
              </w:rPr>
              <w:t>月</w:t>
            </w:r>
            <w:r>
              <w:rPr>
                <w:rFonts w:hint="eastAsia"/>
                <w:color w:val="auto"/>
                <w:kern w:val="0"/>
                <w:sz w:val="24"/>
                <w:lang w:val="en-US" w:eastAsia="zh-CN"/>
              </w:rPr>
              <w:t>7</w:t>
            </w:r>
            <w:r>
              <w:rPr>
                <w:rFonts w:hint="default"/>
                <w:color w:val="auto"/>
                <w:kern w:val="0"/>
                <w:sz w:val="24"/>
              </w:rPr>
              <w:t>日～202</w:t>
            </w:r>
            <w:r>
              <w:rPr>
                <w:rFonts w:hint="eastAsia"/>
                <w:color w:val="auto"/>
                <w:kern w:val="0"/>
                <w:sz w:val="24"/>
              </w:rPr>
              <w:t>3</w:t>
            </w:r>
            <w:r>
              <w:rPr>
                <w:rFonts w:hint="default"/>
                <w:color w:val="auto"/>
                <w:kern w:val="0"/>
                <w:sz w:val="24"/>
              </w:rPr>
              <w:t>年</w:t>
            </w:r>
            <w:r>
              <w:rPr>
                <w:rFonts w:hint="eastAsia"/>
                <w:color w:val="auto"/>
                <w:kern w:val="0"/>
                <w:sz w:val="24"/>
              </w:rPr>
              <w:t>7</w:t>
            </w:r>
            <w:r>
              <w:rPr>
                <w:rFonts w:hint="default"/>
                <w:color w:val="auto"/>
                <w:kern w:val="0"/>
                <w:sz w:val="24"/>
              </w:rPr>
              <w:t>月</w:t>
            </w:r>
            <w:r>
              <w:rPr>
                <w:rFonts w:hint="eastAsia"/>
                <w:color w:val="auto"/>
                <w:kern w:val="0"/>
                <w:sz w:val="24"/>
                <w:lang w:val="en-US" w:eastAsia="zh-CN"/>
              </w:rPr>
              <w:t>14</w:t>
            </w:r>
            <w:r>
              <w:rPr>
                <w:rFonts w:hint="default"/>
                <w:color w:val="auto"/>
                <w:kern w:val="0"/>
                <w:sz w:val="24"/>
              </w:rPr>
              <w:t>日连续7天对项目所在区域环</w:t>
            </w:r>
            <w:r>
              <w:rPr>
                <w:rFonts w:hint="default"/>
                <w:color w:val="auto"/>
                <w:kern w:val="0"/>
                <w:sz w:val="24"/>
                <w:highlight w:val="none"/>
              </w:rPr>
              <w:t>境空气中的</w:t>
            </w:r>
            <w:r>
              <w:rPr>
                <w:rFonts w:hint="eastAsia"/>
                <w:color w:val="auto"/>
                <w:kern w:val="0"/>
                <w:sz w:val="24"/>
                <w:highlight w:val="none"/>
                <w:lang w:val="en-US" w:eastAsia="zh-CN"/>
              </w:rPr>
              <w:t>苯并[a]芘</w:t>
            </w:r>
            <w:r>
              <w:rPr>
                <w:rFonts w:hint="default"/>
                <w:color w:val="auto"/>
                <w:kern w:val="0"/>
                <w:sz w:val="24"/>
                <w:highlight w:val="none"/>
              </w:rPr>
              <w:t>进行了现状监测</w:t>
            </w:r>
            <w:r>
              <w:rPr>
                <w:rFonts w:hint="eastAsia"/>
                <w:color w:val="auto"/>
                <w:kern w:val="0"/>
                <w:sz w:val="24"/>
                <w:highlight w:val="none"/>
              </w:rPr>
              <w:t>，</w:t>
            </w:r>
            <w:r>
              <w:rPr>
                <w:rFonts w:hint="default"/>
                <w:color w:val="auto"/>
                <w:kern w:val="0"/>
                <w:sz w:val="24"/>
                <w:highlight w:val="none"/>
              </w:rPr>
              <w:t>监测布点图详见附图</w:t>
            </w:r>
            <w:r>
              <w:rPr>
                <w:rFonts w:hint="eastAsia"/>
                <w:color w:val="auto"/>
                <w:kern w:val="0"/>
                <w:sz w:val="24"/>
                <w:highlight w:val="none"/>
                <w:lang w:val="en-US" w:eastAsia="zh-CN"/>
              </w:rPr>
              <w:t>5</w:t>
            </w:r>
            <w:r>
              <w:rPr>
                <w:rFonts w:hint="default"/>
                <w:color w:val="auto"/>
                <w:kern w:val="0"/>
                <w:sz w:val="24"/>
                <w:highlight w:val="none"/>
              </w:rPr>
              <w:t>，监测报告详见附件</w:t>
            </w:r>
            <w:r>
              <w:rPr>
                <w:rFonts w:hint="eastAsia"/>
                <w:color w:val="auto"/>
                <w:kern w:val="0"/>
                <w:sz w:val="24"/>
                <w:highlight w:val="none"/>
                <w:lang w:val="en-US" w:eastAsia="zh-CN"/>
              </w:rPr>
              <w:t>4</w:t>
            </w:r>
            <w:r>
              <w:rPr>
                <w:rFonts w:hint="default"/>
                <w:color w:val="auto"/>
                <w:kern w:val="0"/>
                <w:sz w:val="24"/>
                <w:highlight w:val="none"/>
              </w:rPr>
              <w:t>。</w:t>
            </w:r>
            <w:r>
              <w:rPr>
                <w:rFonts w:hint="eastAsia"/>
                <w:color w:val="auto"/>
                <w:kern w:val="0"/>
                <w:sz w:val="24"/>
                <w:highlight w:val="none"/>
              </w:rPr>
              <w:t>具</w:t>
            </w:r>
            <w:r>
              <w:rPr>
                <w:rFonts w:hint="eastAsia"/>
                <w:color w:val="auto"/>
                <w:kern w:val="0"/>
                <w:sz w:val="24"/>
              </w:rPr>
              <w:t>体监测</w:t>
            </w:r>
            <w:r>
              <w:rPr>
                <w:rFonts w:hint="default"/>
                <w:color w:val="auto"/>
                <w:kern w:val="0"/>
                <w:sz w:val="24"/>
              </w:rPr>
              <w:t>结果及评价结果见</w:t>
            </w:r>
            <w:r>
              <w:rPr>
                <w:rFonts w:hint="eastAsia"/>
                <w:color w:val="auto"/>
                <w:kern w:val="0"/>
                <w:sz w:val="24"/>
              </w:rPr>
              <w:t>下</w:t>
            </w:r>
            <w:r>
              <w:rPr>
                <w:rFonts w:hint="default"/>
                <w:color w:val="auto"/>
                <w:kern w:val="0"/>
                <w:sz w:val="24"/>
              </w:rPr>
              <w:t>表</w:t>
            </w:r>
            <w:r>
              <w:rPr>
                <w:rFonts w:hint="eastAsia"/>
                <w:color w:val="auto"/>
                <w:kern w:val="0"/>
                <w:sz w:val="24"/>
              </w:rPr>
              <w:t>所示。</w:t>
            </w:r>
          </w:p>
          <w:p w14:paraId="4F82EFB9">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eastAsia"/>
                <w:b/>
                <w:color w:val="auto"/>
                <w:kern w:val="0"/>
                <w:szCs w:val="21"/>
                <w:lang w:val="en-US" w:eastAsia="zh-CN"/>
              </w:rPr>
              <w:t>表</w:t>
            </w:r>
            <w:r>
              <w:rPr>
                <w:rFonts w:hint="default"/>
                <w:b/>
                <w:color w:val="auto"/>
                <w:kern w:val="0"/>
                <w:szCs w:val="21"/>
              </w:rPr>
              <w:t>3-1   区域空气质量现状评价表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669"/>
              <w:gridCol w:w="2227"/>
              <w:gridCol w:w="1219"/>
              <w:gridCol w:w="1214"/>
              <w:gridCol w:w="891"/>
              <w:gridCol w:w="749"/>
            </w:tblGrid>
            <w:tr w14:paraId="09D1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624" w:type="pct"/>
                  <w:vAlign w:val="center"/>
                </w:tcPr>
                <w:p w14:paraId="6AB13337">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sz w:val="21"/>
                      <w:szCs w:val="21"/>
                    </w:rPr>
                  </w:pPr>
                  <w:r>
                    <w:rPr>
                      <w:rFonts w:hint="default"/>
                      <w:b/>
                      <w:color w:val="auto"/>
                      <w:sz w:val="21"/>
                      <w:szCs w:val="21"/>
                    </w:rPr>
                    <w:t>监测点位</w:t>
                  </w:r>
                </w:p>
              </w:tc>
              <w:tc>
                <w:tcPr>
                  <w:tcW w:w="420" w:type="pct"/>
                  <w:vAlign w:val="center"/>
                </w:tcPr>
                <w:p w14:paraId="2887DEF0">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sz w:val="21"/>
                      <w:szCs w:val="21"/>
                    </w:rPr>
                  </w:pPr>
                  <w:r>
                    <w:rPr>
                      <w:rFonts w:hint="default"/>
                      <w:b/>
                      <w:color w:val="auto"/>
                      <w:sz w:val="21"/>
                      <w:szCs w:val="21"/>
                    </w:rPr>
                    <w:t>监测因子</w:t>
                  </w:r>
                </w:p>
              </w:tc>
              <w:tc>
                <w:tcPr>
                  <w:tcW w:w="1397" w:type="pct"/>
                  <w:vAlign w:val="center"/>
                </w:tcPr>
                <w:p w14:paraId="2BCCC214">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sz w:val="21"/>
                      <w:szCs w:val="21"/>
                    </w:rPr>
                  </w:pPr>
                  <w:r>
                    <w:rPr>
                      <w:rFonts w:hint="default"/>
                      <w:b/>
                      <w:color w:val="auto"/>
                      <w:sz w:val="21"/>
                      <w:szCs w:val="21"/>
                    </w:rPr>
                    <w:t>监测时间</w:t>
                  </w:r>
                </w:p>
              </w:tc>
              <w:tc>
                <w:tcPr>
                  <w:tcW w:w="765" w:type="pct"/>
                  <w:vAlign w:val="center"/>
                </w:tcPr>
                <w:p w14:paraId="52210357">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sz w:val="21"/>
                      <w:szCs w:val="21"/>
                    </w:rPr>
                  </w:pPr>
                  <w:r>
                    <w:rPr>
                      <w:rFonts w:hint="default"/>
                      <w:b/>
                      <w:color w:val="auto"/>
                      <w:sz w:val="21"/>
                      <w:szCs w:val="21"/>
                    </w:rPr>
                    <w:t>监测浓度范围（mg/m³）</w:t>
                  </w:r>
                </w:p>
              </w:tc>
              <w:tc>
                <w:tcPr>
                  <w:tcW w:w="762" w:type="pct"/>
                  <w:vAlign w:val="center"/>
                </w:tcPr>
                <w:p w14:paraId="37C7F266">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sz w:val="21"/>
                      <w:szCs w:val="21"/>
                    </w:rPr>
                  </w:pPr>
                  <w:r>
                    <w:rPr>
                      <w:rFonts w:hint="default"/>
                      <w:b/>
                      <w:color w:val="auto"/>
                      <w:sz w:val="21"/>
                      <w:szCs w:val="21"/>
                    </w:rPr>
                    <w:t>标准值（mg/m³）</w:t>
                  </w:r>
                </w:p>
              </w:tc>
              <w:tc>
                <w:tcPr>
                  <w:tcW w:w="559" w:type="pct"/>
                  <w:vAlign w:val="center"/>
                </w:tcPr>
                <w:p w14:paraId="4057A218">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sz w:val="21"/>
                      <w:szCs w:val="21"/>
                    </w:rPr>
                  </w:pPr>
                  <w:r>
                    <w:rPr>
                      <w:rFonts w:hint="default"/>
                      <w:b/>
                      <w:color w:val="auto"/>
                      <w:sz w:val="21"/>
                      <w:szCs w:val="21"/>
                    </w:rPr>
                    <w:t>最大占标率</w:t>
                  </w:r>
                </w:p>
              </w:tc>
              <w:tc>
                <w:tcPr>
                  <w:tcW w:w="470" w:type="pct"/>
                  <w:vAlign w:val="center"/>
                </w:tcPr>
                <w:p w14:paraId="79A01FA9">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sz w:val="21"/>
                      <w:szCs w:val="21"/>
                    </w:rPr>
                  </w:pPr>
                  <w:r>
                    <w:rPr>
                      <w:rFonts w:hint="default"/>
                      <w:b/>
                      <w:color w:val="auto"/>
                      <w:sz w:val="21"/>
                      <w:szCs w:val="21"/>
                    </w:rPr>
                    <w:t>达标情况</w:t>
                  </w:r>
                </w:p>
              </w:tc>
            </w:tr>
            <w:tr w14:paraId="0BBE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pct"/>
                  <w:vMerge w:val="restart"/>
                  <w:vAlign w:val="center"/>
                </w:tcPr>
                <w:p w14:paraId="2CF5A3B5">
                  <w:pPr>
                    <w:pStyle w:val="54"/>
                    <w:keepNext w:val="0"/>
                    <w:keepLines w:val="0"/>
                    <w:suppressLineNumbers w:val="0"/>
                    <w:spacing w:before="0" w:beforeAutospacing="0" w:after="0" w:afterAutospacing="0" w:line="240" w:lineRule="auto"/>
                    <w:ind w:left="0" w:leftChars="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A1：</w:t>
                  </w:r>
                  <w:r>
                    <w:rPr>
                      <w:rFonts w:hint="default"/>
                      <w:color w:val="auto"/>
                      <w:sz w:val="21"/>
                      <w:szCs w:val="21"/>
                    </w:rPr>
                    <w:t>项目区</w:t>
                  </w:r>
                  <w:r>
                    <w:rPr>
                      <w:rFonts w:hint="eastAsia"/>
                      <w:color w:val="auto"/>
                      <w:sz w:val="21"/>
                      <w:szCs w:val="21"/>
                      <w:lang w:val="en-US" w:eastAsia="zh-CN"/>
                    </w:rPr>
                    <w:t>下风向240m处的昆明机床厂住宅区</w:t>
                  </w:r>
                </w:p>
              </w:tc>
              <w:tc>
                <w:tcPr>
                  <w:tcW w:w="420" w:type="pct"/>
                  <w:vMerge w:val="restart"/>
                  <w:vAlign w:val="center"/>
                </w:tcPr>
                <w:p w14:paraId="2058C396">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r>
                    <w:rPr>
                      <w:rFonts w:hint="eastAsia"/>
                      <w:color w:val="auto"/>
                      <w:kern w:val="0"/>
                      <w:sz w:val="21"/>
                      <w:szCs w:val="21"/>
                      <w:lang w:val="en-US" w:eastAsia="zh-CN"/>
                    </w:rPr>
                    <w:t>苯并[a]芘</w:t>
                  </w:r>
                </w:p>
              </w:tc>
              <w:tc>
                <w:tcPr>
                  <w:tcW w:w="1397" w:type="pct"/>
                  <w:vAlign w:val="center"/>
                </w:tcPr>
                <w:p w14:paraId="27F54323">
                  <w:pPr>
                    <w:pStyle w:val="54"/>
                    <w:keepNext w:val="0"/>
                    <w:keepLines w:val="0"/>
                    <w:suppressLineNumbers w:val="0"/>
                    <w:spacing w:before="0" w:beforeAutospacing="0" w:after="0" w:afterAutospacing="0" w:line="240" w:lineRule="auto"/>
                    <w:ind w:left="0" w:leftChars="0" w:right="0" w:firstLine="0" w:firstLineChars="0"/>
                    <w:jc w:val="center"/>
                    <w:rPr>
                      <w:rFonts w:hint="default" w:eastAsia="宋体"/>
                      <w:color w:val="auto"/>
                      <w:sz w:val="21"/>
                      <w:szCs w:val="21"/>
                      <w:lang w:val="en-US" w:eastAsia="zh-CN"/>
                    </w:rPr>
                  </w:pPr>
                  <w:r>
                    <w:rPr>
                      <w:rFonts w:hint="default"/>
                      <w:color w:val="auto"/>
                      <w:sz w:val="21"/>
                      <w:szCs w:val="21"/>
                    </w:rPr>
                    <w:t>202</w:t>
                  </w:r>
                  <w:r>
                    <w:rPr>
                      <w:rFonts w:hint="eastAsia"/>
                      <w:color w:val="auto"/>
                      <w:sz w:val="21"/>
                      <w:szCs w:val="21"/>
                      <w:lang w:val="en-US" w:eastAsia="zh-CN"/>
                    </w:rPr>
                    <w:t>3</w:t>
                  </w:r>
                  <w:r>
                    <w:rPr>
                      <w:rFonts w:hint="default"/>
                      <w:color w:val="auto"/>
                      <w:sz w:val="21"/>
                      <w:szCs w:val="21"/>
                    </w:rPr>
                    <w:t>.0</w:t>
                  </w:r>
                  <w:r>
                    <w:rPr>
                      <w:rFonts w:hint="eastAsia"/>
                      <w:color w:val="auto"/>
                      <w:sz w:val="21"/>
                      <w:szCs w:val="21"/>
                      <w:lang w:val="en-US" w:eastAsia="zh-CN"/>
                    </w:rPr>
                    <w:t>7</w:t>
                  </w:r>
                  <w:r>
                    <w:rPr>
                      <w:rFonts w:hint="default"/>
                      <w:color w:val="auto"/>
                      <w:sz w:val="21"/>
                      <w:szCs w:val="21"/>
                    </w:rPr>
                    <w:t>.</w:t>
                  </w:r>
                  <w:r>
                    <w:rPr>
                      <w:rFonts w:hint="eastAsia"/>
                      <w:color w:val="auto"/>
                      <w:sz w:val="21"/>
                      <w:szCs w:val="21"/>
                      <w:lang w:val="en-US" w:eastAsia="zh-CN"/>
                    </w:rPr>
                    <w:t>07~2023.07.08</w:t>
                  </w:r>
                </w:p>
              </w:tc>
              <w:tc>
                <w:tcPr>
                  <w:tcW w:w="765" w:type="pct"/>
                  <w:vMerge w:val="restart"/>
                  <w:vAlign w:val="center"/>
                </w:tcPr>
                <w:p w14:paraId="326FB6BD">
                  <w:pPr>
                    <w:pStyle w:val="54"/>
                    <w:keepNext w:val="0"/>
                    <w:keepLines w:val="0"/>
                    <w:suppressLineNumbers w:val="0"/>
                    <w:spacing w:before="0" w:beforeAutospacing="0" w:after="0" w:afterAutospacing="0" w:line="240" w:lineRule="auto"/>
                    <w:ind w:left="0" w:leftChars="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-7</w:t>
                  </w:r>
                  <w:r>
                    <w:rPr>
                      <w:rFonts w:hint="eastAsia"/>
                      <w:color w:val="auto"/>
                      <w:sz w:val="21"/>
                      <w:szCs w:val="21"/>
                      <w:lang w:val="en-US" w:eastAsia="zh-CN"/>
                    </w:rPr>
                    <w:t>L</w:t>
                  </w:r>
                </w:p>
              </w:tc>
              <w:tc>
                <w:tcPr>
                  <w:tcW w:w="762" w:type="pct"/>
                  <w:vMerge w:val="restart"/>
                  <w:vAlign w:val="center"/>
                </w:tcPr>
                <w:p w14:paraId="2F2F1E89">
                  <w:pPr>
                    <w:pStyle w:val="54"/>
                    <w:keepNext w:val="0"/>
                    <w:keepLines w:val="0"/>
                    <w:suppressLineNumbers w:val="0"/>
                    <w:spacing w:before="0" w:beforeAutospacing="0" w:after="0" w:afterAutospacing="0" w:line="240" w:lineRule="auto"/>
                    <w:ind w:left="0" w:leftChars="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0.0000025</w:t>
                  </w:r>
                </w:p>
              </w:tc>
              <w:tc>
                <w:tcPr>
                  <w:tcW w:w="559" w:type="pct"/>
                  <w:vMerge w:val="restart"/>
                  <w:vAlign w:val="center"/>
                </w:tcPr>
                <w:p w14:paraId="061CD9B8">
                  <w:pPr>
                    <w:pStyle w:val="54"/>
                    <w:keepNext w:val="0"/>
                    <w:keepLines w:val="0"/>
                    <w:suppressLineNumbers w:val="0"/>
                    <w:spacing w:before="0" w:beforeAutospacing="0" w:after="0" w:afterAutospacing="0" w:line="240" w:lineRule="auto"/>
                    <w:ind w:left="0" w:leftChars="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w:t>
                  </w:r>
                </w:p>
              </w:tc>
              <w:tc>
                <w:tcPr>
                  <w:tcW w:w="470" w:type="pct"/>
                  <w:vMerge w:val="restart"/>
                  <w:vAlign w:val="center"/>
                </w:tcPr>
                <w:p w14:paraId="128D170E">
                  <w:pPr>
                    <w:pStyle w:val="54"/>
                    <w:keepNext w:val="0"/>
                    <w:keepLines w:val="0"/>
                    <w:suppressLineNumbers w:val="0"/>
                    <w:spacing w:before="0" w:beforeAutospacing="0" w:after="0" w:afterAutospacing="0" w:line="240" w:lineRule="auto"/>
                    <w:ind w:left="0" w:leftChars="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达标</w:t>
                  </w:r>
                </w:p>
              </w:tc>
            </w:tr>
            <w:tr w14:paraId="2209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57E67609">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420" w:type="pct"/>
                  <w:vMerge w:val="continue"/>
                  <w:vAlign w:val="center"/>
                </w:tcPr>
                <w:p w14:paraId="14D1BBAF">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 w:val="21"/>
                      <w:szCs w:val="21"/>
                    </w:rPr>
                  </w:pPr>
                </w:p>
              </w:tc>
              <w:tc>
                <w:tcPr>
                  <w:tcW w:w="1397" w:type="pct"/>
                  <w:vAlign w:val="center"/>
                </w:tcPr>
                <w:p w14:paraId="3E7D7D15">
                  <w:pPr>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r>
                    <w:rPr>
                      <w:rFonts w:hint="default"/>
                      <w:color w:val="auto"/>
                      <w:sz w:val="21"/>
                      <w:szCs w:val="21"/>
                    </w:rPr>
                    <w:t>202</w:t>
                  </w:r>
                  <w:r>
                    <w:rPr>
                      <w:rFonts w:hint="eastAsia"/>
                      <w:color w:val="auto"/>
                      <w:sz w:val="21"/>
                      <w:szCs w:val="21"/>
                      <w:lang w:val="en-US" w:eastAsia="zh-CN"/>
                    </w:rPr>
                    <w:t>3</w:t>
                  </w:r>
                  <w:r>
                    <w:rPr>
                      <w:rFonts w:hint="default"/>
                      <w:color w:val="auto"/>
                      <w:sz w:val="21"/>
                      <w:szCs w:val="21"/>
                    </w:rPr>
                    <w:t>.0</w:t>
                  </w:r>
                  <w:r>
                    <w:rPr>
                      <w:rFonts w:hint="eastAsia"/>
                      <w:color w:val="auto"/>
                      <w:sz w:val="21"/>
                      <w:szCs w:val="21"/>
                      <w:lang w:val="en-US" w:eastAsia="zh-CN"/>
                    </w:rPr>
                    <w:t>7</w:t>
                  </w:r>
                  <w:r>
                    <w:rPr>
                      <w:rFonts w:hint="default"/>
                      <w:color w:val="auto"/>
                      <w:sz w:val="21"/>
                      <w:szCs w:val="21"/>
                    </w:rPr>
                    <w:t>.</w:t>
                  </w:r>
                  <w:r>
                    <w:rPr>
                      <w:rFonts w:hint="eastAsia"/>
                      <w:color w:val="auto"/>
                      <w:sz w:val="21"/>
                      <w:szCs w:val="21"/>
                      <w:lang w:val="en-US" w:eastAsia="zh-CN"/>
                    </w:rPr>
                    <w:t>08~2023.07.09</w:t>
                  </w:r>
                </w:p>
              </w:tc>
              <w:tc>
                <w:tcPr>
                  <w:tcW w:w="765" w:type="pct"/>
                  <w:vMerge w:val="continue"/>
                  <w:vAlign w:val="center"/>
                </w:tcPr>
                <w:p w14:paraId="7CF62788">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762" w:type="pct"/>
                  <w:vMerge w:val="continue"/>
                  <w:vAlign w:val="center"/>
                </w:tcPr>
                <w:p w14:paraId="1586041A">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559" w:type="pct"/>
                  <w:vMerge w:val="continue"/>
                  <w:vAlign w:val="center"/>
                </w:tcPr>
                <w:p w14:paraId="7FAA650B">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470" w:type="pct"/>
                  <w:vMerge w:val="continue"/>
                  <w:vAlign w:val="center"/>
                </w:tcPr>
                <w:p w14:paraId="4CB76651">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r>
            <w:tr w14:paraId="5901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203C4E01">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420" w:type="pct"/>
                  <w:vMerge w:val="continue"/>
                  <w:vAlign w:val="center"/>
                </w:tcPr>
                <w:p w14:paraId="072A0AB7">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 w:val="21"/>
                      <w:szCs w:val="21"/>
                    </w:rPr>
                  </w:pPr>
                </w:p>
              </w:tc>
              <w:tc>
                <w:tcPr>
                  <w:tcW w:w="1397" w:type="pct"/>
                  <w:vAlign w:val="center"/>
                </w:tcPr>
                <w:p w14:paraId="160CD6A1">
                  <w:pPr>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lang w:val="en-US"/>
                    </w:rPr>
                  </w:pPr>
                  <w:r>
                    <w:rPr>
                      <w:rFonts w:hint="default"/>
                      <w:color w:val="auto"/>
                      <w:sz w:val="21"/>
                      <w:szCs w:val="21"/>
                    </w:rPr>
                    <w:t>202</w:t>
                  </w:r>
                  <w:r>
                    <w:rPr>
                      <w:rFonts w:hint="eastAsia"/>
                      <w:color w:val="auto"/>
                      <w:sz w:val="21"/>
                      <w:szCs w:val="21"/>
                      <w:lang w:val="en-US" w:eastAsia="zh-CN"/>
                    </w:rPr>
                    <w:t>3</w:t>
                  </w:r>
                  <w:r>
                    <w:rPr>
                      <w:rFonts w:hint="default"/>
                      <w:color w:val="auto"/>
                      <w:sz w:val="21"/>
                      <w:szCs w:val="21"/>
                    </w:rPr>
                    <w:t>.0</w:t>
                  </w:r>
                  <w:r>
                    <w:rPr>
                      <w:rFonts w:hint="eastAsia"/>
                      <w:color w:val="auto"/>
                      <w:sz w:val="21"/>
                      <w:szCs w:val="21"/>
                      <w:lang w:val="en-US" w:eastAsia="zh-CN"/>
                    </w:rPr>
                    <w:t>7</w:t>
                  </w:r>
                  <w:r>
                    <w:rPr>
                      <w:rFonts w:hint="default"/>
                      <w:color w:val="auto"/>
                      <w:sz w:val="21"/>
                      <w:szCs w:val="21"/>
                    </w:rPr>
                    <w:t>.</w:t>
                  </w:r>
                  <w:r>
                    <w:rPr>
                      <w:rFonts w:hint="eastAsia"/>
                      <w:color w:val="auto"/>
                      <w:sz w:val="21"/>
                      <w:szCs w:val="21"/>
                      <w:lang w:val="en-US" w:eastAsia="zh-CN"/>
                    </w:rPr>
                    <w:t>09~2023.07.10</w:t>
                  </w:r>
                </w:p>
              </w:tc>
              <w:tc>
                <w:tcPr>
                  <w:tcW w:w="765" w:type="pct"/>
                  <w:vMerge w:val="continue"/>
                  <w:vAlign w:val="center"/>
                </w:tcPr>
                <w:p w14:paraId="605EF9AA">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762" w:type="pct"/>
                  <w:vMerge w:val="continue"/>
                  <w:vAlign w:val="center"/>
                </w:tcPr>
                <w:p w14:paraId="6F821A52">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559" w:type="pct"/>
                  <w:vMerge w:val="continue"/>
                  <w:vAlign w:val="center"/>
                </w:tcPr>
                <w:p w14:paraId="021AB0DC">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470" w:type="pct"/>
                  <w:vMerge w:val="continue"/>
                  <w:vAlign w:val="center"/>
                </w:tcPr>
                <w:p w14:paraId="16663939">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r>
            <w:tr w14:paraId="1F0E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3F55B2D6">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420" w:type="pct"/>
                  <w:vMerge w:val="continue"/>
                  <w:vAlign w:val="center"/>
                </w:tcPr>
                <w:p w14:paraId="05C3D76D">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 w:val="21"/>
                      <w:szCs w:val="21"/>
                    </w:rPr>
                  </w:pPr>
                </w:p>
              </w:tc>
              <w:tc>
                <w:tcPr>
                  <w:tcW w:w="1397" w:type="pct"/>
                  <w:vAlign w:val="center"/>
                </w:tcPr>
                <w:p w14:paraId="7F24F236">
                  <w:pPr>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lang w:val="en-US"/>
                    </w:rPr>
                  </w:pPr>
                  <w:r>
                    <w:rPr>
                      <w:rFonts w:hint="default"/>
                      <w:color w:val="auto"/>
                      <w:sz w:val="21"/>
                      <w:szCs w:val="21"/>
                    </w:rPr>
                    <w:t>202</w:t>
                  </w:r>
                  <w:r>
                    <w:rPr>
                      <w:rFonts w:hint="eastAsia"/>
                      <w:color w:val="auto"/>
                      <w:sz w:val="21"/>
                      <w:szCs w:val="21"/>
                      <w:lang w:val="en-US" w:eastAsia="zh-CN"/>
                    </w:rPr>
                    <w:t>3</w:t>
                  </w:r>
                  <w:r>
                    <w:rPr>
                      <w:rFonts w:hint="default"/>
                      <w:color w:val="auto"/>
                      <w:sz w:val="21"/>
                      <w:szCs w:val="21"/>
                    </w:rPr>
                    <w:t>.0</w:t>
                  </w:r>
                  <w:r>
                    <w:rPr>
                      <w:rFonts w:hint="eastAsia"/>
                      <w:color w:val="auto"/>
                      <w:sz w:val="21"/>
                      <w:szCs w:val="21"/>
                      <w:lang w:val="en-US" w:eastAsia="zh-CN"/>
                    </w:rPr>
                    <w:t>7</w:t>
                  </w:r>
                  <w:r>
                    <w:rPr>
                      <w:rFonts w:hint="default"/>
                      <w:color w:val="auto"/>
                      <w:sz w:val="21"/>
                      <w:szCs w:val="21"/>
                    </w:rPr>
                    <w:t>.</w:t>
                  </w:r>
                  <w:r>
                    <w:rPr>
                      <w:rFonts w:hint="eastAsia"/>
                      <w:color w:val="auto"/>
                      <w:sz w:val="21"/>
                      <w:szCs w:val="21"/>
                      <w:lang w:val="en-US" w:eastAsia="zh-CN"/>
                    </w:rPr>
                    <w:t>10~2023.07.11</w:t>
                  </w:r>
                </w:p>
              </w:tc>
              <w:tc>
                <w:tcPr>
                  <w:tcW w:w="765" w:type="pct"/>
                  <w:vMerge w:val="continue"/>
                  <w:vAlign w:val="center"/>
                </w:tcPr>
                <w:p w14:paraId="59F34F8D">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762" w:type="pct"/>
                  <w:vMerge w:val="continue"/>
                  <w:vAlign w:val="center"/>
                </w:tcPr>
                <w:p w14:paraId="6877F101">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559" w:type="pct"/>
                  <w:vMerge w:val="continue"/>
                  <w:vAlign w:val="center"/>
                </w:tcPr>
                <w:p w14:paraId="67B0114F">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470" w:type="pct"/>
                  <w:vMerge w:val="continue"/>
                  <w:vAlign w:val="center"/>
                </w:tcPr>
                <w:p w14:paraId="6F04561C">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r>
            <w:tr w14:paraId="3ED9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pct"/>
                  <w:vMerge w:val="continue"/>
                  <w:vAlign w:val="center"/>
                </w:tcPr>
                <w:p w14:paraId="5C777A60">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420" w:type="pct"/>
                  <w:vMerge w:val="continue"/>
                  <w:vAlign w:val="center"/>
                </w:tcPr>
                <w:p w14:paraId="5B205860">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 w:val="21"/>
                      <w:szCs w:val="21"/>
                    </w:rPr>
                  </w:pPr>
                </w:p>
              </w:tc>
              <w:tc>
                <w:tcPr>
                  <w:tcW w:w="1397" w:type="pct"/>
                  <w:vAlign w:val="center"/>
                </w:tcPr>
                <w:p w14:paraId="3E44A1BB">
                  <w:pPr>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lang w:val="en-US"/>
                    </w:rPr>
                  </w:pPr>
                  <w:r>
                    <w:rPr>
                      <w:rFonts w:hint="default"/>
                      <w:color w:val="auto"/>
                      <w:sz w:val="21"/>
                      <w:szCs w:val="21"/>
                    </w:rPr>
                    <w:t>202</w:t>
                  </w:r>
                  <w:r>
                    <w:rPr>
                      <w:rFonts w:hint="eastAsia"/>
                      <w:color w:val="auto"/>
                      <w:sz w:val="21"/>
                      <w:szCs w:val="21"/>
                      <w:lang w:val="en-US" w:eastAsia="zh-CN"/>
                    </w:rPr>
                    <w:t>3</w:t>
                  </w:r>
                  <w:r>
                    <w:rPr>
                      <w:rFonts w:hint="default"/>
                      <w:color w:val="auto"/>
                      <w:sz w:val="21"/>
                      <w:szCs w:val="21"/>
                    </w:rPr>
                    <w:t>.0</w:t>
                  </w:r>
                  <w:r>
                    <w:rPr>
                      <w:rFonts w:hint="eastAsia"/>
                      <w:color w:val="auto"/>
                      <w:sz w:val="21"/>
                      <w:szCs w:val="21"/>
                      <w:lang w:val="en-US" w:eastAsia="zh-CN"/>
                    </w:rPr>
                    <w:t>7</w:t>
                  </w:r>
                  <w:r>
                    <w:rPr>
                      <w:rFonts w:hint="default"/>
                      <w:color w:val="auto"/>
                      <w:sz w:val="21"/>
                      <w:szCs w:val="21"/>
                    </w:rPr>
                    <w:t>.</w:t>
                  </w:r>
                  <w:r>
                    <w:rPr>
                      <w:rFonts w:hint="eastAsia"/>
                      <w:color w:val="auto"/>
                      <w:sz w:val="21"/>
                      <w:szCs w:val="21"/>
                      <w:lang w:val="en-US" w:eastAsia="zh-CN"/>
                    </w:rPr>
                    <w:t>11~2023.07.12</w:t>
                  </w:r>
                </w:p>
              </w:tc>
              <w:tc>
                <w:tcPr>
                  <w:tcW w:w="765" w:type="pct"/>
                  <w:vMerge w:val="continue"/>
                  <w:vAlign w:val="center"/>
                </w:tcPr>
                <w:p w14:paraId="2B798D61">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762" w:type="pct"/>
                  <w:vMerge w:val="continue"/>
                  <w:vAlign w:val="center"/>
                </w:tcPr>
                <w:p w14:paraId="375F5EE3">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559" w:type="pct"/>
                  <w:vMerge w:val="continue"/>
                  <w:vAlign w:val="center"/>
                </w:tcPr>
                <w:p w14:paraId="493532A5">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470" w:type="pct"/>
                  <w:vMerge w:val="continue"/>
                  <w:vAlign w:val="center"/>
                </w:tcPr>
                <w:p w14:paraId="362DEBB7">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r>
            <w:tr w14:paraId="1748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0A97B3E4">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420" w:type="pct"/>
                  <w:vMerge w:val="continue"/>
                  <w:vAlign w:val="center"/>
                </w:tcPr>
                <w:p w14:paraId="5935930E">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 w:val="21"/>
                      <w:szCs w:val="21"/>
                    </w:rPr>
                  </w:pPr>
                </w:p>
              </w:tc>
              <w:tc>
                <w:tcPr>
                  <w:tcW w:w="1397" w:type="pct"/>
                  <w:vAlign w:val="center"/>
                </w:tcPr>
                <w:p w14:paraId="40C1E32C">
                  <w:pPr>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lang w:val="en-US"/>
                    </w:rPr>
                  </w:pPr>
                  <w:r>
                    <w:rPr>
                      <w:rFonts w:hint="default"/>
                      <w:color w:val="auto"/>
                      <w:sz w:val="21"/>
                      <w:szCs w:val="21"/>
                    </w:rPr>
                    <w:t>202</w:t>
                  </w:r>
                  <w:r>
                    <w:rPr>
                      <w:rFonts w:hint="eastAsia"/>
                      <w:color w:val="auto"/>
                      <w:sz w:val="21"/>
                      <w:szCs w:val="21"/>
                      <w:lang w:val="en-US" w:eastAsia="zh-CN"/>
                    </w:rPr>
                    <w:t>3</w:t>
                  </w:r>
                  <w:r>
                    <w:rPr>
                      <w:rFonts w:hint="default"/>
                      <w:color w:val="auto"/>
                      <w:sz w:val="21"/>
                      <w:szCs w:val="21"/>
                    </w:rPr>
                    <w:t>.0</w:t>
                  </w:r>
                  <w:r>
                    <w:rPr>
                      <w:rFonts w:hint="eastAsia"/>
                      <w:color w:val="auto"/>
                      <w:sz w:val="21"/>
                      <w:szCs w:val="21"/>
                      <w:lang w:val="en-US" w:eastAsia="zh-CN"/>
                    </w:rPr>
                    <w:t>7</w:t>
                  </w:r>
                  <w:r>
                    <w:rPr>
                      <w:rFonts w:hint="default"/>
                      <w:color w:val="auto"/>
                      <w:sz w:val="21"/>
                      <w:szCs w:val="21"/>
                    </w:rPr>
                    <w:t>.</w:t>
                  </w:r>
                  <w:r>
                    <w:rPr>
                      <w:rFonts w:hint="eastAsia"/>
                      <w:color w:val="auto"/>
                      <w:sz w:val="21"/>
                      <w:szCs w:val="21"/>
                      <w:lang w:val="en-US" w:eastAsia="zh-CN"/>
                    </w:rPr>
                    <w:t>12~2023.07.13</w:t>
                  </w:r>
                </w:p>
              </w:tc>
              <w:tc>
                <w:tcPr>
                  <w:tcW w:w="765" w:type="pct"/>
                  <w:vMerge w:val="continue"/>
                  <w:vAlign w:val="center"/>
                </w:tcPr>
                <w:p w14:paraId="084C15E9">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762" w:type="pct"/>
                  <w:vMerge w:val="continue"/>
                  <w:vAlign w:val="center"/>
                </w:tcPr>
                <w:p w14:paraId="594F5DA9">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559" w:type="pct"/>
                  <w:vMerge w:val="continue"/>
                  <w:vAlign w:val="center"/>
                </w:tcPr>
                <w:p w14:paraId="3EAC23F7">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470" w:type="pct"/>
                  <w:vMerge w:val="continue"/>
                  <w:vAlign w:val="center"/>
                </w:tcPr>
                <w:p w14:paraId="4ED0ED52">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r>
            <w:tr w14:paraId="2CAD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4559143E">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420" w:type="pct"/>
                  <w:vMerge w:val="continue"/>
                  <w:vAlign w:val="center"/>
                </w:tcPr>
                <w:p w14:paraId="795E749E">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 w:val="21"/>
                      <w:szCs w:val="21"/>
                    </w:rPr>
                  </w:pPr>
                </w:p>
              </w:tc>
              <w:tc>
                <w:tcPr>
                  <w:tcW w:w="1397" w:type="pct"/>
                  <w:vAlign w:val="center"/>
                </w:tcPr>
                <w:p w14:paraId="3684447A">
                  <w:pPr>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lang w:val="en-US"/>
                    </w:rPr>
                  </w:pPr>
                  <w:r>
                    <w:rPr>
                      <w:rFonts w:hint="default"/>
                      <w:color w:val="auto"/>
                      <w:sz w:val="21"/>
                      <w:szCs w:val="21"/>
                    </w:rPr>
                    <w:t>202</w:t>
                  </w:r>
                  <w:r>
                    <w:rPr>
                      <w:rFonts w:hint="eastAsia"/>
                      <w:color w:val="auto"/>
                      <w:sz w:val="21"/>
                      <w:szCs w:val="21"/>
                      <w:lang w:val="en-US" w:eastAsia="zh-CN"/>
                    </w:rPr>
                    <w:t>3</w:t>
                  </w:r>
                  <w:r>
                    <w:rPr>
                      <w:rFonts w:hint="default"/>
                      <w:color w:val="auto"/>
                      <w:sz w:val="21"/>
                      <w:szCs w:val="21"/>
                    </w:rPr>
                    <w:t>.0</w:t>
                  </w:r>
                  <w:r>
                    <w:rPr>
                      <w:rFonts w:hint="eastAsia"/>
                      <w:color w:val="auto"/>
                      <w:sz w:val="21"/>
                      <w:szCs w:val="21"/>
                      <w:lang w:val="en-US" w:eastAsia="zh-CN"/>
                    </w:rPr>
                    <w:t>7</w:t>
                  </w:r>
                  <w:r>
                    <w:rPr>
                      <w:rFonts w:hint="default"/>
                      <w:color w:val="auto"/>
                      <w:sz w:val="21"/>
                      <w:szCs w:val="21"/>
                    </w:rPr>
                    <w:t>.</w:t>
                  </w:r>
                  <w:r>
                    <w:rPr>
                      <w:rFonts w:hint="eastAsia"/>
                      <w:color w:val="auto"/>
                      <w:sz w:val="21"/>
                      <w:szCs w:val="21"/>
                      <w:lang w:val="en-US" w:eastAsia="zh-CN"/>
                    </w:rPr>
                    <w:t>13~2023.07.14</w:t>
                  </w:r>
                </w:p>
              </w:tc>
              <w:tc>
                <w:tcPr>
                  <w:tcW w:w="765" w:type="pct"/>
                  <w:vMerge w:val="continue"/>
                  <w:vAlign w:val="center"/>
                </w:tcPr>
                <w:p w14:paraId="0CDBBA60">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762" w:type="pct"/>
                  <w:vMerge w:val="continue"/>
                  <w:vAlign w:val="center"/>
                </w:tcPr>
                <w:p w14:paraId="3764271C">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559" w:type="pct"/>
                  <w:vMerge w:val="continue"/>
                  <w:vAlign w:val="center"/>
                </w:tcPr>
                <w:p w14:paraId="778977E4">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c>
                <w:tcPr>
                  <w:tcW w:w="470" w:type="pct"/>
                  <w:vMerge w:val="continue"/>
                  <w:vAlign w:val="center"/>
                </w:tcPr>
                <w:p w14:paraId="12CECEDA">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rPr>
                  </w:pPr>
                </w:p>
              </w:tc>
            </w:tr>
          </w:tbl>
          <w:p w14:paraId="4707F0C5">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default" w:ascii="Times New Roman" w:hAnsi="Times New Roman" w:cs="Times New Roman"/>
                <w:color w:val="auto"/>
                <w:kern w:val="0"/>
                <w:sz w:val="24"/>
                <w:szCs w:val="24"/>
              </w:rPr>
              <w:t>根据上表补充监测结果分析，项目区</w:t>
            </w:r>
            <w:r>
              <w:rPr>
                <w:rFonts w:hint="default" w:ascii="Times New Roman" w:hAnsi="Times New Roman" w:cs="Times New Roman"/>
                <w:color w:val="auto"/>
                <w:kern w:val="0"/>
                <w:sz w:val="24"/>
                <w:szCs w:val="24"/>
                <w:lang w:val="en-US" w:eastAsia="zh-CN"/>
              </w:rPr>
              <w:t>苯并[a]芘</w:t>
            </w:r>
            <w:r>
              <w:rPr>
                <w:rFonts w:hint="default" w:ascii="Times New Roman" w:hAnsi="Times New Roman" w:cs="Times New Roman"/>
                <w:color w:val="auto"/>
                <w:kern w:val="0"/>
                <w:sz w:val="24"/>
                <w:szCs w:val="24"/>
              </w:rPr>
              <w:t>小时平均浓度低于</w:t>
            </w:r>
            <w:r>
              <w:rPr>
                <w:rFonts w:hint="default" w:ascii="Times New Roman" w:hAnsi="Times New Roman" w:cs="Times New Roman"/>
                <w:color w:val="auto"/>
                <w:sz w:val="24"/>
                <w:szCs w:val="24"/>
                <w:lang w:val="en-US" w:eastAsia="zh-CN"/>
              </w:rPr>
              <w:t>《环境空气质量标准》（GB3095-2012）中二类区</w:t>
            </w:r>
            <w:r>
              <w:rPr>
                <w:rFonts w:hint="default" w:ascii="Times New Roman" w:hAnsi="Times New Roman" w:cs="Times New Roman"/>
                <w:color w:val="auto"/>
                <w:kern w:val="0"/>
                <w:sz w:val="24"/>
                <w:szCs w:val="24"/>
              </w:rPr>
              <w:t>的标准限值：</w:t>
            </w:r>
            <w:r>
              <w:rPr>
                <w:rFonts w:hint="default" w:ascii="Times New Roman" w:hAnsi="Times New Roman" w:cs="Times New Roman"/>
                <w:color w:val="auto"/>
                <w:kern w:val="0"/>
                <w:sz w:val="24"/>
                <w:szCs w:val="24"/>
                <w:lang w:val="en-US" w:eastAsia="zh-CN"/>
              </w:rPr>
              <w:t>0.0025</w:t>
            </w:r>
            <w:r>
              <w:rPr>
                <w:rFonts w:hint="default" w:ascii="Times New Roman" w:hAnsi="Times New Roman" w:cs="Times New Roman"/>
                <w:color w:val="auto"/>
                <w:kern w:val="0"/>
                <w:sz w:val="24"/>
                <w:szCs w:val="24"/>
              </w:rPr>
              <w:t>μg/m³。因此，项目所在区域环境质量良好。</w:t>
            </w:r>
          </w:p>
          <w:p w14:paraId="436CDAF0">
            <w:pPr>
              <w:keepNext w:val="0"/>
              <w:keepLines w:val="0"/>
              <w:widowControl/>
              <w:suppressLineNumbers w:val="0"/>
              <w:spacing w:before="0" w:beforeAutospacing="0" w:after="0" w:afterAutospacing="0" w:line="360" w:lineRule="auto"/>
              <w:ind w:left="0" w:right="0" w:firstLine="480" w:firstLineChars="200"/>
              <w:rPr>
                <w:rFonts w:hint="default"/>
                <w:color w:val="auto"/>
                <w:sz w:val="24"/>
              </w:rPr>
            </w:pPr>
            <w:r>
              <w:rPr>
                <w:rFonts w:hint="default"/>
                <w:color w:val="auto"/>
                <w:kern w:val="0"/>
                <w:sz w:val="24"/>
              </w:rPr>
              <w:t>本次评价</w:t>
            </w:r>
            <w:r>
              <w:rPr>
                <w:rFonts w:hint="eastAsia"/>
                <w:color w:val="auto"/>
                <w:kern w:val="0"/>
                <w:sz w:val="24"/>
              </w:rPr>
              <w:t>中特征污染物因子</w:t>
            </w:r>
            <w:r>
              <w:rPr>
                <w:rFonts w:hint="eastAsia"/>
                <w:color w:val="auto"/>
                <w:kern w:val="0"/>
                <w:sz w:val="24"/>
                <w:lang w:val="en-US" w:eastAsia="zh-CN"/>
              </w:rPr>
              <w:t>非甲烷总烃、</w:t>
            </w:r>
            <w:r>
              <w:rPr>
                <w:rFonts w:hint="eastAsia"/>
                <w:color w:val="auto"/>
                <w:kern w:val="0"/>
                <w:sz w:val="24"/>
              </w:rPr>
              <w:t>HCl、</w:t>
            </w:r>
            <w:r>
              <w:rPr>
                <w:rFonts w:hint="eastAsia"/>
                <w:color w:val="auto"/>
                <w:kern w:val="0"/>
                <w:sz w:val="24"/>
                <w:lang w:val="en-US" w:eastAsia="zh-CN"/>
              </w:rPr>
              <w:t>硫酸雾，</w:t>
            </w:r>
            <w:r>
              <w:rPr>
                <w:rFonts w:hint="eastAsia"/>
                <w:color w:val="auto"/>
                <w:kern w:val="0"/>
                <w:sz w:val="24"/>
              </w:rPr>
              <w:t>引用周边项目</w:t>
            </w:r>
            <w:r>
              <w:rPr>
                <w:rFonts w:hint="default"/>
                <w:color w:val="auto"/>
                <w:sz w:val="24"/>
              </w:rPr>
              <w:t>《云南同川农业分析测试技术有限公司实验室建设项目环境影响报告表环境影响报告表》中现状监测数据</w:t>
            </w:r>
            <w:r>
              <w:rPr>
                <w:rFonts w:hint="eastAsia"/>
                <w:color w:val="auto"/>
                <w:sz w:val="24"/>
                <w:lang w:eastAsia="zh-CN"/>
              </w:rPr>
              <w:t>，</w:t>
            </w:r>
            <w:r>
              <w:rPr>
                <w:rFonts w:hint="default"/>
                <w:color w:val="auto"/>
                <w:sz w:val="24"/>
              </w:rPr>
              <w:t>监测单位：云南厚望环保科技有限公司，监测时间：2021年3月11日—3月13日，其位于本项目东南侧1.19km处，位于本项目周围5km范围内，属于“近3年”的时限内，故属引用的监测数据有效。引用监测点与本项目位置关系图见下图，具体监测结果如下表。</w:t>
            </w:r>
          </w:p>
          <w:bookmarkEnd w:id="8"/>
          <w:p w14:paraId="2D86B191">
            <w:pPr>
              <w:pStyle w:val="2"/>
              <w:keepNext w:val="0"/>
              <w:keepLines w:val="0"/>
              <w:suppressLineNumbers w:val="0"/>
              <w:spacing w:before="0" w:beforeAutospacing="0" w:afterAutospacing="0"/>
              <w:ind w:right="0" w:firstLine="482"/>
              <w:rPr>
                <w:rFonts w:hint="default"/>
                <w:color w:val="auto"/>
              </w:rPr>
            </w:pPr>
            <w:r>
              <w:rPr>
                <w:rFonts w:hint="default" w:eastAsiaTheme="minorEastAsia"/>
                <w:b/>
                <w:color w:val="auto"/>
                <w:kern w:val="0"/>
                <w:sz w:val="24"/>
              </w:rPr>
              <w:pict>
                <v:shape id="文本框 3264" o:spid="_x0000_s1301" o:spt="202" type="#_x0000_t202" style="position:absolute;left:0pt;margin-left:137.6pt;margin-top:406.2pt;height:22.7pt;width:68.05pt;z-index:251660288;mso-width-relative:margin;mso-height-relative:margin;" filled="f" stroked="f" coordsize="21600,21600">
                  <v:path/>
                  <v:fill on="f" focussize="0,0"/>
                  <v:stroke on="f" joinstyle="miter"/>
                  <v:imagedata o:title=""/>
                  <o:lock v:ext="edit"/>
                  <v:textbox>
                    <w:txbxContent>
                      <w:p w14:paraId="48742BFF">
                        <w:pPr>
                          <w:rPr>
                            <w:b/>
                            <w:color w:val="auto"/>
                            <w:highlight w:val="yellow"/>
                          </w:rPr>
                        </w:pPr>
                        <w:r>
                          <w:rPr>
                            <w:rFonts w:hint="eastAsia"/>
                            <w:b/>
                            <w:color w:val="auto"/>
                            <w:highlight w:val="yellow"/>
                          </w:rPr>
                          <w:t>引用监测点</w:t>
                        </w:r>
                      </w:p>
                    </w:txbxContent>
                  </v:textbox>
                </v:shape>
              </w:pict>
            </w:r>
            <w:r>
              <w:rPr>
                <w:rFonts w:hint="default" w:eastAsiaTheme="minorEastAsia"/>
                <w:b/>
                <w:color w:val="auto"/>
                <w:kern w:val="0"/>
                <w:sz w:val="24"/>
              </w:rPr>
              <w:pict>
                <v:shape id="文本框 3265" o:spid="_x0000_s1302" o:spt="202" type="#_x0000_t202" style="position:absolute;left:0pt;margin-left:188.3pt;margin-top:13.8pt;height:22.7pt;width:68.05pt;z-index:251660288;mso-width-relative:margin;mso-height-relative:margin;" filled="f" stroked="f" coordsize="21600,21600">
                  <v:path/>
                  <v:fill on="f" focussize="0,0"/>
                  <v:stroke on="f" joinstyle="miter"/>
                  <v:imagedata o:title=""/>
                  <o:lock v:ext="edit"/>
                  <v:textbox>
                    <w:txbxContent>
                      <w:p w14:paraId="160EB771">
                        <w:pPr>
                          <w:rPr>
                            <w:b/>
                            <w:color w:val="FFFF00"/>
                          </w:rPr>
                        </w:pPr>
                        <w:r>
                          <w:rPr>
                            <w:rFonts w:hint="eastAsia"/>
                            <w:b/>
                            <w:color w:val="FFFF00"/>
                          </w:rPr>
                          <w:t>项目区</w:t>
                        </w:r>
                      </w:p>
                    </w:txbxContent>
                  </v:textbox>
                </v:shape>
              </w:pict>
            </w:r>
            <w:r>
              <w:rPr>
                <w:rFonts w:hint="default"/>
                <w:color w:val="auto"/>
              </w:rPr>
              <w:drawing>
                <wp:inline distT="0" distB="0" distL="0" distR="0">
                  <wp:extent cx="4162425" cy="5476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62425" cy="5476875"/>
                          </a:xfrm>
                          <a:prstGeom prst="rect">
                            <a:avLst/>
                          </a:prstGeom>
                          <a:noFill/>
                          <a:ln>
                            <a:noFill/>
                          </a:ln>
                        </pic:spPr>
                      </pic:pic>
                    </a:graphicData>
                  </a:graphic>
                </wp:inline>
              </w:drawing>
            </w:r>
          </w:p>
          <w:p w14:paraId="437059B5">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bookmarkStart w:id="9" w:name="_Hlk139529953"/>
            <w:r>
              <w:rPr>
                <w:rFonts w:hint="default"/>
                <w:b/>
                <w:color w:val="auto"/>
                <w:kern w:val="0"/>
                <w:szCs w:val="21"/>
              </w:rPr>
              <w:t>表3-</w:t>
            </w:r>
            <w:r>
              <w:rPr>
                <w:rFonts w:hint="eastAsia"/>
                <w:b/>
                <w:color w:val="auto"/>
                <w:kern w:val="0"/>
                <w:szCs w:val="21"/>
                <w:lang w:val="en-US" w:eastAsia="zh-CN"/>
              </w:rPr>
              <w:t>2</w:t>
            </w:r>
            <w:r>
              <w:rPr>
                <w:rFonts w:hint="default"/>
                <w:b/>
                <w:color w:val="auto"/>
                <w:kern w:val="0"/>
                <w:szCs w:val="21"/>
              </w:rPr>
              <w:t xml:space="preserve">   区域空气质量现状评价表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031"/>
              <w:gridCol w:w="1161"/>
              <w:gridCol w:w="1346"/>
              <w:gridCol w:w="1214"/>
              <w:gridCol w:w="1107"/>
              <w:gridCol w:w="1109"/>
            </w:tblGrid>
            <w:tr w14:paraId="3ED7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Align w:val="center"/>
                </w:tcPr>
                <w:p w14:paraId="59AB957B">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rPr>
                  </w:pPr>
                  <w:r>
                    <w:rPr>
                      <w:rFonts w:hint="default"/>
                      <w:b/>
                      <w:color w:val="auto"/>
                    </w:rPr>
                    <w:t>监测点位</w:t>
                  </w:r>
                </w:p>
              </w:tc>
              <w:tc>
                <w:tcPr>
                  <w:tcW w:w="647" w:type="pct"/>
                  <w:vAlign w:val="center"/>
                </w:tcPr>
                <w:p w14:paraId="41280457">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rPr>
                  </w:pPr>
                  <w:r>
                    <w:rPr>
                      <w:rFonts w:hint="default"/>
                      <w:b/>
                      <w:color w:val="auto"/>
                    </w:rPr>
                    <w:t>监测因子</w:t>
                  </w:r>
                </w:p>
              </w:tc>
              <w:tc>
                <w:tcPr>
                  <w:tcW w:w="729" w:type="pct"/>
                  <w:vAlign w:val="center"/>
                </w:tcPr>
                <w:p w14:paraId="4AD1E5EA">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rPr>
                  </w:pPr>
                  <w:r>
                    <w:rPr>
                      <w:rFonts w:hint="default"/>
                      <w:b/>
                      <w:color w:val="auto"/>
                    </w:rPr>
                    <w:t>监测时间</w:t>
                  </w:r>
                </w:p>
              </w:tc>
              <w:tc>
                <w:tcPr>
                  <w:tcW w:w="845" w:type="pct"/>
                  <w:vAlign w:val="center"/>
                </w:tcPr>
                <w:p w14:paraId="04EC3143">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rPr>
                  </w:pPr>
                  <w:r>
                    <w:rPr>
                      <w:rFonts w:hint="default"/>
                      <w:b/>
                      <w:color w:val="auto"/>
                    </w:rPr>
                    <w:t>监测浓度范围（mg/m³）</w:t>
                  </w:r>
                </w:p>
              </w:tc>
              <w:tc>
                <w:tcPr>
                  <w:tcW w:w="762" w:type="pct"/>
                  <w:vAlign w:val="center"/>
                </w:tcPr>
                <w:p w14:paraId="38C6178C">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rPr>
                  </w:pPr>
                  <w:r>
                    <w:rPr>
                      <w:rFonts w:hint="default"/>
                      <w:b/>
                      <w:color w:val="auto"/>
                    </w:rPr>
                    <w:t>标准值（mg/m³）</w:t>
                  </w:r>
                </w:p>
              </w:tc>
              <w:tc>
                <w:tcPr>
                  <w:tcW w:w="695" w:type="pct"/>
                  <w:vAlign w:val="center"/>
                </w:tcPr>
                <w:p w14:paraId="52FDE009">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rPr>
                  </w:pPr>
                  <w:r>
                    <w:rPr>
                      <w:rFonts w:hint="default"/>
                      <w:b/>
                      <w:color w:val="auto"/>
                    </w:rPr>
                    <w:t>最大占标率</w:t>
                  </w:r>
                </w:p>
              </w:tc>
              <w:tc>
                <w:tcPr>
                  <w:tcW w:w="696" w:type="pct"/>
                  <w:vAlign w:val="center"/>
                </w:tcPr>
                <w:p w14:paraId="6391BBF2">
                  <w:pPr>
                    <w:pStyle w:val="54"/>
                    <w:keepNext w:val="0"/>
                    <w:keepLines w:val="0"/>
                    <w:suppressLineNumbers w:val="0"/>
                    <w:spacing w:before="0" w:beforeAutospacing="0" w:after="0" w:afterAutospacing="0" w:line="240" w:lineRule="auto"/>
                    <w:ind w:left="0" w:leftChars="0" w:right="0" w:firstLine="0" w:firstLineChars="0"/>
                    <w:jc w:val="center"/>
                    <w:rPr>
                      <w:rFonts w:hint="default"/>
                      <w:b/>
                      <w:color w:val="auto"/>
                    </w:rPr>
                  </w:pPr>
                  <w:r>
                    <w:rPr>
                      <w:rFonts w:hint="default"/>
                      <w:b/>
                      <w:color w:val="auto"/>
                    </w:rPr>
                    <w:t>达标情况</w:t>
                  </w:r>
                </w:p>
              </w:tc>
            </w:tr>
            <w:tr w14:paraId="4B98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Merge w:val="restart"/>
                  <w:vAlign w:val="center"/>
                </w:tcPr>
                <w:p w14:paraId="69EFF2F2">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项目区东</w:t>
                  </w:r>
                  <w:r>
                    <w:rPr>
                      <w:rFonts w:hint="eastAsia"/>
                      <w:color w:val="auto"/>
                      <w:lang w:val="en-US" w:eastAsia="zh-CN"/>
                    </w:rPr>
                    <w:t>北</w:t>
                  </w:r>
                  <w:r>
                    <w:rPr>
                      <w:rFonts w:hint="default"/>
                      <w:color w:val="auto"/>
                    </w:rPr>
                    <w:t>侧</w:t>
                  </w:r>
                </w:p>
              </w:tc>
              <w:tc>
                <w:tcPr>
                  <w:tcW w:w="647" w:type="pct"/>
                  <w:vMerge w:val="restart"/>
                  <w:vAlign w:val="center"/>
                </w:tcPr>
                <w:p w14:paraId="2F50121F">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非甲烷总烃</w:t>
                  </w:r>
                </w:p>
              </w:tc>
              <w:tc>
                <w:tcPr>
                  <w:tcW w:w="729" w:type="pct"/>
                  <w:vAlign w:val="center"/>
                </w:tcPr>
                <w:p w14:paraId="2BE3EA6B">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2021.03.11</w:t>
                  </w:r>
                </w:p>
              </w:tc>
              <w:tc>
                <w:tcPr>
                  <w:tcW w:w="845" w:type="pct"/>
                  <w:vAlign w:val="center"/>
                </w:tcPr>
                <w:p w14:paraId="2C751532">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0.38-0.52</w:t>
                  </w:r>
                </w:p>
              </w:tc>
              <w:tc>
                <w:tcPr>
                  <w:tcW w:w="762" w:type="pct"/>
                  <w:vAlign w:val="center"/>
                </w:tcPr>
                <w:p w14:paraId="7A691663">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2.0</w:t>
                  </w:r>
                </w:p>
              </w:tc>
              <w:tc>
                <w:tcPr>
                  <w:tcW w:w="695" w:type="pct"/>
                  <w:vAlign w:val="center"/>
                </w:tcPr>
                <w:p w14:paraId="21061C5A">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26%</w:t>
                  </w:r>
                </w:p>
              </w:tc>
              <w:tc>
                <w:tcPr>
                  <w:tcW w:w="696" w:type="pct"/>
                  <w:vAlign w:val="center"/>
                </w:tcPr>
                <w:p w14:paraId="079309E1">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达标</w:t>
                  </w:r>
                </w:p>
              </w:tc>
            </w:tr>
            <w:tr w14:paraId="3922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Merge w:val="continue"/>
                  <w:vAlign w:val="center"/>
                </w:tcPr>
                <w:p w14:paraId="72C9819C">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p>
              </w:tc>
              <w:tc>
                <w:tcPr>
                  <w:tcW w:w="647" w:type="pct"/>
                  <w:vMerge w:val="continue"/>
                  <w:vAlign w:val="center"/>
                </w:tcPr>
                <w:p w14:paraId="75BF2F4A">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Cs w:val="21"/>
                    </w:rPr>
                  </w:pPr>
                </w:p>
              </w:tc>
              <w:tc>
                <w:tcPr>
                  <w:tcW w:w="729" w:type="pct"/>
                  <w:vAlign w:val="center"/>
                </w:tcPr>
                <w:p w14:paraId="438A3D68">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2021.03.12</w:t>
                  </w:r>
                </w:p>
              </w:tc>
              <w:tc>
                <w:tcPr>
                  <w:tcW w:w="845" w:type="pct"/>
                  <w:vAlign w:val="center"/>
                </w:tcPr>
                <w:p w14:paraId="52AA5F02">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0.35-0.48</w:t>
                  </w:r>
                </w:p>
              </w:tc>
              <w:tc>
                <w:tcPr>
                  <w:tcW w:w="762" w:type="pct"/>
                  <w:vAlign w:val="center"/>
                </w:tcPr>
                <w:p w14:paraId="23002E9C">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2.0</w:t>
                  </w:r>
                </w:p>
              </w:tc>
              <w:tc>
                <w:tcPr>
                  <w:tcW w:w="695" w:type="pct"/>
                  <w:vAlign w:val="center"/>
                </w:tcPr>
                <w:p w14:paraId="0011A2FC">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24%</w:t>
                  </w:r>
                </w:p>
              </w:tc>
              <w:tc>
                <w:tcPr>
                  <w:tcW w:w="696" w:type="pct"/>
                  <w:vAlign w:val="center"/>
                </w:tcPr>
                <w:p w14:paraId="49E8DBC4">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达标</w:t>
                  </w:r>
                </w:p>
              </w:tc>
            </w:tr>
            <w:tr w14:paraId="2028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625" w:type="pct"/>
                  <w:vMerge w:val="continue"/>
                  <w:vAlign w:val="center"/>
                </w:tcPr>
                <w:p w14:paraId="79951234">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p>
              </w:tc>
              <w:tc>
                <w:tcPr>
                  <w:tcW w:w="647" w:type="pct"/>
                  <w:vMerge w:val="continue"/>
                  <w:vAlign w:val="center"/>
                </w:tcPr>
                <w:p w14:paraId="612B2AF6">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Cs w:val="21"/>
                    </w:rPr>
                  </w:pPr>
                </w:p>
              </w:tc>
              <w:tc>
                <w:tcPr>
                  <w:tcW w:w="729" w:type="pct"/>
                  <w:vAlign w:val="center"/>
                </w:tcPr>
                <w:p w14:paraId="5EDE0105">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2021.03.13</w:t>
                  </w:r>
                </w:p>
              </w:tc>
              <w:tc>
                <w:tcPr>
                  <w:tcW w:w="845" w:type="pct"/>
                  <w:vAlign w:val="center"/>
                </w:tcPr>
                <w:p w14:paraId="6B63F65F">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0.37-0.42</w:t>
                  </w:r>
                </w:p>
              </w:tc>
              <w:tc>
                <w:tcPr>
                  <w:tcW w:w="762" w:type="pct"/>
                  <w:vAlign w:val="center"/>
                </w:tcPr>
                <w:p w14:paraId="01E594C2">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2.0</w:t>
                  </w:r>
                </w:p>
              </w:tc>
              <w:tc>
                <w:tcPr>
                  <w:tcW w:w="695" w:type="pct"/>
                  <w:vAlign w:val="center"/>
                </w:tcPr>
                <w:p w14:paraId="316BF37D">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21%</w:t>
                  </w:r>
                </w:p>
              </w:tc>
              <w:tc>
                <w:tcPr>
                  <w:tcW w:w="696" w:type="pct"/>
                  <w:vAlign w:val="center"/>
                </w:tcPr>
                <w:p w14:paraId="36DB952A">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达标</w:t>
                  </w:r>
                </w:p>
              </w:tc>
            </w:tr>
            <w:tr w14:paraId="15BD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Merge w:val="continue"/>
                  <w:vAlign w:val="center"/>
                </w:tcPr>
                <w:p w14:paraId="2D92BB8B">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p>
              </w:tc>
              <w:tc>
                <w:tcPr>
                  <w:tcW w:w="647" w:type="pct"/>
                  <w:vMerge w:val="restart"/>
                  <w:vAlign w:val="center"/>
                </w:tcPr>
                <w:p w14:paraId="6DFEBE9A">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Cs w:val="21"/>
                    </w:rPr>
                  </w:pPr>
                  <w:r>
                    <w:rPr>
                      <w:rFonts w:hint="default"/>
                      <w:color w:val="auto"/>
                      <w:kern w:val="0"/>
                      <w:szCs w:val="21"/>
                    </w:rPr>
                    <w:t>氯化氢</w:t>
                  </w:r>
                </w:p>
              </w:tc>
              <w:tc>
                <w:tcPr>
                  <w:tcW w:w="729" w:type="pct"/>
                  <w:vAlign w:val="center"/>
                </w:tcPr>
                <w:p w14:paraId="39319335">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2021.03.11</w:t>
                  </w:r>
                </w:p>
              </w:tc>
              <w:tc>
                <w:tcPr>
                  <w:tcW w:w="845" w:type="pct"/>
                  <w:vAlign w:val="center"/>
                </w:tcPr>
                <w:p w14:paraId="3E8A2467">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&lt;0.02</w:t>
                  </w:r>
                </w:p>
              </w:tc>
              <w:tc>
                <w:tcPr>
                  <w:tcW w:w="762" w:type="pct"/>
                  <w:vAlign w:val="center"/>
                </w:tcPr>
                <w:p w14:paraId="66BA186F">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0.05</w:t>
                  </w:r>
                </w:p>
              </w:tc>
              <w:tc>
                <w:tcPr>
                  <w:tcW w:w="695" w:type="pct"/>
                  <w:vAlign w:val="center"/>
                </w:tcPr>
                <w:p w14:paraId="6CE055F1">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40%</w:t>
                  </w:r>
                </w:p>
              </w:tc>
              <w:tc>
                <w:tcPr>
                  <w:tcW w:w="696" w:type="pct"/>
                  <w:vAlign w:val="center"/>
                </w:tcPr>
                <w:p w14:paraId="322F5083">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达标</w:t>
                  </w:r>
                </w:p>
              </w:tc>
            </w:tr>
            <w:tr w14:paraId="066D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5" w:type="pct"/>
                  <w:vMerge w:val="continue"/>
                  <w:vAlign w:val="center"/>
                </w:tcPr>
                <w:p w14:paraId="655C3AFF">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p>
              </w:tc>
              <w:tc>
                <w:tcPr>
                  <w:tcW w:w="647" w:type="pct"/>
                  <w:vMerge w:val="continue"/>
                  <w:vAlign w:val="center"/>
                </w:tcPr>
                <w:p w14:paraId="133D9E3D">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Cs w:val="21"/>
                    </w:rPr>
                  </w:pPr>
                </w:p>
              </w:tc>
              <w:tc>
                <w:tcPr>
                  <w:tcW w:w="729" w:type="pct"/>
                  <w:vAlign w:val="center"/>
                </w:tcPr>
                <w:p w14:paraId="34753450">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2021.03.12</w:t>
                  </w:r>
                </w:p>
              </w:tc>
              <w:tc>
                <w:tcPr>
                  <w:tcW w:w="845" w:type="pct"/>
                  <w:vAlign w:val="center"/>
                </w:tcPr>
                <w:p w14:paraId="3AC300C8">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&lt;0.02</w:t>
                  </w:r>
                </w:p>
              </w:tc>
              <w:tc>
                <w:tcPr>
                  <w:tcW w:w="762" w:type="pct"/>
                  <w:vAlign w:val="center"/>
                </w:tcPr>
                <w:p w14:paraId="216C9D63">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0.05</w:t>
                  </w:r>
                </w:p>
              </w:tc>
              <w:tc>
                <w:tcPr>
                  <w:tcW w:w="695" w:type="pct"/>
                  <w:vAlign w:val="center"/>
                </w:tcPr>
                <w:p w14:paraId="6EBB85D2">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40%</w:t>
                  </w:r>
                </w:p>
              </w:tc>
              <w:tc>
                <w:tcPr>
                  <w:tcW w:w="696" w:type="pct"/>
                  <w:vAlign w:val="center"/>
                </w:tcPr>
                <w:p w14:paraId="4049F3E2">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达标</w:t>
                  </w:r>
                </w:p>
              </w:tc>
            </w:tr>
            <w:tr w14:paraId="615E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Merge w:val="continue"/>
                  <w:vAlign w:val="center"/>
                </w:tcPr>
                <w:p w14:paraId="3BDD503C">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p>
              </w:tc>
              <w:tc>
                <w:tcPr>
                  <w:tcW w:w="647" w:type="pct"/>
                  <w:vMerge w:val="continue"/>
                  <w:vAlign w:val="center"/>
                </w:tcPr>
                <w:p w14:paraId="2378BF4D">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Cs w:val="21"/>
                    </w:rPr>
                  </w:pPr>
                </w:p>
              </w:tc>
              <w:tc>
                <w:tcPr>
                  <w:tcW w:w="729" w:type="pct"/>
                  <w:vAlign w:val="center"/>
                </w:tcPr>
                <w:p w14:paraId="6AB779A8">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2021.03.13</w:t>
                  </w:r>
                </w:p>
              </w:tc>
              <w:tc>
                <w:tcPr>
                  <w:tcW w:w="845" w:type="pct"/>
                  <w:vAlign w:val="center"/>
                </w:tcPr>
                <w:p w14:paraId="542AC072">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&lt;0.02</w:t>
                  </w:r>
                </w:p>
              </w:tc>
              <w:tc>
                <w:tcPr>
                  <w:tcW w:w="762" w:type="pct"/>
                  <w:vAlign w:val="center"/>
                </w:tcPr>
                <w:p w14:paraId="4EA0992C">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0.05</w:t>
                  </w:r>
                </w:p>
              </w:tc>
              <w:tc>
                <w:tcPr>
                  <w:tcW w:w="695" w:type="pct"/>
                  <w:vAlign w:val="center"/>
                </w:tcPr>
                <w:p w14:paraId="1921ABC1">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40%</w:t>
                  </w:r>
                </w:p>
              </w:tc>
              <w:tc>
                <w:tcPr>
                  <w:tcW w:w="696" w:type="pct"/>
                  <w:vAlign w:val="center"/>
                </w:tcPr>
                <w:p w14:paraId="14C137F1">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达标</w:t>
                  </w:r>
                </w:p>
              </w:tc>
            </w:tr>
            <w:tr w14:paraId="0AD3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Merge w:val="continue"/>
                  <w:vAlign w:val="center"/>
                </w:tcPr>
                <w:p w14:paraId="2CEB0A87">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p>
              </w:tc>
              <w:tc>
                <w:tcPr>
                  <w:tcW w:w="647" w:type="pct"/>
                  <w:vMerge w:val="restart"/>
                  <w:vAlign w:val="center"/>
                </w:tcPr>
                <w:p w14:paraId="1D9AFF95">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Cs w:val="21"/>
                    </w:rPr>
                  </w:pPr>
                  <w:r>
                    <w:rPr>
                      <w:rFonts w:hint="default"/>
                      <w:color w:val="auto"/>
                      <w:kern w:val="0"/>
                      <w:szCs w:val="21"/>
                    </w:rPr>
                    <w:t>硫酸雾</w:t>
                  </w:r>
                </w:p>
              </w:tc>
              <w:tc>
                <w:tcPr>
                  <w:tcW w:w="729" w:type="pct"/>
                  <w:vAlign w:val="center"/>
                </w:tcPr>
                <w:p w14:paraId="689A1BB7">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2021.03.11</w:t>
                  </w:r>
                </w:p>
              </w:tc>
              <w:tc>
                <w:tcPr>
                  <w:tcW w:w="845" w:type="pct"/>
                  <w:vAlign w:val="center"/>
                </w:tcPr>
                <w:p w14:paraId="42EE4CCE">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0.041-0.055</w:t>
                  </w:r>
                </w:p>
              </w:tc>
              <w:tc>
                <w:tcPr>
                  <w:tcW w:w="762" w:type="pct"/>
                  <w:vAlign w:val="center"/>
                </w:tcPr>
                <w:p w14:paraId="53E46009">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0.3</w:t>
                  </w:r>
                </w:p>
              </w:tc>
              <w:tc>
                <w:tcPr>
                  <w:tcW w:w="695" w:type="pct"/>
                  <w:vAlign w:val="center"/>
                </w:tcPr>
                <w:p w14:paraId="56313283">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18.3%</w:t>
                  </w:r>
                </w:p>
              </w:tc>
              <w:tc>
                <w:tcPr>
                  <w:tcW w:w="696" w:type="pct"/>
                  <w:vAlign w:val="center"/>
                </w:tcPr>
                <w:p w14:paraId="612A8862">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达标</w:t>
                  </w:r>
                </w:p>
              </w:tc>
            </w:tr>
            <w:tr w14:paraId="3744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Merge w:val="continue"/>
                  <w:vAlign w:val="center"/>
                </w:tcPr>
                <w:p w14:paraId="467C3848">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p>
              </w:tc>
              <w:tc>
                <w:tcPr>
                  <w:tcW w:w="647" w:type="pct"/>
                  <w:vMerge w:val="continue"/>
                  <w:vAlign w:val="center"/>
                </w:tcPr>
                <w:p w14:paraId="6A5DB17B">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Cs w:val="21"/>
                    </w:rPr>
                  </w:pPr>
                </w:p>
              </w:tc>
              <w:tc>
                <w:tcPr>
                  <w:tcW w:w="729" w:type="pct"/>
                  <w:vAlign w:val="center"/>
                </w:tcPr>
                <w:p w14:paraId="76C34FFE">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2021.03.12</w:t>
                  </w:r>
                </w:p>
              </w:tc>
              <w:tc>
                <w:tcPr>
                  <w:tcW w:w="845" w:type="pct"/>
                </w:tcPr>
                <w:p w14:paraId="14AE77FA">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0.037-0.040</w:t>
                  </w:r>
                </w:p>
              </w:tc>
              <w:tc>
                <w:tcPr>
                  <w:tcW w:w="762" w:type="pct"/>
                  <w:vAlign w:val="center"/>
                </w:tcPr>
                <w:p w14:paraId="7B9F65C3">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0.3</w:t>
                  </w:r>
                </w:p>
              </w:tc>
              <w:tc>
                <w:tcPr>
                  <w:tcW w:w="695" w:type="pct"/>
                  <w:vAlign w:val="center"/>
                </w:tcPr>
                <w:p w14:paraId="354BC06B">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13.3%</w:t>
                  </w:r>
                </w:p>
              </w:tc>
              <w:tc>
                <w:tcPr>
                  <w:tcW w:w="696" w:type="pct"/>
                  <w:vAlign w:val="center"/>
                </w:tcPr>
                <w:p w14:paraId="7ED8D397">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达标</w:t>
                  </w:r>
                </w:p>
              </w:tc>
            </w:tr>
            <w:tr w14:paraId="2F1C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Merge w:val="continue"/>
                  <w:vAlign w:val="center"/>
                </w:tcPr>
                <w:p w14:paraId="0D6D5896">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p>
              </w:tc>
              <w:tc>
                <w:tcPr>
                  <w:tcW w:w="647" w:type="pct"/>
                  <w:vMerge w:val="continue"/>
                  <w:vAlign w:val="center"/>
                </w:tcPr>
                <w:p w14:paraId="5D5E1D52">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kern w:val="0"/>
                      <w:szCs w:val="21"/>
                    </w:rPr>
                  </w:pPr>
                </w:p>
              </w:tc>
              <w:tc>
                <w:tcPr>
                  <w:tcW w:w="729" w:type="pct"/>
                  <w:vAlign w:val="center"/>
                </w:tcPr>
                <w:p w14:paraId="1B17574E">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2021.03.13</w:t>
                  </w:r>
                </w:p>
              </w:tc>
              <w:tc>
                <w:tcPr>
                  <w:tcW w:w="845" w:type="pct"/>
                </w:tcPr>
                <w:p w14:paraId="76B2C8CA">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0.038-0.061</w:t>
                  </w:r>
                </w:p>
              </w:tc>
              <w:tc>
                <w:tcPr>
                  <w:tcW w:w="762" w:type="pct"/>
                  <w:vAlign w:val="center"/>
                </w:tcPr>
                <w:p w14:paraId="1076C95A">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0.3</w:t>
                  </w:r>
                </w:p>
              </w:tc>
              <w:tc>
                <w:tcPr>
                  <w:tcW w:w="695" w:type="pct"/>
                  <w:vAlign w:val="center"/>
                </w:tcPr>
                <w:p w14:paraId="40D820A7">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20.3%</w:t>
                  </w:r>
                </w:p>
              </w:tc>
              <w:tc>
                <w:tcPr>
                  <w:tcW w:w="696" w:type="pct"/>
                  <w:vAlign w:val="center"/>
                </w:tcPr>
                <w:p w14:paraId="3F7D7C31">
                  <w:pPr>
                    <w:pStyle w:val="54"/>
                    <w:keepNext w:val="0"/>
                    <w:keepLines w:val="0"/>
                    <w:suppressLineNumbers w:val="0"/>
                    <w:spacing w:before="0" w:beforeAutospacing="0" w:after="0" w:afterAutospacing="0" w:line="240" w:lineRule="auto"/>
                    <w:ind w:left="0" w:leftChars="0" w:right="0" w:firstLine="0" w:firstLineChars="0"/>
                    <w:jc w:val="center"/>
                    <w:rPr>
                      <w:rFonts w:hint="default"/>
                      <w:color w:val="auto"/>
                    </w:rPr>
                  </w:pPr>
                  <w:r>
                    <w:rPr>
                      <w:rFonts w:hint="default"/>
                      <w:color w:val="auto"/>
                    </w:rPr>
                    <w:t>达标</w:t>
                  </w:r>
                </w:p>
              </w:tc>
            </w:tr>
          </w:tbl>
          <w:p w14:paraId="4F40344C">
            <w:pPr>
              <w:keepNext w:val="0"/>
              <w:keepLines w:val="0"/>
              <w:widowControl/>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根据以上现状监测结果分析，项目排放的特征污染物硫酸雾、氯化氢</w:t>
            </w:r>
            <w:r>
              <w:rPr>
                <w:rFonts w:hint="eastAsia"/>
                <w:color w:val="auto"/>
                <w:sz w:val="24"/>
                <w:lang w:eastAsia="zh-CN"/>
              </w:rPr>
              <w:t>、</w:t>
            </w:r>
            <w:r>
              <w:rPr>
                <w:rFonts w:hint="default"/>
                <w:color w:val="auto"/>
                <w:sz w:val="24"/>
              </w:rPr>
              <w:t>非甲烷总烃</w:t>
            </w:r>
            <w:r>
              <w:rPr>
                <w:rFonts w:hint="eastAsia"/>
                <w:color w:val="auto"/>
                <w:sz w:val="24"/>
                <w:lang w:eastAsia="zh-CN"/>
              </w:rPr>
              <w:t>（</w:t>
            </w:r>
            <w:r>
              <w:rPr>
                <w:rFonts w:hint="eastAsia"/>
                <w:color w:val="auto"/>
                <w:sz w:val="24"/>
                <w:lang w:val="en-US" w:eastAsia="zh-CN"/>
              </w:rPr>
              <w:t>参照总挥发性有机物（TVOC）</w:t>
            </w:r>
            <w:r>
              <w:rPr>
                <w:rFonts w:hint="eastAsia"/>
                <w:color w:val="auto"/>
                <w:sz w:val="24"/>
                <w:lang w:eastAsia="zh-CN"/>
              </w:rPr>
              <w:t>）</w:t>
            </w:r>
            <w:r>
              <w:rPr>
                <w:rFonts w:hint="default"/>
                <w:color w:val="auto"/>
                <w:sz w:val="24"/>
              </w:rPr>
              <w:t>现状环境质量能满足《环境影响评价技术导则 大气环境》（HJ2.2-2018）</w:t>
            </w:r>
            <w:r>
              <w:rPr>
                <w:rFonts w:hint="eastAsia"/>
                <w:color w:val="auto"/>
                <w:sz w:val="24"/>
                <w:lang w:val="en-US" w:eastAsia="zh-CN"/>
              </w:rPr>
              <w:t>附录D</w:t>
            </w:r>
            <w:r>
              <w:rPr>
                <w:rFonts w:hint="default"/>
                <w:color w:val="auto"/>
                <w:sz w:val="24"/>
              </w:rPr>
              <w:t>中标准值要求，项目所在区域空气环境质量</w:t>
            </w:r>
            <w:r>
              <w:rPr>
                <w:rFonts w:hint="eastAsia"/>
                <w:color w:val="auto"/>
                <w:sz w:val="24"/>
                <w:lang w:val="en-US" w:eastAsia="zh-CN"/>
              </w:rPr>
              <w:t>良</w:t>
            </w:r>
            <w:r>
              <w:rPr>
                <w:rFonts w:hint="default"/>
                <w:color w:val="auto"/>
                <w:sz w:val="24"/>
              </w:rPr>
              <w:t>好。</w:t>
            </w:r>
            <w:bookmarkEnd w:id="9"/>
          </w:p>
          <w:p w14:paraId="48E547B0">
            <w:pPr>
              <w:keepNext w:val="0"/>
              <w:keepLines w:val="0"/>
              <w:suppressLineNumbers w:val="0"/>
              <w:adjustRightInd w:val="0"/>
              <w:snapToGrid w:val="0"/>
              <w:spacing w:before="120" w:beforeLines="50" w:beforeAutospacing="0" w:after="0" w:afterAutospacing="0" w:line="360" w:lineRule="auto"/>
              <w:ind w:left="0" w:right="0"/>
              <w:rPr>
                <w:rFonts w:hint="default" w:eastAsiaTheme="minorEastAsia"/>
                <w:b/>
                <w:color w:val="auto"/>
                <w:kern w:val="0"/>
                <w:sz w:val="24"/>
              </w:rPr>
            </w:pPr>
            <w:r>
              <w:rPr>
                <w:rFonts w:hint="default" w:eastAsiaTheme="minorEastAsia"/>
                <w:b/>
                <w:color w:val="auto"/>
                <w:kern w:val="0"/>
                <w:sz w:val="24"/>
              </w:rPr>
              <w:t>2.地表水环境质量现状</w:t>
            </w:r>
          </w:p>
          <w:p w14:paraId="7E5E5CD0">
            <w:pPr>
              <w:keepNext w:val="0"/>
              <w:keepLines w:val="0"/>
              <w:suppressLineNumbers w:val="0"/>
              <w:adjustRightInd w:val="0"/>
              <w:snapToGrid w:val="0"/>
              <w:spacing w:before="0" w:beforeAutospacing="0" w:after="0" w:afterAutospacing="0" w:line="360" w:lineRule="auto"/>
              <w:ind w:left="0" w:right="0" w:firstLine="480"/>
              <w:rPr>
                <w:rFonts w:hint="default"/>
                <w:color w:val="auto"/>
                <w:sz w:val="24"/>
              </w:rPr>
            </w:pPr>
            <w:r>
              <w:rPr>
                <w:rFonts w:hint="default" w:eastAsiaTheme="minorEastAsia"/>
                <w:color w:val="auto"/>
                <w:kern w:val="0"/>
                <w:sz w:val="24"/>
              </w:rPr>
              <w:t>项目位于</w:t>
            </w:r>
            <w:r>
              <w:rPr>
                <w:rFonts w:hint="default"/>
                <w:color w:val="auto"/>
                <w:sz w:val="24"/>
              </w:rPr>
              <w:t>云南省昆明市盘龙区茨坝街道昆机社区龙泉路714号附1号（昆明机床厂劳动服务公司</w:t>
            </w:r>
            <w:r>
              <w:rPr>
                <w:rFonts w:hint="eastAsia"/>
                <w:color w:val="auto"/>
                <w:sz w:val="24"/>
                <w:lang w:val="en-US" w:eastAsia="zh-CN"/>
              </w:rPr>
              <w:t>内</w:t>
            </w:r>
            <w:r>
              <w:rPr>
                <w:rFonts w:hint="default"/>
                <w:color w:val="auto"/>
                <w:sz w:val="24"/>
              </w:rPr>
              <w:t>）</w:t>
            </w:r>
            <w:r>
              <w:rPr>
                <w:rFonts w:hint="default" w:eastAsiaTheme="minorEastAsia"/>
                <w:color w:val="auto"/>
                <w:kern w:val="0"/>
                <w:sz w:val="24"/>
              </w:rPr>
              <w:t>，</w:t>
            </w:r>
            <w:r>
              <w:rPr>
                <w:rFonts w:hint="default"/>
                <w:color w:val="auto"/>
                <w:sz w:val="24"/>
              </w:rPr>
              <w:t>项目最近的地表水体主要为东侧185m处的</w:t>
            </w:r>
            <w:r>
              <w:rPr>
                <w:rFonts w:hint="eastAsia"/>
                <w:color w:val="auto"/>
                <w:sz w:val="24"/>
                <w:lang w:val="en-US" w:eastAsia="zh-CN"/>
              </w:rPr>
              <w:t>花渔沟</w:t>
            </w:r>
            <w:r>
              <w:rPr>
                <w:rFonts w:hint="default"/>
                <w:color w:val="auto"/>
                <w:sz w:val="24"/>
              </w:rPr>
              <w:t>，为盘龙江支流</w:t>
            </w:r>
            <w:r>
              <w:rPr>
                <w:rFonts w:hint="eastAsia"/>
                <w:color w:val="auto"/>
                <w:sz w:val="24"/>
                <w:lang w:eastAsia="zh-CN"/>
              </w:rPr>
              <w:t>，</w:t>
            </w:r>
            <w:r>
              <w:rPr>
                <w:rFonts w:hint="eastAsia"/>
                <w:color w:val="auto"/>
                <w:sz w:val="24"/>
                <w:lang w:val="en-US" w:eastAsia="zh-CN"/>
              </w:rPr>
              <w:t>最终汇入盘龙江</w:t>
            </w:r>
            <w:r>
              <w:rPr>
                <w:rFonts w:hint="default"/>
                <w:color w:val="auto"/>
                <w:sz w:val="24"/>
              </w:rPr>
              <w:t>。</w:t>
            </w:r>
            <w:r>
              <w:rPr>
                <w:rFonts w:hint="default" w:eastAsiaTheme="minorEastAsia"/>
                <w:color w:val="auto"/>
                <w:kern w:val="0"/>
                <w:sz w:val="24"/>
              </w:rPr>
              <w:t>根据《云南省水功能区划（2014年修订）》，</w:t>
            </w:r>
            <w:r>
              <w:rPr>
                <w:rFonts w:hint="eastAsia" w:ascii="Times New Roman" w:hAnsi="Times New Roman" w:eastAsia="宋体"/>
                <w:color w:val="auto"/>
                <w:sz w:val="24"/>
                <w:szCs w:val="24"/>
                <w:highlight w:val="none"/>
                <w:lang w:val="en-US" w:eastAsia="zh-CN"/>
              </w:rPr>
              <w:t>盘龙江“松华坝水库坝址—入滇池口”城区段水环境功能为景观、农业用水</w:t>
            </w:r>
            <w:r>
              <w:rPr>
                <w:rFonts w:hint="default" w:eastAsiaTheme="minorEastAsia"/>
                <w:color w:val="auto"/>
                <w:kern w:val="0"/>
                <w:sz w:val="24"/>
              </w:rPr>
              <w:t>，</w:t>
            </w:r>
            <w:r>
              <w:rPr>
                <w:rFonts w:hint="default"/>
                <w:color w:val="auto"/>
                <w:sz w:val="24"/>
              </w:rPr>
              <w:t>规划水平年水质目标为Ⅲ类</w:t>
            </w:r>
            <w:r>
              <w:rPr>
                <w:rFonts w:hint="default"/>
                <w:color w:val="auto"/>
                <w:kern w:val="0"/>
                <w:sz w:val="24"/>
              </w:rPr>
              <w:t>，</w:t>
            </w:r>
            <w:r>
              <w:rPr>
                <w:rFonts w:hint="default"/>
                <w:color w:val="auto"/>
                <w:sz w:val="24"/>
              </w:rPr>
              <w:t>盘龙江执行《地表水环境质量标准》（GB3838-2002）中Ⅲ类标准。由于区划未对</w:t>
            </w:r>
            <w:r>
              <w:rPr>
                <w:rFonts w:hint="eastAsia"/>
                <w:color w:val="auto"/>
                <w:sz w:val="24"/>
                <w:lang w:val="en-US" w:eastAsia="zh-CN"/>
              </w:rPr>
              <w:t>花渔沟</w:t>
            </w:r>
            <w:r>
              <w:rPr>
                <w:rFonts w:hint="default"/>
                <w:color w:val="auto"/>
                <w:sz w:val="24"/>
              </w:rPr>
              <w:t>进行区划，故参照盘龙江执行</w:t>
            </w:r>
            <w:r>
              <w:rPr>
                <w:rFonts w:hint="default"/>
                <w:color w:val="auto"/>
                <w:sz w:val="24"/>
                <w:lang w:val="zh-CN"/>
              </w:rPr>
              <w:t>《地表水环境质量标准》（GB3838-2002）中</w:t>
            </w:r>
            <w:r>
              <w:rPr>
                <w:rFonts w:hint="default"/>
                <w:color w:val="auto"/>
                <w:sz w:val="24"/>
              </w:rPr>
              <w:t>Ⅲ</w:t>
            </w:r>
            <w:r>
              <w:rPr>
                <w:rFonts w:hint="default"/>
                <w:color w:val="auto"/>
                <w:sz w:val="24"/>
                <w:lang w:val="zh-CN"/>
              </w:rPr>
              <w:t>类水质标准。</w:t>
            </w:r>
          </w:p>
          <w:p w14:paraId="1188C83C">
            <w:pPr>
              <w:pStyle w:val="58"/>
              <w:keepNext w:val="0"/>
              <w:keepLines w:val="0"/>
              <w:suppressLineNumbers w:val="0"/>
              <w:bidi w:val="0"/>
              <w:spacing w:before="0" w:beforeAutospacing="0" w:after="0" w:afterAutospacing="0"/>
              <w:ind w:left="0" w:right="0"/>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根据昆明市生态环境局发布的《2022年昆明市生态环境状况公报》：滇池全湖水质类别为IV类，综合营养状态指数为59.9，营养状态为轻度富营养，与2021年相比，水质类别保持不变，营养状态由中度富营养转为轻度富营养。35条滇池主要入湖河道中，2条河道断流，20条河道水质类别为II~III类，11条河道水质类别为IV~ V类，2条河道水质类别为劣V类河道。</w:t>
            </w:r>
          </w:p>
          <w:p w14:paraId="066391B6">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default"/>
                <w:color w:val="auto"/>
                <w:sz w:val="24"/>
                <w:lang w:val="zh-CN"/>
              </w:rPr>
              <w:t>根据云南省生态环境厅发布的</w:t>
            </w:r>
            <w:r>
              <w:rPr>
                <w:rFonts w:hint="default"/>
                <w:color w:val="auto"/>
                <w:sz w:val="24"/>
              </w:rPr>
              <w:t>《九大高原湖泊水质监测状况月报》（2023年</w:t>
            </w:r>
            <w:r>
              <w:rPr>
                <w:rFonts w:hint="eastAsia"/>
                <w:color w:val="auto"/>
                <w:sz w:val="24"/>
                <w:lang w:val="en-US" w:eastAsia="zh-CN"/>
              </w:rPr>
              <w:t>7</w:t>
            </w:r>
            <w:r>
              <w:rPr>
                <w:rFonts w:hint="default"/>
                <w:color w:val="auto"/>
                <w:sz w:val="24"/>
              </w:rPr>
              <w:t>月）中九湖入湖河流水质状况表可知，2023年</w:t>
            </w:r>
            <w:r>
              <w:rPr>
                <w:rFonts w:hint="eastAsia"/>
                <w:color w:val="auto"/>
                <w:sz w:val="24"/>
                <w:lang w:val="en-US" w:eastAsia="zh-CN"/>
              </w:rPr>
              <w:t>7</w:t>
            </w:r>
            <w:r>
              <w:rPr>
                <w:rFonts w:hint="default"/>
                <w:color w:val="auto"/>
                <w:sz w:val="24"/>
              </w:rPr>
              <w:t>月滇池外海盘龙江小人桥</w:t>
            </w:r>
            <w:r>
              <w:rPr>
                <w:rFonts w:hint="eastAsia"/>
                <w:color w:val="auto"/>
                <w:sz w:val="24"/>
                <w:lang w:val="en-US" w:eastAsia="zh-CN"/>
              </w:rPr>
              <w:t>水</w:t>
            </w:r>
            <w:r>
              <w:rPr>
                <w:rFonts w:hint="default"/>
                <w:color w:val="auto"/>
                <w:sz w:val="24"/>
              </w:rPr>
              <w:t>质类别为Ⅱ类标准</w:t>
            </w:r>
            <w:r>
              <w:rPr>
                <w:rFonts w:hint="eastAsia"/>
                <w:color w:val="auto"/>
                <w:sz w:val="24"/>
                <w:lang w:eastAsia="zh-CN"/>
              </w:rPr>
              <w:t>、</w:t>
            </w:r>
            <w:r>
              <w:rPr>
                <w:rFonts w:hint="default"/>
                <w:color w:val="auto"/>
                <w:sz w:val="24"/>
              </w:rPr>
              <w:t>严家村桥断面水质类别为Ⅲ类标准。因此盘龙江能够达到《地表水环境质量标准》（GB3838-2002）中Ⅲ类标准。</w:t>
            </w:r>
          </w:p>
          <w:p w14:paraId="0D96EDF2">
            <w:pPr>
              <w:keepNext w:val="0"/>
              <w:keepLines w:val="0"/>
              <w:suppressLineNumbers w:val="0"/>
              <w:adjustRightInd w:val="0"/>
              <w:snapToGrid w:val="0"/>
              <w:spacing w:before="120" w:beforeLines="50" w:beforeAutospacing="0" w:after="0" w:afterAutospacing="0" w:line="360" w:lineRule="auto"/>
              <w:ind w:left="0" w:right="0"/>
              <w:rPr>
                <w:rFonts w:hint="default" w:eastAsiaTheme="minorEastAsia"/>
                <w:b/>
                <w:color w:val="auto"/>
                <w:kern w:val="0"/>
                <w:sz w:val="24"/>
              </w:rPr>
            </w:pPr>
            <w:r>
              <w:rPr>
                <w:rFonts w:hint="default" w:eastAsiaTheme="minorEastAsia"/>
                <w:b/>
                <w:color w:val="auto"/>
                <w:kern w:val="0"/>
                <w:sz w:val="24"/>
              </w:rPr>
              <w:t>3.声环境质量现状</w:t>
            </w:r>
          </w:p>
          <w:p w14:paraId="0C26DFAA">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highlight w:val="none"/>
              </w:rPr>
            </w:pPr>
            <w:r>
              <w:rPr>
                <w:rFonts w:hint="default" w:eastAsiaTheme="minorEastAsia"/>
                <w:color w:val="auto"/>
                <w:kern w:val="0"/>
                <w:sz w:val="24"/>
              </w:rPr>
              <w:t>项目位于</w:t>
            </w:r>
            <w:r>
              <w:rPr>
                <w:rFonts w:hint="default"/>
                <w:color w:val="auto"/>
                <w:sz w:val="24"/>
              </w:rPr>
              <w:t>云南省昆明市盘龙区茨坝街道昆机社区龙泉路714号附1号（昆明机床厂劳动服务公司）</w:t>
            </w:r>
            <w:r>
              <w:rPr>
                <w:rFonts w:hint="default" w:eastAsiaTheme="minorEastAsia"/>
                <w:color w:val="auto"/>
                <w:kern w:val="0"/>
                <w:sz w:val="24"/>
              </w:rPr>
              <w:t>，</w:t>
            </w:r>
            <w:r>
              <w:rPr>
                <w:rFonts w:hint="default" w:eastAsiaTheme="minorEastAsia"/>
                <w:color w:val="auto"/>
                <w:kern w:val="0"/>
                <w:sz w:val="24"/>
                <w:highlight w:val="none"/>
              </w:rPr>
              <w:t>根据昆明市盘龙区声环境功能区划分图</w:t>
            </w:r>
            <w:r>
              <w:rPr>
                <w:rFonts w:hint="default" w:eastAsiaTheme="minorEastAsia"/>
                <w:b/>
                <w:bCs/>
                <w:color w:val="auto"/>
                <w:kern w:val="0"/>
                <w:sz w:val="24"/>
                <w:highlight w:val="none"/>
              </w:rPr>
              <w:t>（附图</w:t>
            </w:r>
            <w:r>
              <w:rPr>
                <w:rFonts w:hint="eastAsia" w:eastAsiaTheme="minorEastAsia"/>
                <w:b/>
                <w:bCs/>
                <w:color w:val="auto"/>
                <w:kern w:val="0"/>
                <w:sz w:val="24"/>
                <w:highlight w:val="none"/>
                <w:lang w:val="en-US" w:eastAsia="zh-CN"/>
              </w:rPr>
              <w:t>8</w:t>
            </w:r>
            <w:r>
              <w:rPr>
                <w:rFonts w:hint="default" w:eastAsiaTheme="minorEastAsia"/>
                <w:b/>
                <w:bCs/>
                <w:color w:val="auto"/>
                <w:kern w:val="0"/>
                <w:sz w:val="24"/>
                <w:highlight w:val="none"/>
              </w:rPr>
              <w:t>）</w:t>
            </w:r>
            <w:r>
              <w:rPr>
                <w:rFonts w:hint="default" w:eastAsiaTheme="minorEastAsia"/>
                <w:color w:val="auto"/>
                <w:kern w:val="0"/>
                <w:sz w:val="24"/>
                <w:highlight w:val="none"/>
              </w:rPr>
              <w:t>，项目位于声环境功能区2类区，执行《声环境质量标准》（GB3096-2008）</w:t>
            </w:r>
            <w:r>
              <w:rPr>
                <w:rFonts w:hint="eastAsia" w:eastAsiaTheme="minorEastAsia"/>
                <w:color w:val="auto"/>
                <w:kern w:val="0"/>
                <w:sz w:val="24"/>
                <w:highlight w:val="none"/>
                <w:lang w:val="en-US" w:eastAsia="zh-CN"/>
              </w:rPr>
              <w:t>2</w:t>
            </w:r>
            <w:r>
              <w:rPr>
                <w:rFonts w:hint="default" w:eastAsiaTheme="minorEastAsia"/>
                <w:color w:val="auto"/>
                <w:kern w:val="0"/>
                <w:sz w:val="24"/>
                <w:highlight w:val="none"/>
              </w:rPr>
              <w:t>类功能区标准。</w:t>
            </w:r>
          </w:p>
          <w:p w14:paraId="3484B619">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highlight w:val="none"/>
              </w:rPr>
              <w:t>本项目厂界外周边50米范围内环境保护目标为项目南侧8米处的云南技师学院，建设单位</w:t>
            </w:r>
            <w:r>
              <w:rPr>
                <w:rFonts w:hint="default"/>
                <w:color w:val="auto"/>
                <w:sz w:val="24"/>
                <w:highlight w:val="none"/>
              </w:rPr>
              <w:t>委托云南中科检测技术有限公司于202</w:t>
            </w:r>
            <w:r>
              <w:rPr>
                <w:rFonts w:hint="eastAsia"/>
                <w:color w:val="auto"/>
                <w:sz w:val="24"/>
                <w:highlight w:val="none"/>
                <w:lang w:val="en-US" w:eastAsia="zh-CN"/>
              </w:rPr>
              <w:t>3</w:t>
            </w:r>
            <w:r>
              <w:rPr>
                <w:rFonts w:hint="default"/>
                <w:color w:val="auto"/>
                <w:sz w:val="24"/>
                <w:highlight w:val="none"/>
              </w:rPr>
              <w:t>年</w:t>
            </w:r>
            <w:r>
              <w:rPr>
                <w:rFonts w:hint="eastAsia"/>
                <w:color w:val="auto"/>
                <w:sz w:val="24"/>
                <w:highlight w:val="none"/>
                <w:lang w:val="en-US" w:eastAsia="zh-CN"/>
              </w:rPr>
              <w:t>7</w:t>
            </w:r>
            <w:r>
              <w:rPr>
                <w:rFonts w:hint="default"/>
                <w:color w:val="auto"/>
                <w:sz w:val="24"/>
                <w:highlight w:val="none"/>
              </w:rPr>
              <w:t>月</w:t>
            </w:r>
            <w:r>
              <w:rPr>
                <w:rFonts w:hint="eastAsia"/>
                <w:color w:val="auto"/>
                <w:sz w:val="24"/>
                <w:highlight w:val="none"/>
                <w:lang w:val="en-US" w:eastAsia="zh-CN"/>
              </w:rPr>
              <w:t>7</w:t>
            </w:r>
            <w:r>
              <w:rPr>
                <w:rFonts w:hint="default"/>
                <w:color w:val="auto"/>
                <w:sz w:val="24"/>
                <w:highlight w:val="none"/>
              </w:rPr>
              <w:t>日</w:t>
            </w:r>
            <w:r>
              <w:rPr>
                <w:rFonts w:hint="eastAsia"/>
                <w:color w:val="auto"/>
                <w:sz w:val="24"/>
                <w:highlight w:val="none"/>
                <w:lang w:eastAsia="zh-CN"/>
              </w:rPr>
              <w:t>、</w:t>
            </w:r>
            <w:r>
              <w:rPr>
                <w:rFonts w:hint="default"/>
                <w:color w:val="auto"/>
                <w:sz w:val="24"/>
                <w:highlight w:val="none"/>
              </w:rPr>
              <w:t>202</w:t>
            </w:r>
            <w:r>
              <w:rPr>
                <w:rFonts w:hint="eastAsia"/>
                <w:color w:val="auto"/>
                <w:sz w:val="24"/>
                <w:highlight w:val="none"/>
                <w:lang w:val="en-US" w:eastAsia="zh-CN"/>
              </w:rPr>
              <w:t>3</w:t>
            </w:r>
            <w:r>
              <w:rPr>
                <w:rFonts w:hint="default"/>
                <w:color w:val="auto"/>
                <w:sz w:val="24"/>
                <w:highlight w:val="none"/>
              </w:rPr>
              <w:t>年</w:t>
            </w:r>
            <w:r>
              <w:rPr>
                <w:rFonts w:hint="eastAsia"/>
                <w:color w:val="auto"/>
                <w:sz w:val="24"/>
                <w:highlight w:val="none"/>
                <w:lang w:val="en-US" w:eastAsia="zh-CN"/>
              </w:rPr>
              <w:t>7</w:t>
            </w:r>
            <w:r>
              <w:rPr>
                <w:rFonts w:hint="default"/>
                <w:color w:val="auto"/>
                <w:sz w:val="24"/>
                <w:highlight w:val="none"/>
              </w:rPr>
              <w:t>月</w:t>
            </w:r>
            <w:r>
              <w:rPr>
                <w:rFonts w:hint="eastAsia"/>
                <w:color w:val="auto"/>
                <w:sz w:val="24"/>
                <w:highlight w:val="none"/>
                <w:lang w:val="en-US" w:eastAsia="zh-CN"/>
              </w:rPr>
              <w:t>8</w:t>
            </w:r>
            <w:r>
              <w:rPr>
                <w:rFonts w:hint="default"/>
                <w:color w:val="auto"/>
                <w:sz w:val="24"/>
                <w:highlight w:val="none"/>
              </w:rPr>
              <w:t>日对项目周边50m范围内敏感点（</w:t>
            </w:r>
            <w:r>
              <w:rPr>
                <w:rFonts w:hint="default" w:eastAsiaTheme="minorEastAsia"/>
                <w:color w:val="auto"/>
                <w:kern w:val="0"/>
                <w:sz w:val="24"/>
                <w:highlight w:val="none"/>
              </w:rPr>
              <w:t>南侧云南技师学院</w:t>
            </w:r>
            <w:r>
              <w:rPr>
                <w:rFonts w:hint="default"/>
                <w:color w:val="auto"/>
                <w:sz w:val="24"/>
                <w:highlight w:val="none"/>
              </w:rPr>
              <w:t>）环境噪声进行了监测，监测布点图详见附图</w:t>
            </w:r>
            <w:r>
              <w:rPr>
                <w:rFonts w:hint="eastAsia"/>
                <w:color w:val="auto"/>
                <w:sz w:val="24"/>
                <w:highlight w:val="none"/>
                <w:lang w:val="en-US" w:eastAsia="zh-CN"/>
              </w:rPr>
              <w:t>5</w:t>
            </w:r>
            <w:r>
              <w:rPr>
                <w:rFonts w:hint="default"/>
                <w:color w:val="auto"/>
                <w:sz w:val="24"/>
                <w:highlight w:val="none"/>
              </w:rPr>
              <w:t>，监测报告详见附件</w:t>
            </w:r>
            <w:r>
              <w:rPr>
                <w:rFonts w:hint="eastAsia"/>
                <w:color w:val="auto"/>
                <w:sz w:val="24"/>
                <w:highlight w:val="none"/>
                <w:lang w:val="en-US" w:eastAsia="zh-CN"/>
              </w:rPr>
              <w:t>4</w:t>
            </w:r>
            <w:r>
              <w:rPr>
                <w:rFonts w:hint="default"/>
                <w:color w:val="auto"/>
                <w:sz w:val="24"/>
              </w:rPr>
              <w:t>。监测结果如下表所示。</w:t>
            </w:r>
          </w:p>
          <w:p w14:paraId="6F46C120">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 w:val="24"/>
              </w:rPr>
            </w:pPr>
            <w:r>
              <w:rPr>
                <w:rFonts w:hint="default"/>
                <w:b/>
                <w:color w:val="auto"/>
                <w:kern w:val="0"/>
                <w:sz w:val="21"/>
                <w:szCs w:val="21"/>
              </w:rPr>
              <w:t>表3</w:t>
            </w:r>
            <w:r>
              <w:rPr>
                <w:rFonts w:hint="eastAsia"/>
                <w:b/>
                <w:color w:val="auto"/>
                <w:kern w:val="0"/>
                <w:sz w:val="21"/>
                <w:szCs w:val="21"/>
                <w:lang w:val="en-US" w:eastAsia="zh-CN"/>
              </w:rPr>
              <w:t>-3</w:t>
            </w:r>
            <w:r>
              <w:rPr>
                <w:rFonts w:hint="default"/>
                <w:b/>
                <w:color w:val="auto"/>
                <w:kern w:val="0"/>
                <w:sz w:val="21"/>
                <w:szCs w:val="21"/>
              </w:rPr>
              <w:t xml:space="preserve">  项目周边敏感点声环境监测结果   单位：dB（A）</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2156"/>
              <w:gridCol w:w="1296"/>
              <w:gridCol w:w="1303"/>
              <w:gridCol w:w="1162"/>
              <w:gridCol w:w="832"/>
              <w:gridCol w:w="727"/>
            </w:tblGrid>
            <w:tr w14:paraId="1941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blHeader/>
                <w:jc w:val="center"/>
              </w:trPr>
              <w:tc>
                <w:tcPr>
                  <w:tcW w:w="1691" w:type="pct"/>
                  <w:gridSpan w:val="2"/>
                  <w:vMerge w:val="restart"/>
                  <w:vAlign w:val="center"/>
                </w:tcPr>
                <w:p w14:paraId="5C48808E">
                  <w:pPr>
                    <w:keepNext w:val="0"/>
                    <w:keepLines w:val="0"/>
                    <w:suppressLineNumbers w:val="0"/>
                    <w:spacing w:before="0" w:beforeAutospacing="0" w:after="0" w:afterAutospacing="0"/>
                    <w:ind w:left="0" w:right="0"/>
                    <w:jc w:val="center"/>
                    <w:rPr>
                      <w:rFonts w:hint="default" w:eastAsiaTheme="minorEastAsia"/>
                      <w:b/>
                      <w:color w:val="auto"/>
                      <w:szCs w:val="21"/>
                    </w:rPr>
                  </w:pPr>
                  <w:r>
                    <w:rPr>
                      <w:rFonts w:hint="default" w:eastAsiaTheme="minorEastAsia"/>
                      <w:b/>
                      <w:color w:val="auto"/>
                      <w:szCs w:val="21"/>
                    </w:rPr>
                    <w:t>监测点</w:t>
                  </w:r>
                </w:p>
              </w:tc>
              <w:tc>
                <w:tcPr>
                  <w:tcW w:w="830" w:type="pct"/>
                  <w:vMerge w:val="restart"/>
                  <w:vAlign w:val="center"/>
                </w:tcPr>
                <w:p w14:paraId="754B18FD">
                  <w:pPr>
                    <w:keepNext w:val="0"/>
                    <w:keepLines w:val="0"/>
                    <w:suppressLineNumbers w:val="0"/>
                    <w:spacing w:before="0" w:beforeAutospacing="0" w:after="0" w:afterAutospacing="0"/>
                    <w:ind w:left="0" w:right="0"/>
                    <w:jc w:val="center"/>
                    <w:rPr>
                      <w:rFonts w:hint="default" w:eastAsiaTheme="minorEastAsia"/>
                      <w:b/>
                      <w:color w:val="auto"/>
                      <w:szCs w:val="21"/>
                    </w:rPr>
                  </w:pPr>
                  <w:r>
                    <w:rPr>
                      <w:rFonts w:hint="default" w:eastAsiaTheme="minorEastAsia"/>
                      <w:b/>
                      <w:color w:val="auto"/>
                      <w:szCs w:val="21"/>
                    </w:rPr>
                    <w:t>时段</w:t>
                  </w:r>
                </w:p>
              </w:tc>
              <w:tc>
                <w:tcPr>
                  <w:tcW w:w="1467" w:type="pct"/>
                  <w:gridSpan w:val="2"/>
                  <w:vAlign w:val="center"/>
                </w:tcPr>
                <w:p w14:paraId="30971AF6">
                  <w:pPr>
                    <w:keepNext w:val="0"/>
                    <w:keepLines w:val="0"/>
                    <w:suppressLineNumbers w:val="0"/>
                    <w:spacing w:before="0" w:beforeAutospacing="0" w:after="0" w:afterAutospacing="0"/>
                    <w:ind w:left="0" w:right="0"/>
                    <w:jc w:val="center"/>
                    <w:rPr>
                      <w:rFonts w:hint="default" w:eastAsiaTheme="minorEastAsia"/>
                      <w:b/>
                      <w:color w:val="auto"/>
                      <w:szCs w:val="21"/>
                    </w:rPr>
                  </w:pPr>
                  <w:r>
                    <w:rPr>
                      <w:rFonts w:hint="default" w:eastAsiaTheme="minorEastAsia"/>
                      <w:b/>
                      <w:color w:val="auto"/>
                      <w:szCs w:val="21"/>
                    </w:rPr>
                    <w:t>监测值Leq</w:t>
                  </w:r>
                </w:p>
              </w:tc>
              <w:tc>
                <w:tcPr>
                  <w:tcW w:w="538" w:type="pct"/>
                  <w:vMerge w:val="restart"/>
                  <w:vAlign w:val="center"/>
                </w:tcPr>
                <w:p w14:paraId="1F753256">
                  <w:pPr>
                    <w:keepNext w:val="0"/>
                    <w:keepLines w:val="0"/>
                    <w:suppressLineNumbers w:val="0"/>
                    <w:spacing w:before="0" w:beforeAutospacing="0" w:after="0" w:afterAutospacing="0"/>
                    <w:ind w:left="0" w:right="0"/>
                    <w:jc w:val="center"/>
                    <w:rPr>
                      <w:rFonts w:hint="default" w:eastAsiaTheme="minorEastAsia"/>
                      <w:b/>
                      <w:color w:val="auto"/>
                      <w:szCs w:val="21"/>
                    </w:rPr>
                  </w:pPr>
                  <w:r>
                    <w:rPr>
                      <w:rFonts w:hint="default" w:eastAsiaTheme="minorEastAsia"/>
                      <w:b/>
                      <w:color w:val="auto"/>
                      <w:szCs w:val="21"/>
                    </w:rPr>
                    <w:t>标准值</w:t>
                  </w:r>
                </w:p>
              </w:tc>
              <w:tc>
                <w:tcPr>
                  <w:tcW w:w="472" w:type="pct"/>
                  <w:vMerge w:val="restart"/>
                  <w:vAlign w:val="center"/>
                </w:tcPr>
                <w:p w14:paraId="6192DD3E">
                  <w:pPr>
                    <w:keepNext w:val="0"/>
                    <w:keepLines w:val="0"/>
                    <w:suppressLineNumbers w:val="0"/>
                    <w:spacing w:before="0" w:beforeAutospacing="0" w:after="0" w:afterAutospacing="0"/>
                    <w:ind w:left="0" w:right="0"/>
                    <w:jc w:val="center"/>
                    <w:rPr>
                      <w:rFonts w:hint="default" w:eastAsiaTheme="minorEastAsia"/>
                      <w:b/>
                      <w:color w:val="auto"/>
                      <w:szCs w:val="21"/>
                    </w:rPr>
                  </w:pPr>
                  <w:r>
                    <w:rPr>
                      <w:rFonts w:hint="default" w:eastAsiaTheme="minorEastAsia"/>
                      <w:b/>
                      <w:color w:val="auto"/>
                      <w:szCs w:val="21"/>
                    </w:rPr>
                    <w:t>评价</w:t>
                  </w:r>
                </w:p>
              </w:tc>
            </w:tr>
            <w:tr w14:paraId="7D79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blHeader/>
                <w:jc w:val="center"/>
              </w:trPr>
              <w:tc>
                <w:tcPr>
                  <w:tcW w:w="1691" w:type="pct"/>
                  <w:gridSpan w:val="2"/>
                  <w:vMerge w:val="continue"/>
                  <w:vAlign w:val="center"/>
                </w:tcPr>
                <w:p w14:paraId="66D7DD67">
                  <w:pPr>
                    <w:keepNext w:val="0"/>
                    <w:keepLines w:val="0"/>
                    <w:suppressLineNumbers w:val="0"/>
                    <w:spacing w:before="0" w:beforeAutospacing="0" w:after="0" w:afterAutospacing="0"/>
                    <w:ind w:left="0" w:right="0"/>
                    <w:jc w:val="center"/>
                    <w:rPr>
                      <w:rFonts w:hint="default" w:eastAsiaTheme="minorEastAsia"/>
                      <w:color w:val="auto"/>
                      <w:szCs w:val="21"/>
                    </w:rPr>
                  </w:pPr>
                </w:p>
              </w:tc>
              <w:tc>
                <w:tcPr>
                  <w:tcW w:w="830" w:type="pct"/>
                  <w:vMerge w:val="continue"/>
                  <w:vAlign w:val="center"/>
                </w:tcPr>
                <w:p w14:paraId="3C50BD30">
                  <w:pPr>
                    <w:keepNext w:val="0"/>
                    <w:keepLines w:val="0"/>
                    <w:suppressLineNumbers w:val="0"/>
                    <w:spacing w:before="0" w:beforeAutospacing="0" w:after="0" w:afterAutospacing="0"/>
                    <w:ind w:left="0" w:right="0"/>
                    <w:jc w:val="center"/>
                    <w:rPr>
                      <w:rFonts w:hint="default" w:eastAsiaTheme="minorEastAsia"/>
                      <w:color w:val="auto"/>
                      <w:szCs w:val="21"/>
                    </w:rPr>
                  </w:pPr>
                </w:p>
              </w:tc>
              <w:tc>
                <w:tcPr>
                  <w:tcW w:w="834" w:type="pct"/>
                  <w:vAlign w:val="center"/>
                </w:tcPr>
                <w:p w14:paraId="459A8DBE">
                  <w:pPr>
                    <w:keepNext w:val="0"/>
                    <w:keepLines w:val="0"/>
                    <w:suppressLineNumbers w:val="0"/>
                    <w:spacing w:before="0" w:beforeAutospacing="0" w:after="0" w:afterAutospacing="0"/>
                    <w:ind w:left="0" w:right="0"/>
                    <w:jc w:val="center"/>
                    <w:rPr>
                      <w:rFonts w:hint="default" w:eastAsiaTheme="minorEastAsia"/>
                      <w:b/>
                      <w:color w:val="auto"/>
                      <w:szCs w:val="21"/>
                      <w:lang w:val="en-US" w:eastAsia="zh-CN"/>
                    </w:rPr>
                  </w:pPr>
                  <w:r>
                    <w:rPr>
                      <w:rFonts w:hint="default" w:eastAsiaTheme="minorEastAsia"/>
                      <w:b/>
                      <w:color w:val="auto"/>
                      <w:szCs w:val="21"/>
                    </w:rPr>
                    <w:t>202</w:t>
                  </w:r>
                  <w:r>
                    <w:rPr>
                      <w:rFonts w:hint="eastAsia" w:eastAsiaTheme="minorEastAsia"/>
                      <w:b/>
                      <w:color w:val="auto"/>
                      <w:szCs w:val="21"/>
                      <w:lang w:val="en-US" w:eastAsia="zh-CN"/>
                    </w:rPr>
                    <w:t>3</w:t>
                  </w:r>
                  <w:r>
                    <w:rPr>
                      <w:rFonts w:hint="default" w:eastAsiaTheme="minorEastAsia"/>
                      <w:b/>
                      <w:color w:val="auto"/>
                      <w:szCs w:val="21"/>
                    </w:rPr>
                    <w:t>.0</w:t>
                  </w:r>
                  <w:r>
                    <w:rPr>
                      <w:rFonts w:hint="eastAsia" w:eastAsiaTheme="minorEastAsia"/>
                      <w:b/>
                      <w:color w:val="auto"/>
                      <w:szCs w:val="21"/>
                      <w:lang w:val="en-US" w:eastAsia="zh-CN"/>
                    </w:rPr>
                    <w:t>7</w:t>
                  </w:r>
                  <w:r>
                    <w:rPr>
                      <w:rFonts w:hint="default" w:eastAsiaTheme="minorEastAsia"/>
                      <w:b/>
                      <w:color w:val="auto"/>
                      <w:szCs w:val="21"/>
                    </w:rPr>
                    <w:t>.</w:t>
                  </w:r>
                  <w:r>
                    <w:rPr>
                      <w:rFonts w:hint="eastAsia" w:eastAsiaTheme="minorEastAsia"/>
                      <w:b/>
                      <w:color w:val="auto"/>
                      <w:szCs w:val="21"/>
                      <w:lang w:val="en-US" w:eastAsia="zh-CN"/>
                    </w:rPr>
                    <w:t>07</w:t>
                  </w:r>
                </w:p>
              </w:tc>
              <w:tc>
                <w:tcPr>
                  <w:tcW w:w="633" w:type="pct"/>
                  <w:vAlign w:val="center"/>
                </w:tcPr>
                <w:p w14:paraId="5E4C1C88">
                  <w:pPr>
                    <w:keepNext w:val="0"/>
                    <w:keepLines w:val="0"/>
                    <w:suppressLineNumbers w:val="0"/>
                    <w:spacing w:before="0" w:beforeAutospacing="0" w:after="0" w:afterAutospacing="0"/>
                    <w:ind w:left="0" w:right="0"/>
                    <w:jc w:val="center"/>
                    <w:rPr>
                      <w:rFonts w:hint="default" w:eastAsiaTheme="minorEastAsia"/>
                      <w:b/>
                      <w:color w:val="auto"/>
                      <w:szCs w:val="21"/>
                    </w:rPr>
                  </w:pPr>
                  <w:r>
                    <w:rPr>
                      <w:rFonts w:hint="default" w:eastAsiaTheme="minorEastAsia"/>
                      <w:b/>
                      <w:color w:val="auto"/>
                      <w:szCs w:val="21"/>
                    </w:rPr>
                    <w:t>202</w:t>
                  </w:r>
                  <w:r>
                    <w:rPr>
                      <w:rFonts w:hint="eastAsia" w:eastAsiaTheme="minorEastAsia"/>
                      <w:b/>
                      <w:color w:val="auto"/>
                      <w:szCs w:val="21"/>
                      <w:lang w:val="en-US" w:eastAsia="zh-CN"/>
                    </w:rPr>
                    <w:t>3</w:t>
                  </w:r>
                  <w:r>
                    <w:rPr>
                      <w:rFonts w:hint="default" w:eastAsiaTheme="minorEastAsia"/>
                      <w:b/>
                      <w:color w:val="auto"/>
                      <w:szCs w:val="21"/>
                    </w:rPr>
                    <w:t>.0</w:t>
                  </w:r>
                  <w:r>
                    <w:rPr>
                      <w:rFonts w:hint="eastAsia" w:eastAsiaTheme="minorEastAsia"/>
                      <w:b/>
                      <w:color w:val="auto"/>
                      <w:szCs w:val="21"/>
                      <w:lang w:val="en-US" w:eastAsia="zh-CN"/>
                    </w:rPr>
                    <w:t>7</w:t>
                  </w:r>
                  <w:r>
                    <w:rPr>
                      <w:rFonts w:hint="default" w:eastAsiaTheme="minorEastAsia"/>
                      <w:b/>
                      <w:color w:val="auto"/>
                      <w:szCs w:val="21"/>
                    </w:rPr>
                    <w:t>.</w:t>
                  </w:r>
                  <w:r>
                    <w:rPr>
                      <w:rFonts w:hint="eastAsia" w:eastAsiaTheme="minorEastAsia"/>
                      <w:b/>
                      <w:color w:val="auto"/>
                      <w:szCs w:val="21"/>
                      <w:lang w:val="en-US" w:eastAsia="zh-CN"/>
                    </w:rPr>
                    <w:t>08</w:t>
                  </w:r>
                </w:p>
              </w:tc>
              <w:tc>
                <w:tcPr>
                  <w:tcW w:w="538" w:type="pct"/>
                  <w:vMerge w:val="continue"/>
                  <w:vAlign w:val="center"/>
                </w:tcPr>
                <w:p w14:paraId="7C462E8A">
                  <w:pPr>
                    <w:keepNext w:val="0"/>
                    <w:keepLines w:val="0"/>
                    <w:widowControl/>
                    <w:suppressLineNumbers w:val="0"/>
                    <w:spacing w:before="0" w:beforeAutospacing="0" w:after="0" w:afterAutospacing="0"/>
                    <w:ind w:left="0" w:right="0"/>
                    <w:jc w:val="center"/>
                    <w:rPr>
                      <w:rFonts w:hint="default" w:eastAsiaTheme="minorEastAsia"/>
                      <w:color w:val="auto"/>
                      <w:szCs w:val="21"/>
                    </w:rPr>
                  </w:pPr>
                </w:p>
              </w:tc>
              <w:tc>
                <w:tcPr>
                  <w:tcW w:w="472" w:type="pct"/>
                  <w:vMerge w:val="continue"/>
                  <w:vAlign w:val="center"/>
                </w:tcPr>
                <w:p w14:paraId="4A635979">
                  <w:pPr>
                    <w:keepNext w:val="0"/>
                    <w:keepLines w:val="0"/>
                    <w:widowControl/>
                    <w:suppressLineNumbers w:val="0"/>
                    <w:spacing w:before="0" w:beforeAutospacing="0" w:after="0" w:afterAutospacing="0"/>
                    <w:ind w:left="0" w:right="0"/>
                    <w:jc w:val="center"/>
                    <w:rPr>
                      <w:rFonts w:hint="default" w:eastAsiaTheme="minorEastAsia"/>
                      <w:color w:val="auto"/>
                      <w:szCs w:val="21"/>
                    </w:rPr>
                  </w:pPr>
                </w:p>
              </w:tc>
            </w:tr>
            <w:tr w14:paraId="2634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21" w:type="pct"/>
                  <w:vMerge w:val="restart"/>
                  <w:vAlign w:val="center"/>
                </w:tcPr>
                <w:p w14:paraId="478FCE08">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敏感点</w:t>
                  </w:r>
                </w:p>
              </w:tc>
              <w:tc>
                <w:tcPr>
                  <w:tcW w:w="1369" w:type="pct"/>
                  <w:vMerge w:val="restart"/>
                  <w:vAlign w:val="center"/>
                </w:tcPr>
                <w:p w14:paraId="16C736B2">
                  <w:pPr>
                    <w:keepNext w:val="0"/>
                    <w:keepLines w:val="0"/>
                    <w:suppressLineNumbers w:val="0"/>
                    <w:tabs>
                      <w:tab w:val="left" w:pos="6030"/>
                    </w:tabs>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N1：云南技师学院</w:t>
                  </w:r>
                </w:p>
              </w:tc>
              <w:tc>
                <w:tcPr>
                  <w:tcW w:w="830" w:type="pct"/>
                  <w:vAlign w:val="center"/>
                </w:tcPr>
                <w:p w14:paraId="6F349170">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昼间</w:t>
                  </w:r>
                </w:p>
              </w:tc>
              <w:tc>
                <w:tcPr>
                  <w:tcW w:w="834" w:type="pct"/>
                  <w:vAlign w:val="center"/>
                </w:tcPr>
                <w:p w14:paraId="21C8B7B8">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eastAsiaTheme="minorEastAsia"/>
                      <w:color w:val="auto"/>
                      <w:szCs w:val="21"/>
                      <w:lang w:val="en-US" w:eastAsia="zh-CN"/>
                    </w:rPr>
                    <w:t>53</w:t>
                  </w:r>
                </w:p>
              </w:tc>
              <w:tc>
                <w:tcPr>
                  <w:tcW w:w="633" w:type="pct"/>
                  <w:vAlign w:val="center"/>
                </w:tcPr>
                <w:p w14:paraId="7D93B2A0">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eastAsiaTheme="minorEastAsia"/>
                      <w:color w:val="auto"/>
                      <w:szCs w:val="21"/>
                      <w:lang w:val="en-US" w:eastAsia="zh-CN"/>
                    </w:rPr>
                    <w:t>54</w:t>
                  </w:r>
                </w:p>
              </w:tc>
              <w:tc>
                <w:tcPr>
                  <w:tcW w:w="538" w:type="pct"/>
                  <w:vAlign w:val="center"/>
                </w:tcPr>
                <w:p w14:paraId="132F267F">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60</w:t>
                  </w:r>
                </w:p>
              </w:tc>
              <w:tc>
                <w:tcPr>
                  <w:tcW w:w="472" w:type="pct"/>
                  <w:vAlign w:val="center"/>
                </w:tcPr>
                <w:p w14:paraId="108BADF0">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达标</w:t>
                  </w:r>
                </w:p>
              </w:tc>
            </w:tr>
            <w:tr w14:paraId="579D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21" w:type="pct"/>
                  <w:vMerge w:val="continue"/>
                  <w:vAlign w:val="center"/>
                </w:tcPr>
                <w:p w14:paraId="0145F117">
                  <w:pPr>
                    <w:keepNext w:val="0"/>
                    <w:keepLines w:val="0"/>
                    <w:suppressLineNumbers w:val="0"/>
                    <w:spacing w:before="0" w:beforeAutospacing="0" w:after="0" w:afterAutospacing="0"/>
                    <w:ind w:left="0" w:right="0"/>
                    <w:jc w:val="center"/>
                    <w:rPr>
                      <w:rFonts w:hint="default" w:eastAsiaTheme="minorEastAsia"/>
                      <w:color w:val="auto"/>
                      <w:szCs w:val="21"/>
                    </w:rPr>
                  </w:pPr>
                </w:p>
              </w:tc>
              <w:tc>
                <w:tcPr>
                  <w:tcW w:w="1369" w:type="pct"/>
                  <w:vMerge w:val="continue"/>
                  <w:vAlign w:val="center"/>
                </w:tcPr>
                <w:p w14:paraId="304EC4FC">
                  <w:pPr>
                    <w:keepNext w:val="0"/>
                    <w:keepLines w:val="0"/>
                    <w:suppressLineNumbers w:val="0"/>
                    <w:tabs>
                      <w:tab w:val="left" w:pos="6030"/>
                    </w:tabs>
                    <w:spacing w:before="0" w:beforeAutospacing="0" w:after="0" w:afterAutospacing="0"/>
                    <w:ind w:left="0" w:right="0"/>
                    <w:jc w:val="center"/>
                    <w:rPr>
                      <w:rFonts w:hint="default" w:eastAsiaTheme="minorEastAsia"/>
                      <w:color w:val="auto"/>
                      <w:szCs w:val="21"/>
                    </w:rPr>
                  </w:pPr>
                </w:p>
              </w:tc>
              <w:tc>
                <w:tcPr>
                  <w:tcW w:w="830" w:type="pct"/>
                  <w:vAlign w:val="center"/>
                </w:tcPr>
                <w:p w14:paraId="3723E13B">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夜间</w:t>
                  </w:r>
                </w:p>
              </w:tc>
              <w:tc>
                <w:tcPr>
                  <w:tcW w:w="834" w:type="pct"/>
                  <w:vAlign w:val="center"/>
                </w:tcPr>
                <w:p w14:paraId="731EBC68">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eastAsiaTheme="minorEastAsia"/>
                      <w:color w:val="auto"/>
                      <w:szCs w:val="21"/>
                      <w:lang w:val="en-US" w:eastAsia="zh-CN"/>
                    </w:rPr>
                    <w:t>44</w:t>
                  </w:r>
                </w:p>
              </w:tc>
              <w:tc>
                <w:tcPr>
                  <w:tcW w:w="633" w:type="pct"/>
                  <w:vAlign w:val="center"/>
                </w:tcPr>
                <w:p w14:paraId="33C895BA">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eastAsiaTheme="minorEastAsia"/>
                      <w:color w:val="auto"/>
                      <w:szCs w:val="21"/>
                      <w:lang w:val="en-US" w:eastAsia="zh-CN"/>
                    </w:rPr>
                    <w:t>45</w:t>
                  </w:r>
                </w:p>
              </w:tc>
              <w:tc>
                <w:tcPr>
                  <w:tcW w:w="538" w:type="pct"/>
                  <w:vAlign w:val="center"/>
                </w:tcPr>
                <w:p w14:paraId="4837E4F3">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50</w:t>
                  </w:r>
                </w:p>
              </w:tc>
              <w:tc>
                <w:tcPr>
                  <w:tcW w:w="472" w:type="pct"/>
                  <w:vAlign w:val="center"/>
                </w:tcPr>
                <w:p w14:paraId="7361734B">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达标</w:t>
                  </w:r>
                </w:p>
              </w:tc>
            </w:tr>
          </w:tbl>
          <w:p w14:paraId="0CD230D4">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根据监测结果，项目周边50m范围内的敏感点均能达到《声环境质量标准》（GB3096-2008）2类声环境功能区要求。</w:t>
            </w:r>
          </w:p>
          <w:p w14:paraId="4C7F58F1">
            <w:pPr>
              <w:keepNext w:val="0"/>
              <w:keepLines w:val="0"/>
              <w:suppressLineNumbers w:val="0"/>
              <w:adjustRightInd w:val="0"/>
              <w:snapToGrid w:val="0"/>
              <w:spacing w:before="120" w:beforeLines="50" w:beforeAutospacing="0" w:after="0" w:afterAutospacing="0" w:line="360" w:lineRule="auto"/>
              <w:ind w:left="0" w:right="0"/>
              <w:rPr>
                <w:rFonts w:hint="default" w:eastAsiaTheme="minorEastAsia"/>
                <w:b/>
                <w:color w:val="auto"/>
                <w:kern w:val="0"/>
                <w:sz w:val="24"/>
              </w:rPr>
            </w:pPr>
            <w:r>
              <w:rPr>
                <w:rFonts w:hint="default" w:eastAsiaTheme="minorEastAsia"/>
                <w:b/>
                <w:color w:val="auto"/>
                <w:kern w:val="0"/>
                <w:sz w:val="24"/>
              </w:rPr>
              <w:t>4.生态环境质量现状</w:t>
            </w:r>
          </w:p>
          <w:p w14:paraId="0CD40D8B">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项目在</w:t>
            </w:r>
            <w:r>
              <w:rPr>
                <w:rFonts w:hint="default"/>
                <w:color w:val="auto"/>
                <w:sz w:val="24"/>
              </w:rPr>
              <w:t>云南省昆明市盘龙区茨坝街道昆机社区龙泉路714号附1号（昆明机床厂劳动服务公司</w:t>
            </w:r>
            <w:r>
              <w:rPr>
                <w:rFonts w:hint="default" w:eastAsiaTheme="minorEastAsia"/>
                <w:color w:val="auto"/>
                <w:kern w:val="0"/>
                <w:sz w:val="24"/>
              </w:rPr>
              <w:t>内</w:t>
            </w:r>
            <w:r>
              <w:rPr>
                <w:rFonts w:hint="default"/>
                <w:color w:val="auto"/>
                <w:sz w:val="24"/>
              </w:rPr>
              <w:t>）</w:t>
            </w:r>
            <w:r>
              <w:rPr>
                <w:rFonts w:hint="default" w:eastAsiaTheme="minorEastAsia"/>
                <w:color w:val="auto"/>
                <w:kern w:val="0"/>
                <w:sz w:val="24"/>
              </w:rPr>
              <w:t>建设，不新增占地。项目所在区域为城市建成区，生态环境为城市生态系统。项目周边已无原生植被，现状主要为道路和绿化，主要植被为人工种植绿化树木及草地，整个区域植被覆盖率较低，未见野生动物分布，调查范围内未涉及国家保护的珍贵野生动、植物。不涉及特殊生态敏感区、重要生态敏感区等。</w:t>
            </w:r>
          </w:p>
        </w:tc>
      </w:tr>
      <w:tr w14:paraId="208AE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5A1E1DE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环境</w:t>
            </w:r>
          </w:p>
          <w:p w14:paraId="2170D9FC">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保护</w:t>
            </w:r>
          </w:p>
          <w:p w14:paraId="1E641FB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目标</w:t>
            </w:r>
          </w:p>
        </w:tc>
        <w:tc>
          <w:tcPr>
            <w:tcW w:w="8190" w:type="dxa"/>
            <w:vAlign w:val="center"/>
          </w:tcPr>
          <w:p w14:paraId="211EA140">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kern w:val="0"/>
                <w:sz w:val="24"/>
                <w:lang w:eastAsia="zh-CN"/>
              </w:rPr>
            </w:pPr>
            <w:r>
              <w:rPr>
                <w:rFonts w:hint="default" w:eastAsiaTheme="minorEastAsia"/>
                <w:color w:val="auto"/>
                <w:kern w:val="0"/>
                <w:sz w:val="24"/>
              </w:rPr>
              <w:t>项目在</w:t>
            </w:r>
            <w:r>
              <w:rPr>
                <w:rFonts w:hint="default"/>
                <w:color w:val="auto"/>
                <w:sz w:val="24"/>
              </w:rPr>
              <w:t>云南省昆明市盘龙区茨坝街道昆机社区龙泉路714号附1号（昆明机床厂劳动服务公司</w:t>
            </w:r>
            <w:r>
              <w:rPr>
                <w:rFonts w:hint="default" w:eastAsiaTheme="minorEastAsia"/>
                <w:color w:val="auto"/>
                <w:kern w:val="0"/>
                <w:sz w:val="24"/>
              </w:rPr>
              <w:t>内</w:t>
            </w:r>
            <w:r>
              <w:rPr>
                <w:rFonts w:hint="default"/>
                <w:color w:val="auto"/>
                <w:sz w:val="24"/>
              </w:rPr>
              <w:t>）</w:t>
            </w:r>
            <w:r>
              <w:rPr>
                <w:rFonts w:hint="eastAsia"/>
                <w:color w:val="auto"/>
                <w:sz w:val="24"/>
                <w:lang w:eastAsia="zh-CN"/>
              </w:rPr>
              <w:t>，</w:t>
            </w:r>
            <w:r>
              <w:rPr>
                <w:rFonts w:hint="eastAsia" w:ascii="Times New Roman" w:hAnsi="Times New Roman" w:eastAsia="宋体" w:cs="Times New Roman"/>
                <w:color w:val="auto"/>
                <w:kern w:val="2"/>
                <w:sz w:val="24"/>
                <w:szCs w:val="24"/>
                <w:lang w:val="en-US" w:eastAsia="zh-CN" w:bidi="ar"/>
              </w:rPr>
              <w:t>根据现场调查，项目大气环境保护目标为厂界外</w:t>
            </w:r>
            <w:r>
              <w:rPr>
                <w:rFonts w:hint="default" w:ascii="Times New Roman" w:hAnsi="Times New Roman" w:eastAsia="宋体" w:cs="Times New Roman"/>
                <w:color w:val="auto"/>
                <w:kern w:val="2"/>
                <w:sz w:val="24"/>
                <w:szCs w:val="24"/>
                <w:lang w:val="en-US" w:eastAsia="zh-CN" w:bidi="ar"/>
              </w:rPr>
              <w:t>500m</w:t>
            </w:r>
            <w:r>
              <w:rPr>
                <w:rFonts w:hint="eastAsia" w:ascii="Times New Roman" w:hAnsi="Times New Roman" w:eastAsia="宋体" w:cs="Times New Roman"/>
                <w:color w:val="auto"/>
                <w:kern w:val="2"/>
                <w:sz w:val="24"/>
                <w:szCs w:val="24"/>
                <w:lang w:val="en-US" w:eastAsia="zh-CN" w:bidi="ar"/>
              </w:rPr>
              <w:t>范围；声环境保护目标为厂界外</w:t>
            </w:r>
            <w:r>
              <w:rPr>
                <w:rFonts w:hint="default" w:ascii="Times New Roman" w:hAnsi="Times New Roman" w:eastAsia="宋体" w:cs="Times New Roman"/>
                <w:color w:val="auto"/>
                <w:kern w:val="2"/>
                <w:sz w:val="24"/>
                <w:szCs w:val="24"/>
                <w:lang w:val="en-US" w:eastAsia="zh-CN" w:bidi="ar"/>
              </w:rPr>
              <w:t>50m</w:t>
            </w:r>
            <w:r>
              <w:rPr>
                <w:rFonts w:hint="eastAsia" w:ascii="Times New Roman" w:hAnsi="Times New Roman" w:eastAsia="宋体" w:cs="Times New Roman"/>
                <w:color w:val="auto"/>
                <w:kern w:val="2"/>
                <w:sz w:val="24"/>
                <w:szCs w:val="24"/>
                <w:lang w:val="en-US" w:eastAsia="zh-CN" w:bidi="ar"/>
              </w:rPr>
              <w:t>范围；厂界外</w:t>
            </w:r>
            <w:r>
              <w:rPr>
                <w:rFonts w:hint="default" w:ascii="Times New Roman" w:hAnsi="Times New Roman" w:eastAsia="宋体" w:cs="Times New Roman"/>
                <w:color w:val="auto"/>
                <w:kern w:val="2"/>
                <w:sz w:val="24"/>
                <w:szCs w:val="24"/>
                <w:lang w:val="en-US" w:eastAsia="zh-CN" w:bidi="ar"/>
              </w:rPr>
              <w:t>500m</w:t>
            </w:r>
            <w:r>
              <w:rPr>
                <w:rFonts w:hint="eastAsia" w:ascii="Times New Roman" w:hAnsi="Times New Roman" w:eastAsia="宋体" w:cs="Times New Roman"/>
                <w:color w:val="auto"/>
                <w:kern w:val="2"/>
                <w:sz w:val="24"/>
                <w:szCs w:val="24"/>
                <w:lang w:val="en-US" w:eastAsia="zh-CN" w:bidi="ar"/>
              </w:rPr>
              <w:t>范围内无地下水集中式饮用水水源和热水、矿泉水、温泉等特殊地下水资源，不设地下水保护目标。项目不新增加占地，不设置生态环境保护目标。</w:t>
            </w:r>
          </w:p>
          <w:p w14:paraId="1540A01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根据上述要求，列出项目环境保护目标，见下表。</w:t>
            </w:r>
          </w:p>
          <w:p w14:paraId="4859F29F">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p>
          <w:p w14:paraId="40CA64BD">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p>
          <w:p w14:paraId="753939DB">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p>
          <w:p w14:paraId="3C7143B6">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表3-</w:t>
            </w:r>
            <w:r>
              <w:rPr>
                <w:rFonts w:hint="eastAsia"/>
                <w:b/>
                <w:color w:val="auto"/>
                <w:kern w:val="0"/>
                <w:szCs w:val="21"/>
                <w:lang w:val="en-US" w:eastAsia="zh-CN"/>
              </w:rPr>
              <w:t>4</w:t>
            </w:r>
            <w:r>
              <w:rPr>
                <w:rFonts w:hint="default"/>
                <w:b/>
                <w:color w:val="auto"/>
                <w:kern w:val="0"/>
                <w:szCs w:val="21"/>
              </w:rPr>
              <w:t xml:space="preserve">   主要环境保护目标一览表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665"/>
              <w:gridCol w:w="1585"/>
              <w:gridCol w:w="1331"/>
              <w:gridCol w:w="453"/>
              <w:gridCol w:w="744"/>
              <w:gridCol w:w="516"/>
              <w:gridCol w:w="666"/>
              <w:gridCol w:w="1607"/>
            </w:tblGrid>
            <w:tr w14:paraId="1FB0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97" w:type="dxa"/>
                  <w:vMerge w:val="restart"/>
                  <w:vAlign w:val="center"/>
                </w:tcPr>
                <w:p w14:paraId="153FA77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bookmarkStart w:id="10" w:name="_Hlk139533326"/>
                  <w:r>
                    <w:rPr>
                      <w:rFonts w:hint="default" w:ascii="Times New Roman" w:hAnsi="Times New Roman" w:eastAsia="宋体" w:cs="Times New Roman"/>
                      <w:b/>
                      <w:color w:val="auto"/>
                      <w:kern w:val="0"/>
                      <w:sz w:val="18"/>
                      <w:szCs w:val="18"/>
                    </w:rPr>
                    <w:t>环要素要</w:t>
                  </w:r>
                </w:p>
              </w:tc>
              <w:tc>
                <w:tcPr>
                  <w:tcW w:w="665" w:type="dxa"/>
                  <w:vMerge w:val="restart"/>
                  <w:vAlign w:val="center"/>
                </w:tcPr>
                <w:p w14:paraId="564E578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环境敏感点名称</w:t>
                  </w:r>
                </w:p>
              </w:tc>
              <w:tc>
                <w:tcPr>
                  <w:tcW w:w="2916" w:type="dxa"/>
                  <w:gridSpan w:val="2"/>
                  <w:vAlign w:val="center"/>
                </w:tcPr>
                <w:p w14:paraId="1CB4DCC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经纬度坐标</w:t>
                  </w:r>
                </w:p>
              </w:tc>
              <w:tc>
                <w:tcPr>
                  <w:tcW w:w="453" w:type="dxa"/>
                  <w:vMerge w:val="restart"/>
                  <w:vAlign w:val="center"/>
                </w:tcPr>
                <w:p w14:paraId="5E44393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与场界相对方位</w:t>
                  </w:r>
                </w:p>
              </w:tc>
              <w:tc>
                <w:tcPr>
                  <w:tcW w:w="744" w:type="dxa"/>
                  <w:vMerge w:val="restart"/>
                  <w:vAlign w:val="center"/>
                </w:tcPr>
                <w:p w14:paraId="1D46BE2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直线距离（m）</w:t>
                  </w:r>
                </w:p>
              </w:tc>
              <w:tc>
                <w:tcPr>
                  <w:tcW w:w="516" w:type="dxa"/>
                  <w:vMerge w:val="restart"/>
                  <w:vAlign w:val="center"/>
                </w:tcPr>
                <w:p w14:paraId="3E96F6A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保护对象</w:t>
                  </w:r>
                </w:p>
              </w:tc>
              <w:tc>
                <w:tcPr>
                  <w:tcW w:w="666" w:type="dxa"/>
                  <w:vMerge w:val="restart"/>
                  <w:vAlign w:val="center"/>
                </w:tcPr>
                <w:p w14:paraId="2B57868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保护内容</w:t>
                  </w:r>
                </w:p>
              </w:tc>
              <w:tc>
                <w:tcPr>
                  <w:tcW w:w="1607" w:type="dxa"/>
                  <w:vMerge w:val="restart"/>
                  <w:vAlign w:val="center"/>
                </w:tcPr>
                <w:p w14:paraId="5EFFE0F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保护级别</w:t>
                  </w:r>
                </w:p>
              </w:tc>
            </w:tr>
            <w:tr w14:paraId="2623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97" w:type="dxa"/>
                  <w:vMerge w:val="continue"/>
                  <w:vAlign w:val="center"/>
                </w:tcPr>
                <w:p w14:paraId="5436C56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p>
              </w:tc>
              <w:tc>
                <w:tcPr>
                  <w:tcW w:w="665" w:type="dxa"/>
                  <w:vMerge w:val="continue"/>
                  <w:vAlign w:val="center"/>
                </w:tcPr>
                <w:p w14:paraId="2A45C04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p>
              </w:tc>
              <w:tc>
                <w:tcPr>
                  <w:tcW w:w="1585" w:type="dxa"/>
                  <w:vAlign w:val="center"/>
                </w:tcPr>
                <w:p w14:paraId="638EFC0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经度（度）</w:t>
                  </w:r>
                </w:p>
              </w:tc>
              <w:tc>
                <w:tcPr>
                  <w:tcW w:w="1331" w:type="dxa"/>
                  <w:vAlign w:val="center"/>
                </w:tcPr>
                <w:p w14:paraId="1BEB9B2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纬度（度）</w:t>
                  </w:r>
                </w:p>
              </w:tc>
              <w:tc>
                <w:tcPr>
                  <w:tcW w:w="453" w:type="dxa"/>
                  <w:vMerge w:val="continue"/>
                  <w:vAlign w:val="center"/>
                </w:tcPr>
                <w:p w14:paraId="396C84D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p>
              </w:tc>
              <w:tc>
                <w:tcPr>
                  <w:tcW w:w="744" w:type="dxa"/>
                  <w:vMerge w:val="continue"/>
                  <w:vAlign w:val="center"/>
                </w:tcPr>
                <w:p w14:paraId="64F2A77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p>
              </w:tc>
              <w:tc>
                <w:tcPr>
                  <w:tcW w:w="516" w:type="dxa"/>
                  <w:vMerge w:val="continue"/>
                  <w:vAlign w:val="center"/>
                </w:tcPr>
                <w:p w14:paraId="54BE9C6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p>
              </w:tc>
              <w:tc>
                <w:tcPr>
                  <w:tcW w:w="666" w:type="dxa"/>
                  <w:vMerge w:val="continue"/>
                  <w:vAlign w:val="center"/>
                </w:tcPr>
                <w:p w14:paraId="6C467BA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p>
              </w:tc>
              <w:tc>
                <w:tcPr>
                  <w:tcW w:w="1607" w:type="dxa"/>
                  <w:vMerge w:val="continue"/>
                  <w:vAlign w:val="center"/>
                </w:tcPr>
                <w:p w14:paraId="062D158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18"/>
                      <w:szCs w:val="18"/>
                    </w:rPr>
                  </w:pPr>
                </w:p>
              </w:tc>
            </w:tr>
            <w:tr w14:paraId="6A39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97" w:type="dxa"/>
                  <w:vMerge w:val="restart"/>
                  <w:vAlign w:val="center"/>
                </w:tcPr>
                <w:p w14:paraId="6E9CEE5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大气环境</w:t>
                  </w:r>
                </w:p>
              </w:tc>
              <w:tc>
                <w:tcPr>
                  <w:tcW w:w="665" w:type="dxa"/>
                  <w:vAlign w:val="center"/>
                </w:tcPr>
                <w:p w14:paraId="4FCF450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云南技</w:t>
                  </w:r>
                  <w:r>
                    <w:rPr>
                      <w:rFonts w:hint="default" w:ascii="Times New Roman" w:hAnsi="Times New Roman" w:eastAsia="宋体" w:cs="Times New Roman"/>
                      <w:color w:val="auto"/>
                      <w:sz w:val="18"/>
                      <w:szCs w:val="18"/>
                      <w:lang w:val="en-US" w:eastAsia="zh-CN"/>
                    </w:rPr>
                    <w:t>师</w:t>
                  </w:r>
                  <w:r>
                    <w:rPr>
                      <w:rFonts w:hint="default" w:ascii="Times New Roman" w:hAnsi="Times New Roman" w:eastAsia="宋体" w:cs="Times New Roman"/>
                      <w:color w:val="auto"/>
                      <w:sz w:val="18"/>
                      <w:szCs w:val="18"/>
                    </w:rPr>
                    <w:t>学院</w:t>
                  </w:r>
                </w:p>
              </w:tc>
              <w:tc>
                <w:tcPr>
                  <w:tcW w:w="1585" w:type="dxa"/>
                  <w:vAlign w:val="center"/>
                </w:tcPr>
                <w:p w14:paraId="225AD57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102°43′57.630″</w:t>
                  </w:r>
                </w:p>
              </w:tc>
              <w:tc>
                <w:tcPr>
                  <w:tcW w:w="1331" w:type="dxa"/>
                  <w:vAlign w:val="center"/>
                </w:tcPr>
                <w:p w14:paraId="662EF2A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25°9′6.634″</w:t>
                  </w:r>
                </w:p>
              </w:tc>
              <w:tc>
                <w:tcPr>
                  <w:tcW w:w="453" w:type="dxa"/>
                  <w:vAlign w:val="center"/>
                </w:tcPr>
                <w:p w14:paraId="5835583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南</w:t>
                  </w:r>
                </w:p>
              </w:tc>
              <w:tc>
                <w:tcPr>
                  <w:tcW w:w="744" w:type="dxa"/>
                  <w:vAlign w:val="center"/>
                </w:tcPr>
                <w:p w14:paraId="6E88DEB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516" w:type="dxa"/>
                  <w:vAlign w:val="center"/>
                </w:tcPr>
                <w:p w14:paraId="531C73E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学校</w:t>
                  </w:r>
                </w:p>
              </w:tc>
              <w:tc>
                <w:tcPr>
                  <w:tcW w:w="666" w:type="dxa"/>
                  <w:vAlign w:val="center"/>
                </w:tcPr>
                <w:p w14:paraId="1266BC6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师生约1500人</w:t>
                  </w:r>
                </w:p>
              </w:tc>
              <w:tc>
                <w:tcPr>
                  <w:tcW w:w="1607" w:type="dxa"/>
                  <w:vMerge w:val="restart"/>
                  <w:vAlign w:val="center"/>
                </w:tcPr>
                <w:p w14:paraId="4A3ECB9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20"/>
                      <w:kern w:val="0"/>
                      <w:sz w:val="18"/>
                      <w:szCs w:val="18"/>
                    </w:rPr>
                  </w:pPr>
                  <w:r>
                    <w:rPr>
                      <w:rFonts w:hint="default" w:ascii="Times New Roman" w:hAnsi="Times New Roman" w:eastAsia="宋体" w:cs="Times New Roman"/>
                      <w:color w:val="auto"/>
                      <w:sz w:val="18"/>
                      <w:szCs w:val="18"/>
                    </w:rPr>
                    <w:t>《环境空气质量标准》（GB3095-2012）中的二级标准</w:t>
                  </w:r>
                </w:p>
              </w:tc>
            </w:tr>
            <w:tr w14:paraId="7DFA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97" w:type="dxa"/>
                  <w:vMerge w:val="continue"/>
                  <w:vAlign w:val="center"/>
                </w:tcPr>
                <w:p w14:paraId="1267A1D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c>
                <w:tcPr>
                  <w:tcW w:w="665" w:type="dxa"/>
                  <w:vAlign w:val="center"/>
                </w:tcPr>
                <w:p w14:paraId="2A68616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花渔沟村</w:t>
                  </w:r>
                </w:p>
              </w:tc>
              <w:tc>
                <w:tcPr>
                  <w:tcW w:w="1585" w:type="dxa"/>
                  <w:vAlign w:val="center"/>
                </w:tcPr>
                <w:p w14:paraId="02F2F8F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102°44′1.390″</w:t>
                  </w:r>
                </w:p>
              </w:tc>
              <w:tc>
                <w:tcPr>
                  <w:tcW w:w="1331" w:type="dxa"/>
                  <w:vAlign w:val="center"/>
                </w:tcPr>
                <w:p w14:paraId="0CB9703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25°9′3.736″</w:t>
                  </w:r>
                </w:p>
              </w:tc>
              <w:tc>
                <w:tcPr>
                  <w:tcW w:w="453" w:type="dxa"/>
                  <w:vAlign w:val="center"/>
                </w:tcPr>
                <w:p w14:paraId="6DC95E3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南</w:t>
                  </w:r>
                </w:p>
              </w:tc>
              <w:tc>
                <w:tcPr>
                  <w:tcW w:w="744" w:type="dxa"/>
                  <w:vAlign w:val="center"/>
                </w:tcPr>
                <w:p w14:paraId="075AD09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c>
                <w:tcPr>
                  <w:tcW w:w="516" w:type="dxa"/>
                  <w:vAlign w:val="center"/>
                </w:tcPr>
                <w:p w14:paraId="30A4BAE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居民</w:t>
                  </w:r>
                </w:p>
              </w:tc>
              <w:tc>
                <w:tcPr>
                  <w:tcW w:w="666" w:type="dxa"/>
                  <w:vAlign w:val="center"/>
                </w:tcPr>
                <w:p w14:paraId="7F1BD8A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约100人</w:t>
                  </w:r>
                </w:p>
              </w:tc>
              <w:tc>
                <w:tcPr>
                  <w:tcW w:w="1607" w:type="dxa"/>
                  <w:vMerge w:val="continue"/>
                  <w:vAlign w:val="center"/>
                </w:tcPr>
                <w:p w14:paraId="5364671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20"/>
                      <w:kern w:val="0"/>
                      <w:sz w:val="18"/>
                      <w:szCs w:val="18"/>
                    </w:rPr>
                  </w:pPr>
                </w:p>
              </w:tc>
            </w:tr>
            <w:tr w14:paraId="6DE5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14:paraId="4029162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c>
                <w:tcPr>
                  <w:tcW w:w="665" w:type="dxa"/>
                  <w:vAlign w:val="center"/>
                </w:tcPr>
                <w:p w14:paraId="5771792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昆明机床厂住宅区</w:t>
                  </w:r>
                </w:p>
              </w:tc>
              <w:tc>
                <w:tcPr>
                  <w:tcW w:w="1585" w:type="dxa"/>
                  <w:vAlign w:val="center"/>
                </w:tcPr>
                <w:p w14:paraId="560ECD5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102°44′16.582″</w:t>
                  </w:r>
                </w:p>
              </w:tc>
              <w:tc>
                <w:tcPr>
                  <w:tcW w:w="1331" w:type="dxa"/>
                  <w:vAlign w:val="center"/>
                </w:tcPr>
                <w:p w14:paraId="5BA0556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25°9′8.237″</w:t>
                  </w:r>
                </w:p>
              </w:tc>
              <w:tc>
                <w:tcPr>
                  <w:tcW w:w="453" w:type="dxa"/>
                  <w:vAlign w:val="center"/>
                </w:tcPr>
                <w:p w14:paraId="612F789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东</w:t>
                  </w:r>
                </w:p>
              </w:tc>
              <w:tc>
                <w:tcPr>
                  <w:tcW w:w="744" w:type="dxa"/>
                  <w:vAlign w:val="center"/>
                </w:tcPr>
                <w:p w14:paraId="342BC17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230</w:t>
                  </w:r>
                </w:p>
              </w:tc>
              <w:tc>
                <w:tcPr>
                  <w:tcW w:w="516" w:type="dxa"/>
                  <w:vAlign w:val="center"/>
                </w:tcPr>
                <w:p w14:paraId="1392ECB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居民</w:t>
                  </w:r>
                </w:p>
              </w:tc>
              <w:tc>
                <w:tcPr>
                  <w:tcW w:w="666" w:type="dxa"/>
                  <w:vAlign w:val="center"/>
                </w:tcPr>
                <w:p w14:paraId="68CAF13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200户，500人</w:t>
                  </w:r>
                </w:p>
              </w:tc>
              <w:tc>
                <w:tcPr>
                  <w:tcW w:w="1607" w:type="dxa"/>
                  <w:vMerge w:val="continue"/>
                  <w:vAlign w:val="center"/>
                </w:tcPr>
                <w:p w14:paraId="46A6BD6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20"/>
                      <w:kern w:val="0"/>
                      <w:sz w:val="18"/>
                      <w:szCs w:val="18"/>
                    </w:rPr>
                  </w:pPr>
                </w:p>
              </w:tc>
            </w:tr>
            <w:tr w14:paraId="6418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14:paraId="42E3751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c>
                <w:tcPr>
                  <w:tcW w:w="665" w:type="dxa"/>
                  <w:vAlign w:val="center"/>
                </w:tcPr>
                <w:p w14:paraId="28D0653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昆重小区</w:t>
                  </w:r>
                </w:p>
              </w:tc>
              <w:tc>
                <w:tcPr>
                  <w:tcW w:w="1585" w:type="dxa"/>
                  <w:vAlign w:val="center"/>
                </w:tcPr>
                <w:p w14:paraId="6F40406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102°43′59.897″</w:t>
                  </w:r>
                </w:p>
              </w:tc>
              <w:tc>
                <w:tcPr>
                  <w:tcW w:w="1331" w:type="dxa"/>
                  <w:vAlign w:val="center"/>
                </w:tcPr>
                <w:p w14:paraId="75A6F9C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25°8′57.268″</w:t>
                  </w:r>
                </w:p>
              </w:tc>
              <w:tc>
                <w:tcPr>
                  <w:tcW w:w="453" w:type="dxa"/>
                  <w:vAlign w:val="center"/>
                </w:tcPr>
                <w:p w14:paraId="7BEB0DC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南</w:t>
                  </w:r>
                </w:p>
              </w:tc>
              <w:tc>
                <w:tcPr>
                  <w:tcW w:w="744" w:type="dxa"/>
                  <w:vAlign w:val="center"/>
                </w:tcPr>
                <w:p w14:paraId="44691D5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127</w:t>
                  </w:r>
                </w:p>
              </w:tc>
              <w:tc>
                <w:tcPr>
                  <w:tcW w:w="516" w:type="dxa"/>
                  <w:vAlign w:val="center"/>
                </w:tcPr>
                <w:p w14:paraId="6CCB8A2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居民</w:t>
                  </w:r>
                </w:p>
              </w:tc>
              <w:tc>
                <w:tcPr>
                  <w:tcW w:w="666" w:type="dxa"/>
                  <w:vAlign w:val="center"/>
                </w:tcPr>
                <w:p w14:paraId="6AE2060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1236户，约4300人</w:t>
                  </w:r>
                </w:p>
              </w:tc>
              <w:tc>
                <w:tcPr>
                  <w:tcW w:w="1607" w:type="dxa"/>
                  <w:vMerge w:val="continue"/>
                  <w:vAlign w:val="center"/>
                </w:tcPr>
                <w:p w14:paraId="36F1108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20"/>
                      <w:kern w:val="0"/>
                      <w:sz w:val="18"/>
                      <w:szCs w:val="18"/>
                    </w:rPr>
                  </w:pPr>
                </w:p>
              </w:tc>
            </w:tr>
            <w:tr w14:paraId="07A2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14:paraId="0E13DC5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c>
                <w:tcPr>
                  <w:tcW w:w="665" w:type="dxa"/>
                  <w:vAlign w:val="center"/>
                </w:tcPr>
                <w:p w14:paraId="4A03B3D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云南机电职业技术学院</w:t>
                  </w:r>
                </w:p>
              </w:tc>
              <w:tc>
                <w:tcPr>
                  <w:tcW w:w="1585" w:type="dxa"/>
                  <w:vAlign w:val="center"/>
                </w:tcPr>
                <w:p w14:paraId="14BD00D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102°43′48.979″</w:t>
                  </w:r>
                </w:p>
              </w:tc>
              <w:tc>
                <w:tcPr>
                  <w:tcW w:w="1331" w:type="dxa"/>
                  <w:vAlign w:val="center"/>
                </w:tcPr>
                <w:p w14:paraId="1E5110D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25°8′56.499″</w:t>
                  </w:r>
                </w:p>
              </w:tc>
              <w:tc>
                <w:tcPr>
                  <w:tcW w:w="453" w:type="dxa"/>
                  <w:vAlign w:val="center"/>
                </w:tcPr>
                <w:p w14:paraId="7B0991B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南</w:t>
                  </w:r>
                </w:p>
              </w:tc>
              <w:tc>
                <w:tcPr>
                  <w:tcW w:w="744" w:type="dxa"/>
                  <w:vAlign w:val="center"/>
                </w:tcPr>
                <w:p w14:paraId="66A8760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432</w:t>
                  </w:r>
                </w:p>
              </w:tc>
              <w:tc>
                <w:tcPr>
                  <w:tcW w:w="516" w:type="dxa"/>
                  <w:vAlign w:val="center"/>
                </w:tcPr>
                <w:p w14:paraId="5B83835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学校</w:t>
                  </w:r>
                </w:p>
              </w:tc>
              <w:tc>
                <w:tcPr>
                  <w:tcW w:w="666" w:type="dxa"/>
                  <w:vAlign w:val="center"/>
                </w:tcPr>
                <w:p w14:paraId="43062B0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约12600人</w:t>
                  </w:r>
                </w:p>
              </w:tc>
              <w:tc>
                <w:tcPr>
                  <w:tcW w:w="1607" w:type="dxa"/>
                  <w:vMerge w:val="continue"/>
                  <w:vAlign w:val="center"/>
                </w:tcPr>
                <w:p w14:paraId="57FB613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r>
            <w:tr w14:paraId="22D0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14:paraId="46A54CE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c>
                <w:tcPr>
                  <w:tcW w:w="665" w:type="dxa"/>
                  <w:vAlign w:val="center"/>
                </w:tcPr>
                <w:p w14:paraId="2EDDAAA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金昊佳园</w:t>
                  </w:r>
                </w:p>
              </w:tc>
              <w:tc>
                <w:tcPr>
                  <w:tcW w:w="1585" w:type="dxa"/>
                  <w:vAlign w:val="center"/>
                </w:tcPr>
                <w:p w14:paraId="6B53EF2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102°44′11.448″</w:t>
                  </w:r>
                </w:p>
              </w:tc>
              <w:tc>
                <w:tcPr>
                  <w:tcW w:w="1331" w:type="dxa"/>
                  <w:vAlign w:val="center"/>
                </w:tcPr>
                <w:p w14:paraId="62E9035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25°8′59.329″</w:t>
                  </w:r>
                </w:p>
              </w:tc>
              <w:tc>
                <w:tcPr>
                  <w:tcW w:w="453" w:type="dxa"/>
                  <w:vAlign w:val="center"/>
                </w:tcPr>
                <w:p w14:paraId="65680F9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东南</w:t>
                  </w:r>
                </w:p>
              </w:tc>
              <w:tc>
                <w:tcPr>
                  <w:tcW w:w="744" w:type="dxa"/>
                  <w:vAlign w:val="center"/>
                </w:tcPr>
                <w:p w14:paraId="65D6817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320</w:t>
                  </w:r>
                </w:p>
              </w:tc>
              <w:tc>
                <w:tcPr>
                  <w:tcW w:w="516" w:type="dxa"/>
                  <w:vAlign w:val="center"/>
                </w:tcPr>
                <w:p w14:paraId="60B483F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居民</w:t>
                  </w:r>
                </w:p>
              </w:tc>
              <w:tc>
                <w:tcPr>
                  <w:tcW w:w="666" w:type="dxa"/>
                  <w:vAlign w:val="center"/>
                </w:tcPr>
                <w:p w14:paraId="66B2217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36户，约130人</w:t>
                  </w:r>
                </w:p>
              </w:tc>
              <w:tc>
                <w:tcPr>
                  <w:tcW w:w="1607" w:type="dxa"/>
                  <w:vMerge w:val="continue"/>
                  <w:vAlign w:val="center"/>
                </w:tcPr>
                <w:p w14:paraId="390BE62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r>
            <w:tr w14:paraId="58DD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14:paraId="0D9631F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c>
                <w:tcPr>
                  <w:tcW w:w="665" w:type="dxa"/>
                  <w:vAlign w:val="center"/>
                </w:tcPr>
                <w:p w14:paraId="45CA246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劲松里小区</w:t>
                  </w:r>
                </w:p>
              </w:tc>
              <w:tc>
                <w:tcPr>
                  <w:tcW w:w="1585" w:type="dxa"/>
                  <w:vAlign w:val="center"/>
                </w:tcPr>
                <w:p w14:paraId="5809412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102°44′10.096″</w:t>
                  </w:r>
                </w:p>
              </w:tc>
              <w:tc>
                <w:tcPr>
                  <w:tcW w:w="1331" w:type="dxa"/>
                  <w:vAlign w:val="center"/>
                </w:tcPr>
                <w:p w14:paraId="47CEDF3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25°8′56.085″</w:t>
                  </w:r>
                </w:p>
              </w:tc>
              <w:tc>
                <w:tcPr>
                  <w:tcW w:w="453" w:type="dxa"/>
                  <w:vAlign w:val="center"/>
                </w:tcPr>
                <w:p w14:paraId="4FAE244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东南</w:t>
                  </w:r>
                </w:p>
              </w:tc>
              <w:tc>
                <w:tcPr>
                  <w:tcW w:w="744" w:type="dxa"/>
                  <w:vAlign w:val="center"/>
                </w:tcPr>
                <w:p w14:paraId="2DDBF58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246</w:t>
                  </w:r>
                </w:p>
              </w:tc>
              <w:tc>
                <w:tcPr>
                  <w:tcW w:w="516" w:type="dxa"/>
                  <w:vAlign w:val="center"/>
                </w:tcPr>
                <w:p w14:paraId="3BFE861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居民</w:t>
                  </w:r>
                </w:p>
              </w:tc>
              <w:tc>
                <w:tcPr>
                  <w:tcW w:w="666" w:type="dxa"/>
                  <w:vAlign w:val="center"/>
                </w:tcPr>
                <w:p w14:paraId="198DC25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约1050人</w:t>
                  </w:r>
                </w:p>
              </w:tc>
              <w:tc>
                <w:tcPr>
                  <w:tcW w:w="1607" w:type="dxa"/>
                  <w:vMerge w:val="continue"/>
                  <w:vAlign w:val="center"/>
                </w:tcPr>
                <w:p w14:paraId="3073BAD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r>
            <w:tr w14:paraId="4F2E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14:paraId="70B1D98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c>
                <w:tcPr>
                  <w:tcW w:w="665" w:type="dxa"/>
                  <w:vAlign w:val="center"/>
                </w:tcPr>
                <w:p w14:paraId="336CC60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昆明地质勘察院生活区</w:t>
                  </w:r>
                </w:p>
              </w:tc>
              <w:tc>
                <w:tcPr>
                  <w:tcW w:w="1585" w:type="dxa"/>
                  <w:vAlign w:val="center"/>
                </w:tcPr>
                <w:p w14:paraId="204358B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102°44′17.203″</w:t>
                  </w:r>
                </w:p>
              </w:tc>
              <w:tc>
                <w:tcPr>
                  <w:tcW w:w="1331" w:type="dxa"/>
                  <w:vAlign w:val="center"/>
                </w:tcPr>
                <w:p w14:paraId="10DDE09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25°8′55.506″</w:t>
                  </w:r>
                </w:p>
              </w:tc>
              <w:tc>
                <w:tcPr>
                  <w:tcW w:w="453" w:type="dxa"/>
                  <w:vAlign w:val="center"/>
                </w:tcPr>
                <w:p w14:paraId="3226A92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东南</w:t>
                  </w:r>
                </w:p>
              </w:tc>
              <w:tc>
                <w:tcPr>
                  <w:tcW w:w="744" w:type="dxa"/>
                  <w:vAlign w:val="center"/>
                </w:tcPr>
                <w:p w14:paraId="5DB2439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467</w:t>
                  </w:r>
                </w:p>
              </w:tc>
              <w:tc>
                <w:tcPr>
                  <w:tcW w:w="516" w:type="dxa"/>
                  <w:vAlign w:val="center"/>
                </w:tcPr>
                <w:p w14:paraId="6069EB6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居民</w:t>
                  </w:r>
                </w:p>
              </w:tc>
              <w:tc>
                <w:tcPr>
                  <w:tcW w:w="666" w:type="dxa"/>
                  <w:vAlign w:val="center"/>
                </w:tcPr>
                <w:p w14:paraId="0D14345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约900人</w:t>
                  </w:r>
                </w:p>
              </w:tc>
              <w:tc>
                <w:tcPr>
                  <w:tcW w:w="1607" w:type="dxa"/>
                  <w:vMerge w:val="continue"/>
                  <w:vAlign w:val="center"/>
                </w:tcPr>
                <w:p w14:paraId="330CEAA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r>
            <w:tr w14:paraId="6D04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Merge w:val="continue"/>
                  <w:vAlign w:val="center"/>
                </w:tcPr>
                <w:p w14:paraId="6D477CB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c>
                <w:tcPr>
                  <w:tcW w:w="665" w:type="dxa"/>
                  <w:vAlign w:val="center"/>
                </w:tcPr>
                <w:p w14:paraId="53BD7C2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茨坝</w:t>
                  </w:r>
                </w:p>
              </w:tc>
              <w:tc>
                <w:tcPr>
                  <w:tcW w:w="1585" w:type="dxa"/>
                  <w:vAlign w:val="center"/>
                </w:tcPr>
                <w:p w14:paraId="0FC9375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102°44′7.199″</w:t>
                  </w:r>
                </w:p>
              </w:tc>
              <w:tc>
                <w:tcPr>
                  <w:tcW w:w="1331" w:type="dxa"/>
                  <w:vAlign w:val="center"/>
                </w:tcPr>
                <w:p w14:paraId="011AAAF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25°8′51.836″</w:t>
                  </w:r>
                </w:p>
              </w:tc>
              <w:tc>
                <w:tcPr>
                  <w:tcW w:w="453" w:type="dxa"/>
                  <w:vAlign w:val="center"/>
                </w:tcPr>
                <w:p w14:paraId="04F2E4C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东南</w:t>
                  </w:r>
                </w:p>
              </w:tc>
              <w:tc>
                <w:tcPr>
                  <w:tcW w:w="744" w:type="dxa"/>
                  <w:vAlign w:val="center"/>
                </w:tcPr>
                <w:p w14:paraId="39FD6C4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406</w:t>
                  </w:r>
                </w:p>
              </w:tc>
              <w:tc>
                <w:tcPr>
                  <w:tcW w:w="516" w:type="dxa"/>
                  <w:vAlign w:val="center"/>
                </w:tcPr>
                <w:p w14:paraId="231E3F1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居民</w:t>
                  </w:r>
                </w:p>
              </w:tc>
              <w:tc>
                <w:tcPr>
                  <w:tcW w:w="666" w:type="dxa"/>
                  <w:vAlign w:val="center"/>
                </w:tcPr>
                <w:p w14:paraId="067F49A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约280人</w:t>
                  </w:r>
                </w:p>
              </w:tc>
              <w:tc>
                <w:tcPr>
                  <w:tcW w:w="1607" w:type="dxa"/>
                  <w:vMerge w:val="continue"/>
                  <w:vAlign w:val="center"/>
                </w:tcPr>
                <w:p w14:paraId="1F29308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p>
              </w:tc>
            </w:tr>
            <w:tr w14:paraId="1946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Align w:val="center"/>
                </w:tcPr>
                <w:p w14:paraId="3CDCDD4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声环境</w:t>
                  </w:r>
                </w:p>
              </w:tc>
              <w:tc>
                <w:tcPr>
                  <w:tcW w:w="665" w:type="dxa"/>
                  <w:vAlign w:val="center"/>
                </w:tcPr>
                <w:p w14:paraId="6351D85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云南</w:t>
                  </w:r>
                  <w:r>
                    <w:rPr>
                      <w:rFonts w:hint="eastAsia" w:cs="Times New Roman"/>
                      <w:color w:val="auto"/>
                      <w:sz w:val="18"/>
                      <w:szCs w:val="18"/>
                      <w:lang w:val="en-US" w:eastAsia="zh-CN"/>
                    </w:rPr>
                    <w:t>技师</w:t>
                  </w:r>
                  <w:r>
                    <w:rPr>
                      <w:rFonts w:hint="default" w:ascii="Times New Roman" w:hAnsi="Times New Roman" w:eastAsia="宋体" w:cs="Times New Roman"/>
                      <w:color w:val="auto"/>
                      <w:sz w:val="18"/>
                      <w:szCs w:val="18"/>
                    </w:rPr>
                    <w:t>学院</w:t>
                  </w:r>
                </w:p>
              </w:tc>
              <w:tc>
                <w:tcPr>
                  <w:tcW w:w="1585" w:type="dxa"/>
                  <w:vAlign w:val="center"/>
                </w:tcPr>
                <w:p w14:paraId="7F5FE63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102°43′57.630″</w:t>
                  </w:r>
                </w:p>
              </w:tc>
              <w:tc>
                <w:tcPr>
                  <w:tcW w:w="1331" w:type="dxa"/>
                  <w:vAlign w:val="center"/>
                </w:tcPr>
                <w:p w14:paraId="350459F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25°9′6.634″</w:t>
                  </w:r>
                </w:p>
              </w:tc>
              <w:tc>
                <w:tcPr>
                  <w:tcW w:w="453" w:type="dxa"/>
                  <w:vAlign w:val="center"/>
                </w:tcPr>
                <w:p w14:paraId="3BE6A1A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南</w:t>
                  </w:r>
                </w:p>
              </w:tc>
              <w:tc>
                <w:tcPr>
                  <w:tcW w:w="744" w:type="dxa"/>
                  <w:vAlign w:val="center"/>
                </w:tcPr>
                <w:p w14:paraId="6D91E92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516" w:type="dxa"/>
                  <w:vAlign w:val="center"/>
                </w:tcPr>
                <w:p w14:paraId="4E84397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学校</w:t>
                  </w:r>
                </w:p>
              </w:tc>
              <w:tc>
                <w:tcPr>
                  <w:tcW w:w="666" w:type="dxa"/>
                  <w:vAlign w:val="center"/>
                </w:tcPr>
                <w:p w14:paraId="6EAA394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师生约1500人</w:t>
                  </w:r>
                </w:p>
              </w:tc>
              <w:tc>
                <w:tcPr>
                  <w:tcW w:w="1607" w:type="dxa"/>
                  <w:vAlign w:val="center"/>
                </w:tcPr>
                <w:p w14:paraId="63D438A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《声环境质量标准》(GB3096-2008)2类标准</w:t>
                  </w:r>
                </w:p>
              </w:tc>
            </w:tr>
            <w:tr w14:paraId="0C64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vAlign w:val="center"/>
                </w:tcPr>
                <w:p w14:paraId="52F21C5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地表水环境</w:t>
                  </w:r>
                </w:p>
              </w:tc>
              <w:tc>
                <w:tcPr>
                  <w:tcW w:w="665" w:type="dxa"/>
                  <w:vAlign w:val="center"/>
                </w:tcPr>
                <w:p w14:paraId="1256990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val="en-US" w:eastAsia="zh-CN"/>
                    </w:rPr>
                    <w:t>花渔沟</w:t>
                  </w:r>
                </w:p>
              </w:tc>
              <w:tc>
                <w:tcPr>
                  <w:tcW w:w="1585" w:type="dxa"/>
                  <w:vAlign w:val="center"/>
                </w:tcPr>
                <w:p w14:paraId="641CE3C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w:t>
                  </w:r>
                </w:p>
              </w:tc>
              <w:tc>
                <w:tcPr>
                  <w:tcW w:w="1331" w:type="dxa"/>
                  <w:vAlign w:val="center"/>
                </w:tcPr>
                <w:p w14:paraId="5E97688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w:t>
                  </w:r>
                </w:p>
              </w:tc>
              <w:tc>
                <w:tcPr>
                  <w:tcW w:w="453" w:type="dxa"/>
                  <w:vAlign w:val="center"/>
                </w:tcPr>
                <w:p w14:paraId="126157F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东</w:t>
                  </w:r>
                </w:p>
              </w:tc>
              <w:tc>
                <w:tcPr>
                  <w:tcW w:w="744" w:type="dxa"/>
                  <w:vAlign w:val="center"/>
                </w:tcPr>
                <w:p w14:paraId="78E82F3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189</w:t>
                  </w:r>
                </w:p>
              </w:tc>
              <w:tc>
                <w:tcPr>
                  <w:tcW w:w="516" w:type="dxa"/>
                  <w:vAlign w:val="center"/>
                </w:tcPr>
                <w:p w14:paraId="158B575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河流</w:t>
                  </w:r>
                </w:p>
              </w:tc>
              <w:tc>
                <w:tcPr>
                  <w:tcW w:w="666" w:type="dxa"/>
                  <w:vAlign w:val="center"/>
                </w:tcPr>
                <w:p w14:paraId="0E13040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w:t>
                  </w:r>
                </w:p>
              </w:tc>
              <w:tc>
                <w:tcPr>
                  <w:tcW w:w="1607" w:type="dxa"/>
                  <w:vAlign w:val="center"/>
                </w:tcPr>
                <w:p w14:paraId="43818DD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pacing w:val="-20"/>
                      <w:kern w:val="0"/>
                      <w:sz w:val="18"/>
                      <w:szCs w:val="18"/>
                    </w:rPr>
                    <w:t>《</w:t>
                  </w:r>
                  <w:r>
                    <w:rPr>
                      <w:rFonts w:hint="default" w:ascii="Times New Roman" w:hAnsi="Times New Roman" w:eastAsia="宋体" w:cs="Times New Roman"/>
                      <w:color w:val="auto"/>
                      <w:kern w:val="0"/>
                      <w:sz w:val="18"/>
                      <w:szCs w:val="18"/>
                    </w:rPr>
                    <w:t>地表水环境质量标准》GB3838-2002Ⅲ类标准</w:t>
                  </w:r>
                </w:p>
              </w:tc>
            </w:tr>
            <w:bookmarkEnd w:id="10"/>
          </w:tbl>
          <w:p w14:paraId="657651C2">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tc>
      </w:tr>
      <w:tr w14:paraId="2BD02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9" w:hRule="atLeast"/>
          <w:jc w:val="center"/>
        </w:trPr>
        <w:tc>
          <w:tcPr>
            <w:tcW w:w="800" w:type="dxa"/>
            <w:tcMar>
              <w:left w:w="28" w:type="dxa"/>
              <w:right w:w="28" w:type="dxa"/>
            </w:tcMar>
            <w:vAlign w:val="center"/>
          </w:tcPr>
          <w:p w14:paraId="3315051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污染</w:t>
            </w:r>
          </w:p>
          <w:p w14:paraId="55104DEA">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物排</w:t>
            </w:r>
          </w:p>
          <w:p w14:paraId="03849AA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放控</w:t>
            </w:r>
          </w:p>
          <w:p w14:paraId="57A4E50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制标</w:t>
            </w:r>
          </w:p>
          <w:p w14:paraId="1DD20B29">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4"/>
              </w:rPr>
            </w:pPr>
            <w:r>
              <w:rPr>
                <w:rFonts w:hint="default" w:eastAsiaTheme="minorEastAsia"/>
                <w:color w:val="auto"/>
                <w:kern w:val="0"/>
                <w:sz w:val="24"/>
              </w:rPr>
              <w:t>准</w:t>
            </w:r>
          </w:p>
        </w:tc>
        <w:tc>
          <w:tcPr>
            <w:tcW w:w="8190" w:type="dxa"/>
            <w:vAlign w:val="center"/>
          </w:tcPr>
          <w:p w14:paraId="202E2B09">
            <w:pPr>
              <w:keepNext w:val="0"/>
              <w:keepLines w:val="0"/>
              <w:suppressLineNumbers w:val="0"/>
              <w:adjustRightInd w:val="0"/>
              <w:snapToGrid w:val="0"/>
              <w:spacing w:before="0" w:beforeAutospacing="0" w:after="0" w:afterAutospacing="0" w:line="360" w:lineRule="auto"/>
              <w:ind w:left="0" w:right="0"/>
              <w:rPr>
                <w:rFonts w:hint="eastAsia" w:eastAsiaTheme="minorEastAsia"/>
                <w:b/>
                <w:color w:val="auto"/>
                <w:kern w:val="0"/>
                <w:sz w:val="24"/>
                <w:lang w:val="en-US" w:eastAsia="zh-CN"/>
              </w:rPr>
            </w:pPr>
            <w:r>
              <w:rPr>
                <w:rFonts w:hint="default" w:eastAsiaTheme="minorEastAsia"/>
                <w:b/>
                <w:color w:val="auto"/>
                <w:kern w:val="0"/>
                <w:sz w:val="24"/>
              </w:rPr>
              <w:t>1.</w:t>
            </w:r>
            <w:r>
              <w:rPr>
                <w:rFonts w:hint="eastAsia" w:eastAsiaTheme="minorEastAsia"/>
                <w:b/>
                <w:color w:val="auto"/>
                <w:kern w:val="0"/>
                <w:sz w:val="24"/>
                <w:lang w:val="en-US" w:eastAsia="zh-CN"/>
              </w:rPr>
              <w:t>施工期</w:t>
            </w:r>
          </w:p>
          <w:p w14:paraId="00AD1698">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bCs/>
                <w:color w:val="auto"/>
                <w:kern w:val="0"/>
                <w:sz w:val="24"/>
                <w:lang w:val="en-US" w:eastAsia="zh-CN"/>
              </w:rPr>
            </w:pPr>
            <w:r>
              <w:rPr>
                <w:rFonts w:hint="default" w:eastAsiaTheme="minorEastAsia"/>
                <w:b/>
                <w:bCs/>
                <w:color w:val="auto"/>
                <w:kern w:val="0"/>
                <w:sz w:val="24"/>
              </w:rPr>
              <w:t>（1）</w:t>
            </w:r>
            <w:r>
              <w:rPr>
                <w:rFonts w:hint="eastAsia" w:eastAsiaTheme="minorEastAsia"/>
                <w:b/>
                <w:bCs/>
                <w:color w:val="auto"/>
                <w:kern w:val="0"/>
                <w:sz w:val="24"/>
                <w:lang w:val="en-US" w:eastAsia="zh-CN"/>
              </w:rPr>
              <w:t>废气排放标准</w:t>
            </w:r>
          </w:p>
          <w:p w14:paraId="19FB840C">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eastAsia" w:ascii="Times New Roman" w:hAnsi="Times New Roman" w:eastAsia="宋体" w:cs="Times New Roman"/>
                <w:color w:val="auto"/>
                <w:kern w:val="2"/>
                <w:sz w:val="24"/>
                <w:szCs w:val="24"/>
                <w:lang w:val="en-US" w:eastAsia="zh-CN" w:bidi="ar"/>
              </w:rPr>
              <w:t>项目使用已建成厂房，项目施工期无需进行土建工程，只需进行装修及设备安装调试，装修期间主要污染包括建筑内部装修粉尘、装修废气等，施工期污染较少，呈无组织形式排放。</w:t>
            </w:r>
            <w:r>
              <w:rPr>
                <w:rFonts w:hint="default" w:eastAsiaTheme="minorEastAsia"/>
                <w:color w:val="auto"/>
                <w:kern w:val="0"/>
                <w:sz w:val="24"/>
              </w:rPr>
              <w:t>无组织粉尘执行《大气污染物综合排放标准》（GB16297-1996表2中的无组织排放监控浓度限值，具体标准值摘录分别见表3-</w:t>
            </w:r>
            <w:r>
              <w:rPr>
                <w:rFonts w:hint="eastAsia" w:eastAsiaTheme="minorEastAsia"/>
                <w:color w:val="auto"/>
                <w:kern w:val="0"/>
                <w:sz w:val="24"/>
                <w:lang w:val="en-US" w:eastAsia="zh-CN"/>
              </w:rPr>
              <w:t>5</w:t>
            </w:r>
            <w:r>
              <w:rPr>
                <w:rFonts w:hint="default" w:eastAsiaTheme="minorEastAsia"/>
                <w:color w:val="auto"/>
                <w:kern w:val="0"/>
                <w:sz w:val="24"/>
              </w:rPr>
              <w:t>所示。</w:t>
            </w:r>
          </w:p>
          <w:p w14:paraId="59954EB2">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表3-</w:t>
            </w:r>
            <w:r>
              <w:rPr>
                <w:rFonts w:hint="eastAsia"/>
                <w:b/>
                <w:color w:val="auto"/>
                <w:kern w:val="0"/>
                <w:szCs w:val="21"/>
                <w:lang w:val="en-US" w:eastAsia="zh-CN"/>
              </w:rPr>
              <w:t>5</w:t>
            </w:r>
            <w:r>
              <w:rPr>
                <w:rFonts w:hint="default"/>
                <w:b/>
                <w:color w:val="auto"/>
                <w:kern w:val="0"/>
                <w:szCs w:val="21"/>
              </w:rPr>
              <w:t xml:space="preserve">   大气污染物综合排放标准（摘录）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3"/>
              <w:gridCol w:w="2653"/>
              <w:gridCol w:w="2653"/>
            </w:tblGrid>
            <w:tr w14:paraId="03F4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53" w:type="dxa"/>
                  <w:vAlign w:val="center"/>
                </w:tcPr>
                <w:p w14:paraId="2E6037FB">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污染物</w:t>
                  </w:r>
                </w:p>
              </w:tc>
              <w:tc>
                <w:tcPr>
                  <w:tcW w:w="5306" w:type="dxa"/>
                  <w:gridSpan w:val="2"/>
                  <w:vAlign w:val="center"/>
                </w:tcPr>
                <w:p w14:paraId="3C54AA7A">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bCs/>
                      <w:color w:val="auto"/>
                      <w:szCs w:val="21"/>
                    </w:rPr>
                    <w:t>无组织排放监控浓度限值</w:t>
                  </w:r>
                </w:p>
              </w:tc>
            </w:tr>
            <w:tr w14:paraId="2A44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3" w:type="dxa"/>
                  <w:vMerge w:val="restart"/>
                  <w:vAlign w:val="center"/>
                </w:tcPr>
                <w:p w14:paraId="11AD9371">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颗粒物</w:t>
                  </w:r>
                </w:p>
              </w:tc>
              <w:tc>
                <w:tcPr>
                  <w:tcW w:w="2653" w:type="dxa"/>
                  <w:vAlign w:val="center"/>
                </w:tcPr>
                <w:p w14:paraId="2866AF50">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监控点</w:t>
                  </w:r>
                </w:p>
              </w:tc>
              <w:tc>
                <w:tcPr>
                  <w:tcW w:w="2653" w:type="dxa"/>
                  <w:vAlign w:val="center"/>
                </w:tcPr>
                <w:p w14:paraId="6B433203">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浓度</w:t>
                  </w:r>
                  <w:r>
                    <w:rPr>
                      <w:rFonts w:hint="default"/>
                      <w:b/>
                      <w:bCs/>
                      <w:color w:val="auto"/>
                      <w:szCs w:val="21"/>
                    </w:rPr>
                    <w:t>(mg/m³)</w:t>
                  </w:r>
                </w:p>
              </w:tc>
            </w:tr>
            <w:tr w14:paraId="67A9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3" w:type="dxa"/>
                  <w:vMerge w:val="continue"/>
                  <w:vAlign w:val="center"/>
                </w:tcPr>
                <w:p w14:paraId="63A636C0">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p>
              </w:tc>
              <w:tc>
                <w:tcPr>
                  <w:tcW w:w="2653" w:type="dxa"/>
                  <w:vAlign w:val="center"/>
                </w:tcPr>
                <w:p w14:paraId="68A81FBE">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周界外浓度最高点</w:t>
                  </w:r>
                </w:p>
              </w:tc>
              <w:tc>
                <w:tcPr>
                  <w:tcW w:w="2653" w:type="dxa"/>
                  <w:vAlign w:val="center"/>
                </w:tcPr>
                <w:p w14:paraId="0553BEF6">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1.0</w:t>
                  </w:r>
                </w:p>
              </w:tc>
            </w:tr>
          </w:tbl>
          <w:p w14:paraId="54261CBC">
            <w:pPr>
              <w:keepNext w:val="0"/>
              <w:keepLines w:val="0"/>
              <w:suppressLineNumbers w:val="0"/>
              <w:spacing w:before="0" w:beforeAutospacing="0" w:after="0" w:afterAutospacing="0" w:line="360" w:lineRule="auto"/>
              <w:ind w:left="0" w:right="0" w:firstLine="482" w:firstLineChars="200"/>
              <w:rPr>
                <w:rFonts w:hint="default" w:eastAsiaTheme="minorEastAsia"/>
                <w:b/>
                <w:bCs/>
                <w:color w:val="auto"/>
                <w:kern w:val="0"/>
                <w:sz w:val="24"/>
                <w:lang w:val="en-US" w:eastAsia="zh-CN"/>
              </w:rPr>
            </w:pPr>
            <w:r>
              <w:rPr>
                <w:rFonts w:hint="default" w:eastAsiaTheme="minorEastAsia"/>
                <w:b/>
                <w:bCs/>
                <w:color w:val="auto"/>
                <w:kern w:val="0"/>
                <w:sz w:val="24"/>
              </w:rPr>
              <w:t>（2）</w:t>
            </w:r>
            <w:r>
              <w:rPr>
                <w:rFonts w:hint="eastAsia" w:eastAsiaTheme="minorEastAsia"/>
                <w:b/>
                <w:bCs/>
                <w:color w:val="auto"/>
                <w:kern w:val="0"/>
                <w:sz w:val="24"/>
                <w:lang w:val="en-US" w:eastAsia="zh-CN"/>
              </w:rPr>
              <w:t>废水排放标准</w:t>
            </w:r>
          </w:p>
          <w:p w14:paraId="408E597F">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项目施工期废水只是施工人员产生的生活废水，废水</w:t>
            </w:r>
            <w:r>
              <w:rPr>
                <w:rFonts w:hint="eastAsia" w:cs="宋体"/>
                <w:color w:val="auto"/>
                <w:kern w:val="2"/>
                <w:sz w:val="24"/>
                <w:szCs w:val="24"/>
                <w:lang w:val="en-US" w:eastAsia="zh-CN" w:bidi="ar"/>
              </w:rPr>
              <w:t>依托</w:t>
            </w:r>
            <w:r>
              <w:rPr>
                <w:rFonts w:hint="eastAsia" w:ascii="Times New Roman" w:hAnsi="Times New Roman" w:cs="宋体"/>
                <w:color w:val="auto"/>
                <w:kern w:val="2"/>
                <w:sz w:val="24"/>
                <w:szCs w:val="24"/>
                <w:lang w:val="en-US" w:eastAsia="zh-CN" w:bidi="ar"/>
              </w:rPr>
              <w:t>办公楼已有配套</w:t>
            </w:r>
            <w:r>
              <w:rPr>
                <w:rFonts w:hint="eastAsia" w:ascii="Times New Roman" w:hAnsi="Times New Roman" w:eastAsia="宋体" w:cs="宋体"/>
                <w:color w:val="auto"/>
                <w:kern w:val="2"/>
                <w:sz w:val="24"/>
                <w:szCs w:val="24"/>
                <w:lang w:val="en-US" w:eastAsia="zh-CN" w:bidi="ar"/>
              </w:rPr>
              <w:t>化粪池处理后排入</w:t>
            </w:r>
            <w:r>
              <w:rPr>
                <w:rFonts w:hint="eastAsia" w:ascii="Times New Roman" w:hAnsi="Times New Roman" w:cs="宋体"/>
                <w:color w:val="auto"/>
                <w:kern w:val="2"/>
                <w:sz w:val="24"/>
                <w:szCs w:val="24"/>
                <w:lang w:val="en-US" w:eastAsia="zh-CN" w:bidi="ar"/>
              </w:rPr>
              <w:t>龙泉路</w:t>
            </w:r>
            <w:r>
              <w:rPr>
                <w:rFonts w:hint="eastAsia" w:ascii="Times New Roman" w:hAnsi="Times New Roman" w:eastAsia="宋体" w:cs="宋体"/>
                <w:color w:val="auto"/>
                <w:kern w:val="2"/>
                <w:sz w:val="24"/>
                <w:szCs w:val="24"/>
                <w:lang w:val="en-US" w:eastAsia="zh-CN" w:bidi="ar"/>
              </w:rPr>
              <w:t>市政污水管网，最后进入昆明市第</w:t>
            </w:r>
            <w:r>
              <w:rPr>
                <w:rFonts w:hint="eastAsia" w:ascii="Times New Roman" w:hAnsi="Times New Roman" w:cs="宋体"/>
                <w:color w:val="auto"/>
                <w:kern w:val="2"/>
                <w:sz w:val="24"/>
                <w:szCs w:val="24"/>
                <w:lang w:val="en-US" w:eastAsia="zh-CN" w:bidi="ar"/>
              </w:rPr>
              <w:t>五</w:t>
            </w:r>
            <w:r>
              <w:rPr>
                <w:rFonts w:hint="eastAsia" w:ascii="Times New Roman" w:hAnsi="Times New Roman" w:eastAsia="宋体" w:cs="宋体"/>
                <w:color w:val="auto"/>
                <w:kern w:val="2"/>
                <w:sz w:val="24"/>
                <w:szCs w:val="24"/>
                <w:lang w:val="en-US" w:eastAsia="zh-CN" w:bidi="ar"/>
              </w:rPr>
              <w:t>水质净化厂。外排废水执行《污水排入城镇下水道水质标准》（</w:t>
            </w:r>
            <w:r>
              <w:rPr>
                <w:rFonts w:hint="default" w:ascii="Times New Roman" w:hAnsi="Times New Roman" w:eastAsia="宋体" w:cs="Times New Roman"/>
                <w:color w:val="auto"/>
                <w:kern w:val="2"/>
                <w:sz w:val="24"/>
                <w:szCs w:val="24"/>
                <w:lang w:val="en-US" w:eastAsia="zh-CN" w:bidi="ar"/>
              </w:rPr>
              <w:t>GB/T31962-2015</w:t>
            </w:r>
            <w:r>
              <w:rPr>
                <w:rFonts w:hint="eastAsia" w:ascii="Times New Roman" w:hAnsi="Times New Roman" w:eastAsia="宋体" w:cs="宋体"/>
                <w:color w:val="auto"/>
                <w:kern w:val="2"/>
                <w:sz w:val="24"/>
                <w:szCs w:val="24"/>
                <w:lang w:val="en-US" w:eastAsia="zh-CN" w:bidi="ar"/>
              </w:rPr>
              <w:t>）表</w:t>
            </w:r>
            <w:r>
              <w:rPr>
                <w:rFonts w:hint="default" w:ascii="Times New Roman" w:hAnsi="Times New Roman" w:eastAsia="宋体" w:cs="Times New Roman"/>
                <w:color w:val="auto"/>
                <w:kern w:val="2"/>
                <w:sz w:val="24"/>
                <w:szCs w:val="24"/>
                <w:lang w:val="en-US" w:eastAsia="zh-CN" w:bidi="ar"/>
              </w:rPr>
              <w:t>1</w:t>
            </w:r>
            <w:r>
              <w:rPr>
                <w:rFonts w:hint="eastAsia" w:ascii="Times New Roman" w:hAnsi="Times New Roman" w:eastAsia="宋体" w:cs="宋体"/>
                <w:color w:val="auto"/>
                <w:kern w:val="2"/>
                <w:sz w:val="24"/>
                <w:szCs w:val="24"/>
                <w:lang w:val="en-US" w:eastAsia="zh-CN" w:bidi="ar"/>
              </w:rPr>
              <w:t>中</w:t>
            </w:r>
            <w:r>
              <w:rPr>
                <w:rFonts w:hint="default" w:ascii="Times New Roman" w:hAnsi="Times New Roman" w:eastAsia="宋体" w:cs="Times New Roman"/>
                <w:color w:val="auto"/>
                <w:kern w:val="2"/>
                <w:sz w:val="24"/>
                <w:szCs w:val="24"/>
                <w:lang w:val="en-US" w:eastAsia="zh-CN" w:bidi="ar"/>
              </w:rPr>
              <w:t>A</w:t>
            </w:r>
            <w:r>
              <w:rPr>
                <w:rFonts w:hint="eastAsia" w:ascii="Times New Roman" w:hAnsi="Times New Roman" w:eastAsia="宋体" w:cs="宋体"/>
                <w:color w:val="auto"/>
                <w:kern w:val="2"/>
                <w:sz w:val="24"/>
                <w:szCs w:val="24"/>
                <w:lang w:val="en-US" w:eastAsia="zh-CN" w:bidi="ar"/>
              </w:rPr>
              <w:t>级标准。具体标准值见表</w:t>
            </w:r>
            <w:r>
              <w:rPr>
                <w:rFonts w:hint="default" w:ascii="Times New Roman" w:hAnsi="Times New Roman" w:eastAsia="宋体" w:cs="Times New Roman"/>
                <w:color w:val="auto"/>
                <w:kern w:val="2"/>
                <w:sz w:val="24"/>
                <w:szCs w:val="24"/>
                <w:lang w:val="en-US" w:eastAsia="zh-CN" w:bidi="ar"/>
              </w:rPr>
              <w:t>3-</w:t>
            </w:r>
            <w:r>
              <w:rPr>
                <w:rFonts w:hint="eastAsia" w:cs="Times New Roman"/>
                <w:color w:val="auto"/>
                <w:kern w:val="2"/>
                <w:sz w:val="24"/>
                <w:szCs w:val="24"/>
                <w:lang w:val="en-US" w:eastAsia="zh-CN" w:bidi="ar"/>
              </w:rPr>
              <w:t>11</w:t>
            </w:r>
            <w:r>
              <w:rPr>
                <w:rFonts w:hint="eastAsia" w:ascii="Times New Roman" w:hAnsi="Times New Roman" w:eastAsia="宋体" w:cs="宋体"/>
                <w:color w:val="auto"/>
                <w:kern w:val="2"/>
                <w:sz w:val="24"/>
                <w:szCs w:val="24"/>
                <w:lang w:val="en-US" w:eastAsia="zh-CN" w:bidi="ar"/>
              </w:rPr>
              <w:t>。</w:t>
            </w:r>
          </w:p>
          <w:p w14:paraId="5F42FBF2">
            <w:pPr>
              <w:keepNext w:val="0"/>
              <w:keepLines w:val="0"/>
              <w:suppressLineNumbers w:val="0"/>
              <w:spacing w:before="120" w:beforeLines="50" w:beforeAutospacing="0" w:after="0" w:afterLines="0" w:afterAutospacing="0" w:line="360" w:lineRule="auto"/>
              <w:ind w:left="0" w:right="0" w:firstLine="482" w:firstLineChars="200"/>
              <w:rPr>
                <w:rFonts w:hint="default"/>
                <w:b/>
                <w:color w:val="auto"/>
                <w:sz w:val="24"/>
                <w:szCs w:val="24"/>
              </w:rPr>
            </w:pPr>
            <w:r>
              <w:rPr>
                <w:rFonts w:hint="eastAsia"/>
                <w:b/>
                <w:color w:val="auto"/>
                <w:sz w:val="24"/>
                <w:szCs w:val="24"/>
              </w:rPr>
              <w:t>（</w:t>
            </w:r>
            <w:r>
              <w:rPr>
                <w:rFonts w:hint="default"/>
                <w:b/>
                <w:color w:val="auto"/>
                <w:sz w:val="24"/>
                <w:szCs w:val="24"/>
              </w:rPr>
              <w:t>3</w:t>
            </w:r>
            <w:r>
              <w:rPr>
                <w:rFonts w:hint="eastAsia"/>
                <w:b/>
                <w:color w:val="auto"/>
                <w:sz w:val="24"/>
                <w:szCs w:val="24"/>
              </w:rPr>
              <w:t>）噪声排放标准</w:t>
            </w:r>
          </w:p>
          <w:p w14:paraId="5AA2292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lang w:val="en-US" w:eastAsia="zh-CN" w:bidi="ar"/>
              </w:rPr>
            </w:pPr>
            <w:r>
              <w:rPr>
                <w:rFonts w:hint="eastAsia" w:ascii="Times New Roman" w:hAnsi="Times New Roman" w:eastAsia="宋体" w:cs="宋体"/>
                <w:color w:val="auto"/>
                <w:kern w:val="2"/>
                <w:sz w:val="24"/>
                <w:szCs w:val="24"/>
                <w:lang w:val="en-US" w:eastAsia="zh-CN" w:bidi="ar"/>
              </w:rPr>
              <w:t>施工期噪声排放执行《建筑施工场界环境噪声排放标准》</w:t>
            </w:r>
            <w:r>
              <w:rPr>
                <w:rFonts w:hint="default" w:ascii="Times New Roman" w:hAnsi="Times New Roman" w:eastAsia="宋体" w:cs="宋体"/>
                <w:color w:val="auto"/>
                <w:kern w:val="2"/>
                <w:sz w:val="24"/>
                <w:szCs w:val="24"/>
                <w:lang w:val="en-US" w:eastAsia="zh-CN" w:bidi="ar"/>
              </w:rPr>
              <w:t>(GB12523-2011)</w:t>
            </w:r>
            <w:r>
              <w:rPr>
                <w:rFonts w:hint="eastAsia" w:ascii="Times New Roman" w:hAnsi="Times New Roman" w:eastAsia="宋体" w:cs="宋体"/>
                <w:color w:val="auto"/>
                <w:kern w:val="2"/>
                <w:sz w:val="24"/>
                <w:szCs w:val="24"/>
                <w:lang w:val="en-US" w:eastAsia="zh-CN" w:bidi="ar"/>
              </w:rPr>
              <w:t>。标准值见下表。</w:t>
            </w:r>
          </w:p>
          <w:p w14:paraId="0BC70909">
            <w:pPr>
              <w:keepNext w:val="0"/>
              <w:keepLines w:val="0"/>
              <w:suppressLineNumbers w:val="0"/>
              <w:spacing w:before="120" w:beforeLines="50" w:beforeAutospacing="0" w:after="0" w:afterLines="0" w:afterAutospacing="0" w:line="240" w:lineRule="atLeast"/>
              <w:ind w:left="0" w:right="0"/>
              <w:jc w:val="center"/>
              <w:rPr>
                <w:rFonts w:hint="default"/>
                <w:b/>
                <w:color w:val="auto"/>
                <w:sz w:val="21"/>
                <w:szCs w:val="21"/>
              </w:rPr>
            </w:pPr>
            <w:r>
              <w:rPr>
                <w:rFonts w:hint="eastAsia"/>
                <w:b/>
                <w:color w:val="auto"/>
                <w:sz w:val="21"/>
                <w:szCs w:val="21"/>
              </w:rPr>
              <w:t>表</w:t>
            </w:r>
            <w:r>
              <w:rPr>
                <w:rFonts w:hint="default"/>
                <w:b/>
                <w:color w:val="auto"/>
                <w:sz w:val="21"/>
                <w:szCs w:val="21"/>
              </w:rPr>
              <w:t>3-</w:t>
            </w:r>
            <w:r>
              <w:rPr>
                <w:rFonts w:hint="eastAsia"/>
                <w:b/>
                <w:color w:val="auto"/>
                <w:sz w:val="21"/>
                <w:szCs w:val="21"/>
                <w:lang w:val="en-US" w:eastAsia="zh-CN"/>
              </w:rPr>
              <w:t>6</w:t>
            </w:r>
            <w:r>
              <w:rPr>
                <w:rFonts w:hint="default"/>
                <w:b/>
                <w:color w:val="auto"/>
                <w:sz w:val="21"/>
                <w:szCs w:val="21"/>
              </w:rPr>
              <w:t xml:space="preserve">   </w:t>
            </w:r>
            <w:r>
              <w:rPr>
                <w:rFonts w:hint="eastAsia"/>
                <w:b/>
                <w:color w:val="auto"/>
                <w:sz w:val="21"/>
                <w:szCs w:val="21"/>
              </w:rPr>
              <w:t>建筑施工场界环境噪声排放限值</w:t>
            </w:r>
            <w:r>
              <w:rPr>
                <w:rFonts w:hint="default"/>
                <w:b/>
                <w:color w:val="auto"/>
                <w:sz w:val="21"/>
                <w:szCs w:val="21"/>
              </w:rPr>
              <w:t xml:space="preserve">    </w:t>
            </w:r>
            <w:r>
              <w:rPr>
                <w:rFonts w:hint="eastAsia"/>
                <w:b/>
                <w:color w:val="auto"/>
                <w:sz w:val="21"/>
                <w:szCs w:val="21"/>
              </w:rPr>
              <w:t>单位：</w:t>
            </w:r>
            <w:r>
              <w:rPr>
                <w:rFonts w:hint="default"/>
                <w:b/>
                <w:color w:val="auto"/>
                <w:sz w:val="21"/>
                <w:szCs w:val="21"/>
              </w:rPr>
              <w:t>dB(A)</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4"/>
              <w:gridCol w:w="2526"/>
              <w:gridCol w:w="2784"/>
            </w:tblGrid>
            <w:tr w14:paraId="396F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21EE97">
                  <w:pPr>
                    <w:keepNext w:val="0"/>
                    <w:keepLines w:val="0"/>
                    <w:suppressLineNumbers w:val="0"/>
                    <w:spacing w:before="0" w:beforeLines="0" w:beforeAutospacing="0" w:after="0" w:afterLines="0" w:afterAutospacing="0"/>
                    <w:ind w:left="0" w:right="0"/>
                    <w:jc w:val="center"/>
                    <w:rPr>
                      <w:rFonts w:hint="default"/>
                      <w:b/>
                      <w:color w:val="auto"/>
                      <w:sz w:val="21"/>
                      <w:szCs w:val="21"/>
                      <w:lang w:bidi="ar"/>
                    </w:rPr>
                  </w:pPr>
                  <w:r>
                    <w:rPr>
                      <w:rFonts w:hint="eastAsia"/>
                      <w:b/>
                      <w:color w:val="auto"/>
                      <w:sz w:val="21"/>
                      <w:szCs w:val="21"/>
                      <w:lang w:bidi="ar"/>
                    </w:rPr>
                    <w:t>时段</w:t>
                  </w:r>
                </w:p>
              </w:tc>
              <w:tc>
                <w:tcPr>
                  <w:tcW w:w="1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EF6179">
                  <w:pPr>
                    <w:keepNext w:val="0"/>
                    <w:keepLines w:val="0"/>
                    <w:suppressLineNumbers w:val="0"/>
                    <w:spacing w:before="0" w:beforeLines="0" w:beforeAutospacing="0" w:after="0" w:afterLines="0" w:afterAutospacing="0"/>
                    <w:ind w:left="0" w:right="0"/>
                    <w:jc w:val="center"/>
                    <w:rPr>
                      <w:rFonts w:hint="default"/>
                      <w:b/>
                      <w:color w:val="auto"/>
                      <w:sz w:val="21"/>
                      <w:szCs w:val="21"/>
                      <w:lang w:bidi="ar"/>
                    </w:rPr>
                  </w:pPr>
                  <w:r>
                    <w:rPr>
                      <w:rFonts w:hint="eastAsia"/>
                      <w:b/>
                      <w:color w:val="auto"/>
                      <w:sz w:val="21"/>
                      <w:szCs w:val="21"/>
                      <w:lang w:bidi="ar"/>
                    </w:rPr>
                    <w:t>标准限值</w:t>
                  </w:r>
                </w:p>
              </w:tc>
              <w:tc>
                <w:tcPr>
                  <w:tcW w:w="17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45F0E0">
                  <w:pPr>
                    <w:keepNext w:val="0"/>
                    <w:keepLines w:val="0"/>
                    <w:suppressLineNumbers w:val="0"/>
                    <w:spacing w:before="0" w:beforeLines="0" w:beforeAutospacing="0" w:after="0" w:afterLines="0" w:afterAutospacing="0"/>
                    <w:ind w:left="0" w:right="0"/>
                    <w:jc w:val="center"/>
                    <w:rPr>
                      <w:rFonts w:hint="default"/>
                      <w:b/>
                      <w:color w:val="auto"/>
                      <w:sz w:val="21"/>
                      <w:szCs w:val="21"/>
                      <w:lang w:bidi="ar"/>
                    </w:rPr>
                  </w:pPr>
                  <w:r>
                    <w:rPr>
                      <w:rFonts w:hint="eastAsia"/>
                      <w:b/>
                      <w:color w:val="auto"/>
                      <w:sz w:val="21"/>
                      <w:szCs w:val="21"/>
                      <w:lang w:bidi="ar"/>
                    </w:rPr>
                    <w:t>执行标准</w:t>
                  </w:r>
                </w:p>
              </w:tc>
            </w:tr>
            <w:tr w14:paraId="68EE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3C3864">
                  <w:pPr>
                    <w:keepNext w:val="0"/>
                    <w:keepLines w:val="0"/>
                    <w:suppressLineNumbers w:val="0"/>
                    <w:spacing w:before="0" w:beforeLines="0" w:beforeAutospacing="0" w:after="0" w:afterLines="0" w:afterAutospacing="0"/>
                    <w:ind w:left="0" w:right="0"/>
                    <w:jc w:val="center"/>
                    <w:rPr>
                      <w:rFonts w:hint="default"/>
                      <w:color w:val="auto"/>
                      <w:sz w:val="21"/>
                      <w:szCs w:val="21"/>
                    </w:rPr>
                  </w:pPr>
                  <w:r>
                    <w:rPr>
                      <w:rFonts w:hint="eastAsia"/>
                      <w:color w:val="auto"/>
                      <w:sz w:val="21"/>
                      <w:szCs w:val="21"/>
                      <w:lang w:bidi="ar"/>
                    </w:rPr>
                    <w:t>昼间</w:t>
                  </w:r>
                </w:p>
              </w:tc>
              <w:tc>
                <w:tcPr>
                  <w:tcW w:w="1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BA0837">
                  <w:pPr>
                    <w:keepNext w:val="0"/>
                    <w:keepLines w:val="0"/>
                    <w:suppressLineNumbers w:val="0"/>
                    <w:spacing w:before="0" w:beforeLines="0" w:beforeAutospacing="0" w:after="0" w:afterLines="0" w:afterAutospacing="0"/>
                    <w:ind w:left="0" w:right="0"/>
                    <w:jc w:val="center"/>
                    <w:rPr>
                      <w:rFonts w:hint="default"/>
                      <w:color w:val="auto"/>
                      <w:sz w:val="21"/>
                      <w:szCs w:val="21"/>
                    </w:rPr>
                  </w:pPr>
                  <w:r>
                    <w:rPr>
                      <w:rFonts w:hint="default"/>
                      <w:color w:val="auto"/>
                      <w:sz w:val="21"/>
                      <w:szCs w:val="21"/>
                    </w:rPr>
                    <w:t>70</w:t>
                  </w:r>
                </w:p>
              </w:tc>
              <w:tc>
                <w:tcPr>
                  <w:tcW w:w="174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AEB43B4">
                  <w:pPr>
                    <w:keepNext w:val="0"/>
                    <w:keepLines w:val="0"/>
                    <w:suppressLineNumbers w:val="0"/>
                    <w:spacing w:before="0" w:beforeLines="0" w:beforeAutospacing="0" w:after="0" w:afterLines="0" w:afterAutospacing="0"/>
                    <w:ind w:left="0" w:right="0"/>
                    <w:jc w:val="center"/>
                    <w:rPr>
                      <w:rFonts w:hint="default"/>
                      <w:color w:val="auto"/>
                      <w:sz w:val="21"/>
                      <w:szCs w:val="21"/>
                    </w:rPr>
                  </w:pPr>
                  <w:r>
                    <w:rPr>
                      <w:rFonts w:hint="eastAsia"/>
                      <w:color w:val="auto"/>
                      <w:sz w:val="21"/>
                      <w:szCs w:val="21"/>
                    </w:rPr>
                    <w:t>《建筑施工场界环境噪声排放标准》（</w:t>
                  </w:r>
                  <w:r>
                    <w:rPr>
                      <w:rFonts w:hint="default"/>
                      <w:color w:val="auto"/>
                      <w:sz w:val="21"/>
                      <w:szCs w:val="21"/>
                    </w:rPr>
                    <w:t>GB12523-2011</w:t>
                  </w:r>
                  <w:r>
                    <w:rPr>
                      <w:rFonts w:hint="eastAsia"/>
                      <w:color w:val="auto"/>
                      <w:sz w:val="21"/>
                      <w:szCs w:val="21"/>
                    </w:rPr>
                    <w:t>）</w:t>
                  </w:r>
                </w:p>
              </w:tc>
            </w:tr>
            <w:tr w14:paraId="1907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4ADCF9">
                  <w:pPr>
                    <w:keepNext w:val="0"/>
                    <w:keepLines w:val="0"/>
                    <w:suppressLineNumbers w:val="0"/>
                    <w:spacing w:before="0" w:beforeLines="0" w:beforeAutospacing="0" w:after="0" w:afterLines="0" w:afterAutospacing="0"/>
                    <w:ind w:left="0" w:right="0"/>
                    <w:jc w:val="center"/>
                    <w:rPr>
                      <w:rFonts w:hint="default"/>
                      <w:color w:val="auto"/>
                      <w:sz w:val="21"/>
                      <w:szCs w:val="21"/>
                    </w:rPr>
                  </w:pPr>
                  <w:r>
                    <w:rPr>
                      <w:rFonts w:hint="eastAsia"/>
                      <w:color w:val="auto"/>
                      <w:sz w:val="21"/>
                      <w:szCs w:val="21"/>
                      <w:lang w:bidi="ar"/>
                    </w:rPr>
                    <w:t>夜间</w:t>
                  </w:r>
                </w:p>
              </w:tc>
              <w:tc>
                <w:tcPr>
                  <w:tcW w:w="1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37828F">
                  <w:pPr>
                    <w:keepNext w:val="0"/>
                    <w:keepLines w:val="0"/>
                    <w:suppressLineNumbers w:val="0"/>
                    <w:spacing w:before="0" w:beforeLines="0" w:beforeAutospacing="0" w:after="0" w:afterLines="0" w:afterAutospacing="0"/>
                    <w:ind w:left="0" w:right="0"/>
                    <w:jc w:val="center"/>
                    <w:rPr>
                      <w:rFonts w:hint="default"/>
                      <w:color w:val="auto"/>
                      <w:sz w:val="21"/>
                      <w:szCs w:val="21"/>
                    </w:rPr>
                  </w:pPr>
                  <w:r>
                    <w:rPr>
                      <w:rFonts w:hint="default"/>
                      <w:color w:val="auto"/>
                      <w:sz w:val="21"/>
                      <w:szCs w:val="21"/>
                    </w:rPr>
                    <w:t>55</w:t>
                  </w:r>
                </w:p>
              </w:tc>
              <w:tc>
                <w:tcPr>
                  <w:tcW w:w="174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F66B0CB">
                  <w:pPr>
                    <w:keepNext w:val="0"/>
                    <w:keepLines w:val="0"/>
                    <w:suppressLineNumbers w:val="0"/>
                    <w:spacing w:before="0" w:beforeLines="0" w:beforeAutospacing="0" w:after="0" w:afterLines="0" w:afterAutospacing="0"/>
                    <w:ind w:left="0" w:right="0"/>
                    <w:jc w:val="center"/>
                    <w:rPr>
                      <w:rFonts w:hint="default"/>
                      <w:color w:val="auto"/>
                      <w:sz w:val="21"/>
                      <w:szCs w:val="21"/>
                    </w:rPr>
                  </w:pPr>
                </w:p>
              </w:tc>
            </w:tr>
          </w:tbl>
          <w:p w14:paraId="49204CB0">
            <w:pPr>
              <w:keepNext w:val="0"/>
              <w:keepLines w:val="0"/>
              <w:widowControl w:val="0"/>
              <w:suppressLineNumbers w:val="0"/>
              <w:spacing w:before="120" w:beforeLines="50" w:beforeAutospacing="0" w:after="0" w:afterAutospacing="0" w:line="360" w:lineRule="auto"/>
              <w:ind w:left="0" w:right="0"/>
              <w:jc w:val="both"/>
              <w:rPr>
                <w:rFonts w:hint="default"/>
                <w:b/>
                <w:bCs w:val="0"/>
                <w:color w:val="auto"/>
                <w:sz w:val="24"/>
                <w:szCs w:val="24"/>
                <w:lang w:val="en-US"/>
              </w:rPr>
            </w:pPr>
            <w:r>
              <w:rPr>
                <w:rFonts w:hint="default" w:ascii="Times New Roman" w:hAnsi="Times New Roman" w:eastAsia="宋体" w:cs="Times New Roman"/>
                <w:b/>
                <w:bCs/>
                <w:color w:val="auto"/>
                <w:kern w:val="2"/>
                <w:sz w:val="24"/>
                <w:szCs w:val="24"/>
                <w:lang w:val="en-US" w:eastAsia="zh-CN" w:bidi="ar"/>
              </w:rPr>
              <w:t>2.</w:t>
            </w:r>
            <w:r>
              <w:rPr>
                <w:rFonts w:hint="eastAsia" w:ascii="Times New Roman" w:hAnsi="Times New Roman" w:eastAsia="宋体" w:cs="宋体"/>
                <w:b/>
                <w:bCs w:val="0"/>
                <w:color w:val="auto"/>
                <w:kern w:val="2"/>
                <w:sz w:val="24"/>
                <w:szCs w:val="24"/>
                <w:lang w:val="en-US" w:eastAsia="zh-CN" w:bidi="ar"/>
              </w:rPr>
              <w:t>运营期</w:t>
            </w:r>
          </w:p>
          <w:p w14:paraId="43F93B8F">
            <w:pPr>
              <w:keepNext w:val="0"/>
              <w:keepLines w:val="0"/>
              <w:widowControl w:val="0"/>
              <w:suppressLineNumbers w:val="0"/>
              <w:spacing w:before="120" w:beforeLines="50" w:beforeAutospacing="0" w:after="0" w:afterAutospacing="0" w:line="360" w:lineRule="auto"/>
              <w:ind w:left="0" w:right="0" w:firstLine="482" w:firstLineChars="200"/>
              <w:jc w:val="both"/>
              <w:rPr>
                <w:rFonts w:hint="default"/>
                <w:b/>
                <w:bCs w:val="0"/>
                <w:color w:val="auto"/>
                <w:sz w:val="24"/>
                <w:szCs w:val="24"/>
                <w:lang w:val="en-US"/>
              </w:rPr>
            </w:pPr>
            <w:r>
              <w:rPr>
                <w:rFonts w:hint="eastAsia" w:ascii="Times New Roman" w:hAnsi="Times New Roman" w:eastAsia="宋体" w:cs="宋体"/>
                <w:b/>
                <w:bCs w:val="0"/>
                <w:color w:val="auto"/>
                <w:kern w:val="2"/>
                <w:sz w:val="24"/>
                <w:szCs w:val="24"/>
                <w:lang w:val="en-US" w:eastAsia="zh-CN" w:bidi="ar"/>
              </w:rPr>
              <w:t>（</w:t>
            </w:r>
            <w:r>
              <w:rPr>
                <w:rFonts w:hint="default" w:ascii="Times New Roman" w:hAnsi="Times New Roman" w:eastAsia="宋体" w:cs="Times New Roman"/>
                <w:b/>
                <w:bCs w:val="0"/>
                <w:color w:val="auto"/>
                <w:kern w:val="2"/>
                <w:sz w:val="24"/>
                <w:szCs w:val="24"/>
                <w:lang w:val="en-US" w:eastAsia="zh-CN" w:bidi="ar"/>
              </w:rPr>
              <w:t>1</w:t>
            </w:r>
            <w:r>
              <w:rPr>
                <w:rFonts w:hint="eastAsia" w:ascii="Times New Roman" w:hAnsi="Times New Roman" w:eastAsia="宋体" w:cs="宋体"/>
                <w:b/>
                <w:bCs w:val="0"/>
                <w:color w:val="auto"/>
                <w:kern w:val="2"/>
                <w:sz w:val="24"/>
                <w:szCs w:val="24"/>
                <w:lang w:val="en-US" w:eastAsia="zh-CN" w:bidi="ar"/>
              </w:rPr>
              <w:t>）废气排放标准</w:t>
            </w:r>
          </w:p>
          <w:p w14:paraId="58695896">
            <w:pPr>
              <w:keepNext w:val="0"/>
              <w:keepLines w:val="0"/>
              <w:widowControl w:val="0"/>
              <w:suppressLineNumbers w:val="0"/>
              <w:spacing w:before="0" w:beforeAutospacing="0" w:after="0" w:afterAutospacing="0" w:line="360" w:lineRule="auto"/>
              <w:ind w:left="0" w:right="0" w:firstLine="482" w:firstLineChars="200"/>
              <w:jc w:val="both"/>
              <w:rPr>
                <w:rFonts w:hint="default"/>
                <w:b/>
                <w:bCs w:val="0"/>
                <w:color w:val="auto"/>
                <w:sz w:val="24"/>
                <w:szCs w:val="24"/>
                <w:lang w:val="en-US"/>
              </w:rPr>
            </w:pPr>
            <w:r>
              <w:rPr>
                <w:rFonts w:hint="default" w:ascii="宋体" w:hAnsi="Times New Roman" w:eastAsia="宋体" w:cs="Times New Roman"/>
                <w:b/>
                <w:bCs w:val="0"/>
                <w:color w:val="auto"/>
                <w:kern w:val="2"/>
                <w:sz w:val="24"/>
                <w:szCs w:val="24"/>
                <w:lang w:val="en-US" w:eastAsia="zh-CN" w:bidi="ar"/>
              </w:rPr>
              <w:t>①</w:t>
            </w:r>
            <w:r>
              <w:rPr>
                <w:rFonts w:hint="eastAsia" w:ascii="Times New Roman" w:hAnsi="Times New Roman" w:eastAsia="宋体" w:cs="宋体"/>
                <w:b/>
                <w:bCs w:val="0"/>
                <w:color w:val="auto"/>
                <w:kern w:val="2"/>
                <w:sz w:val="24"/>
                <w:szCs w:val="24"/>
                <w:lang w:val="en-US" w:eastAsia="zh-CN" w:bidi="ar"/>
              </w:rPr>
              <w:t>有组织废气</w:t>
            </w:r>
          </w:p>
          <w:p w14:paraId="3EEE73C8">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kern w:val="0"/>
                <w:sz w:val="24"/>
              </w:rPr>
              <w:t>本项目运营期废气主要为非甲烷总烃、氯化氢、硫酸雾、</w:t>
            </w:r>
            <w:r>
              <w:rPr>
                <w:rFonts w:hint="eastAsia"/>
                <w:color w:val="auto"/>
                <w:kern w:val="0"/>
                <w:sz w:val="24"/>
                <w:lang w:val="en-US" w:eastAsia="zh-CN"/>
              </w:rPr>
              <w:t>氨气、</w:t>
            </w:r>
            <w:r>
              <w:rPr>
                <w:rFonts w:hint="default"/>
                <w:color w:val="auto"/>
                <w:sz w:val="24"/>
              </w:rPr>
              <w:t>沥青烟</w:t>
            </w:r>
            <w:r>
              <w:rPr>
                <w:rFonts w:hint="default" w:ascii="Times New Roman" w:hAnsi="Times New Roman" w:cs="Times New Roman"/>
                <w:color w:val="auto"/>
                <w:kern w:val="0"/>
                <w:sz w:val="24"/>
                <w:szCs w:val="24"/>
              </w:rPr>
              <w:t>、</w:t>
            </w:r>
            <w:r>
              <w:rPr>
                <w:rFonts w:hint="default" w:ascii="Times New Roman" w:hAnsi="Times New Roman" w:cs="Times New Roman" w:eastAsiaTheme="minorEastAsia"/>
                <w:color w:val="auto"/>
                <w:kern w:val="0"/>
                <w:sz w:val="24"/>
                <w:szCs w:val="24"/>
              </w:rPr>
              <w:t>苯并[a]芘</w:t>
            </w:r>
            <w:r>
              <w:rPr>
                <w:rFonts w:hint="eastAsia"/>
                <w:color w:val="auto"/>
                <w:kern w:val="0"/>
                <w:sz w:val="24"/>
              </w:rPr>
              <w:t>，非甲烷总烃、氯化氢、硫酸雾、</w:t>
            </w:r>
            <w:r>
              <w:rPr>
                <w:rFonts w:hint="default"/>
                <w:color w:val="auto"/>
                <w:sz w:val="24"/>
              </w:rPr>
              <w:t>沥青烟</w:t>
            </w:r>
            <w:r>
              <w:rPr>
                <w:rFonts w:hint="default" w:ascii="Times New Roman" w:hAnsi="Times New Roman" w:cs="Times New Roman"/>
                <w:color w:val="auto"/>
                <w:kern w:val="0"/>
                <w:sz w:val="24"/>
                <w:szCs w:val="24"/>
              </w:rPr>
              <w:t>、</w:t>
            </w:r>
            <w:r>
              <w:rPr>
                <w:rFonts w:hint="default" w:ascii="Times New Roman" w:hAnsi="Times New Roman" w:cs="Times New Roman" w:eastAsiaTheme="minorEastAsia"/>
                <w:color w:val="auto"/>
                <w:kern w:val="0"/>
                <w:sz w:val="24"/>
                <w:szCs w:val="24"/>
              </w:rPr>
              <w:t>苯并[a]芘</w:t>
            </w:r>
            <w:r>
              <w:rPr>
                <w:rFonts w:hint="eastAsia" w:ascii="Times New Roman" w:hAnsi="Times New Roman" w:eastAsia="宋体" w:cs="Times New Roman"/>
                <w:color w:val="auto"/>
                <w:kern w:val="2"/>
                <w:sz w:val="24"/>
                <w:szCs w:val="24"/>
                <w:lang w:val="en-US" w:eastAsia="zh-CN" w:bidi="ar"/>
              </w:rPr>
              <w:t>执行《大气污染物综合排放标准》（</w:t>
            </w:r>
            <w:r>
              <w:rPr>
                <w:rFonts w:hint="default" w:ascii="Times New Roman" w:hAnsi="Times New Roman" w:eastAsia="宋体" w:cs="Times New Roman"/>
                <w:color w:val="auto"/>
                <w:kern w:val="2"/>
                <w:sz w:val="24"/>
                <w:szCs w:val="24"/>
                <w:lang w:val="en-US" w:eastAsia="zh-CN" w:bidi="ar"/>
              </w:rPr>
              <w:t>GB16297-1996</w:t>
            </w:r>
            <w:r>
              <w:rPr>
                <w:rFonts w:hint="eastAsia" w:ascii="Times New Roman" w:hAnsi="Times New Roman" w:eastAsia="宋体" w:cs="Times New Roman"/>
                <w:color w:val="auto"/>
                <w:kern w:val="2"/>
                <w:sz w:val="24"/>
                <w:szCs w:val="24"/>
                <w:lang w:val="en-US" w:eastAsia="zh-CN" w:bidi="ar"/>
              </w:rPr>
              <w:t>）表</w:t>
            </w:r>
            <w:r>
              <w:rPr>
                <w:rFonts w:hint="default" w:ascii="Times New Roman" w:hAnsi="Times New Roman" w:eastAsia="宋体" w:cs="Times New Roman"/>
                <w:color w:val="auto"/>
                <w:kern w:val="2"/>
                <w:sz w:val="24"/>
                <w:szCs w:val="24"/>
                <w:lang w:val="en-US" w:eastAsia="zh-CN" w:bidi="ar"/>
              </w:rPr>
              <w:t>2</w:t>
            </w:r>
            <w:r>
              <w:rPr>
                <w:rFonts w:hint="eastAsia" w:ascii="Times New Roman" w:hAnsi="Times New Roman" w:eastAsia="宋体" w:cs="Times New Roman"/>
                <w:color w:val="auto"/>
                <w:kern w:val="2"/>
                <w:sz w:val="24"/>
                <w:szCs w:val="24"/>
                <w:lang w:val="en-US" w:eastAsia="zh-CN" w:bidi="ar"/>
              </w:rPr>
              <w:t>中的二级标准限值</w:t>
            </w:r>
            <w:bookmarkStart w:id="11" w:name="_Hlk139533097"/>
            <w:r>
              <w:rPr>
                <w:rFonts w:hint="eastAsia" w:cs="Times New Roman"/>
                <w:color w:val="auto"/>
                <w:kern w:val="2"/>
                <w:sz w:val="24"/>
                <w:szCs w:val="24"/>
                <w:lang w:val="en-US" w:eastAsia="zh-CN" w:bidi="ar"/>
              </w:rPr>
              <w:t>，</w:t>
            </w:r>
            <w:r>
              <w:rPr>
                <w:rFonts w:hint="eastAsia" w:ascii="Times New Roman" w:hAnsi="Times New Roman" w:cs="Times New Roman"/>
                <w:color w:val="auto"/>
                <w:sz w:val="24"/>
              </w:rPr>
              <w:t>有组织氨</w:t>
            </w:r>
            <w:r>
              <w:rPr>
                <w:rFonts w:hint="default" w:ascii="Times New Roman" w:hAnsi="Times New Roman" w:cs="Times New Roman"/>
                <w:color w:val="auto"/>
                <w:sz w:val="24"/>
              </w:rPr>
              <w:t>执行</w:t>
            </w:r>
            <w:r>
              <w:rPr>
                <w:rFonts w:hint="eastAsia" w:ascii="Times New Roman" w:hAnsi="Times New Roman" w:cs="Times New Roman"/>
                <w:color w:val="auto"/>
                <w:sz w:val="24"/>
              </w:rPr>
              <w:t>《恶臭污染物排放标准》（GB14554-93）表2相关排放标准限值</w:t>
            </w:r>
            <w:r>
              <w:rPr>
                <w:rFonts w:hint="eastAsia" w:cs="Times New Roman"/>
                <w:color w:val="auto"/>
                <w:kern w:val="2"/>
                <w:sz w:val="24"/>
                <w:szCs w:val="24"/>
                <w:lang w:val="en-US" w:eastAsia="zh-CN" w:bidi="ar"/>
              </w:rPr>
              <w:t>。</w:t>
            </w:r>
          </w:p>
          <w:p w14:paraId="55C5D8E3">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大气污染物综合排放标准》（GB16297-1996），排气筒高度除须遵守表列排放速率标准值外，还应高出周围200m半径范围的建筑5m以上，不能达到该要求的排气筒，应按其高度对应的表列排放速率标准值严格50%执行。根据现场踏勘，项目周围200m半径范围的部分建筑高于15米，排气筒不能满足高于200m范围内建筑5m的要求，因此项目排放的废气排放速率标准值应严格50%执行。标准值见下表。</w:t>
            </w:r>
          </w:p>
          <w:p w14:paraId="597AA709">
            <w:pPr>
              <w:keepNext w:val="0"/>
              <w:keepLines w:val="0"/>
              <w:suppressLineNumbers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表3-</w:t>
            </w:r>
            <w:r>
              <w:rPr>
                <w:rFonts w:hint="eastAsia"/>
                <w:b/>
                <w:color w:val="auto"/>
                <w:kern w:val="0"/>
                <w:szCs w:val="21"/>
                <w:lang w:val="en-US" w:eastAsia="zh-CN"/>
              </w:rPr>
              <w:t>7</w:t>
            </w:r>
            <w:r>
              <w:rPr>
                <w:rFonts w:hint="default"/>
                <w:b/>
                <w:color w:val="auto"/>
                <w:kern w:val="0"/>
                <w:szCs w:val="21"/>
              </w:rPr>
              <w:t xml:space="preserve">   大气污染物排放标准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379"/>
              <w:gridCol w:w="813"/>
              <w:gridCol w:w="1198"/>
              <w:gridCol w:w="1775"/>
              <w:gridCol w:w="1944"/>
            </w:tblGrid>
            <w:tr w14:paraId="6225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Merge w:val="restart"/>
                  <w:vAlign w:val="center"/>
                </w:tcPr>
                <w:p w14:paraId="70E7A3CE">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default" w:eastAsiaTheme="minorEastAsia"/>
                      <w:b/>
                      <w:color w:val="auto"/>
                      <w:kern w:val="0"/>
                      <w:sz w:val="21"/>
                      <w:szCs w:val="21"/>
                    </w:rPr>
                    <w:t>污染物</w:t>
                  </w:r>
                </w:p>
              </w:tc>
              <w:tc>
                <w:tcPr>
                  <w:tcW w:w="1379" w:type="dxa"/>
                  <w:vMerge w:val="restart"/>
                  <w:vAlign w:val="center"/>
                </w:tcPr>
                <w:p w14:paraId="257740ED">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default" w:eastAsiaTheme="minorEastAsia"/>
                      <w:b/>
                      <w:color w:val="auto"/>
                      <w:kern w:val="0"/>
                      <w:sz w:val="21"/>
                      <w:szCs w:val="21"/>
                    </w:rPr>
                    <w:t>最高允许排放浓度（mg/m</w:t>
                  </w:r>
                  <w:r>
                    <w:rPr>
                      <w:rFonts w:hint="default"/>
                      <w:b/>
                      <w:color w:val="auto"/>
                      <w:kern w:val="0"/>
                      <w:sz w:val="21"/>
                      <w:szCs w:val="21"/>
                    </w:rPr>
                    <w:t>³</w:t>
                  </w:r>
                  <w:r>
                    <w:rPr>
                      <w:rFonts w:hint="default" w:eastAsiaTheme="minorEastAsia"/>
                      <w:b/>
                      <w:color w:val="auto"/>
                      <w:kern w:val="0"/>
                      <w:sz w:val="21"/>
                      <w:szCs w:val="21"/>
                    </w:rPr>
                    <w:t>）</w:t>
                  </w:r>
                </w:p>
              </w:tc>
              <w:tc>
                <w:tcPr>
                  <w:tcW w:w="813" w:type="dxa"/>
                  <w:vMerge w:val="restart"/>
                  <w:vAlign w:val="center"/>
                </w:tcPr>
                <w:p w14:paraId="5868384A">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default" w:eastAsiaTheme="minorEastAsia"/>
                      <w:b/>
                      <w:color w:val="auto"/>
                      <w:kern w:val="0"/>
                      <w:sz w:val="21"/>
                      <w:szCs w:val="21"/>
                    </w:rPr>
                    <w:t>排气筒高度（m）</w:t>
                  </w:r>
                </w:p>
              </w:tc>
              <w:tc>
                <w:tcPr>
                  <w:tcW w:w="2973" w:type="dxa"/>
                  <w:gridSpan w:val="2"/>
                  <w:vAlign w:val="center"/>
                </w:tcPr>
                <w:p w14:paraId="7C15420E">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default" w:eastAsiaTheme="minorEastAsia"/>
                      <w:b/>
                      <w:color w:val="auto"/>
                      <w:kern w:val="0"/>
                      <w:sz w:val="21"/>
                      <w:szCs w:val="21"/>
                    </w:rPr>
                    <w:t>与排气筒高度对应的大气污染物最高允许排放速率（kg/h）</w:t>
                  </w:r>
                </w:p>
              </w:tc>
              <w:tc>
                <w:tcPr>
                  <w:tcW w:w="1944" w:type="dxa"/>
                  <w:vMerge w:val="restart"/>
                  <w:vAlign w:val="center"/>
                </w:tcPr>
                <w:p w14:paraId="76C92698">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ascii="Times New Roman" w:hAnsi="宋体" w:eastAsia="宋体" w:cs="Times New Roman"/>
                      <w:b/>
                      <w:bCs w:val="0"/>
                      <w:color w:val="auto"/>
                      <w:w w:val="95"/>
                      <w:kern w:val="2"/>
                      <w:sz w:val="21"/>
                      <w:szCs w:val="21"/>
                      <w:lang w:val="en-US" w:eastAsia="zh-CN" w:bidi="ar"/>
                    </w:rPr>
                    <w:t>执行标准</w:t>
                  </w:r>
                </w:p>
              </w:tc>
            </w:tr>
            <w:tr w14:paraId="6164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Merge w:val="continue"/>
                  <w:vAlign w:val="center"/>
                </w:tcPr>
                <w:p w14:paraId="265F5188">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1379" w:type="dxa"/>
                  <w:vMerge w:val="continue"/>
                  <w:vAlign w:val="center"/>
                </w:tcPr>
                <w:p w14:paraId="4CC4F702">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813" w:type="dxa"/>
                  <w:vMerge w:val="continue"/>
                  <w:vAlign w:val="center"/>
                </w:tcPr>
                <w:p w14:paraId="28D1E21C">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1198" w:type="dxa"/>
                  <w:vAlign w:val="center"/>
                </w:tcPr>
                <w:p w14:paraId="2DAB423C">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default" w:eastAsiaTheme="minorEastAsia"/>
                      <w:b/>
                      <w:color w:val="auto"/>
                      <w:kern w:val="0"/>
                      <w:sz w:val="21"/>
                      <w:szCs w:val="21"/>
                    </w:rPr>
                    <w:t>二级</w:t>
                  </w:r>
                </w:p>
              </w:tc>
              <w:tc>
                <w:tcPr>
                  <w:tcW w:w="1775" w:type="dxa"/>
                  <w:vAlign w:val="center"/>
                </w:tcPr>
                <w:p w14:paraId="7FAC442E">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default" w:eastAsiaTheme="minorEastAsia"/>
                      <w:b/>
                      <w:color w:val="auto"/>
                      <w:kern w:val="0"/>
                      <w:sz w:val="21"/>
                      <w:szCs w:val="21"/>
                    </w:rPr>
                    <w:t>严格50%后计算结果</w:t>
                  </w:r>
                </w:p>
              </w:tc>
              <w:tc>
                <w:tcPr>
                  <w:tcW w:w="1944" w:type="dxa"/>
                  <w:vMerge w:val="continue"/>
                  <w:vAlign w:val="center"/>
                </w:tcPr>
                <w:p w14:paraId="6C1AB5E9">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r>
            <w:tr w14:paraId="0851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Align w:val="center"/>
                </w:tcPr>
                <w:p w14:paraId="14798AE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氯化氢</w:t>
                  </w:r>
                </w:p>
              </w:tc>
              <w:tc>
                <w:tcPr>
                  <w:tcW w:w="1379" w:type="dxa"/>
                  <w:vAlign w:val="center"/>
                </w:tcPr>
                <w:p w14:paraId="49EE9AE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100</w:t>
                  </w:r>
                </w:p>
              </w:tc>
              <w:tc>
                <w:tcPr>
                  <w:tcW w:w="813" w:type="dxa"/>
                  <w:vMerge w:val="restart"/>
                  <w:vAlign w:val="center"/>
                </w:tcPr>
                <w:p w14:paraId="01C193A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15</w:t>
                  </w:r>
                </w:p>
              </w:tc>
              <w:tc>
                <w:tcPr>
                  <w:tcW w:w="1198" w:type="dxa"/>
                  <w:vAlign w:val="center"/>
                </w:tcPr>
                <w:p w14:paraId="19BF7C89">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0.26</w:t>
                  </w:r>
                </w:p>
              </w:tc>
              <w:tc>
                <w:tcPr>
                  <w:tcW w:w="1775" w:type="dxa"/>
                  <w:vAlign w:val="center"/>
                </w:tcPr>
                <w:p w14:paraId="30AAE503">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0.13</w:t>
                  </w:r>
                </w:p>
              </w:tc>
              <w:tc>
                <w:tcPr>
                  <w:tcW w:w="1944" w:type="dxa"/>
                  <w:vMerge w:val="restart"/>
                  <w:vAlign w:val="center"/>
                </w:tcPr>
                <w:p w14:paraId="705C3C4D">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ascii="Times New Roman" w:hAnsi="Times New Roman" w:eastAsia="宋体" w:cs="Times New Roman"/>
                      <w:color w:val="auto"/>
                      <w:sz w:val="21"/>
                      <w:szCs w:val="21"/>
                      <w:lang w:val="en-US" w:eastAsia="zh-CN" w:bidi="ar"/>
                    </w:rPr>
                    <w:t>《大气污染物综合排放标准》（</w:t>
                  </w:r>
                  <w:r>
                    <w:rPr>
                      <w:rFonts w:hint="default" w:ascii="Times New Roman" w:hAnsi="Times New Roman" w:eastAsia="宋体" w:cs="Times New Roman"/>
                      <w:color w:val="auto"/>
                      <w:sz w:val="21"/>
                      <w:szCs w:val="21"/>
                      <w:lang w:val="en-US" w:eastAsia="zh-CN" w:bidi="ar"/>
                    </w:rPr>
                    <w:t>GB16297-1996</w:t>
                  </w:r>
                  <w:r>
                    <w:rPr>
                      <w:rFonts w:hint="eastAsia" w:ascii="Times New Roman" w:hAnsi="Times New Roman" w:eastAsia="宋体" w:cs="Times New Roman"/>
                      <w:color w:val="auto"/>
                      <w:sz w:val="21"/>
                      <w:szCs w:val="21"/>
                      <w:lang w:val="en-US" w:eastAsia="zh-CN" w:bidi="ar"/>
                    </w:rPr>
                    <w:t>）</w:t>
                  </w:r>
                </w:p>
              </w:tc>
            </w:tr>
            <w:tr w14:paraId="7323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Align w:val="center"/>
                </w:tcPr>
                <w:p w14:paraId="3A19D067">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硫酸雾</w:t>
                  </w:r>
                </w:p>
              </w:tc>
              <w:tc>
                <w:tcPr>
                  <w:tcW w:w="1379" w:type="dxa"/>
                  <w:vAlign w:val="center"/>
                </w:tcPr>
                <w:p w14:paraId="64BCB3DD">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45</w:t>
                  </w:r>
                </w:p>
              </w:tc>
              <w:tc>
                <w:tcPr>
                  <w:tcW w:w="813" w:type="dxa"/>
                  <w:vMerge w:val="continue"/>
                  <w:vAlign w:val="center"/>
                </w:tcPr>
                <w:p w14:paraId="5B23C0F0">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1198" w:type="dxa"/>
                  <w:vAlign w:val="center"/>
                </w:tcPr>
                <w:p w14:paraId="720E3BC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1.5</w:t>
                  </w:r>
                </w:p>
              </w:tc>
              <w:tc>
                <w:tcPr>
                  <w:tcW w:w="1775" w:type="dxa"/>
                  <w:vAlign w:val="center"/>
                </w:tcPr>
                <w:p w14:paraId="28236B90">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0.75</w:t>
                  </w:r>
                </w:p>
              </w:tc>
              <w:tc>
                <w:tcPr>
                  <w:tcW w:w="1944" w:type="dxa"/>
                  <w:vMerge w:val="continue"/>
                  <w:vAlign w:val="center"/>
                </w:tcPr>
                <w:p w14:paraId="2835E95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r>
            <w:tr w14:paraId="3FD3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Align w:val="center"/>
                </w:tcPr>
                <w:p w14:paraId="2762C6E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沥青烟</w:t>
                  </w:r>
                </w:p>
              </w:tc>
              <w:tc>
                <w:tcPr>
                  <w:tcW w:w="1379" w:type="dxa"/>
                  <w:vAlign w:val="center"/>
                </w:tcPr>
                <w:p w14:paraId="2068F633">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75（建筑搅拌）</w:t>
                  </w:r>
                </w:p>
              </w:tc>
              <w:tc>
                <w:tcPr>
                  <w:tcW w:w="813" w:type="dxa"/>
                  <w:vMerge w:val="continue"/>
                  <w:vAlign w:val="center"/>
                </w:tcPr>
                <w:p w14:paraId="51694C77">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1198" w:type="dxa"/>
                  <w:vAlign w:val="center"/>
                </w:tcPr>
                <w:p w14:paraId="289D0E53">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0.18</w:t>
                  </w:r>
                </w:p>
              </w:tc>
              <w:tc>
                <w:tcPr>
                  <w:tcW w:w="1775" w:type="dxa"/>
                  <w:vAlign w:val="center"/>
                </w:tcPr>
                <w:p w14:paraId="3DFEBF6F">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0.09</w:t>
                  </w:r>
                </w:p>
              </w:tc>
              <w:tc>
                <w:tcPr>
                  <w:tcW w:w="1944" w:type="dxa"/>
                  <w:vMerge w:val="continue"/>
                  <w:vAlign w:val="center"/>
                </w:tcPr>
                <w:p w14:paraId="7D298AF8">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r>
            <w:tr w14:paraId="5D5C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Align w:val="center"/>
                </w:tcPr>
                <w:p w14:paraId="590E9E2A">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苯并[a]芘</w:t>
                  </w:r>
                </w:p>
              </w:tc>
              <w:tc>
                <w:tcPr>
                  <w:tcW w:w="1379" w:type="dxa"/>
                  <w:vAlign w:val="center"/>
                </w:tcPr>
                <w:p w14:paraId="356D33F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color w:val="auto"/>
                      <w:kern w:val="0"/>
                      <w:sz w:val="21"/>
                      <w:szCs w:val="21"/>
                    </w:rPr>
                    <w:t>0.3×10</w:t>
                  </w:r>
                  <w:r>
                    <w:rPr>
                      <w:rFonts w:hint="default"/>
                      <w:color w:val="auto"/>
                      <w:kern w:val="0"/>
                      <w:sz w:val="21"/>
                      <w:szCs w:val="21"/>
                      <w:vertAlign w:val="superscript"/>
                    </w:rPr>
                    <w:t>-3</w:t>
                  </w:r>
                </w:p>
              </w:tc>
              <w:tc>
                <w:tcPr>
                  <w:tcW w:w="813" w:type="dxa"/>
                  <w:vMerge w:val="continue"/>
                  <w:vAlign w:val="center"/>
                </w:tcPr>
                <w:p w14:paraId="1EDDC34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1198" w:type="dxa"/>
                  <w:vAlign w:val="center"/>
                </w:tcPr>
                <w:p w14:paraId="2E4F879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color w:val="auto"/>
                      <w:kern w:val="0"/>
                      <w:sz w:val="21"/>
                      <w:szCs w:val="21"/>
                    </w:rPr>
                    <w:t>0.05×10</w:t>
                  </w:r>
                  <w:r>
                    <w:rPr>
                      <w:rFonts w:hint="default"/>
                      <w:color w:val="auto"/>
                      <w:kern w:val="0"/>
                      <w:sz w:val="21"/>
                      <w:szCs w:val="21"/>
                      <w:vertAlign w:val="superscript"/>
                    </w:rPr>
                    <w:t>-3</w:t>
                  </w:r>
                </w:p>
              </w:tc>
              <w:tc>
                <w:tcPr>
                  <w:tcW w:w="1775" w:type="dxa"/>
                  <w:vAlign w:val="center"/>
                </w:tcPr>
                <w:p w14:paraId="6DC4B20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color w:val="auto"/>
                      <w:kern w:val="0"/>
                      <w:sz w:val="21"/>
                      <w:szCs w:val="21"/>
                    </w:rPr>
                    <w:t>0.025×10</w:t>
                  </w:r>
                  <w:r>
                    <w:rPr>
                      <w:rFonts w:hint="default"/>
                      <w:color w:val="auto"/>
                      <w:kern w:val="0"/>
                      <w:sz w:val="21"/>
                      <w:szCs w:val="21"/>
                      <w:vertAlign w:val="superscript"/>
                    </w:rPr>
                    <w:t>-3</w:t>
                  </w:r>
                </w:p>
              </w:tc>
              <w:tc>
                <w:tcPr>
                  <w:tcW w:w="1944" w:type="dxa"/>
                  <w:vMerge w:val="continue"/>
                  <w:vAlign w:val="center"/>
                </w:tcPr>
                <w:p w14:paraId="4634C9A3">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r>
            <w:tr w14:paraId="3E327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Align w:val="center"/>
                </w:tcPr>
                <w:p w14:paraId="08FA46D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非甲烷总烃</w:t>
                  </w:r>
                </w:p>
              </w:tc>
              <w:tc>
                <w:tcPr>
                  <w:tcW w:w="1379" w:type="dxa"/>
                  <w:vAlign w:val="center"/>
                </w:tcPr>
                <w:p w14:paraId="5A13C099">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120</w:t>
                  </w:r>
                </w:p>
              </w:tc>
              <w:tc>
                <w:tcPr>
                  <w:tcW w:w="813" w:type="dxa"/>
                  <w:vMerge w:val="continue"/>
                  <w:vAlign w:val="center"/>
                </w:tcPr>
                <w:p w14:paraId="7C48005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1198" w:type="dxa"/>
                  <w:vAlign w:val="center"/>
                </w:tcPr>
                <w:p w14:paraId="6E0ACC02">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10</w:t>
                  </w:r>
                </w:p>
              </w:tc>
              <w:tc>
                <w:tcPr>
                  <w:tcW w:w="1775" w:type="dxa"/>
                  <w:vAlign w:val="center"/>
                </w:tcPr>
                <w:p w14:paraId="7C913BFC">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eastAsiaTheme="minorEastAsia"/>
                      <w:color w:val="auto"/>
                      <w:kern w:val="0"/>
                      <w:sz w:val="21"/>
                      <w:szCs w:val="21"/>
                    </w:rPr>
                    <w:t>5</w:t>
                  </w:r>
                </w:p>
              </w:tc>
              <w:tc>
                <w:tcPr>
                  <w:tcW w:w="1944" w:type="dxa"/>
                  <w:vMerge w:val="continue"/>
                  <w:vAlign w:val="center"/>
                </w:tcPr>
                <w:p w14:paraId="5F11E4DD">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r>
            <w:tr w14:paraId="70D4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dxa"/>
                  <w:vAlign w:val="center"/>
                </w:tcPr>
                <w:p w14:paraId="3D4C40B9">
                  <w:pPr>
                    <w:keepNext w:val="0"/>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氨</w:t>
                  </w:r>
                </w:p>
              </w:tc>
              <w:tc>
                <w:tcPr>
                  <w:tcW w:w="1379" w:type="dxa"/>
                  <w:vAlign w:val="center"/>
                </w:tcPr>
                <w:p w14:paraId="574E8DFF">
                  <w:pPr>
                    <w:keepNext w:val="0"/>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w:t>
                  </w:r>
                </w:p>
              </w:tc>
              <w:tc>
                <w:tcPr>
                  <w:tcW w:w="813" w:type="dxa"/>
                  <w:vMerge w:val="continue"/>
                  <w:vAlign w:val="center"/>
                </w:tcPr>
                <w:p w14:paraId="6F47186E">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2973" w:type="dxa"/>
                  <w:gridSpan w:val="2"/>
                  <w:vAlign w:val="center"/>
                </w:tcPr>
                <w:p w14:paraId="64FDC06C">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4.9</w:t>
                  </w:r>
                </w:p>
              </w:tc>
              <w:tc>
                <w:tcPr>
                  <w:tcW w:w="1944" w:type="dxa"/>
                  <w:vAlign w:val="center"/>
                </w:tcPr>
                <w:p w14:paraId="3DC63176">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ascii="Times New Roman" w:hAnsi="Times New Roman"/>
                      <w:color w:val="auto"/>
                      <w:kern w:val="0"/>
                      <w:szCs w:val="21"/>
                    </w:rPr>
                    <w:t>《恶臭污染物排放标准》（GB1455493）</w:t>
                  </w:r>
                </w:p>
              </w:tc>
            </w:tr>
          </w:tbl>
          <w:p w14:paraId="59F68ACD">
            <w:pPr>
              <w:pStyle w:val="58"/>
              <w:keepNext w:val="0"/>
              <w:keepLines w:val="0"/>
              <w:suppressLineNumbers w:val="0"/>
              <w:spacing w:before="0" w:beforeAutospacing="0" w:after="0" w:afterAutospacing="0"/>
              <w:ind w:left="0" w:right="0" w:firstLine="480"/>
              <w:rPr>
                <w:rFonts w:hint="default"/>
                <w:color w:val="auto"/>
              </w:rPr>
            </w:pPr>
            <w:r>
              <w:rPr>
                <w:rFonts w:hint="default"/>
                <w:color w:val="auto"/>
              </w:rPr>
              <w:t>项目内</w:t>
            </w:r>
            <w:r>
              <w:rPr>
                <w:rFonts w:hint="eastAsia"/>
                <w:color w:val="auto"/>
                <w:lang w:val="en-US" w:eastAsia="zh-CN"/>
              </w:rPr>
              <w:t>食堂</w:t>
            </w:r>
            <w:r>
              <w:rPr>
                <w:rFonts w:hint="default"/>
                <w:color w:val="auto"/>
              </w:rPr>
              <w:t>设置有</w:t>
            </w:r>
            <w:r>
              <w:rPr>
                <w:rFonts w:hint="eastAsia"/>
                <w:color w:val="auto"/>
                <w:lang w:val="en-US" w:eastAsia="zh-CN"/>
              </w:rPr>
              <w:t>2</w:t>
            </w:r>
            <w:r>
              <w:rPr>
                <w:rFonts w:hint="default"/>
                <w:color w:val="auto"/>
              </w:rPr>
              <w:t>个灶头，根据《餐饮业油烟污染物排放要求》（DB5301</w:t>
            </w:r>
            <w:r>
              <w:rPr>
                <w:rFonts w:hint="eastAsia"/>
                <w:color w:val="auto"/>
                <w:lang w:val="en-US" w:eastAsia="zh-CN"/>
              </w:rPr>
              <w:t>/T 50-2021</w:t>
            </w:r>
            <w:r>
              <w:rPr>
                <w:rFonts w:hint="default"/>
                <w:color w:val="auto"/>
              </w:rPr>
              <w:t>）中表1判断，规模属于Ⅰ类项目，项目内油烟及非甲烷总烃经油烟净化器处理后通过</w:t>
            </w:r>
            <w:r>
              <w:rPr>
                <w:rFonts w:hint="eastAsia"/>
                <w:color w:val="auto"/>
                <w:lang w:val="en-US" w:eastAsia="zh-CN"/>
              </w:rPr>
              <w:t>一根高于楼顶1.5m的排气筒</w:t>
            </w:r>
            <w:r>
              <w:rPr>
                <w:rFonts w:hint="default"/>
                <w:color w:val="auto"/>
              </w:rPr>
              <w:t>有组织排放，油烟及非甲烷总烃浓度排放限制如下表所示：</w:t>
            </w:r>
          </w:p>
          <w:p w14:paraId="0D2BD900">
            <w:pPr>
              <w:pStyle w:val="59"/>
              <w:keepNext w:val="0"/>
              <w:keepLines w:val="0"/>
              <w:suppressLineNumbers w:val="0"/>
              <w:spacing w:before="0" w:beforeAutospacing="0" w:after="0" w:afterAutospacing="0"/>
              <w:ind w:left="0" w:right="0"/>
              <w:rPr>
                <w:rFonts w:hint="default"/>
                <w:color w:val="auto"/>
                <w:sz w:val="21"/>
                <w:szCs w:val="21"/>
              </w:rPr>
            </w:pPr>
            <w:r>
              <w:rPr>
                <w:rFonts w:hint="eastAsia"/>
                <w:color w:val="auto"/>
                <w:sz w:val="21"/>
                <w:szCs w:val="21"/>
              </w:rPr>
              <w:t>表3-</w:t>
            </w:r>
            <w:r>
              <w:rPr>
                <w:rFonts w:hint="eastAsia" w:eastAsia="宋体"/>
                <w:color w:val="auto"/>
                <w:sz w:val="21"/>
                <w:szCs w:val="21"/>
                <w:lang w:val="en-US" w:eastAsia="zh-CN"/>
              </w:rPr>
              <w:t>8</w:t>
            </w:r>
            <w:r>
              <w:rPr>
                <w:rFonts w:hint="eastAsia"/>
                <w:color w:val="auto"/>
                <w:sz w:val="21"/>
                <w:szCs w:val="21"/>
              </w:rPr>
              <w:t xml:space="preserve"> 餐饮业油烟、非甲烷总烃浓度排放限制</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4"/>
              <w:gridCol w:w="2656"/>
              <w:gridCol w:w="2654"/>
            </w:tblGrid>
            <w:tr w14:paraId="5ADD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54" w:type="dxa"/>
                  <w:noWrap w:val="0"/>
                  <w:vAlign w:val="center"/>
                </w:tcPr>
                <w:p w14:paraId="07B0041F">
                  <w:pPr>
                    <w:pStyle w:val="61"/>
                    <w:keepNext w:val="0"/>
                    <w:keepLines w:val="0"/>
                    <w:suppressLineNumbers w:val="0"/>
                    <w:spacing w:before="0" w:beforeAutospacing="0" w:after="0" w:afterAutospacing="0"/>
                    <w:ind w:left="0" w:right="0"/>
                    <w:rPr>
                      <w:rFonts w:hint="eastAsia"/>
                      <w:color w:val="auto"/>
                    </w:rPr>
                  </w:pPr>
                  <w:r>
                    <w:rPr>
                      <w:rFonts w:hint="eastAsia"/>
                      <w:color w:val="auto"/>
                    </w:rPr>
                    <w:t>污染物项目</w:t>
                  </w:r>
                </w:p>
              </w:tc>
              <w:tc>
                <w:tcPr>
                  <w:tcW w:w="2656" w:type="dxa"/>
                  <w:noWrap w:val="0"/>
                  <w:vAlign w:val="center"/>
                </w:tcPr>
                <w:p w14:paraId="4BEEA2ED">
                  <w:pPr>
                    <w:pStyle w:val="61"/>
                    <w:keepNext w:val="0"/>
                    <w:keepLines w:val="0"/>
                    <w:suppressLineNumbers w:val="0"/>
                    <w:spacing w:before="0" w:beforeAutospacing="0" w:after="0" w:afterAutospacing="0"/>
                    <w:ind w:left="0" w:right="0"/>
                    <w:rPr>
                      <w:rFonts w:hint="eastAsia"/>
                      <w:color w:val="auto"/>
                    </w:rPr>
                  </w:pPr>
                  <w:r>
                    <w:rPr>
                      <w:rFonts w:hint="eastAsia"/>
                      <w:color w:val="auto"/>
                    </w:rPr>
                    <w:t>污染物排放限制（mg/m</w:t>
                  </w:r>
                  <w:r>
                    <w:rPr>
                      <w:rFonts w:hint="eastAsia"/>
                      <w:color w:val="auto"/>
                      <w:vertAlign w:val="superscript"/>
                    </w:rPr>
                    <w:t>3</w:t>
                  </w:r>
                  <w:r>
                    <w:rPr>
                      <w:rFonts w:hint="eastAsia"/>
                      <w:color w:val="auto"/>
                    </w:rPr>
                    <w:t>）</w:t>
                  </w:r>
                </w:p>
              </w:tc>
              <w:tc>
                <w:tcPr>
                  <w:tcW w:w="2654" w:type="dxa"/>
                  <w:noWrap w:val="0"/>
                  <w:vAlign w:val="center"/>
                </w:tcPr>
                <w:p w14:paraId="0E9199C0">
                  <w:pPr>
                    <w:pStyle w:val="61"/>
                    <w:keepNext w:val="0"/>
                    <w:keepLines w:val="0"/>
                    <w:suppressLineNumbers w:val="0"/>
                    <w:spacing w:before="0" w:beforeAutospacing="0" w:after="0" w:afterAutospacing="0"/>
                    <w:ind w:left="0" w:right="0"/>
                    <w:rPr>
                      <w:rFonts w:hint="eastAsia"/>
                      <w:color w:val="auto"/>
                    </w:rPr>
                  </w:pPr>
                  <w:r>
                    <w:rPr>
                      <w:rFonts w:hint="eastAsia"/>
                      <w:color w:val="auto"/>
                    </w:rPr>
                    <w:t>污染物排放监测位置</w:t>
                  </w:r>
                </w:p>
              </w:tc>
            </w:tr>
            <w:tr w14:paraId="247E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54" w:type="dxa"/>
                  <w:noWrap w:val="0"/>
                  <w:vAlign w:val="center"/>
                </w:tcPr>
                <w:p w14:paraId="0B1D2F35">
                  <w:pPr>
                    <w:pStyle w:val="62"/>
                    <w:keepNext w:val="0"/>
                    <w:keepLines w:val="0"/>
                    <w:suppressLineNumbers w:val="0"/>
                    <w:spacing w:before="0" w:beforeAutospacing="0" w:after="0" w:afterAutospacing="0"/>
                    <w:ind w:left="0" w:right="0"/>
                    <w:rPr>
                      <w:rFonts w:hint="eastAsia"/>
                      <w:color w:val="auto"/>
                    </w:rPr>
                  </w:pPr>
                  <w:r>
                    <w:rPr>
                      <w:rFonts w:hint="eastAsia"/>
                      <w:color w:val="auto"/>
                    </w:rPr>
                    <w:t>油烟</w:t>
                  </w:r>
                </w:p>
              </w:tc>
              <w:tc>
                <w:tcPr>
                  <w:tcW w:w="2656" w:type="dxa"/>
                  <w:noWrap w:val="0"/>
                  <w:vAlign w:val="center"/>
                </w:tcPr>
                <w:p w14:paraId="17631D0F">
                  <w:pPr>
                    <w:pStyle w:val="62"/>
                    <w:keepNext w:val="0"/>
                    <w:keepLines w:val="0"/>
                    <w:suppressLineNumbers w:val="0"/>
                    <w:spacing w:before="0" w:beforeAutospacing="0" w:after="0" w:afterAutospacing="0"/>
                    <w:ind w:left="0" w:right="0"/>
                    <w:rPr>
                      <w:rFonts w:hint="default"/>
                      <w:color w:val="auto"/>
                    </w:rPr>
                  </w:pPr>
                  <w:r>
                    <w:rPr>
                      <w:rFonts w:hint="eastAsia"/>
                      <w:color w:val="auto"/>
                    </w:rPr>
                    <w:t>1.0</w:t>
                  </w:r>
                </w:p>
              </w:tc>
              <w:tc>
                <w:tcPr>
                  <w:tcW w:w="2654" w:type="dxa"/>
                  <w:vMerge w:val="restart"/>
                  <w:noWrap w:val="0"/>
                  <w:vAlign w:val="center"/>
                </w:tcPr>
                <w:p w14:paraId="2C2F25BF">
                  <w:pPr>
                    <w:pStyle w:val="62"/>
                    <w:keepNext w:val="0"/>
                    <w:keepLines w:val="0"/>
                    <w:suppressLineNumbers w:val="0"/>
                    <w:spacing w:before="0" w:beforeAutospacing="0" w:after="0" w:afterAutospacing="0"/>
                    <w:ind w:left="0" w:right="0"/>
                    <w:rPr>
                      <w:rFonts w:hint="eastAsia"/>
                      <w:color w:val="auto"/>
                    </w:rPr>
                  </w:pPr>
                  <w:r>
                    <w:rPr>
                      <w:rFonts w:hint="eastAsia"/>
                      <w:color w:val="auto"/>
                    </w:rPr>
                    <w:t>排风管或排气筒</w:t>
                  </w:r>
                </w:p>
              </w:tc>
            </w:tr>
            <w:tr w14:paraId="112D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54" w:type="dxa"/>
                  <w:noWrap w:val="0"/>
                  <w:vAlign w:val="center"/>
                </w:tcPr>
                <w:p w14:paraId="2C0782AA">
                  <w:pPr>
                    <w:pStyle w:val="62"/>
                    <w:keepNext w:val="0"/>
                    <w:keepLines w:val="0"/>
                    <w:suppressLineNumbers w:val="0"/>
                    <w:spacing w:before="0" w:beforeAutospacing="0" w:after="0" w:afterAutospacing="0"/>
                    <w:ind w:left="0" w:right="0"/>
                    <w:rPr>
                      <w:rFonts w:hint="eastAsia"/>
                      <w:color w:val="auto"/>
                    </w:rPr>
                  </w:pPr>
                  <w:r>
                    <w:rPr>
                      <w:rFonts w:hint="eastAsia"/>
                      <w:color w:val="auto"/>
                    </w:rPr>
                    <w:t>非甲烷总烃</w:t>
                  </w:r>
                </w:p>
              </w:tc>
              <w:tc>
                <w:tcPr>
                  <w:tcW w:w="2656" w:type="dxa"/>
                  <w:noWrap w:val="0"/>
                  <w:vAlign w:val="center"/>
                </w:tcPr>
                <w:p w14:paraId="536069F6">
                  <w:pPr>
                    <w:pStyle w:val="62"/>
                    <w:keepNext w:val="0"/>
                    <w:keepLines w:val="0"/>
                    <w:suppressLineNumbers w:val="0"/>
                    <w:spacing w:before="0" w:beforeAutospacing="0" w:after="0" w:afterAutospacing="0"/>
                    <w:ind w:left="0" w:right="0"/>
                    <w:rPr>
                      <w:rFonts w:hint="default"/>
                      <w:color w:val="auto"/>
                    </w:rPr>
                  </w:pPr>
                  <w:r>
                    <w:rPr>
                      <w:rFonts w:hint="eastAsia"/>
                      <w:color w:val="auto"/>
                    </w:rPr>
                    <w:t>10.0</w:t>
                  </w:r>
                </w:p>
              </w:tc>
              <w:tc>
                <w:tcPr>
                  <w:tcW w:w="2654" w:type="dxa"/>
                  <w:vMerge w:val="continue"/>
                  <w:noWrap w:val="0"/>
                  <w:vAlign w:val="center"/>
                </w:tcPr>
                <w:p w14:paraId="72398696">
                  <w:pPr>
                    <w:pStyle w:val="62"/>
                    <w:keepNext w:val="0"/>
                    <w:keepLines w:val="0"/>
                    <w:suppressLineNumbers w:val="0"/>
                    <w:spacing w:before="0" w:beforeAutospacing="0" w:after="0" w:afterAutospacing="0"/>
                    <w:ind w:left="0" w:right="0"/>
                    <w:rPr>
                      <w:rFonts w:hint="eastAsia"/>
                      <w:color w:val="auto"/>
                    </w:rPr>
                  </w:pPr>
                </w:p>
              </w:tc>
            </w:tr>
          </w:tbl>
          <w:p w14:paraId="03BB4AC9">
            <w:pPr>
              <w:keepNext w:val="0"/>
              <w:keepLines w:val="0"/>
              <w:widowControl w:val="0"/>
              <w:suppressLineNumbers w:val="0"/>
              <w:spacing w:before="0" w:beforeLines="50" w:beforeAutospacing="0" w:after="0" w:afterAutospacing="0" w:line="360" w:lineRule="auto"/>
              <w:ind w:left="0" w:right="0" w:firstLine="482" w:firstLineChars="200"/>
              <w:contextualSpacing/>
              <w:jc w:val="both"/>
              <w:rPr>
                <w:rFonts w:hint="default"/>
                <w:b/>
                <w:bCs w:val="0"/>
                <w:color w:val="auto"/>
                <w:sz w:val="24"/>
                <w:szCs w:val="24"/>
                <w:lang w:val="en-US"/>
              </w:rPr>
            </w:pPr>
            <w:r>
              <w:rPr>
                <w:rFonts w:hint="default" w:ascii="宋体" w:hAnsi="Times New Roman" w:eastAsia="宋体" w:cs="Times New Roman"/>
                <w:b/>
                <w:bCs w:val="0"/>
                <w:color w:val="auto"/>
                <w:kern w:val="2"/>
                <w:sz w:val="24"/>
                <w:szCs w:val="24"/>
                <w:lang w:val="en-US" w:eastAsia="zh-CN" w:bidi="ar"/>
              </w:rPr>
              <w:t>②</w:t>
            </w:r>
            <w:r>
              <w:rPr>
                <w:rFonts w:hint="eastAsia" w:ascii="Times New Roman" w:hAnsi="Times New Roman" w:eastAsia="宋体" w:cs="宋体"/>
                <w:b/>
                <w:bCs w:val="0"/>
                <w:color w:val="auto"/>
                <w:kern w:val="2"/>
                <w:sz w:val="24"/>
                <w:szCs w:val="24"/>
                <w:lang w:val="en-US" w:eastAsia="zh-CN" w:bidi="ar"/>
              </w:rPr>
              <w:t>无组织废气</w:t>
            </w:r>
          </w:p>
          <w:p w14:paraId="713F2EBE">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sz w:val="24"/>
                <w:szCs w:val="24"/>
                <w:lang w:val="en-US"/>
              </w:rPr>
            </w:pPr>
            <w:r>
              <w:rPr>
                <w:rFonts w:hint="eastAsia" w:ascii="Times New Roman" w:hAnsi="Times New Roman" w:eastAsia="宋体" w:cs="Times New Roman"/>
                <w:color w:val="auto"/>
                <w:kern w:val="2"/>
                <w:sz w:val="24"/>
                <w:szCs w:val="24"/>
                <w:lang w:val="en-US" w:eastAsia="zh-CN" w:bidi="ar-SA"/>
              </w:rPr>
              <w:t>本项目厂界无组织废气中的非甲烷总烃、氯化氢、硫酸雾、</w:t>
            </w:r>
            <w:r>
              <w:rPr>
                <w:rFonts w:hint="default" w:ascii="Times New Roman" w:hAnsi="Times New Roman" w:eastAsia="宋体" w:cs="Times New Roman"/>
                <w:color w:val="auto"/>
                <w:kern w:val="2"/>
                <w:sz w:val="24"/>
                <w:szCs w:val="24"/>
                <w:lang w:val="en-US" w:eastAsia="zh-CN" w:bidi="ar-SA"/>
              </w:rPr>
              <w:t>沥青烟、苯并[a]芘</w:t>
            </w:r>
            <w:r>
              <w:rPr>
                <w:rFonts w:hint="eastAsia" w:ascii="Times New Roman" w:hAnsi="Times New Roman" w:eastAsia="宋体" w:cs="Times New Roman"/>
                <w:color w:val="auto"/>
                <w:kern w:val="2"/>
                <w:sz w:val="24"/>
                <w:szCs w:val="24"/>
                <w:lang w:val="en-US" w:eastAsia="zh-CN" w:bidi="ar-SA"/>
              </w:rPr>
              <w:t>、颗粒物执行《大气污染物综合排放标准》（</w:t>
            </w:r>
            <w:r>
              <w:rPr>
                <w:rFonts w:hint="default" w:ascii="Times New Roman" w:hAnsi="Times New Roman" w:eastAsia="宋体" w:cs="Times New Roman"/>
                <w:color w:val="auto"/>
                <w:kern w:val="2"/>
                <w:sz w:val="24"/>
                <w:szCs w:val="24"/>
                <w:lang w:val="en-US" w:eastAsia="zh-CN" w:bidi="ar-SA"/>
              </w:rPr>
              <w:t>GB16297-1996</w:t>
            </w:r>
            <w:r>
              <w:rPr>
                <w:rFonts w:hint="eastAsia" w:ascii="Times New Roman" w:hAnsi="Times New Roman" w:eastAsia="宋体" w:cs="Times New Roman"/>
                <w:color w:val="auto"/>
                <w:kern w:val="2"/>
                <w:sz w:val="24"/>
                <w:szCs w:val="24"/>
                <w:lang w:val="en-US" w:eastAsia="zh-CN" w:bidi="ar-SA"/>
              </w:rPr>
              <w:t>）表</w:t>
            </w: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中新污染</w:t>
            </w:r>
            <w:r>
              <w:rPr>
                <w:rFonts w:hint="eastAsia" w:ascii="Times New Roman" w:hAnsi="Times New Roman" w:eastAsia="宋体" w:cs="Times New Roman"/>
                <w:color w:val="auto"/>
                <w:kern w:val="2"/>
                <w:sz w:val="24"/>
                <w:szCs w:val="24"/>
                <w:lang w:val="en-US" w:eastAsia="zh-CN" w:bidi="ar"/>
              </w:rPr>
              <w:t>源大气污染物排放限值中无组织排放监控浓度限值；</w:t>
            </w:r>
            <w:r>
              <w:rPr>
                <w:rFonts w:hint="eastAsia" w:ascii="Times New Roman" w:hAnsi="Times New Roman" w:cs="Times New Roman"/>
                <w:color w:val="auto"/>
                <w:sz w:val="24"/>
              </w:rPr>
              <w:t>氨、</w:t>
            </w:r>
            <w:r>
              <w:rPr>
                <w:rFonts w:hint="eastAsia" w:ascii="Times New Roman" w:hAnsi="Times New Roman" w:cs="Times New Roman"/>
                <w:color w:val="auto"/>
                <w:sz w:val="24"/>
                <w:lang w:val="en-US" w:eastAsia="zh-CN"/>
              </w:rPr>
              <w:t>臭气浓度</w:t>
            </w:r>
            <w:r>
              <w:rPr>
                <w:rFonts w:hint="eastAsia" w:ascii="Times New Roman" w:hAnsi="Times New Roman" w:cs="Times New Roman"/>
                <w:color w:val="auto"/>
                <w:sz w:val="24"/>
              </w:rPr>
              <w:t>执行《恶臭污染物排放标准》（GB14554-93）表1相关排放标准限值</w:t>
            </w:r>
            <w:r>
              <w:rPr>
                <w:rFonts w:hint="eastAsia" w:ascii="Times New Roman" w:hAnsi="Times New Roman" w:cs="Times New Roman"/>
                <w:color w:val="auto"/>
                <w:sz w:val="24"/>
                <w:lang w:eastAsia="zh-CN"/>
              </w:rPr>
              <w:t>。</w:t>
            </w:r>
            <w:r>
              <w:rPr>
                <w:rFonts w:hint="eastAsia" w:ascii="Times New Roman" w:hAnsi="Times New Roman" w:eastAsia="宋体" w:cs="宋体"/>
                <w:color w:val="auto"/>
                <w:kern w:val="2"/>
                <w:sz w:val="24"/>
                <w:szCs w:val="24"/>
                <w:lang w:val="en-US" w:eastAsia="zh-CN" w:bidi="ar"/>
              </w:rPr>
              <w:t>具体指标见下表。</w:t>
            </w:r>
          </w:p>
          <w:p w14:paraId="2DEA1618">
            <w:pPr>
              <w:keepNext w:val="0"/>
              <w:keepLines w:val="0"/>
              <w:suppressLineNumbers w:val="0"/>
              <w:spacing w:before="0" w:beforeLines="0" w:beforeAutospacing="0" w:after="0" w:afterLines="0" w:afterAutospacing="0" w:line="240" w:lineRule="auto"/>
              <w:ind w:left="0" w:right="0"/>
              <w:jc w:val="center"/>
              <w:rPr>
                <w:rFonts w:hint="default"/>
                <w:b/>
                <w:color w:val="auto"/>
                <w:sz w:val="21"/>
                <w:szCs w:val="21"/>
              </w:rPr>
            </w:pPr>
            <w:r>
              <w:rPr>
                <w:rFonts w:hint="eastAsia"/>
                <w:b/>
                <w:color w:val="auto"/>
                <w:sz w:val="21"/>
                <w:szCs w:val="21"/>
              </w:rPr>
              <w:t>表</w:t>
            </w:r>
            <w:r>
              <w:rPr>
                <w:rFonts w:hint="default"/>
                <w:b/>
                <w:color w:val="auto"/>
                <w:sz w:val="21"/>
                <w:szCs w:val="21"/>
              </w:rPr>
              <w:t>3-</w:t>
            </w:r>
            <w:r>
              <w:rPr>
                <w:rFonts w:hint="eastAsia"/>
                <w:b/>
                <w:color w:val="auto"/>
                <w:sz w:val="21"/>
                <w:szCs w:val="21"/>
                <w:lang w:val="en-US" w:eastAsia="zh-CN"/>
              </w:rPr>
              <w:t>9</w:t>
            </w:r>
            <w:r>
              <w:rPr>
                <w:rFonts w:hint="default"/>
                <w:b/>
                <w:color w:val="auto"/>
                <w:sz w:val="21"/>
                <w:szCs w:val="21"/>
              </w:rPr>
              <w:t xml:space="preserve">   </w:t>
            </w:r>
            <w:r>
              <w:rPr>
                <w:rFonts w:hint="eastAsia"/>
                <w:b/>
                <w:color w:val="auto"/>
                <w:sz w:val="21"/>
                <w:szCs w:val="21"/>
                <w:lang w:val="en-US" w:eastAsia="zh-CN"/>
              </w:rPr>
              <w:t>本</w:t>
            </w:r>
            <w:r>
              <w:rPr>
                <w:rFonts w:hint="eastAsia"/>
                <w:b/>
                <w:color w:val="auto"/>
                <w:sz w:val="21"/>
                <w:szCs w:val="21"/>
              </w:rPr>
              <w:t>项目厂界无组织排放限值</w:t>
            </w:r>
            <w:r>
              <w:rPr>
                <w:rFonts w:hint="default"/>
                <w:b/>
                <w:color w:val="auto"/>
                <w:sz w:val="21"/>
                <w:szCs w:val="21"/>
              </w:rPr>
              <w:t xml:space="preserve">      </w:t>
            </w:r>
            <w:r>
              <w:rPr>
                <w:rFonts w:hint="eastAsia"/>
                <w:b/>
                <w:color w:val="auto"/>
                <w:sz w:val="21"/>
                <w:szCs w:val="21"/>
              </w:rPr>
              <w:t>单位：</w:t>
            </w:r>
            <w:r>
              <w:rPr>
                <w:rFonts w:hint="default"/>
                <w:b/>
                <w:color w:val="auto"/>
                <w:sz w:val="21"/>
                <w:szCs w:val="21"/>
              </w:rPr>
              <w:t>mg/m³</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2385"/>
              <w:gridCol w:w="1710"/>
              <w:gridCol w:w="1245"/>
              <w:gridCol w:w="1329"/>
            </w:tblGrid>
            <w:tr w14:paraId="6E35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3A7526">
                  <w:pPr>
                    <w:keepNext w:val="0"/>
                    <w:keepLines w:val="0"/>
                    <w:suppressLineNumbers w:val="0"/>
                    <w:adjustRightInd w:val="0"/>
                    <w:snapToGrid w:val="0"/>
                    <w:spacing w:before="0" w:beforeLines="0" w:beforeAutospacing="0" w:after="0" w:afterLines="0" w:afterAutospacing="0"/>
                    <w:ind w:left="0" w:right="0"/>
                    <w:jc w:val="center"/>
                    <w:rPr>
                      <w:rFonts w:hint="default"/>
                      <w:b/>
                      <w:color w:val="auto"/>
                      <w:kern w:val="0"/>
                      <w:sz w:val="21"/>
                      <w:szCs w:val="21"/>
                    </w:rPr>
                  </w:pPr>
                  <w:r>
                    <w:rPr>
                      <w:rFonts w:hint="eastAsia"/>
                      <w:b/>
                      <w:color w:val="auto"/>
                      <w:kern w:val="0"/>
                      <w:sz w:val="21"/>
                      <w:szCs w:val="21"/>
                    </w:rPr>
                    <w:t>污染物</w:t>
                  </w:r>
                </w:p>
              </w:tc>
              <w:tc>
                <w:tcPr>
                  <w:tcW w:w="23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E9DCC2">
                  <w:pPr>
                    <w:keepNext w:val="0"/>
                    <w:keepLines w:val="0"/>
                    <w:suppressLineNumbers w:val="0"/>
                    <w:adjustRightInd w:val="0"/>
                    <w:snapToGrid w:val="0"/>
                    <w:spacing w:before="0" w:beforeLines="0" w:beforeAutospacing="0" w:after="0" w:afterLines="0" w:afterAutospacing="0"/>
                    <w:ind w:left="0" w:right="0"/>
                    <w:jc w:val="center"/>
                    <w:rPr>
                      <w:rFonts w:hint="default"/>
                      <w:b/>
                      <w:color w:val="auto"/>
                      <w:kern w:val="0"/>
                      <w:sz w:val="21"/>
                      <w:szCs w:val="21"/>
                    </w:rPr>
                  </w:pPr>
                  <w:r>
                    <w:rPr>
                      <w:rFonts w:hint="eastAsia"/>
                      <w:b/>
                      <w:color w:val="auto"/>
                      <w:kern w:val="0"/>
                      <w:sz w:val="21"/>
                      <w:szCs w:val="21"/>
                    </w:rPr>
                    <w:t>执行标准</w:t>
                  </w:r>
                </w:p>
              </w:tc>
              <w:tc>
                <w:tcPr>
                  <w:tcW w:w="17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219153">
                  <w:pPr>
                    <w:keepNext w:val="0"/>
                    <w:keepLines w:val="0"/>
                    <w:suppressLineNumbers w:val="0"/>
                    <w:adjustRightInd w:val="0"/>
                    <w:snapToGrid w:val="0"/>
                    <w:spacing w:before="0" w:beforeLines="0" w:beforeAutospacing="0" w:after="0" w:afterLines="0" w:afterAutospacing="0"/>
                    <w:ind w:left="0" w:right="0"/>
                    <w:jc w:val="center"/>
                    <w:rPr>
                      <w:rFonts w:hint="default"/>
                      <w:b/>
                      <w:color w:val="auto"/>
                      <w:kern w:val="0"/>
                      <w:sz w:val="21"/>
                      <w:szCs w:val="21"/>
                    </w:rPr>
                  </w:pPr>
                  <w:r>
                    <w:rPr>
                      <w:rFonts w:hint="eastAsia"/>
                      <w:b/>
                      <w:color w:val="auto"/>
                      <w:kern w:val="0"/>
                      <w:sz w:val="21"/>
                      <w:szCs w:val="21"/>
                    </w:rPr>
                    <w:t>排放限值（</w:t>
                  </w:r>
                  <w:r>
                    <w:rPr>
                      <w:rFonts w:hint="default"/>
                      <w:b/>
                      <w:color w:val="auto"/>
                      <w:kern w:val="0"/>
                      <w:sz w:val="21"/>
                      <w:szCs w:val="21"/>
                    </w:rPr>
                    <w:t xml:space="preserve"> mg/m³</w:t>
                  </w:r>
                  <w:r>
                    <w:rPr>
                      <w:rFonts w:hint="eastAsia"/>
                      <w:b/>
                      <w:color w:val="auto"/>
                      <w:kern w:val="0"/>
                      <w:sz w:val="21"/>
                      <w:szCs w:val="21"/>
                    </w:rPr>
                    <w:t>）</w:t>
                  </w:r>
                </w:p>
              </w:tc>
              <w:tc>
                <w:tcPr>
                  <w:tcW w:w="12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39C087">
                  <w:pPr>
                    <w:keepNext w:val="0"/>
                    <w:keepLines w:val="0"/>
                    <w:suppressLineNumbers w:val="0"/>
                    <w:adjustRightInd w:val="0"/>
                    <w:snapToGrid w:val="0"/>
                    <w:spacing w:before="0" w:beforeLines="0" w:beforeAutospacing="0" w:after="0" w:afterLines="0" w:afterAutospacing="0"/>
                    <w:ind w:left="0" w:right="0"/>
                    <w:jc w:val="center"/>
                    <w:rPr>
                      <w:rFonts w:hint="default"/>
                      <w:b/>
                      <w:color w:val="auto"/>
                      <w:kern w:val="0"/>
                      <w:sz w:val="21"/>
                      <w:szCs w:val="21"/>
                    </w:rPr>
                  </w:pPr>
                  <w:r>
                    <w:rPr>
                      <w:rFonts w:hint="eastAsia"/>
                      <w:b/>
                      <w:color w:val="auto"/>
                      <w:kern w:val="0"/>
                      <w:sz w:val="21"/>
                      <w:szCs w:val="21"/>
                    </w:rPr>
                    <w:t>限值含义</w:t>
                  </w:r>
                </w:p>
              </w:tc>
              <w:tc>
                <w:tcPr>
                  <w:tcW w:w="13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452DE7">
                  <w:pPr>
                    <w:keepNext w:val="0"/>
                    <w:keepLines w:val="0"/>
                    <w:suppressLineNumbers w:val="0"/>
                    <w:adjustRightInd w:val="0"/>
                    <w:snapToGrid w:val="0"/>
                    <w:spacing w:before="0" w:beforeLines="0" w:beforeAutospacing="0" w:after="0" w:afterLines="0" w:afterAutospacing="0"/>
                    <w:ind w:left="0" w:right="0"/>
                    <w:jc w:val="center"/>
                    <w:rPr>
                      <w:rFonts w:hint="default"/>
                      <w:b/>
                      <w:color w:val="auto"/>
                      <w:kern w:val="0"/>
                      <w:sz w:val="21"/>
                      <w:szCs w:val="21"/>
                    </w:rPr>
                  </w:pPr>
                  <w:r>
                    <w:rPr>
                      <w:rFonts w:hint="eastAsia"/>
                      <w:b/>
                      <w:color w:val="auto"/>
                      <w:kern w:val="0"/>
                      <w:sz w:val="21"/>
                      <w:szCs w:val="21"/>
                    </w:rPr>
                    <w:t>无组织排放监控位置</w:t>
                  </w:r>
                </w:p>
              </w:tc>
            </w:tr>
            <w:tr w14:paraId="191D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3EF1C0">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eastAsia"/>
                      <w:color w:val="auto"/>
                      <w:kern w:val="0"/>
                      <w:sz w:val="21"/>
                      <w:szCs w:val="21"/>
                    </w:rPr>
                    <w:t>非甲烷总烃</w:t>
                  </w:r>
                </w:p>
              </w:tc>
              <w:tc>
                <w:tcPr>
                  <w:tcW w:w="238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6E6B2C2">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eastAsia"/>
                      <w:color w:val="auto"/>
                      <w:sz w:val="21"/>
                      <w:szCs w:val="21"/>
                    </w:rPr>
                    <w:t>《大气污染物综合排放标准》（</w:t>
                  </w:r>
                  <w:r>
                    <w:rPr>
                      <w:rFonts w:hint="default"/>
                      <w:color w:val="auto"/>
                      <w:sz w:val="21"/>
                      <w:szCs w:val="21"/>
                    </w:rPr>
                    <w:t>GB16297-1996</w:t>
                  </w:r>
                  <w:r>
                    <w:rPr>
                      <w:rFonts w:hint="eastAsia"/>
                      <w:color w:val="auto"/>
                      <w:sz w:val="21"/>
                      <w:szCs w:val="21"/>
                    </w:rPr>
                    <w:t>）</w:t>
                  </w:r>
                </w:p>
              </w:tc>
              <w:tc>
                <w:tcPr>
                  <w:tcW w:w="17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7DC2B5">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default"/>
                      <w:color w:val="auto"/>
                      <w:kern w:val="0"/>
                      <w:sz w:val="21"/>
                      <w:szCs w:val="21"/>
                    </w:rPr>
                    <w:t>4.0</w:t>
                  </w:r>
                </w:p>
              </w:tc>
              <w:tc>
                <w:tcPr>
                  <w:tcW w:w="1245" w:type="dxa"/>
                  <w:vMerge w:val="restart"/>
                  <w:tcBorders>
                    <w:top w:val="single" w:color="auto" w:sz="4" w:space="0"/>
                    <w:left w:val="single" w:color="auto" w:sz="4" w:space="0"/>
                    <w:right w:val="single" w:color="auto" w:sz="4" w:space="0"/>
                    <w:tl2br w:val="nil"/>
                    <w:tr2bl w:val="nil"/>
                  </w:tcBorders>
                  <w:noWrap w:val="0"/>
                  <w:vAlign w:val="center"/>
                </w:tcPr>
                <w:p w14:paraId="11ACA78C">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eastAsia"/>
                      <w:color w:val="auto"/>
                      <w:sz w:val="21"/>
                      <w:szCs w:val="21"/>
                    </w:rPr>
                    <w:t>无组织排放监控浓度限值</w:t>
                  </w:r>
                </w:p>
              </w:tc>
              <w:tc>
                <w:tcPr>
                  <w:tcW w:w="1329" w:type="dxa"/>
                  <w:vMerge w:val="restart"/>
                  <w:tcBorders>
                    <w:top w:val="single" w:color="auto" w:sz="4" w:space="0"/>
                    <w:left w:val="single" w:color="auto" w:sz="4" w:space="0"/>
                    <w:right w:val="single" w:color="auto" w:sz="4" w:space="0"/>
                    <w:tl2br w:val="nil"/>
                    <w:tr2bl w:val="nil"/>
                  </w:tcBorders>
                  <w:noWrap w:val="0"/>
                  <w:vAlign w:val="center"/>
                </w:tcPr>
                <w:p w14:paraId="1B310511">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eastAsia"/>
                      <w:color w:val="auto"/>
                      <w:sz w:val="21"/>
                      <w:szCs w:val="21"/>
                    </w:rPr>
                    <w:t>周界外浓度最高点</w:t>
                  </w:r>
                </w:p>
              </w:tc>
            </w:tr>
            <w:tr w14:paraId="1B2B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AA934F">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eastAsia"/>
                      <w:color w:val="auto"/>
                      <w:kern w:val="0"/>
                      <w:sz w:val="21"/>
                      <w:szCs w:val="21"/>
                    </w:rPr>
                    <w:t>氯化氢</w:t>
                  </w:r>
                </w:p>
              </w:tc>
              <w:tc>
                <w:tcPr>
                  <w:tcW w:w="238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2DEFA9D">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c>
                <w:tcPr>
                  <w:tcW w:w="17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7AB78A">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default"/>
                      <w:color w:val="auto"/>
                      <w:kern w:val="0"/>
                      <w:sz w:val="21"/>
                      <w:szCs w:val="21"/>
                    </w:rPr>
                    <w:t>0.2</w:t>
                  </w:r>
                </w:p>
              </w:tc>
              <w:tc>
                <w:tcPr>
                  <w:tcW w:w="1245" w:type="dxa"/>
                  <w:vMerge w:val="continue"/>
                  <w:tcBorders>
                    <w:left w:val="single" w:color="auto" w:sz="4" w:space="0"/>
                    <w:right w:val="single" w:color="auto" w:sz="4" w:space="0"/>
                    <w:tl2br w:val="nil"/>
                    <w:tr2bl w:val="nil"/>
                  </w:tcBorders>
                  <w:noWrap w:val="0"/>
                  <w:vAlign w:val="center"/>
                </w:tcPr>
                <w:p w14:paraId="08CAC4BC">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c>
                <w:tcPr>
                  <w:tcW w:w="1329" w:type="dxa"/>
                  <w:vMerge w:val="continue"/>
                  <w:tcBorders>
                    <w:left w:val="single" w:color="auto" w:sz="4" w:space="0"/>
                    <w:right w:val="single" w:color="auto" w:sz="4" w:space="0"/>
                    <w:tl2br w:val="nil"/>
                    <w:tr2bl w:val="nil"/>
                  </w:tcBorders>
                  <w:noWrap w:val="0"/>
                  <w:vAlign w:val="center"/>
                </w:tcPr>
                <w:p w14:paraId="234F101D">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r>
            <w:tr w14:paraId="5713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E0A478">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eastAsia"/>
                      <w:color w:val="auto"/>
                      <w:kern w:val="0"/>
                      <w:sz w:val="21"/>
                      <w:szCs w:val="21"/>
                    </w:rPr>
                    <w:t>硫酸雾</w:t>
                  </w:r>
                </w:p>
              </w:tc>
              <w:tc>
                <w:tcPr>
                  <w:tcW w:w="238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D24BB6D">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c>
                <w:tcPr>
                  <w:tcW w:w="17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4886A1">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default"/>
                      <w:color w:val="auto"/>
                      <w:kern w:val="0"/>
                      <w:sz w:val="21"/>
                      <w:szCs w:val="21"/>
                    </w:rPr>
                    <w:t>1.2</w:t>
                  </w:r>
                </w:p>
              </w:tc>
              <w:tc>
                <w:tcPr>
                  <w:tcW w:w="1245" w:type="dxa"/>
                  <w:vMerge w:val="continue"/>
                  <w:tcBorders>
                    <w:left w:val="single" w:color="auto" w:sz="4" w:space="0"/>
                    <w:right w:val="single" w:color="auto" w:sz="4" w:space="0"/>
                    <w:tl2br w:val="nil"/>
                    <w:tr2bl w:val="nil"/>
                  </w:tcBorders>
                  <w:noWrap w:val="0"/>
                  <w:vAlign w:val="center"/>
                </w:tcPr>
                <w:p w14:paraId="00CBDFB0">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c>
                <w:tcPr>
                  <w:tcW w:w="1329" w:type="dxa"/>
                  <w:vMerge w:val="continue"/>
                  <w:tcBorders>
                    <w:left w:val="single" w:color="auto" w:sz="4" w:space="0"/>
                    <w:right w:val="single" w:color="auto" w:sz="4" w:space="0"/>
                    <w:tl2br w:val="nil"/>
                    <w:tr2bl w:val="nil"/>
                  </w:tcBorders>
                  <w:noWrap w:val="0"/>
                  <w:vAlign w:val="center"/>
                </w:tcPr>
                <w:p w14:paraId="4850A425">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r>
            <w:tr w14:paraId="03D1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EDB188">
                  <w:pPr>
                    <w:keepNext w:val="0"/>
                    <w:keepLines w:val="0"/>
                    <w:suppressLineNumbers w:val="0"/>
                    <w:adjustRightInd w:val="0"/>
                    <w:snapToGrid w:val="0"/>
                    <w:spacing w:before="0" w:beforeAutospacing="0" w:after="0" w:afterAutospacing="0"/>
                    <w:ind w:left="0" w:leftChars="0" w:right="0" w:rightChars="0"/>
                    <w:jc w:val="center"/>
                    <w:rPr>
                      <w:rFonts w:hint="default"/>
                      <w:color w:val="auto"/>
                      <w:kern w:val="0"/>
                      <w:sz w:val="21"/>
                      <w:szCs w:val="21"/>
                    </w:rPr>
                  </w:pPr>
                  <w:r>
                    <w:rPr>
                      <w:rFonts w:hint="default" w:eastAsiaTheme="minorEastAsia"/>
                      <w:color w:val="auto"/>
                      <w:kern w:val="0"/>
                      <w:sz w:val="21"/>
                      <w:szCs w:val="21"/>
                    </w:rPr>
                    <w:t>沥青烟</w:t>
                  </w:r>
                </w:p>
              </w:tc>
              <w:tc>
                <w:tcPr>
                  <w:tcW w:w="238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05945EB">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c>
                <w:tcPr>
                  <w:tcW w:w="17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F426C0">
                  <w:pPr>
                    <w:keepNext w:val="0"/>
                    <w:keepLines w:val="0"/>
                    <w:suppressLineNumbers w:val="0"/>
                    <w:adjustRightInd w:val="0"/>
                    <w:snapToGrid w:val="0"/>
                    <w:spacing w:before="0" w:beforeLines="0" w:beforeAutospacing="0" w:after="0" w:afterLines="0" w:afterAutospacing="0"/>
                    <w:ind w:left="0" w:right="0"/>
                    <w:jc w:val="center"/>
                    <w:rPr>
                      <w:rFonts w:hint="default" w:eastAsia="宋体"/>
                      <w:color w:val="auto"/>
                      <w:kern w:val="0"/>
                      <w:sz w:val="21"/>
                      <w:szCs w:val="21"/>
                      <w:lang w:val="en-US" w:eastAsia="zh-CN"/>
                    </w:rPr>
                  </w:pPr>
                  <w:r>
                    <w:rPr>
                      <w:rFonts w:hint="eastAsia"/>
                      <w:color w:val="auto"/>
                      <w:kern w:val="0"/>
                      <w:sz w:val="21"/>
                      <w:szCs w:val="21"/>
                      <w:lang w:val="en-US" w:eastAsia="zh-CN"/>
                    </w:rPr>
                    <w:t>生产设备不得有明显的无组织排放</w:t>
                  </w:r>
                </w:p>
              </w:tc>
              <w:tc>
                <w:tcPr>
                  <w:tcW w:w="1245" w:type="dxa"/>
                  <w:vMerge w:val="continue"/>
                  <w:tcBorders>
                    <w:left w:val="single" w:color="auto" w:sz="4" w:space="0"/>
                    <w:right w:val="single" w:color="auto" w:sz="4" w:space="0"/>
                    <w:tl2br w:val="nil"/>
                    <w:tr2bl w:val="nil"/>
                  </w:tcBorders>
                  <w:noWrap w:val="0"/>
                  <w:vAlign w:val="center"/>
                </w:tcPr>
                <w:p w14:paraId="6B878CE1">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c>
                <w:tcPr>
                  <w:tcW w:w="1329" w:type="dxa"/>
                  <w:vMerge w:val="continue"/>
                  <w:tcBorders>
                    <w:left w:val="single" w:color="auto" w:sz="4" w:space="0"/>
                    <w:right w:val="single" w:color="auto" w:sz="4" w:space="0"/>
                    <w:tl2br w:val="nil"/>
                    <w:tr2bl w:val="nil"/>
                  </w:tcBorders>
                  <w:noWrap w:val="0"/>
                  <w:vAlign w:val="center"/>
                </w:tcPr>
                <w:p w14:paraId="7F1EF3E8">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r>
            <w:tr w14:paraId="3A76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476762">
                  <w:pPr>
                    <w:keepNext w:val="0"/>
                    <w:keepLines w:val="0"/>
                    <w:suppressLineNumbers w:val="0"/>
                    <w:adjustRightInd w:val="0"/>
                    <w:snapToGrid w:val="0"/>
                    <w:spacing w:before="0" w:beforeAutospacing="0" w:after="0" w:afterAutospacing="0"/>
                    <w:ind w:left="0" w:leftChars="0" w:right="0" w:rightChars="0"/>
                    <w:jc w:val="center"/>
                    <w:rPr>
                      <w:rFonts w:hint="default"/>
                      <w:color w:val="auto"/>
                      <w:kern w:val="0"/>
                      <w:sz w:val="21"/>
                      <w:szCs w:val="21"/>
                    </w:rPr>
                  </w:pPr>
                  <w:r>
                    <w:rPr>
                      <w:rFonts w:hint="default" w:eastAsiaTheme="minorEastAsia"/>
                      <w:color w:val="auto"/>
                      <w:kern w:val="0"/>
                      <w:sz w:val="21"/>
                      <w:szCs w:val="21"/>
                    </w:rPr>
                    <w:t>苯并[a]芘</w:t>
                  </w:r>
                </w:p>
              </w:tc>
              <w:tc>
                <w:tcPr>
                  <w:tcW w:w="238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16C2ECC">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c>
                <w:tcPr>
                  <w:tcW w:w="17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A0F781">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color w:val="auto"/>
                      <w:kern w:val="0"/>
                      <w:sz w:val="21"/>
                      <w:szCs w:val="21"/>
                      <w:lang w:val="en-US" w:eastAsia="zh-CN"/>
                    </w:rPr>
                    <w:t>0.008</w:t>
                  </w:r>
                  <w:r>
                    <w:rPr>
                      <w:rFonts w:hint="default" w:ascii="Times New Roman" w:hAnsi="Times New Roman" w:cs="Times New Roman"/>
                      <w:color w:val="auto"/>
                      <w:kern w:val="0"/>
                      <w:sz w:val="21"/>
                      <w:szCs w:val="21"/>
                      <w:lang w:val="en-US" w:eastAsia="zh-CN"/>
                    </w:rPr>
                    <w:t>µ</w:t>
                  </w:r>
                  <w:r>
                    <w:rPr>
                      <w:rFonts w:hint="eastAsia" w:cs="Times New Roman"/>
                      <w:color w:val="auto"/>
                      <w:kern w:val="0"/>
                      <w:sz w:val="21"/>
                      <w:szCs w:val="21"/>
                      <w:lang w:val="en-US" w:eastAsia="zh-CN"/>
                    </w:rPr>
                    <w:t>g/m</w:t>
                  </w:r>
                  <w:r>
                    <w:rPr>
                      <w:rFonts w:hint="default" w:ascii="Times New Roman" w:hAnsi="Times New Roman" w:cs="Times New Roman"/>
                      <w:color w:val="auto"/>
                      <w:kern w:val="0"/>
                      <w:sz w:val="21"/>
                      <w:szCs w:val="21"/>
                      <w:lang w:val="en-US" w:eastAsia="zh-CN"/>
                    </w:rPr>
                    <w:t>³</w:t>
                  </w:r>
                </w:p>
              </w:tc>
              <w:tc>
                <w:tcPr>
                  <w:tcW w:w="1245" w:type="dxa"/>
                  <w:vMerge w:val="continue"/>
                  <w:tcBorders>
                    <w:left w:val="single" w:color="auto" w:sz="4" w:space="0"/>
                    <w:right w:val="single" w:color="auto" w:sz="4" w:space="0"/>
                    <w:tl2br w:val="nil"/>
                    <w:tr2bl w:val="nil"/>
                  </w:tcBorders>
                  <w:noWrap w:val="0"/>
                  <w:vAlign w:val="center"/>
                </w:tcPr>
                <w:p w14:paraId="1DDA4EC3">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c>
                <w:tcPr>
                  <w:tcW w:w="1329" w:type="dxa"/>
                  <w:vMerge w:val="continue"/>
                  <w:tcBorders>
                    <w:left w:val="single" w:color="auto" w:sz="4" w:space="0"/>
                    <w:right w:val="single" w:color="auto" w:sz="4" w:space="0"/>
                    <w:tl2br w:val="nil"/>
                    <w:tr2bl w:val="nil"/>
                  </w:tcBorders>
                  <w:noWrap w:val="0"/>
                  <w:vAlign w:val="center"/>
                </w:tcPr>
                <w:p w14:paraId="5271A3A5">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r>
            <w:tr w14:paraId="369A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A5C954">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eastAsia"/>
                      <w:color w:val="auto"/>
                      <w:kern w:val="0"/>
                      <w:sz w:val="21"/>
                      <w:szCs w:val="21"/>
                    </w:rPr>
                    <w:t>颗粒物</w:t>
                  </w:r>
                </w:p>
              </w:tc>
              <w:tc>
                <w:tcPr>
                  <w:tcW w:w="238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981EBFC">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c>
                <w:tcPr>
                  <w:tcW w:w="17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B87FBE">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default"/>
                      <w:color w:val="auto"/>
                      <w:kern w:val="0"/>
                      <w:sz w:val="21"/>
                      <w:szCs w:val="21"/>
                    </w:rPr>
                    <w:t>1.0</w:t>
                  </w:r>
                </w:p>
              </w:tc>
              <w:tc>
                <w:tcPr>
                  <w:tcW w:w="1245" w:type="dxa"/>
                  <w:vMerge w:val="continue"/>
                  <w:tcBorders>
                    <w:left w:val="single" w:color="auto" w:sz="4" w:space="0"/>
                    <w:right w:val="single" w:color="auto" w:sz="4" w:space="0"/>
                    <w:tl2br w:val="nil"/>
                    <w:tr2bl w:val="nil"/>
                  </w:tcBorders>
                  <w:noWrap w:val="0"/>
                  <w:vAlign w:val="center"/>
                </w:tcPr>
                <w:p w14:paraId="494F440A">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c>
                <w:tcPr>
                  <w:tcW w:w="1329" w:type="dxa"/>
                  <w:vMerge w:val="continue"/>
                  <w:tcBorders>
                    <w:left w:val="single" w:color="auto" w:sz="4" w:space="0"/>
                    <w:right w:val="single" w:color="auto" w:sz="4" w:space="0"/>
                    <w:tl2br w:val="nil"/>
                    <w:tr2bl w:val="nil"/>
                  </w:tcBorders>
                  <w:noWrap w:val="0"/>
                  <w:vAlign w:val="center"/>
                </w:tcPr>
                <w:p w14:paraId="1B18E1D6">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r>
            <w:tr w14:paraId="733E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C77DC1">
                  <w:pPr>
                    <w:keepNext w:val="0"/>
                    <w:keepLines w:val="0"/>
                    <w:suppressLineNumbers w:val="0"/>
                    <w:adjustRightInd w:val="0"/>
                    <w:snapToGrid w:val="0"/>
                    <w:spacing w:before="0" w:beforeAutospacing="0" w:after="0" w:afterAutospacing="0"/>
                    <w:ind w:left="0" w:right="0"/>
                    <w:jc w:val="center"/>
                    <w:rPr>
                      <w:rFonts w:hint="eastAsia"/>
                      <w:color w:val="auto"/>
                      <w:kern w:val="0"/>
                      <w:sz w:val="21"/>
                      <w:szCs w:val="21"/>
                    </w:rPr>
                  </w:pPr>
                  <w:r>
                    <w:rPr>
                      <w:rFonts w:hint="default" w:ascii="Times New Roman" w:cs="Times New Roman"/>
                      <w:color w:val="auto"/>
                      <w:kern w:val="0"/>
                      <w:szCs w:val="21"/>
                    </w:rPr>
                    <w:t>氨</w:t>
                  </w:r>
                </w:p>
              </w:tc>
              <w:tc>
                <w:tcPr>
                  <w:tcW w:w="2385" w:type="dxa"/>
                  <w:vMerge w:val="restart"/>
                  <w:tcBorders>
                    <w:top w:val="single" w:color="auto" w:sz="4" w:space="0"/>
                    <w:left w:val="single" w:color="auto" w:sz="4" w:space="0"/>
                    <w:right w:val="single" w:color="auto" w:sz="4" w:space="0"/>
                    <w:tl2br w:val="nil"/>
                    <w:tr2bl w:val="nil"/>
                  </w:tcBorders>
                  <w:noWrap w:val="0"/>
                  <w:vAlign w:val="center"/>
                </w:tcPr>
                <w:p w14:paraId="5D386874">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ascii="Times New Roman" w:hAnsi="Times New Roman" w:cs="Times New Roman"/>
                      <w:color w:val="auto"/>
                      <w:kern w:val="0"/>
                      <w:szCs w:val="21"/>
                    </w:rPr>
                    <w:t>《恶臭污染物排放标准》（GB1455493）</w:t>
                  </w:r>
                </w:p>
              </w:tc>
              <w:tc>
                <w:tcPr>
                  <w:tcW w:w="17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5E5434">
                  <w:pPr>
                    <w:keepNext w:val="0"/>
                    <w:keepLines w:val="0"/>
                    <w:suppressLineNumbers w:val="0"/>
                    <w:adjustRightInd w:val="0"/>
                    <w:snapToGrid w:val="0"/>
                    <w:spacing w:before="0" w:beforeAutospacing="0" w:after="0" w:afterAutospacing="0"/>
                    <w:ind w:left="0" w:right="0"/>
                    <w:jc w:val="center"/>
                    <w:rPr>
                      <w:rFonts w:hint="default"/>
                      <w:color w:val="auto"/>
                      <w:kern w:val="0"/>
                      <w:sz w:val="21"/>
                      <w:szCs w:val="21"/>
                    </w:rPr>
                  </w:pPr>
                  <w:r>
                    <w:rPr>
                      <w:rFonts w:hint="default" w:ascii="Times New Roman" w:hAnsi="Times New Roman" w:cs="Times New Roman"/>
                      <w:color w:val="auto"/>
                      <w:kern w:val="0"/>
                      <w:szCs w:val="21"/>
                    </w:rPr>
                    <w:t>1.5</w:t>
                  </w:r>
                </w:p>
              </w:tc>
              <w:tc>
                <w:tcPr>
                  <w:tcW w:w="1245" w:type="dxa"/>
                  <w:vMerge w:val="continue"/>
                  <w:tcBorders>
                    <w:left w:val="single" w:color="auto" w:sz="4" w:space="0"/>
                    <w:right w:val="single" w:color="auto" w:sz="4" w:space="0"/>
                    <w:tl2br w:val="nil"/>
                    <w:tr2bl w:val="nil"/>
                  </w:tcBorders>
                  <w:noWrap w:val="0"/>
                  <w:vAlign w:val="center"/>
                </w:tcPr>
                <w:p w14:paraId="4D78784C">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c>
                <w:tcPr>
                  <w:tcW w:w="1329" w:type="dxa"/>
                  <w:vMerge w:val="continue"/>
                  <w:tcBorders>
                    <w:left w:val="single" w:color="auto" w:sz="4" w:space="0"/>
                    <w:right w:val="single" w:color="auto" w:sz="4" w:space="0"/>
                    <w:tl2br w:val="nil"/>
                    <w:tr2bl w:val="nil"/>
                  </w:tcBorders>
                  <w:noWrap w:val="0"/>
                  <w:vAlign w:val="center"/>
                </w:tcPr>
                <w:p w14:paraId="29CBE219">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r>
            <w:tr w14:paraId="3F3B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F18814">
                  <w:pPr>
                    <w:keepNext w:val="0"/>
                    <w:keepLines w:val="0"/>
                    <w:suppressLineNumbers w:val="0"/>
                    <w:adjustRightInd w:val="0"/>
                    <w:snapToGrid w:val="0"/>
                    <w:spacing w:before="0" w:beforeAutospacing="0" w:after="0" w:afterAutospacing="0"/>
                    <w:ind w:left="0" w:right="0"/>
                    <w:jc w:val="center"/>
                    <w:rPr>
                      <w:rFonts w:hint="default" w:eastAsia="宋体"/>
                      <w:color w:val="auto"/>
                      <w:kern w:val="0"/>
                      <w:sz w:val="21"/>
                      <w:szCs w:val="21"/>
                      <w:lang w:val="en-US" w:eastAsia="zh-CN"/>
                    </w:rPr>
                  </w:pPr>
                  <w:r>
                    <w:rPr>
                      <w:rFonts w:hint="eastAsia"/>
                      <w:color w:val="auto"/>
                      <w:kern w:val="0"/>
                      <w:sz w:val="21"/>
                      <w:szCs w:val="21"/>
                      <w:lang w:val="en-US" w:eastAsia="zh-CN"/>
                    </w:rPr>
                    <w:t>臭气浓度</w:t>
                  </w:r>
                </w:p>
              </w:tc>
              <w:tc>
                <w:tcPr>
                  <w:tcW w:w="2385" w:type="dxa"/>
                  <w:vMerge w:val="continue"/>
                  <w:tcBorders>
                    <w:left w:val="single" w:color="auto" w:sz="4" w:space="0"/>
                    <w:bottom w:val="single" w:color="auto" w:sz="4" w:space="0"/>
                    <w:right w:val="single" w:color="auto" w:sz="4" w:space="0"/>
                    <w:tl2br w:val="nil"/>
                    <w:tr2bl w:val="nil"/>
                  </w:tcBorders>
                  <w:noWrap w:val="0"/>
                  <w:vAlign w:val="center"/>
                </w:tcPr>
                <w:p w14:paraId="07D4D18D">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p>
              </w:tc>
              <w:tc>
                <w:tcPr>
                  <w:tcW w:w="17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96742A">
                  <w:pPr>
                    <w:keepNext w:val="0"/>
                    <w:keepLines w:val="0"/>
                    <w:suppressLineNumbers w:val="0"/>
                    <w:adjustRightInd w:val="0"/>
                    <w:snapToGrid w:val="0"/>
                    <w:spacing w:before="0" w:beforeAutospacing="0" w:after="0" w:afterAutospacing="0"/>
                    <w:ind w:left="0" w:right="0"/>
                    <w:jc w:val="center"/>
                    <w:rPr>
                      <w:rFonts w:hint="default"/>
                      <w:color w:val="auto"/>
                      <w:kern w:val="0"/>
                      <w:sz w:val="21"/>
                      <w:szCs w:val="21"/>
                    </w:rPr>
                  </w:pPr>
                  <w:r>
                    <w:rPr>
                      <w:rFonts w:hint="default" w:ascii="Times New Roman" w:hAnsi="Times New Roman" w:cs="Times New Roman"/>
                      <w:color w:val="auto"/>
                      <w:kern w:val="0"/>
                      <w:szCs w:val="21"/>
                    </w:rPr>
                    <w:t>20（无量纲）</w:t>
                  </w:r>
                </w:p>
              </w:tc>
              <w:tc>
                <w:tcPr>
                  <w:tcW w:w="1245" w:type="dxa"/>
                  <w:vMerge w:val="continue"/>
                  <w:tcBorders>
                    <w:left w:val="single" w:color="auto" w:sz="4" w:space="0"/>
                    <w:bottom w:val="single" w:color="auto" w:sz="4" w:space="0"/>
                    <w:right w:val="single" w:color="auto" w:sz="4" w:space="0"/>
                    <w:tl2br w:val="nil"/>
                    <w:tr2bl w:val="nil"/>
                  </w:tcBorders>
                  <w:noWrap w:val="0"/>
                  <w:vAlign w:val="center"/>
                </w:tcPr>
                <w:p w14:paraId="32EFE8B0">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c>
                <w:tcPr>
                  <w:tcW w:w="1329" w:type="dxa"/>
                  <w:vMerge w:val="continue"/>
                  <w:tcBorders>
                    <w:left w:val="single" w:color="auto" w:sz="4" w:space="0"/>
                    <w:bottom w:val="single" w:color="auto" w:sz="4" w:space="0"/>
                    <w:right w:val="single" w:color="auto" w:sz="4" w:space="0"/>
                    <w:tl2br w:val="nil"/>
                    <w:tr2bl w:val="nil"/>
                  </w:tcBorders>
                  <w:noWrap w:val="0"/>
                  <w:vAlign w:val="center"/>
                </w:tcPr>
                <w:p w14:paraId="66CCA4FC">
                  <w:pPr>
                    <w:keepNext w:val="0"/>
                    <w:keepLines w:val="0"/>
                    <w:suppressLineNumbers w:val="0"/>
                    <w:adjustRightInd w:val="0"/>
                    <w:snapToGrid w:val="0"/>
                    <w:spacing w:before="0" w:beforeLines="0" w:beforeAutospacing="0" w:after="0" w:afterLines="0" w:afterAutospacing="0"/>
                    <w:ind w:left="0" w:right="0"/>
                    <w:jc w:val="center"/>
                    <w:rPr>
                      <w:rFonts w:hint="default"/>
                      <w:color w:val="auto"/>
                      <w:sz w:val="21"/>
                      <w:szCs w:val="21"/>
                    </w:rPr>
                  </w:pPr>
                </w:p>
              </w:tc>
            </w:tr>
          </w:tbl>
          <w:p w14:paraId="3FB643FD">
            <w:pPr>
              <w:keepNext w:val="0"/>
              <w:keepLines w:val="0"/>
              <w:suppressLineNumbers w:val="0"/>
              <w:spacing w:before="120" w:beforeLines="50" w:beforeAutospacing="0" w:after="0" w:afterLines="0" w:afterAutospacing="0" w:line="360" w:lineRule="auto"/>
              <w:ind w:left="0" w:right="0" w:firstLine="480" w:firstLineChars="200"/>
              <w:rPr>
                <w:rFonts w:hint="default"/>
                <w:color w:val="auto"/>
                <w:sz w:val="24"/>
                <w:szCs w:val="24"/>
              </w:rPr>
            </w:pPr>
            <w:r>
              <w:rPr>
                <w:rFonts w:hint="eastAsia"/>
                <w:color w:val="auto"/>
                <w:sz w:val="24"/>
                <w:szCs w:val="24"/>
              </w:rPr>
              <w:t>厂内无组织有机废气排放执行《挥发性有机物无组织排放控制标准》（</w:t>
            </w:r>
            <w:r>
              <w:rPr>
                <w:rFonts w:hint="default"/>
                <w:color w:val="auto"/>
                <w:sz w:val="24"/>
                <w:szCs w:val="24"/>
              </w:rPr>
              <w:t>GB37822-2019</w:t>
            </w:r>
            <w:r>
              <w:rPr>
                <w:rFonts w:hint="eastAsia"/>
                <w:color w:val="auto"/>
                <w:sz w:val="24"/>
                <w:szCs w:val="24"/>
              </w:rPr>
              <w:t>）中无组织排放限值中较严值。标准限值详见下表。</w:t>
            </w:r>
          </w:p>
          <w:p w14:paraId="2E89BD8F">
            <w:pPr>
              <w:keepNext w:val="0"/>
              <w:keepLines w:val="0"/>
              <w:suppressLineNumbers w:val="0"/>
              <w:spacing w:before="120" w:beforeLines="50" w:beforeAutospacing="0" w:after="0" w:afterLines="0" w:afterAutospacing="0" w:line="240" w:lineRule="atLeast"/>
              <w:ind w:left="0" w:right="0"/>
              <w:jc w:val="center"/>
              <w:rPr>
                <w:rFonts w:hint="default"/>
                <w:b/>
                <w:color w:val="auto"/>
                <w:sz w:val="21"/>
                <w:szCs w:val="21"/>
              </w:rPr>
            </w:pPr>
            <w:r>
              <w:rPr>
                <w:rFonts w:hint="eastAsia"/>
                <w:b/>
                <w:color w:val="auto"/>
                <w:sz w:val="21"/>
                <w:szCs w:val="21"/>
              </w:rPr>
              <w:t>表</w:t>
            </w:r>
            <w:r>
              <w:rPr>
                <w:rFonts w:hint="default"/>
                <w:b/>
                <w:color w:val="auto"/>
                <w:sz w:val="21"/>
                <w:szCs w:val="21"/>
              </w:rPr>
              <w:t>3-</w:t>
            </w:r>
            <w:r>
              <w:rPr>
                <w:rFonts w:hint="eastAsia"/>
                <w:b/>
                <w:color w:val="auto"/>
                <w:sz w:val="21"/>
                <w:szCs w:val="21"/>
                <w:lang w:val="en-US" w:eastAsia="zh-CN"/>
              </w:rPr>
              <w:t>10</w:t>
            </w:r>
            <w:r>
              <w:rPr>
                <w:rFonts w:hint="default"/>
                <w:b/>
                <w:color w:val="auto"/>
                <w:sz w:val="21"/>
                <w:szCs w:val="21"/>
              </w:rPr>
              <w:t xml:space="preserve">   </w:t>
            </w:r>
            <w:r>
              <w:rPr>
                <w:rFonts w:hint="eastAsia"/>
                <w:b/>
                <w:color w:val="auto"/>
                <w:sz w:val="21"/>
                <w:szCs w:val="21"/>
              </w:rPr>
              <w:t>厂区内挥发性有机物排放标准</w:t>
            </w:r>
            <w:r>
              <w:rPr>
                <w:rFonts w:hint="default"/>
                <w:b/>
                <w:color w:val="auto"/>
                <w:sz w:val="21"/>
                <w:szCs w:val="21"/>
              </w:rPr>
              <w:t xml:space="preserve">   </w:t>
            </w:r>
            <w:r>
              <w:rPr>
                <w:rFonts w:hint="eastAsia"/>
                <w:b/>
                <w:color w:val="auto"/>
                <w:sz w:val="21"/>
                <w:szCs w:val="21"/>
              </w:rPr>
              <w:t>单位：</w:t>
            </w:r>
            <w:r>
              <w:rPr>
                <w:rFonts w:hint="default"/>
                <w:b/>
                <w:color w:val="auto"/>
                <w:sz w:val="21"/>
                <w:szCs w:val="21"/>
              </w:rPr>
              <w:t>mg/m³</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559"/>
              <w:gridCol w:w="2693"/>
              <w:gridCol w:w="2567"/>
            </w:tblGrid>
            <w:tr w14:paraId="3E7F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AB2E0F">
                  <w:pPr>
                    <w:keepNext w:val="0"/>
                    <w:keepLines w:val="0"/>
                    <w:suppressLineNumbers w:val="0"/>
                    <w:adjustRightInd w:val="0"/>
                    <w:snapToGrid w:val="0"/>
                    <w:spacing w:before="0" w:beforeLines="0" w:beforeAutospacing="0" w:after="0" w:afterLines="0" w:afterAutospacing="0"/>
                    <w:ind w:left="0" w:right="0"/>
                    <w:jc w:val="center"/>
                    <w:rPr>
                      <w:rFonts w:hint="default"/>
                      <w:b/>
                      <w:color w:val="auto"/>
                      <w:kern w:val="0"/>
                      <w:sz w:val="21"/>
                      <w:szCs w:val="21"/>
                    </w:rPr>
                  </w:pPr>
                  <w:r>
                    <w:rPr>
                      <w:rFonts w:hint="eastAsia"/>
                      <w:b/>
                      <w:color w:val="auto"/>
                      <w:kern w:val="0"/>
                      <w:sz w:val="21"/>
                      <w:szCs w:val="21"/>
                    </w:rPr>
                    <w:t>污染物</w:t>
                  </w:r>
                </w:p>
              </w:tc>
              <w:tc>
                <w:tcPr>
                  <w:tcW w:w="9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A56F08">
                  <w:pPr>
                    <w:keepNext w:val="0"/>
                    <w:keepLines w:val="0"/>
                    <w:suppressLineNumbers w:val="0"/>
                    <w:adjustRightInd w:val="0"/>
                    <w:snapToGrid w:val="0"/>
                    <w:spacing w:before="0" w:beforeLines="0" w:beforeAutospacing="0" w:after="0" w:afterLines="0" w:afterAutospacing="0"/>
                    <w:ind w:left="0" w:right="0"/>
                    <w:jc w:val="center"/>
                    <w:rPr>
                      <w:rFonts w:hint="default"/>
                      <w:b/>
                      <w:color w:val="auto"/>
                      <w:kern w:val="0"/>
                      <w:sz w:val="21"/>
                      <w:szCs w:val="21"/>
                    </w:rPr>
                  </w:pPr>
                  <w:r>
                    <w:rPr>
                      <w:rFonts w:hint="eastAsia"/>
                      <w:b/>
                      <w:color w:val="auto"/>
                      <w:kern w:val="0"/>
                      <w:sz w:val="21"/>
                      <w:szCs w:val="21"/>
                    </w:rPr>
                    <w:t>排放限值</w:t>
                  </w:r>
                </w:p>
              </w:tc>
              <w:tc>
                <w:tcPr>
                  <w:tcW w:w="169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CDFDE1">
                  <w:pPr>
                    <w:keepNext w:val="0"/>
                    <w:keepLines w:val="0"/>
                    <w:suppressLineNumbers w:val="0"/>
                    <w:adjustRightInd w:val="0"/>
                    <w:snapToGrid w:val="0"/>
                    <w:spacing w:before="0" w:beforeLines="0" w:beforeAutospacing="0" w:after="0" w:afterLines="0" w:afterAutospacing="0"/>
                    <w:ind w:left="0" w:right="0"/>
                    <w:jc w:val="center"/>
                    <w:rPr>
                      <w:rFonts w:hint="default"/>
                      <w:b/>
                      <w:color w:val="auto"/>
                      <w:kern w:val="0"/>
                      <w:sz w:val="21"/>
                      <w:szCs w:val="21"/>
                    </w:rPr>
                  </w:pPr>
                  <w:r>
                    <w:rPr>
                      <w:rFonts w:hint="eastAsia"/>
                      <w:b/>
                      <w:color w:val="auto"/>
                      <w:kern w:val="0"/>
                      <w:sz w:val="21"/>
                      <w:szCs w:val="21"/>
                    </w:rPr>
                    <w:t>限值含义</w:t>
                  </w:r>
                </w:p>
              </w:tc>
              <w:tc>
                <w:tcPr>
                  <w:tcW w:w="16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AE54D0">
                  <w:pPr>
                    <w:keepNext w:val="0"/>
                    <w:keepLines w:val="0"/>
                    <w:suppressLineNumbers w:val="0"/>
                    <w:adjustRightInd w:val="0"/>
                    <w:snapToGrid w:val="0"/>
                    <w:spacing w:before="0" w:beforeLines="0" w:beforeAutospacing="0" w:after="0" w:afterLines="0" w:afterAutospacing="0"/>
                    <w:ind w:left="0" w:right="0"/>
                    <w:jc w:val="center"/>
                    <w:rPr>
                      <w:rFonts w:hint="default"/>
                      <w:b/>
                      <w:color w:val="auto"/>
                      <w:kern w:val="0"/>
                      <w:sz w:val="21"/>
                      <w:szCs w:val="21"/>
                    </w:rPr>
                  </w:pPr>
                  <w:r>
                    <w:rPr>
                      <w:rFonts w:hint="eastAsia"/>
                      <w:b/>
                      <w:color w:val="auto"/>
                      <w:kern w:val="0"/>
                      <w:sz w:val="21"/>
                      <w:szCs w:val="21"/>
                    </w:rPr>
                    <w:t>无组织排放监控位置</w:t>
                  </w:r>
                </w:p>
              </w:tc>
            </w:tr>
            <w:tr w14:paraId="2865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FACC528">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default"/>
                      <w:color w:val="auto"/>
                      <w:kern w:val="0"/>
                      <w:sz w:val="21"/>
                      <w:szCs w:val="21"/>
                    </w:rPr>
                    <w:t>NMHC</w:t>
                  </w:r>
                </w:p>
              </w:tc>
              <w:tc>
                <w:tcPr>
                  <w:tcW w:w="9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9207EF">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default"/>
                      <w:color w:val="auto"/>
                      <w:kern w:val="0"/>
                      <w:sz w:val="21"/>
                      <w:szCs w:val="21"/>
                    </w:rPr>
                    <w:t>10</w:t>
                  </w:r>
                </w:p>
              </w:tc>
              <w:tc>
                <w:tcPr>
                  <w:tcW w:w="169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A0E56B">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eastAsia"/>
                      <w:color w:val="auto"/>
                      <w:kern w:val="0"/>
                      <w:sz w:val="21"/>
                      <w:szCs w:val="21"/>
                    </w:rPr>
                    <w:t>监控点处</w:t>
                  </w:r>
                  <w:r>
                    <w:rPr>
                      <w:rFonts w:hint="default"/>
                      <w:color w:val="auto"/>
                      <w:kern w:val="0"/>
                      <w:sz w:val="21"/>
                      <w:szCs w:val="21"/>
                    </w:rPr>
                    <w:t>1h</w:t>
                  </w:r>
                  <w:r>
                    <w:rPr>
                      <w:rFonts w:hint="eastAsia"/>
                      <w:color w:val="auto"/>
                      <w:kern w:val="0"/>
                      <w:sz w:val="21"/>
                      <w:szCs w:val="21"/>
                    </w:rPr>
                    <w:t>平均浓度值</w:t>
                  </w:r>
                </w:p>
              </w:tc>
              <w:tc>
                <w:tcPr>
                  <w:tcW w:w="161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210D660">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eastAsia"/>
                      <w:color w:val="auto"/>
                      <w:kern w:val="0"/>
                      <w:sz w:val="21"/>
                      <w:szCs w:val="21"/>
                    </w:rPr>
                    <w:t>在厂房外设置监控点</w:t>
                  </w:r>
                </w:p>
              </w:tc>
            </w:tr>
            <w:tr w14:paraId="188D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7A24C95">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p>
              </w:tc>
              <w:tc>
                <w:tcPr>
                  <w:tcW w:w="9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7184D3">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default"/>
                      <w:color w:val="auto"/>
                      <w:kern w:val="0"/>
                      <w:sz w:val="21"/>
                      <w:szCs w:val="21"/>
                    </w:rPr>
                    <w:t>30</w:t>
                  </w:r>
                </w:p>
              </w:tc>
              <w:tc>
                <w:tcPr>
                  <w:tcW w:w="169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792704">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r>
                    <w:rPr>
                      <w:rFonts w:hint="eastAsia"/>
                      <w:color w:val="auto"/>
                      <w:kern w:val="0"/>
                      <w:sz w:val="21"/>
                      <w:szCs w:val="21"/>
                    </w:rPr>
                    <w:t>监控点处任意一次浓度值</w:t>
                  </w:r>
                </w:p>
              </w:tc>
              <w:tc>
                <w:tcPr>
                  <w:tcW w:w="161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2BC298A">
                  <w:pPr>
                    <w:keepNext w:val="0"/>
                    <w:keepLines w:val="0"/>
                    <w:suppressLineNumbers w:val="0"/>
                    <w:adjustRightInd w:val="0"/>
                    <w:snapToGrid w:val="0"/>
                    <w:spacing w:before="0" w:beforeLines="0" w:beforeAutospacing="0" w:after="0" w:afterLines="0" w:afterAutospacing="0"/>
                    <w:ind w:left="0" w:right="0"/>
                    <w:jc w:val="center"/>
                    <w:rPr>
                      <w:rFonts w:hint="default"/>
                      <w:color w:val="auto"/>
                      <w:kern w:val="0"/>
                      <w:sz w:val="21"/>
                      <w:szCs w:val="21"/>
                    </w:rPr>
                  </w:pPr>
                </w:p>
              </w:tc>
            </w:tr>
            <w:bookmarkEnd w:id="11"/>
          </w:tbl>
          <w:p w14:paraId="009C956A">
            <w:pPr>
              <w:keepNext w:val="0"/>
              <w:keepLines w:val="0"/>
              <w:widowControl w:val="0"/>
              <w:suppressLineNumbers w:val="0"/>
              <w:spacing w:before="120" w:beforeLines="50" w:beforeAutospacing="0" w:after="0" w:afterAutospacing="0" w:line="360" w:lineRule="auto"/>
              <w:ind w:left="0" w:right="0" w:firstLine="482" w:firstLineChars="200"/>
              <w:jc w:val="both"/>
              <w:rPr>
                <w:rFonts w:hint="default"/>
                <w:b/>
                <w:bCs w:val="0"/>
                <w:color w:val="auto"/>
                <w:sz w:val="24"/>
                <w:szCs w:val="24"/>
                <w:lang w:val="en-US"/>
              </w:rPr>
            </w:pPr>
            <w:r>
              <w:rPr>
                <w:rFonts w:hint="eastAsia" w:ascii="Times New Roman" w:hAnsi="Times New Roman" w:eastAsia="宋体" w:cs="宋体"/>
                <w:b/>
                <w:bCs w:val="0"/>
                <w:color w:val="auto"/>
                <w:kern w:val="2"/>
                <w:sz w:val="24"/>
                <w:szCs w:val="24"/>
                <w:lang w:val="en-US" w:eastAsia="zh-CN" w:bidi="ar"/>
              </w:rPr>
              <w:t>（</w:t>
            </w:r>
            <w:r>
              <w:rPr>
                <w:rFonts w:hint="eastAsia" w:ascii="Times New Roman" w:hAnsi="Times New Roman" w:eastAsia="宋体" w:cs="Times New Roman"/>
                <w:b/>
                <w:bCs w:val="0"/>
                <w:color w:val="auto"/>
                <w:kern w:val="2"/>
                <w:sz w:val="24"/>
                <w:szCs w:val="24"/>
                <w:lang w:val="en-US" w:eastAsia="zh-CN" w:bidi="ar"/>
              </w:rPr>
              <w:t>2</w:t>
            </w:r>
            <w:r>
              <w:rPr>
                <w:rFonts w:hint="eastAsia" w:ascii="Times New Roman" w:hAnsi="Times New Roman" w:eastAsia="宋体" w:cs="宋体"/>
                <w:b/>
                <w:bCs w:val="0"/>
                <w:color w:val="auto"/>
                <w:kern w:val="2"/>
                <w:sz w:val="24"/>
                <w:szCs w:val="24"/>
                <w:lang w:val="en-US" w:eastAsia="zh-CN" w:bidi="ar"/>
              </w:rPr>
              <w:t>）废水排放标准</w:t>
            </w:r>
          </w:p>
          <w:p w14:paraId="33A3051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本项目废水执行《污水排入城镇下水道水质标准》（GB/T31962-2015）表1中A等级标准。标准限值详见表3-</w:t>
            </w:r>
            <w:r>
              <w:rPr>
                <w:rFonts w:hint="eastAsia"/>
                <w:color w:val="auto"/>
                <w:sz w:val="24"/>
                <w:lang w:val="en-US" w:eastAsia="zh-CN"/>
              </w:rPr>
              <w:t>11</w:t>
            </w:r>
            <w:r>
              <w:rPr>
                <w:rFonts w:hint="default"/>
                <w:color w:val="auto"/>
                <w:sz w:val="24"/>
              </w:rPr>
              <w:t>。</w:t>
            </w:r>
          </w:p>
          <w:p w14:paraId="283C8DEA">
            <w:pPr>
              <w:keepNext w:val="0"/>
              <w:keepLines w:val="0"/>
              <w:suppressLineNumbers w:val="0"/>
              <w:wordWrap w:val="0"/>
              <w:spacing w:before="0" w:beforeAutospacing="0" w:after="0" w:afterAutospacing="0"/>
              <w:ind w:left="0" w:right="0"/>
              <w:jc w:val="center"/>
              <w:rPr>
                <w:rFonts w:hint="default"/>
                <w:b/>
                <w:color w:val="auto"/>
                <w:szCs w:val="21"/>
              </w:rPr>
            </w:pPr>
            <w:r>
              <w:rPr>
                <w:rFonts w:hint="default"/>
                <w:b/>
                <w:color w:val="auto"/>
                <w:szCs w:val="21"/>
              </w:rPr>
              <w:t>表3-</w:t>
            </w:r>
            <w:r>
              <w:rPr>
                <w:rFonts w:hint="eastAsia"/>
                <w:b/>
                <w:color w:val="auto"/>
                <w:szCs w:val="21"/>
                <w:lang w:val="en-US" w:eastAsia="zh-CN"/>
              </w:rPr>
              <w:t>11</w:t>
            </w:r>
            <w:r>
              <w:rPr>
                <w:rFonts w:hint="default"/>
                <w:b/>
                <w:color w:val="auto"/>
                <w:szCs w:val="21"/>
              </w:rPr>
              <w:t xml:space="preserve">  《污水排入城镇下水道水质标准》A级标准   单位：mg/L</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1991"/>
              <w:gridCol w:w="1991"/>
              <w:gridCol w:w="1991"/>
            </w:tblGrid>
            <w:tr w14:paraId="73A7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26D2D42">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1250" w:type="pct"/>
                  <w:vAlign w:val="center"/>
                </w:tcPr>
                <w:p w14:paraId="01B92FDB">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控制项目名称</w:t>
                  </w:r>
                </w:p>
              </w:tc>
              <w:tc>
                <w:tcPr>
                  <w:tcW w:w="1250" w:type="pct"/>
                  <w:vAlign w:val="center"/>
                </w:tcPr>
                <w:p w14:paraId="2E51558E">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1250" w:type="pct"/>
                  <w:vAlign w:val="center"/>
                </w:tcPr>
                <w:p w14:paraId="198B7B7C">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A级</w:t>
                  </w:r>
                </w:p>
              </w:tc>
            </w:tr>
            <w:tr w14:paraId="6CE4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EF85A3D">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250" w:type="pct"/>
                  <w:vAlign w:val="center"/>
                </w:tcPr>
                <w:p w14:paraId="085A1CDE">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w:t>
                  </w:r>
                </w:p>
              </w:tc>
              <w:tc>
                <w:tcPr>
                  <w:tcW w:w="1250" w:type="pct"/>
                  <w:vAlign w:val="center"/>
                </w:tcPr>
                <w:p w14:paraId="20CAC77B">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250" w:type="pct"/>
                  <w:vAlign w:val="center"/>
                </w:tcPr>
                <w:p w14:paraId="252AA70A">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6.5~9.5</w:t>
                  </w:r>
                </w:p>
              </w:tc>
            </w:tr>
            <w:tr w14:paraId="5E65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5B1FC295">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250" w:type="pct"/>
                  <w:vAlign w:val="center"/>
                </w:tcPr>
                <w:p w14:paraId="4787028A">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水温</w:t>
                  </w:r>
                </w:p>
              </w:tc>
              <w:tc>
                <w:tcPr>
                  <w:tcW w:w="1250" w:type="pct"/>
                  <w:vAlign w:val="center"/>
                </w:tcPr>
                <w:p w14:paraId="079A9E8D">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250" w:type="pct"/>
                  <w:vAlign w:val="center"/>
                </w:tcPr>
                <w:p w14:paraId="67C9C95B">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w:t>
                  </w:r>
                </w:p>
              </w:tc>
            </w:tr>
            <w:tr w14:paraId="2E95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349AC28">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1250" w:type="pct"/>
                  <w:vAlign w:val="center"/>
                </w:tcPr>
                <w:p w14:paraId="292221D2">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色度</w:t>
                  </w:r>
                </w:p>
              </w:tc>
              <w:tc>
                <w:tcPr>
                  <w:tcW w:w="1250" w:type="pct"/>
                  <w:vAlign w:val="center"/>
                </w:tcPr>
                <w:p w14:paraId="61820AE4">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倍</w:t>
                  </w:r>
                </w:p>
              </w:tc>
              <w:tc>
                <w:tcPr>
                  <w:tcW w:w="1250" w:type="pct"/>
                  <w:vAlign w:val="center"/>
                </w:tcPr>
                <w:p w14:paraId="413BB0C3">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64</w:t>
                  </w:r>
                </w:p>
              </w:tc>
            </w:tr>
            <w:tr w14:paraId="4648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04490908">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1250" w:type="pct"/>
                  <w:vAlign w:val="center"/>
                </w:tcPr>
                <w:p w14:paraId="044F93A6">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悬浮物</w:t>
                  </w:r>
                </w:p>
              </w:tc>
              <w:tc>
                <w:tcPr>
                  <w:tcW w:w="1250" w:type="pct"/>
                  <w:vAlign w:val="center"/>
                </w:tcPr>
                <w:p w14:paraId="40C4EAE3">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1250" w:type="pct"/>
                  <w:vAlign w:val="center"/>
                </w:tcPr>
                <w:p w14:paraId="67DAA837">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400</w:t>
                  </w:r>
                </w:p>
              </w:tc>
            </w:tr>
            <w:tr w14:paraId="7E8D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5D4698C7">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1250" w:type="pct"/>
                  <w:vAlign w:val="center"/>
                </w:tcPr>
                <w:p w14:paraId="37F3DE10">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BOD</w:t>
                  </w:r>
                  <w:r>
                    <w:rPr>
                      <w:rFonts w:hint="default" w:ascii="Times New Roman" w:hAnsi="Times New Roman" w:eastAsia="宋体" w:cs="Times New Roman"/>
                      <w:color w:val="auto"/>
                      <w:kern w:val="0"/>
                      <w:sz w:val="21"/>
                      <w:szCs w:val="21"/>
                      <w:vertAlign w:val="subscript"/>
                    </w:rPr>
                    <w:t>5</w:t>
                  </w:r>
                </w:p>
              </w:tc>
              <w:tc>
                <w:tcPr>
                  <w:tcW w:w="1250" w:type="pct"/>
                  <w:vAlign w:val="center"/>
                </w:tcPr>
                <w:p w14:paraId="1B6F92B0">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1250" w:type="pct"/>
                  <w:vAlign w:val="center"/>
                </w:tcPr>
                <w:p w14:paraId="11DC0ADA">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350</w:t>
                  </w:r>
                </w:p>
              </w:tc>
            </w:tr>
            <w:tr w14:paraId="6E2F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58222F1C">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1250" w:type="pct"/>
                  <w:vAlign w:val="center"/>
                </w:tcPr>
                <w:p w14:paraId="187D150D">
                  <w:pPr>
                    <w:keepNext w:val="0"/>
                    <w:keepLines w:val="0"/>
                    <w:suppressLineNumbers w:val="0"/>
                    <w:adjustRightInd w:val="0"/>
                    <w:snapToGrid w:val="0"/>
                    <w:spacing w:before="0" w:beforeLines="0" w:beforeAutospacing="0" w:after="0" w:afterLines="0" w:afterAutospacing="0"/>
                    <w:ind w:left="0" w:right="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COD</w:t>
                  </w:r>
                  <w:r>
                    <w:rPr>
                      <w:rFonts w:hint="eastAsia" w:cs="Times New Roman"/>
                      <w:color w:val="auto"/>
                      <w:kern w:val="0"/>
                      <w:sz w:val="21"/>
                      <w:szCs w:val="21"/>
                      <w:lang w:val="en-US" w:eastAsia="zh-CN"/>
                    </w:rPr>
                    <w:t>cr</w:t>
                  </w:r>
                </w:p>
              </w:tc>
              <w:tc>
                <w:tcPr>
                  <w:tcW w:w="1250" w:type="pct"/>
                  <w:vAlign w:val="center"/>
                </w:tcPr>
                <w:p w14:paraId="20F11AEC">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1250" w:type="pct"/>
                  <w:vAlign w:val="center"/>
                </w:tcPr>
                <w:p w14:paraId="66B27C0F">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500</w:t>
                  </w:r>
                </w:p>
              </w:tc>
            </w:tr>
            <w:tr w14:paraId="166C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515F4296">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1250" w:type="pct"/>
                  <w:vAlign w:val="center"/>
                </w:tcPr>
                <w:p w14:paraId="16C551CA">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氨氮</w:t>
                  </w:r>
                </w:p>
              </w:tc>
              <w:tc>
                <w:tcPr>
                  <w:tcW w:w="1250" w:type="pct"/>
                  <w:vAlign w:val="center"/>
                </w:tcPr>
                <w:p w14:paraId="2A399A52">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1250" w:type="pct"/>
                  <w:vAlign w:val="center"/>
                </w:tcPr>
                <w:p w14:paraId="5A6FC3C4">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45</w:t>
                  </w:r>
                </w:p>
              </w:tc>
            </w:tr>
            <w:tr w14:paraId="3FF0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3A8628AD">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1250" w:type="pct"/>
                  <w:vAlign w:val="center"/>
                </w:tcPr>
                <w:p w14:paraId="0E8F3719">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总磷</w:t>
                  </w:r>
                </w:p>
              </w:tc>
              <w:tc>
                <w:tcPr>
                  <w:tcW w:w="1250" w:type="pct"/>
                  <w:vAlign w:val="center"/>
                </w:tcPr>
                <w:p w14:paraId="4088A406">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1250" w:type="pct"/>
                  <w:vAlign w:val="center"/>
                </w:tcPr>
                <w:p w14:paraId="0BD31D09">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r>
          </w:tbl>
          <w:p w14:paraId="4D07E719">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bCs/>
                <w:color w:val="auto"/>
                <w:kern w:val="0"/>
                <w:sz w:val="24"/>
                <w:lang w:val="en-US" w:eastAsia="zh-CN"/>
              </w:rPr>
            </w:pPr>
            <w:r>
              <w:rPr>
                <w:rFonts w:hint="eastAsia" w:eastAsiaTheme="minorEastAsia"/>
                <w:b/>
                <w:bCs/>
                <w:color w:val="auto"/>
                <w:kern w:val="0"/>
                <w:sz w:val="24"/>
                <w:lang w:eastAsia="zh-CN"/>
              </w:rPr>
              <w:t>（</w:t>
            </w:r>
            <w:r>
              <w:rPr>
                <w:rFonts w:hint="eastAsia" w:eastAsiaTheme="minorEastAsia"/>
                <w:b/>
                <w:bCs/>
                <w:color w:val="auto"/>
                <w:kern w:val="0"/>
                <w:sz w:val="24"/>
                <w:lang w:val="en-US" w:eastAsia="zh-CN"/>
              </w:rPr>
              <w:t>3</w:t>
            </w:r>
            <w:r>
              <w:rPr>
                <w:rFonts w:hint="eastAsia" w:eastAsiaTheme="minorEastAsia"/>
                <w:b/>
                <w:bCs/>
                <w:color w:val="auto"/>
                <w:kern w:val="0"/>
                <w:sz w:val="24"/>
                <w:lang w:eastAsia="zh-CN"/>
              </w:rPr>
              <w:t>）</w:t>
            </w:r>
            <w:r>
              <w:rPr>
                <w:rFonts w:hint="eastAsia" w:eastAsiaTheme="minorEastAsia"/>
                <w:b/>
                <w:bCs/>
                <w:color w:val="auto"/>
                <w:kern w:val="0"/>
                <w:sz w:val="24"/>
                <w:lang w:val="en-US" w:eastAsia="zh-CN"/>
              </w:rPr>
              <w:t>噪声排放标准</w:t>
            </w:r>
          </w:p>
          <w:p w14:paraId="6FB63ACB">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运营期项目厂界噪声执行《工业企业厂界环境噪声排放标准》（GB12348-2008）2类标准，标准限值见表3-1</w:t>
            </w:r>
            <w:r>
              <w:rPr>
                <w:rFonts w:hint="eastAsia" w:eastAsiaTheme="minorEastAsia"/>
                <w:color w:val="auto"/>
                <w:kern w:val="0"/>
                <w:sz w:val="24"/>
                <w:lang w:val="en-US" w:eastAsia="zh-CN"/>
              </w:rPr>
              <w:t>2</w:t>
            </w:r>
            <w:r>
              <w:rPr>
                <w:rFonts w:hint="default" w:eastAsiaTheme="minorEastAsia"/>
                <w:color w:val="auto"/>
                <w:kern w:val="0"/>
                <w:sz w:val="24"/>
              </w:rPr>
              <w:t>。</w:t>
            </w:r>
          </w:p>
          <w:p w14:paraId="4C284252">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b/>
                <w:color w:val="auto"/>
                <w:kern w:val="0"/>
                <w:szCs w:val="21"/>
              </w:rPr>
              <w:t>表3-1</w:t>
            </w:r>
            <w:r>
              <w:rPr>
                <w:rFonts w:hint="eastAsia"/>
                <w:b/>
                <w:color w:val="auto"/>
                <w:kern w:val="0"/>
                <w:szCs w:val="21"/>
                <w:lang w:val="en-US" w:eastAsia="zh-CN"/>
              </w:rPr>
              <w:t>2</w:t>
            </w:r>
            <w:r>
              <w:rPr>
                <w:rFonts w:hint="default"/>
                <w:b/>
                <w:color w:val="auto"/>
                <w:kern w:val="0"/>
                <w:szCs w:val="21"/>
              </w:rPr>
              <w:t xml:space="preserve">   工业企业厂界环境噪声排放限值单位：dB(A)</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7"/>
              <w:gridCol w:w="2297"/>
              <w:gridCol w:w="1467"/>
              <w:gridCol w:w="1903"/>
            </w:tblGrid>
            <w:tr w14:paraId="78B7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442" w:type="pct"/>
                  <w:vMerge w:val="restart"/>
                  <w:tcBorders>
                    <w:top w:val="single" w:color="auto" w:sz="4" w:space="0"/>
                    <w:left w:val="single" w:color="auto" w:sz="4" w:space="0"/>
                    <w:bottom w:val="single" w:color="auto" w:sz="4" w:space="0"/>
                    <w:right w:val="single" w:color="auto" w:sz="4" w:space="0"/>
                  </w:tcBorders>
                  <w:vAlign w:val="center"/>
                </w:tcPr>
                <w:p w14:paraId="37446698">
                  <w:pPr>
                    <w:keepNext w:val="0"/>
                    <w:keepLines w:val="0"/>
                    <w:suppressLineNumbers w:val="0"/>
                    <w:spacing w:before="0" w:beforeAutospacing="0" w:after="0" w:afterAutospacing="0"/>
                    <w:ind w:left="0" w:right="0"/>
                    <w:jc w:val="center"/>
                    <w:rPr>
                      <w:rFonts w:hint="default"/>
                      <w:b/>
                      <w:bCs/>
                      <w:color w:val="auto"/>
                      <w:sz w:val="21"/>
                      <w:szCs w:val="21"/>
                    </w:rPr>
                  </w:pPr>
                  <w:r>
                    <w:rPr>
                      <w:rFonts w:hint="default"/>
                      <w:b/>
                      <w:bCs/>
                      <w:color w:val="auto"/>
                      <w:sz w:val="21"/>
                      <w:szCs w:val="21"/>
                    </w:rPr>
                    <w:t>厂界</w:t>
                  </w:r>
                </w:p>
              </w:tc>
              <w:tc>
                <w:tcPr>
                  <w:tcW w:w="1442" w:type="pct"/>
                  <w:vMerge w:val="restart"/>
                  <w:tcBorders>
                    <w:top w:val="single" w:color="auto" w:sz="4" w:space="0"/>
                    <w:left w:val="single" w:color="auto" w:sz="4" w:space="0"/>
                    <w:bottom w:val="single" w:color="auto" w:sz="4" w:space="0"/>
                    <w:right w:val="single" w:color="auto" w:sz="4" w:space="0"/>
                  </w:tcBorders>
                  <w:vAlign w:val="center"/>
                </w:tcPr>
                <w:p w14:paraId="320D597C">
                  <w:pPr>
                    <w:keepNext w:val="0"/>
                    <w:keepLines w:val="0"/>
                    <w:suppressLineNumbers w:val="0"/>
                    <w:spacing w:before="0" w:beforeAutospacing="0" w:after="0" w:afterAutospacing="0"/>
                    <w:ind w:left="0" w:right="0"/>
                    <w:jc w:val="center"/>
                    <w:rPr>
                      <w:rFonts w:hint="default"/>
                      <w:b/>
                      <w:bCs/>
                      <w:color w:val="auto"/>
                      <w:sz w:val="21"/>
                      <w:szCs w:val="21"/>
                    </w:rPr>
                  </w:pPr>
                  <w:r>
                    <w:rPr>
                      <w:rFonts w:hint="default"/>
                      <w:b/>
                      <w:bCs/>
                      <w:color w:val="auto"/>
                      <w:sz w:val="21"/>
                      <w:szCs w:val="21"/>
                    </w:rPr>
                    <w:t>声环境功能区类别</w:t>
                  </w:r>
                </w:p>
              </w:tc>
              <w:tc>
                <w:tcPr>
                  <w:tcW w:w="2115" w:type="pct"/>
                  <w:gridSpan w:val="2"/>
                  <w:tcBorders>
                    <w:top w:val="single" w:color="auto" w:sz="4" w:space="0"/>
                    <w:left w:val="single" w:color="auto" w:sz="4" w:space="0"/>
                    <w:bottom w:val="single" w:color="auto" w:sz="4" w:space="0"/>
                    <w:right w:val="single" w:color="auto" w:sz="4" w:space="0"/>
                  </w:tcBorders>
                  <w:vAlign w:val="center"/>
                </w:tcPr>
                <w:p w14:paraId="2D8C3490">
                  <w:pPr>
                    <w:keepNext w:val="0"/>
                    <w:keepLines w:val="0"/>
                    <w:suppressLineNumbers w:val="0"/>
                    <w:spacing w:before="0" w:beforeAutospacing="0" w:after="0" w:afterAutospacing="0"/>
                    <w:ind w:left="0" w:right="0"/>
                    <w:jc w:val="center"/>
                    <w:rPr>
                      <w:rFonts w:hint="default"/>
                      <w:b/>
                      <w:bCs/>
                      <w:color w:val="auto"/>
                      <w:sz w:val="21"/>
                      <w:szCs w:val="21"/>
                    </w:rPr>
                  </w:pPr>
                  <w:r>
                    <w:rPr>
                      <w:rFonts w:hint="default"/>
                      <w:b/>
                      <w:bCs/>
                      <w:color w:val="auto"/>
                      <w:sz w:val="21"/>
                      <w:szCs w:val="21"/>
                    </w:rPr>
                    <w:t>时段</w:t>
                  </w:r>
                </w:p>
              </w:tc>
            </w:tr>
            <w:tr w14:paraId="4C33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42" w:type="pct"/>
                  <w:vMerge w:val="continue"/>
                  <w:tcBorders>
                    <w:top w:val="single" w:color="auto" w:sz="4" w:space="0"/>
                    <w:left w:val="single" w:color="auto" w:sz="4" w:space="0"/>
                    <w:bottom w:val="single" w:color="auto" w:sz="4" w:space="0"/>
                    <w:right w:val="single" w:color="auto" w:sz="4" w:space="0"/>
                  </w:tcBorders>
                  <w:vAlign w:val="center"/>
                </w:tcPr>
                <w:p w14:paraId="3BC63E12">
                  <w:pPr>
                    <w:keepNext w:val="0"/>
                    <w:keepLines w:val="0"/>
                    <w:widowControl/>
                    <w:suppressLineNumbers w:val="0"/>
                    <w:spacing w:before="0" w:beforeAutospacing="0" w:after="0" w:afterAutospacing="0"/>
                    <w:ind w:left="0" w:right="0"/>
                    <w:jc w:val="left"/>
                    <w:rPr>
                      <w:rFonts w:hint="default"/>
                      <w:b/>
                      <w:bCs/>
                      <w:color w:val="auto"/>
                      <w:sz w:val="21"/>
                      <w:szCs w:val="21"/>
                    </w:rPr>
                  </w:pPr>
                </w:p>
              </w:tc>
              <w:tc>
                <w:tcPr>
                  <w:tcW w:w="1442" w:type="pct"/>
                  <w:vMerge w:val="continue"/>
                  <w:tcBorders>
                    <w:top w:val="single" w:color="auto" w:sz="4" w:space="0"/>
                    <w:left w:val="single" w:color="auto" w:sz="4" w:space="0"/>
                    <w:bottom w:val="single" w:color="auto" w:sz="4" w:space="0"/>
                    <w:right w:val="single" w:color="auto" w:sz="4" w:space="0"/>
                  </w:tcBorders>
                  <w:vAlign w:val="center"/>
                </w:tcPr>
                <w:p w14:paraId="133ABC42">
                  <w:pPr>
                    <w:keepNext w:val="0"/>
                    <w:keepLines w:val="0"/>
                    <w:widowControl/>
                    <w:suppressLineNumbers w:val="0"/>
                    <w:spacing w:before="0" w:beforeAutospacing="0" w:after="0" w:afterAutospacing="0"/>
                    <w:ind w:left="0" w:right="0"/>
                    <w:jc w:val="left"/>
                    <w:rPr>
                      <w:rFonts w:hint="default"/>
                      <w:b/>
                      <w:bCs/>
                      <w:color w:val="auto"/>
                      <w:sz w:val="21"/>
                      <w:szCs w:val="21"/>
                    </w:rPr>
                  </w:pPr>
                </w:p>
              </w:tc>
              <w:tc>
                <w:tcPr>
                  <w:tcW w:w="921" w:type="pct"/>
                  <w:tcBorders>
                    <w:top w:val="single" w:color="auto" w:sz="4" w:space="0"/>
                    <w:left w:val="single" w:color="auto" w:sz="4" w:space="0"/>
                    <w:bottom w:val="single" w:color="auto" w:sz="4" w:space="0"/>
                    <w:right w:val="single" w:color="auto" w:sz="4" w:space="0"/>
                  </w:tcBorders>
                  <w:vAlign w:val="center"/>
                </w:tcPr>
                <w:p w14:paraId="7AA188C7">
                  <w:pPr>
                    <w:keepNext w:val="0"/>
                    <w:keepLines w:val="0"/>
                    <w:suppressLineNumbers w:val="0"/>
                    <w:spacing w:before="0" w:beforeAutospacing="0" w:after="0" w:afterAutospacing="0"/>
                    <w:ind w:left="0" w:right="0"/>
                    <w:jc w:val="center"/>
                    <w:rPr>
                      <w:rFonts w:hint="default"/>
                      <w:b/>
                      <w:bCs/>
                      <w:color w:val="auto"/>
                      <w:sz w:val="21"/>
                      <w:szCs w:val="21"/>
                    </w:rPr>
                  </w:pPr>
                  <w:r>
                    <w:rPr>
                      <w:rFonts w:hint="default"/>
                      <w:b/>
                      <w:bCs/>
                      <w:color w:val="auto"/>
                      <w:sz w:val="21"/>
                      <w:szCs w:val="21"/>
                    </w:rPr>
                    <w:t>昼间</w:t>
                  </w:r>
                </w:p>
              </w:tc>
              <w:tc>
                <w:tcPr>
                  <w:tcW w:w="1194" w:type="pct"/>
                  <w:tcBorders>
                    <w:top w:val="single" w:color="auto" w:sz="4" w:space="0"/>
                    <w:left w:val="single" w:color="auto" w:sz="4" w:space="0"/>
                    <w:bottom w:val="single" w:color="auto" w:sz="4" w:space="0"/>
                    <w:right w:val="single" w:color="auto" w:sz="4" w:space="0"/>
                  </w:tcBorders>
                  <w:vAlign w:val="center"/>
                </w:tcPr>
                <w:p w14:paraId="4B1008D8">
                  <w:pPr>
                    <w:keepNext w:val="0"/>
                    <w:keepLines w:val="0"/>
                    <w:suppressLineNumbers w:val="0"/>
                    <w:spacing w:before="0" w:beforeAutospacing="0" w:after="0" w:afterAutospacing="0"/>
                    <w:ind w:left="0" w:right="0"/>
                    <w:jc w:val="center"/>
                    <w:rPr>
                      <w:rFonts w:hint="default"/>
                      <w:b/>
                      <w:bCs/>
                      <w:color w:val="auto"/>
                      <w:sz w:val="21"/>
                      <w:szCs w:val="21"/>
                    </w:rPr>
                  </w:pPr>
                  <w:r>
                    <w:rPr>
                      <w:rFonts w:hint="default"/>
                      <w:b/>
                      <w:bCs/>
                      <w:color w:val="auto"/>
                      <w:sz w:val="21"/>
                      <w:szCs w:val="21"/>
                    </w:rPr>
                    <w:t>夜间</w:t>
                  </w:r>
                </w:p>
              </w:tc>
            </w:tr>
            <w:tr w14:paraId="5947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14:paraId="21F5A937">
                  <w:pPr>
                    <w:keepNext w:val="0"/>
                    <w:keepLines w:val="0"/>
                    <w:suppressLineNumbers w:val="0"/>
                    <w:spacing w:before="0" w:beforeAutospacing="0" w:after="0" w:afterAutospacing="0"/>
                    <w:ind w:left="0" w:right="0"/>
                    <w:jc w:val="center"/>
                    <w:rPr>
                      <w:rFonts w:hint="default"/>
                      <w:color w:val="auto"/>
                      <w:sz w:val="21"/>
                      <w:szCs w:val="21"/>
                    </w:rPr>
                  </w:pPr>
                  <w:r>
                    <w:rPr>
                      <w:rFonts w:hint="default"/>
                      <w:bCs/>
                      <w:color w:val="auto"/>
                      <w:sz w:val="21"/>
                      <w:szCs w:val="21"/>
                    </w:rPr>
                    <w:t>东、南、西、北厂界</w:t>
                  </w:r>
                </w:p>
              </w:tc>
              <w:tc>
                <w:tcPr>
                  <w:tcW w:w="1442" w:type="pct"/>
                  <w:tcBorders>
                    <w:top w:val="single" w:color="auto" w:sz="4" w:space="0"/>
                    <w:left w:val="single" w:color="auto" w:sz="4" w:space="0"/>
                    <w:bottom w:val="single" w:color="auto" w:sz="4" w:space="0"/>
                    <w:right w:val="single" w:color="auto" w:sz="4" w:space="0"/>
                  </w:tcBorders>
                  <w:vAlign w:val="center"/>
                </w:tcPr>
                <w:p w14:paraId="02649A2D">
                  <w:pPr>
                    <w:keepNext w:val="0"/>
                    <w:keepLines w:val="0"/>
                    <w:suppressLineNumbers w:val="0"/>
                    <w:spacing w:before="0" w:beforeAutospacing="0" w:after="0" w:afterAutospacing="0"/>
                    <w:ind w:left="0" w:right="0"/>
                    <w:jc w:val="center"/>
                    <w:rPr>
                      <w:rFonts w:hint="default"/>
                      <w:color w:val="auto"/>
                      <w:sz w:val="21"/>
                      <w:szCs w:val="21"/>
                    </w:rPr>
                  </w:pPr>
                  <w:r>
                    <w:rPr>
                      <w:rFonts w:hint="default"/>
                      <w:color w:val="auto"/>
                      <w:sz w:val="21"/>
                      <w:szCs w:val="21"/>
                    </w:rPr>
                    <w:t>2类</w:t>
                  </w:r>
                </w:p>
              </w:tc>
              <w:tc>
                <w:tcPr>
                  <w:tcW w:w="921" w:type="pct"/>
                  <w:tcBorders>
                    <w:top w:val="single" w:color="auto" w:sz="4" w:space="0"/>
                    <w:left w:val="single" w:color="auto" w:sz="4" w:space="0"/>
                    <w:bottom w:val="single" w:color="auto" w:sz="4" w:space="0"/>
                    <w:right w:val="single" w:color="auto" w:sz="4" w:space="0"/>
                  </w:tcBorders>
                  <w:vAlign w:val="center"/>
                </w:tcPr>
                <w:p w14:paraId="63825E15">
                  <w:pPr>
                    <w:keepNext w:val="0"/>
                    <w:keepLines w:val="0"/>
                    <w:suppressLineNumbers w:val="0"/>
                    <w:spacing w:before="0" w:beforeAutospacing="0" w:after="0" w:afterAutospacing="0"/>
                    <w:ind w:left="0" w:right="0"/>
                    <w:jc w:val="center"/>
                    <w:rPr>
                      <w:rFonts w:hint="default"/>
                      <w:color w:val="auto"/>
                      <w:sz w:val="21"/>
                      <w:szCs w:val="21"/>
                    </w:rPr>
                  </w:pPr>
                  <w:r>
                    <w:rPr>
                      <w:rFonts w:hint="default"/>
                      <w:color w:val="auto"/>
                      <w:sz w:val="21"/>
                      <w:szCs w:val="21"/>
                    </w:rPr>
                    <w:t>60</w:t>
                  </w:r>
                </w:p>
              </w:tc>
              <w:tc>
                <w:tcPr>
                  <w:tcW w:w="1194" w:type="pct"/>
                  <w:tcBorders>
                    <w:top w:val="single" w:color="auto" w:sz="4" w:space="0"/>
                    <w:left w:val="single" w:color="auto" w:sz="4" w:space="0"/>
                    <w:bottom w:val="single" w:color="auto" w:sz="4" w:space="0"/>
                    <w:right w:val="single" w:color="auto" w:sz="4" w:space="0"/>
                  </w:tcBorders>
                  <w:vAlign w:val="center"/>
                </w:tcPr>
                <w:p w14:paraId="3A500B67">
                  <w:pPr>
                    <w:keepNext w:val="0"/>
                    <w:keepLines w:val="0"/>
                    <w:suppressLineNumbers w:val="0"/>
                    <w:spacing w:before="0" w:beforeAutospacing="0" w:after="0" w:afterAutospacing="0"/>
                    <w:ind w:left="0" w:right="0"/>
                    <w:jc w:val="center"/>
                    <w:rPr>
                      <w:rFonts w:hint="default"/>
                      <w:color w:val="auto"/>
                      <w:sz w:val="21"/>
                      <w:szCs w:val="21"/>
                    </w:rPr>
                  </w:pPr>
                  <w:r>
                    <w:rPr>
                      <w:rFonts w:hint="default"/>
                      <w:color w:val="auto"/>
                      <w:sz w:val="21"/>
                      <w:szCs w:val="21"/>
                    </w:rPr>
                    <w:t>50</w:t>
                  </w:r>
                </w:p>
              </w:tc>
            </w:tr>
          </w:tbl>
          <w:p w14:paraId="53612018">
            <w:pPr>
              <w:keepNext w:val="0"/>
              <w:keepLines w:val="0"/>
              <w:widowControl w:val="0"/>
              <w:suppressLineNumbers w:val="0"/>
              <w:spacing w:before="120" w:beforeLines="50" w:beforeAutospacing="0" w:after="0" w:afterAutospacing="0" w:line="360" w:lineRule="auto"/>
              <w:ind w:left="0" w:right="0" w:firstLine="482" w:firstLineChars="200"/>
              <w:jc w:val="both"/>
              <w:rPr>
                <w:rFonts w:hint="default"/>
                <w:b/>
                <w:bCs w:val="0"/>
                <w:color w:val="auto"/>
                <w:sz w:val="24"/>
                <w:szCs w:val="24"/>
                <w:lang w:val="en-US"/>
              </w:rPr>
            </w:pPr>
            <w:r>
              <w:rPr>
                <w:rFonts w:hint="eastAsia" w:ascii="Times New Roman" w:hAnsi="Times New Roman" w:eastAsia="宋体" w:cs="宋体"/>
                <w:b/>
                <w:bCs w:val="0"/>
                <w:color w:val="auto"/>
                <w:kern w:val="2"/>
                <w:sz w:val="24"/>
                <w:szCs w:val="24"/>
                <w:lang w:val="en-US" w:eastAsia="zh-CN" w:bidi="ar"/>
              </w:rPr>
              <w:t>（</w:t>
            </w:r>
            <w:r>
              <w:rPr>
                <w:rFonts w:hint="default" w:ascii="Times New Roman" w:hAnsi="Times New Roman" w:eastAsia="宋体" w:cs="Times New Roman"/>
                <w:b/>
                <w:bCs w:val="0"/>
                <w:color w:val="auto"/>
                <w:kern w:val="2"/>
                <w:sz w:val="24"/>
                <w:szCs w:val="24"/>
                <w:lang w:val="en-US" w:eastAsia="zh-CN" w:bidi="ar"/>
              </w:rPr>
              <w:t>4</w:t>
            </w:r>
            <w:r>
              <w:rPr>
                <w:rFonts w:hint="eastAsia" w:ascii="Times New Roman" w:hAnsi="Times New Roman" w:eastAsia="宋体" w:cs="宋体"/>
                <w:b/>
                <w:bCs w:val="0"/>
                <w:color w:val="auto"/>
                <w:kern w:val="2"/>
                <w:sz w:val="24"/>
                <w:szCs w:val="24"/>
                <w:lang w:val="en-US" w:eastAsia="zh-CN" w:bidi="ar"/>
              </w:rPr>
              <w:t>）固废排放标准</w:t>
            </w:r>
          </w:p>
          <w:p w14:paraId="6AF773A8">
            <w:pPr>
              <w:keepNext w:val="0"/>
              <w:keepLines w:val="0"/>
              <w:suppressLineNumbers w:val="0"/>
              <w:spacing w:before="120" w:beforeLines="50" w:beforeAutospacing="0" w:after="0" w:afterLines="0" w:afterAutospacing="0" w:line="360" w:lineRule="auto"/>
              <w:ind w:left="0" w:right="0" w:firstLine="480" w:firstLineChars="200"/>
              <w:rPr>
                <w:rFonts w:hint="eastAsia"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一般固体废物：项目产生的一般固体废物执行《一般工业固体废物贮存和填埋污染控制标准》（</w:t>
            </w:r>
            <w:r>
              <w:rPr>
                <w:rFonts w:hint="default" w:ascii="Times New Roman" w:hAnsi="Times New Roman" w:eastAsia="宋体" w:cs="Times New Roman"/>
                <w:color w:val="auto"/>
                <w:sz w:val="24"/>
                <w:szCs w:val="24"/>
                <w:lang w:val="en-US" w:eastAsia="zh-CN"/>
              </w:rPr>
              <w:t>GB18599-2020</w:t>
            </w:r>
            <w:r>
              <w:rPr>
                <w:rFonts w:hint="eastAsia" w:ascii="Times New Roman" w:hAnsi="Times New Roman" w:eastAsia="宋体" w:cs="Times New Roman"/>
                <w:color w:val="auto"/>
                <w:sz w:val="24"/>
                <w:szCs w:val="24"/>
                <w:lang w:val="en-US" w:eastAsia="zh-CN"/>
              </w:rPr>
              <w:t>）。</w:t>
            </w:r>
          </w:p>
          <w:p w14:paraId="71BADD41">
            <w:pPr>
              <w:keepNext w:val="0"/>
              <w:keepLines w:val="0"/>
              <w:suppressLineNumbers w:val="0"/>
              <w:spacing w:before="120" w:beforeLines="50" w:beforeAutospacing="0" w:after="0" w:afterLines="0" w:afterAutospacing="0" w:line="360" w:lineRule="auto"/>
              <w:ind w:left="0" w:right="0" w:firstLine="480" w:firstLineChars="200"/>
              <w:rPr>
                <w:rFonts w:hint="default" w:eastAsiaTheme="minorEastAsia"/>
                <w:color w:val="auto"/>
                <w:kern w:val="0"/>
                <w:sz w:val="24"/>
              </w:rPr>
            </w:pPr>
            <w:r>
              <w:rPr>
                <w:rFonts w:hint="default"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val="en-US" w:eastAsia="zh-CN"/>
              </w:rPr>
              <w:t>危险废物：项目产生的危险废物执行《危险废物贮存污染控制标准》（</w:t>
            </w:r>
            <w:r>
              <w:rPr>
                <w:rFonts w:hint="default" w:ascii="Times New Roman" w:hAnsi="Times New Roman" w:eastAsia="宋体" w:cs="Times New Roman"/>
                <w:color w:val="auto"/>
                <w:sz w:val="24"/>
                <w:szCs w:val="24"/>
                <w:lang w:val="en-US" w:eastAsia="zh-CN"/>
              </w:rPr>
              <w:t>GB18597-2023</w:t>
            </w:r>
            <w:r>
              <w:rPr>
                <w:rFonts w:hint="eastAsia" w:ascii="Times New Roman" w:hAnsi="Times New Roman" w:eastAsia="宋体" w:cs="Times New Roman"/>
                <w:color w:val="auto"/>
                <w:sz w:val="24"/>
                <w:szCs w:val="24"/>
                <w:lang w:val="en-US" w:eastAsia="zh-CN"/>
              </w:rPr>
              <w:t>）中的有关规定。</w:t>
            </w:r>
          </w:p>
        </w:tc>
      </w:tr>
      <w:tr w14:paraId="6724D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1E8BEDFF">
            <w:pPr>
              <w:keepNext w:val="0"/>
              <w:keepLines w:val="0"/>
              <w:suppressLineNumbers w:val="0"/>
              <w:adjustRightInd w:val="0"/>
              <w:snapToGrid w:val="0"/>
              <w:spacing w:before="0" w:beforeAutospacing="0" w:after="0" w:afterAutospacing="0"/>
              <w:ind w:left="0" w:right="0"/>
              <w:jc w:val="center"/>
              <w:rPr>
                <w:rFonts w:hint="default"/>
                <w:color w:val="auto"/>
                <w:spacing w:val="12"/>
                <w:kern w:val="0"/>
                <w:sz w:val="24"/>
                <w:szCs w:val="21"/>
              </w:rPr>
            </w:pPr>
            <w:r>
              <w:rPr>
                <w:rFonts w:hint="default"/>
                <w:color w:val="auto"/>
                <w:spacing w:val="12"/>
                <w:kern w:val="0"/>
                <w:sz w:val="24"/>
                <w:szCs w:val="21"/>
              </w:rPr>
              <w:t>总量</w:t>
            </w:r>
          </w:p>
          <w:p w14:paraId="020A4318">
            <w:pPr>
              <w:keepNext w:val="0"/>
              <w:keepLines w:val="0"/>
              <w:suppressLineNumbers w:val="0"/>
              <w:adjustRightInd w:val="0"/>
              <w:snapToGrid w:val="0"/>
              <w:spacing w:before="0" w:beforeAutospacing="0" w:after="0" w:afterAutospacing="0"/>
              <w:ind w:left="0" w:right="0"/>
              <w:jc w:val="center"/>
              <w:rPr>
                <w:rFonts w:hint="default"/>
                <w:color w:val="auto"/>
                <w:spacing w:val="12"/>
                <w:kern w:val="0"/>
                <w:sz w:val="24"/>
                <w:szCs w:val="21"/>
              </w:rPr>
            </w:pPr>
            <w:r>
              <w:rPr>
                <w:rFonts w:hint="default"/>
                <w:color w:val="auto"/>
                <w:spacing w:val="12"/>
                <w:kern w:val="0"/>
                <w:sz w:val="24"/>
                <w:szCs w:val="21"/>
              </w:rPr>
              <w:t>控制</w:t>
            </w:r>
          </w:p>
          <w:p w14:paraId="46F156B2">
            <w:pPr>
              <w:keepNext w:val="0"/>
              <w:keepLines w:val="0"/>
              <w:suppressLineNumbers w:val="0"/>
              <w:adjustRightInd w:val="0"/>
              <w:snapToGrid w:val="0"/>
              <w:spacing w:before="0" w:beforeAutospacing="0" w:after="0" w:afterAutospacing="0"/>
              <w:ind w:left="0" w:right="0"/>
              <w:jc w:val="center"/>
              <w:rPr>
                <w:rFonts w:hint="default"/>
                <w:color w:val="auto"/>
                <w:spacing w:val="12"/>
                <w:kern w:val="0"/>
                <w:sz w:val="24"/>
                <w:szCs w:val="21"/>
              </w:rPr>
            </w:pPr>
            <w:r>
              <w:rPr>
                <w:rFonts w:hint="default"/>
                <w:color w:val="auto"/>
                <w:spacing w:val="12"/>
                <w:kern w:val="0"/>
                <w:sz w:val="24"/>
                <w:szCs w:val="21"/>
              </w:rPr>
              <w:t>指标</w:t>
            </w:r>
          </w:p>
        </w:tc>
        <w:tc>
          <w:tcPr>
            <w:tcW w:w="8190" w:type="dxa"/>
            <w:vAlign w:val="center"/>
          </w:tcPr>
          <w:p w14:paraId="0F83692F">
            <w:pPr>
              <w:pStyle w:val="15"/>
              <w:keepNext w:val="0"/>
              <w:keepLines w:val="0"/>
              <w:widowControl w:val="0"/>
              <w:suppressLineNumbers w:val="0"/>
              <w:spacing w:before="24" w:beforeAutospacing="0" w:after="24" w:afterAutospacing="0" w:line="360" w:lineRule="auto"/>
              <w:ind w:left="0" w:right="0" w:firstLine="480" w:firstLineChars="200"/>
              <w:jc w:val="both"/>
              <w:rPr>
                <w:rFonts w:hint="default" w:ascii="Times New Roman" w:hAnsi="Times New Roman" w:cs="Times New Roman"/>
                <w:color w:val="auto"/>
                <w:spacing w:val="0"/>
                <w:lang w:val="en-US"/>
              </w:rPr>
            </w:pPr>
            <w:r>
              <w:rPr>
                <w:rFonts w:hint="eastAsia" w:ascii="Times New Roman" w:hAnsi="Times New Roman" w:eastAsia="宋体" w:cs="Times New Roman"/>
                <w:bCs/>
                <w:color w:val="auto"/>
                <w:spacing w:val="0"/>
                <w:kern w:val="0"/>
                <w:sz w:val="24"/>
                <w:szCs w:val="24"/>
                <w:lang w:val="en-US" w:eastAsia="zh-CN" w:bidi="ar"/>
              </w:rPr>
              <w:t>项目建成后本评价建议其污染物总量控制指标如下：</w:t>
            </w:r>
          </w:p>
          <w:p w14:paraId="67C4BAA7">
            <w:pPr>
              <w:pStyle w:val="51"/>
              <w:keepNext w:val="0"/>
              <w:keepLines w:val="0"/>
              <w:suppressLineNumbers w:val="0"/>
              <w:spacing w:before="24" w:beforeAutospacing="0" w:after="24" w:afterAutospacing="0"/>
              <w:ind w:left="0" w:right="0" w:firstLine="528" w:firstLineChars="200"/>
              <w:rPr>
                <w:rFonts w:hint="eastAsia" w:ascii="Times New Roman" w:hAnsi="Times New Roman" w:eastAsia="宋体" w:cs="Times New Roman"/>
                <w:bCs w:val="0"/>
                <w:color w:val="auto"/>
                <w:szCs w:val="21"/>
                <w:highlight w:val="yellow"/>
                <w:lang w:eastAsia="zh-CN"/>
              </w:rPr>
            </w:pPr>
            <w:r>
              <w:rPr>
                <w:rFonts w:hint="default" w:ascii="Times New Roman" w:hAnsi="Times New Roman" w:cs="Times New Roman"/>
                <w:bCs w:val="0"/>
                <w:color w:val="auto"/>
                <w:szCs w:val="21"/>
                <w:highlight w:val="none"/>
              </w:rPr>
              <w:t>废气：有组织：废气量1909.59万Nm³/a，非甲烷总烃0.000</w:t>
            </w:r>
            <w:r>
              <w:rPr>
                <w:rFonts w:hint="eastAsia" w:ascii="Times New Roman" w:hAnsi="Times New Roman" w:cs="Times New Roman"/>
                <w:bCs w:val="0"/>
                <w:color w:val="auto"/>
                <w:szCs w:val="21"/>
                <w:highlight w:val="none"/>
                <w:lang w:val="en-US" w:eastAsia="zh-CN"/>
              </w:rPr>
              <w:t>0221</w:t>
            </w:r>
            <w:r>
              <w:rPr>
                <w:rFonts w:hint="default" w:ascii="Times New Roman" w:hAnsi="Times New Roman" w:cs="Times New Roman"/>
                <w:bCs w:val="0"/>
                <w:color w:val="auto"/>
                <w:szCs w:val="21"/>
                <w:highlight w:val="none"/>
              </w:rPr>
              <w:t>t/a，氯化氢0.0000</w:t>
            </w:r>
            <w:r>
              <w:rPr>
                <w:rFonts w:hint="eastAsia" w:ascii="Times New Roman" w:hAnsi="Times New Roman" w:cs="Times New Roman"/>
                <w:bCs w:val="0"/>
                <w:color w:val="auto"/>
                <w:szCs w:val="21"/>
                <w:highlight w:val="none"/>
                <w:lang w:val="en-US" w:eastAsia="zh-CN"/>
              </w:rPr>
              <w:t>53</w:t>
            </w:r>
            <w:r>
              <w:rPr>
                <w:rFonts w:hint="default" w:ascii="Times New Roman" w:hAnsi="Times New Roman" w:cs="Times New Roman"/>
                <w:bCs w:val="0"/>
                <w:color w:val="auto"/>
                <w:szCs w:val="21"/>
                <w:highlight w:val="none"/>
              </w:rPr>
              <w:t>t/a，硫酸雾0.000</w:t>
            </w:r>
            <w:r>
              <w:rPr>
                <w:rFonts w:hint="eastAsia" w:ascii="Times New Roman" w:hAnsi="Times New Roman" w:cs="Times New Roman"/>
                <w:bCs w:val="0"/>
                <w:color w:val="auto"/>
                <w:szCs w:val="21"/>
                <w:highlight w:val="none"/>
                <w:lang w:val="en-US" w:eastAsia="zh-CN"/>
              </w:rPr>
              <w:t>529</w:t>
            </w:r>
            <w:r>
              <w:rPr>
                <w:rFonts w:hint="default" w:ascii="Times New Roman" w:hAnsi="Times New Roman" w:cs="Times New Roman"/>
                <w:bCs w:val="0"/>
                <w:color w:val="auto"/>
                <w:szCs w:val="21"/>
                <w:highlight w:val="none"/>
              </w:rPr>
              <w:t>3t/a，</w:t>
            </w:r>
            <w:r>
              <w:rPr>
                <w:rFonts w:hint="eastAsia" w:ascii="Times New Roman" w:hAnsi="Times New Roman" w:cs="Times New Roman"/>
                <w:bCs w:val="0"/>
                <w:color w:val="auto"/>
                <w:szCs w:val="21"/>
                <w:highlight w:val="none"/>
                <w:lang w:val="en-US" w:eastAsia="zh-CN"/>
              </w:rPr>
              <w:t>氨</w:t>
            </w:r>
            <w:r>
              <w:rPr>
                <w:rFonts w:hint="default" w:ascii="Times New Roman" w:hAnsi="Times New Roman" w:cs="Times New Roman"/>
                <w:bCs w:val="0"/>
                <w:color w:val="auto"/>
                <w:szCs w:val="21"/>
                <w:highlight w:val="none"/>
              </w:rPr>
              <w:t>0.000</w:t>
            </w:r>
            <w:r>
              <w:rPr>
                <w:rFonts w:hint="eastAsia" w:ascii="Times New Roman" w:hAnsi="Times New Roman" w:cs="Times New Roman"/>
                <w:bCs w:val="0"/>
                <w:color w:val="auto"/>
                <w:szCs w:val="21"/>
                <w:highlight w:val="none"/>
                <w:lang w:val="en-US" w:eastAsia="zh-CN"/>
              </w:rPr>
              <w:t>0819</w:t>
            </w:r>
            <w:r>
              <w:rPr>
                <w:rFonts w:hint="default" w:ascii="Times New Roman" w:hAnsi="Times New Roman" w:cs="Times New Roman"/>
                <w:bCs w:val="0"/>
                <w:color w:val="auto"/>
                <w:szCs w:val="21"/>
                <w:highlight w:val="none"/>
              </w:rPr>
              <w:t>t/a，苯并芘0.0000</w:t>
            </w:r>
            <w:r>
              <w:rPr>
                <w:rFonts w:hint="eastAsia" w:ascii="Times New Roman" w:hAnsi="Times New Roman" w:cs="Times New Roman"/>
                <w:bCs w:val="0"/>
                <w:color w:val="auto"/>
                <w:szCs w:val="21"/>
                <w:highlight w:val="none"/>
                <w:lang w:val="en-US" w:eastAsia="zh-CN"/>
              </w:rPr>
              <w:t>152g</w:t>
            </w:r>
            <w:r>
              <w:rPr>
                <w:rFonts w:hint="default" w:ascii="Times New Roman" w:hAnsi="Times New Roman" w:cs="Times New Roman"/>
                <w:bCs w:val="0"/>
                <w:color w:val="auto"/>
                <w:szCs w:val="21"/>
                <w:highlight w:val="none"/>
              </w:rPr>
              <w:t>/a，沥青烟0.000</w:t>
            </w:r>
            <w:r>
              <w:rPr>
                <w:rFonts w:hint="eastAsia" w:ascii="Times New Roman" w:hAnsi="Times New Roman" w:cs="Times New Roman"/>
                <w:bCs w:val="0"/>
                <w:color w:val="auto"/>
                <w:szCs w:val="21"/>
                <w:highlight w:val="none"/>
                <w:lang w:val="en-US" w:eastAsia="zh-CN"/>
              </w:rPr>
              <w:t>1g</w:t>
            </w:r>
            <w:r>
              <w:rPr>
                <w:rFonts w:hint="default" w:ascii="Times New Roman" w:hAnsi="Times New Roman" w:cs="Times New Roman"/>
                <w:bCs w:val="0"/>
                <w:color w:val="auto"/>
                <w:szCs w:val="21"/>
                <w:highlight w:val="none"/>
              </w:rPr>
              <w:t>/a；无组织：非甲烷总烃0.0</w:t>
            </w:r>
            <w:r>
              <w:rPr>
                <w:rFonts w:hint="eastAsia" w:ascii="Times New Roman" w:hAnsi="Times New Roman" w:cs="Times New Roman"/>
                <w:bCs w:val="0"/>
                <w:color w:val="auto"/>
                <w:szCs w:val="21"/>
                <w:highlight w:val="none"/>
                <w:lang w:val="en-US" w:eastAsia="zh-CN"/>
              </w:rPr>
              <w:t>0</w:t>
            </w:r>
            <w:r>
              <w:rPr>
                <w:rFonts w:hint="default" w:ascii="Times New Roman" w:hAnsi="Times New Roman" w:cs="Times New Roman"/>
                <w:bCs w:val="0"/>
                <w:color w:val="auto"/>
                <w:szCs w:val="21"/>
                <w:highlight w:val="none"/>
              </w:rPr>
              <w:t>000</w:t>
            </w:r>
            <w:r>
              <w:rPr>
                <w:rFonts w:hint="eastAsia" w:ascii="Times New Roman" w:hAnsi="Times New Roman" w:cs="Times New Roman"/>
                <w:bCs w:val="0"/>
                <w:color w:val="auto"/>
                <w:szCs w:val="21"/>
                <w:highlight w:val="none"/>
                <w:lang w:val="en-US" w:eastAsia="zh-CN"/>
              </w:rPr>
              <w:t>98</w:t>
            </w:r>
            <w:r>
              <w:rPr>
                <w:rFonts w:hint="default" w:ascii="Times New Roman" w:hAnsi="Times New Roman" w:cs="Times New Roman"/>
                <w:bCs w:val="0"/>
                <w:color w:val="auto"/>
                <w:szCs w:val="21"/>
                <w:highlight w:val="none"/>
              </w:rPr>
              <w:t>t/a，氯化氢0.000</w:t>
            </w:r>
            <w:r>
              <w:rPr>
                <w:rFonts w:hint="eastAsia" w:ascii="Times New Roman" w:hAnsi="Times New Roman" w:cs="Times New Roman"/>
                <w:bCs w:val="0"/>
                <w:color w:val="auto"/>
                <w:szCs w:val="21"/>
                <w:highlight w:val="none"/>
                <w:lang w:val="en-US" w:eastAsia="zh-CN"/>
              </w:rPr>
              <w:t>0293</w:t>
            </w:r>
            <w:r>
              <w:rPr>
                <w:rFonts w:hint="default" w:ascii="Times New Roman" w:hAnsi="Times New Roman" w:cs="Times New Roman"/>
                <w:bCs w:val="0"/>
                <w:color w:val="auto"/>
                <w:szCs w:val="21"/>
                <w:highlight w:val="none"/>
              </w:rPr>
              <w:t>t/a，硫酸雾0.000</w:t>
            </w:r>
            <w:r>
              <w:rPr>
                <w:rFonts w:hint="eastAsia" w:ascii="Times New Roman" w:hAnsi="Times New Roman" w:cs="Times New Roman"/>
                <w:bCs w:val="0"/>
                <w:color w:val="auto"/>
                <w:szCs w:val="21"/>
                <w:highlight w:val="none"/>
                <w:lang w:val="en-US" w:eastAsia="zh-CN"/>
              </w:rPr>
              <w:t>2942</w:t>
            </w:r>
            <w:r>
              <w:rPr>
                <w:rFonts w:hint="default" w:ascii="Times New Roman" w:hAnsi="Times New Roman" w:cs="Times New Roman"/>
                <w:bCs w:val="0"/>
                <w:color w:val="auto"/>
                <w:szCs w:val="21"/>
                <w:highlight w:val="none"/>
              </w:rPr>
              <w:t>t/a，</w:t>
            </w:r>
            <w:r>
              <w:rPr>
                <w:rFonts w:hint="eastAsia" w:ascii="Times New Roman" w:hAnsi="Times New Roman" w:cs="Times New Roman"/>
                <w:bCs w:val="0"/>
                <w:color w:val="auto"/>
                <w:szCs w:val="21"/>
                <w:highlight w:val="none"/>
                <w:lang w:val="en-US" w:eastAsia="zh-CN"/>
              </w:rPr>
              <w:t>氨</w:t>
            </w:r>
            <w:r>
              <w:rPr>
                <w:rFonts w:hint="default" w:ascii="Times New Roman" w:hAnsi="Times New Roman" w:cs="Times New Roman"/>
                <w:bCs w:val="0"/>
                <w:color w:val="auto"/>
                <w:szCs w:val="21"/>
                <w:highlight w:val="none"/>
              </w:rPr>
              <w:t>0.000</w:t>
            </w:r>
            <w:r>
              <w:rPr>
                <w:rFonts w:hint="eastAsia" w:ascii="Times New Roman" w:hAnsi="Times New Roman" w:cs="Times New Roman"/>
                <w:bCs w:val="0"/>
                <w:color w:val="auto"/>
                <w:szCs w:val="21"/>
                <w:highlight w:val="none"/>
                <w:lang w:val="en-US" w:eastAsia="zh-CN"/>
              </w:rPr>
              <w:t>000019</w:t>
            </w:r>
            <w:r>
              <w:rPr>
                <w:rFonts w:hint="default" w:ascii="Times New Roman" w:hAnsi="Times New Roman" w:cs="Times New Roman"/>
                <w:bCs w:val="0"/>
                <w:color w:val="auto"/>
                <w:szCs w:val="21"/>
                <w:highlight w:val="none"/>
              </w:rPr>
              <w:t>t/a，苯并芘</w:t>
            </w:r>
            <w:r>
              <w:rPr>
                <w:rFonts w:hint="default" w:ascii="Times New Roman" w:hAnsi="Times New Roman" w:cs="Times New Roman"/>
                <w:bCs w:val="0"/>
                <w:color w:val="auto"/>
                <w:szCs w:val="21"/>
                <w:highlight w:val="none"/>
                <w:lang w:val="en-US" w:eastAsia="zh-CN"/>
              </w:rPr>
              <w:t>0.0000</w:t>
            </w:r>
            <w:r>
              <w:rPr>
                <w:rFonts w:hint="eastAsia" w:ascii="Times New Roman" w:hAnsi="Times New Roman" w:cs="Times New Roman"/>
                <w:bCs w:val="0"/>
                <w:color w:val="auto"/>
                <w:szCs w:val="21"/>
                <w:highlight w:val="none"/>
                <w:lang w:val="en-US" w:eastAsia="zh-CN"/>
              </w:rPr>
              <w:t>0675</w:t>
            </w:r>
            <w:r>
              <w:rPr>
                <w:rFonts w:hint="default" w:ascii="Times New Roman" w:hAnsi="Times New Roman" w:cs="Times New Roman"/>
                <w:bCs w:val="0"/>
                <w:color w:val="auto"/>
                <w:szCs w:val="21"/>
                <w:highlight w:val="none"/>
                <w:lang w:val="en-US" w:eastAsia="zh-CN"/>
              </w:rPr>
              <w:t>g/a</w:t>
            </w:r>
            <w:r>
              <w:rPr>
                <w:rFonts w:hint="default" w:ascii="Times New Roman" w:hAnsi="Times New Roman" w:cs="Times New Roman"/>
                <w:bCs w:val="0"/>
                <w:color w:val="auto"/>
                <w:szCs w:val="21"/>
                <w:highlight w:val="none"/>
              </w:rPr>
              <w:t>，沥青烟</w:t>
            </w:r>
            <w:r>
              <w:rPr>
                <w:rFonts w:hint="default" w:ascii="Times New Roman" w:hAnsi="Times New Roman" w:cs="Times New Roman"/>
                <w:bCs w:val="0"/>
                <w:color w:val="auto"/>
                <w:szCs w:val="21"/>
                <w:highlight w:val="none"/>
                <w:lang w:val="en-US" w:eastAsia="zh-CN"/>
              </w:rPr>
              <w:t>0.000</w:t>
            </w:r>
            <w:r>
              <w:rPr>
                <w:rFonts w:hint="eastAsia" w:ascii="Times New Roman" w:hAnsi="Times New Roman" w:cs="Times New Roman"/>
                <w:bCs w:val="0"/>
                <w:color w:val="auto"/>
                <w:szCs w:val="21"/>
                <w:highlight w:val="none"/>
                <w:lang w:val="en-US" w:eastAsia="zh-CN"/>
              </w:rPr>
              <w:t>045</w:t>
            </w:r>
            <w:r>
              <w:rPr>
                <w:rFonts w:hint="default" w:ascii="Times New Roman" w:hAnsi="Times New Roman" w:cs="Times New Roman"/>
                <w:bCs w:val="0"/>
                <w:color w:val="auto"/>
                <w:szCs w:val="21"/>
                <w:highlight w:val="none"/>
                <w:lang w:val="en-US" w:eastAsia="zh-CN"/>
              </w:rPr>
              <w:t>g/a</w:t>
            </w:r>
            <w:r>
              <w:rPr>
                <w:rFonts w:hint="default" w:ascii="Times New Roman" w:hAnsi="Times New Roman" w:cs="Times New Roman"/>
                <w:bCs w:val="0"/>
                <w:color w:val="auto"/>
                <w:szCs w:val="21"/>
                <w:highlight w:val="none"/>
              </w:rPr>
              <w:t>，颗粒物0.</w:t>
            </w:r>
            <w:r>
              <w:rPr>
                <w:rFonts w:hint="eastAsia" w:ascii="Times New Roman" w:hAnsi="Times New Roman" w:cs="Times New Roman"/>
                <w:bCs w:val="0"/>
                <w:color w:val="auto"/>
                <w:szCs w:val="21"/>
                <w:highlight w:val="none"/>
                <w:lang w:val="en-US" w:eastAsia="zh-CN"/>
              </w:rPr>
              <w:t>00</w:t>
            </w:r>
            <w:r>
              <w:rPr>
                <w:rFonts w:hint="default" w:ascii="Times New Roman" w:hAnsi="Times New Roman" w:cs="Times New Roman"/>
                <w:bCs w:val="0"/>
                <w:color w:val="auto"/>
                <w:szCs w:val="21"/>
                <w:highlight w:val="none"/>
              </w:rPr>
              <w:t>5t/a</w:t>
            </w:r>
            <w:r>
              <w:rPr>
                <w:rFonts w:hint="eastAsia" w:ascii="Times New Roman" w:hAnsi="Times New Roman" w:cs="Times New Roman"/>
                <w:bCs w:val="0"/>
                <w:color w:val="auto"/>
                <w:szCs w:val="21"/>
                <w:highlight w:val="none"/>
                <w:lang w:eastAsia="zh-CN"/>
              </w:rPr>
              <w:t>；</w:t>
            </w:r>
          </w:p>
          <w:p w14:paraId="0E52E9CA">
            <w:pPr>
              <w:pStyle w:val="51"/>
              <w:keepNext w:val="0"/>
              <w:keepLines w:val="0"/>
              <w:suppressLineNumbers w:val="0"/>
              <w:spacing w:before="24" w:beforeAutospacing="0" w:after="24" w:afterAutospacing="0"/>
              <w:ind w:left="0" w:right="0" w:firstLine="528" w:firstLineChars="200"/>
              <w:rPr>
                <w:rFonts w:hint="default" w:ascii="Times New Roman" w:hAnsi="Times New Roman" w:cs="Times New Roman"/>
                <w:bCs w:val="0"/>
                <w:color w:val="auto"/>
                <w:szCs w:val="21"/>
                <w:highlight w:val="none"/>
              </w:rPr>
            </w:pPr>
            <w:r>
              <w:rPr>
                <w:rFonts w:hint="default" w:ascii="Times New Roman" w:hAnsi="Times New Roman" w:cs="Times New Roman"/>
                <w:bCs w:val="0"/>
                <w:color w:val="auto"/>
                <w:szCs w:val="21"/>
                <w:highlight w:val="none"/>
              </w:rPr>
              <w:t>废水：废水量</w:t>
            </w:r>
            <w:r>
              <w:rPr>
                <w:rFonts w:hint="eastAsia" w:ascii="Times New Roman" w:hAnsi="Times New Roman" w:cs="Times New Roman"/>
                <w:color w:val="auto"/>
                <w:highlight w:val="none"/>
                <w:lang w:val="en-US" w:eastAsia="zh-CN"/>
              </w:rPr>
              <w:t>1316.22</w:t>
            </w:r>
            <w:r>
              <w:rPr>
                <w:rFonts w:hint="default" w:ascii="Times New Roman" w:hAnsi="Times New Roman" w:cs="Times New Roman"/>
                <w:color w:val="auto"/>
                <w:highlight w:val="none"/>
              </w:rPr>
              <w:t>t/a</w:t>
            </w:r>
            <w:r>
              <w:rPr>
                <w:rFonts w:hint="default" w:ascii="Times New Roman" w:hAnsi="Times New Roman" w:cs="Times New Roman"/>
                <w:bCs w:val="0"/>
                <w:color w:val="auto"/>
                <w:szCs w:val="21"/>
                <w:highlight w:val="none"/>
              </w:rPr>
              <w:t>，CODcr 0.</w:t>
            </w:r>
            <w:r>
              <w:rPr>
                <w:rFonts w:hint="eastAsia" w:ascii="Times New Roman" w:hAnsi="Times New Roman" w:cs="Times New Roman"/>
                <w:bCs w:val="0"/>
                <w:color w:val="auto"/>
                <w:szCs w:val="21"/>
                <w:highlight w:val="none"/>
                <w:lang w:val="en-US" w:eastAsia="zh-CN"/>
              </w:rPr>
              <w:t>3486</w:t>
            </w:r>
            <w:r>
              <w:rPr>
                <w:rFonts w:hint="default" w:ascii="Times New Roman" w:hAnsi="Times New Roman" w:cs="Times New Roman"/>
                <w:bCs w:val="0"/>
                <w:color w:val="auto"/>
                <w:szCs w:val="21"/>
                <w:highlight w:val="none"/>
              </w:rPr>
              <w:t>t/a，氨氮0.</w:t>
            </w:r>
            <w:r>
              <w:rPr>
                <w:rFonts w:hint="eastAsia" w:ascii="Times New Roman" w:hAnsi="Times New Roman" w:cs="Times New Roman"/>
                <w:bCs w:val="0"/>
                <w:color w:val="auto"/>
                <w:szCs w:val="21"/>
                <w:highlight w:val="none"/>
                <w:lang w:val="en-US" w:eastAsia="zh-CN"/>
              </w:rPr>
              <w:t>0393</w:t>
            </w:r>
            <w:r>
              <w:rPr>
                <w:rFonts w:hint="default" w:ascii="Times New Roman" w:hAnsi="Times New Roman" w:cs="Times New Roman"/>
                <w:bCs w:val="0"/>
                <w:color w:val="auto"/>
                <w:szCs w:val="21"/>
                <w:highlight w:val="none"/>
              </w:rPr>
              <w:t>t/a，总磷（以P计）0.00</w:t>
            </w:r>
            <w:r>
              <w:rPr>
                <w:rFonts w:hint="eastAsia" w:ascii="Times New Roman" w:hAnsi="Times New Roman" w:cs="Times New Roman"/>
                <w:bCs w:val="0"/>
                <w:color w:val="auto"/>
                <w:szCs w:val="21"/>
                <w:highlight w:val="none"/>
                <w:lang w:val="en-US" w:eastAsia="zh-CN"/>
              </w:rPr>
              <w:t>91</w:t>
            </w:r>
            <w:r>
              <w:rPr>
                <w:rFonts w:hint="default" w:ascii="Times New Roman" w:hAnsi="Times New Roman" w:cs="Times New Roman"/>
                <w:bCs w:val="0"/>
                <w:color w:val="auto"/>
                <w:szCs w:val="21"/>
                <w:highlight w:val="none"/>
              </w:rPr>
              <w:t>t/a；废水总量纳入昆明市第</w:t>
            </w:r>
            <w:r>
              <w:rPr>
                <w:rFonts w:hint="eastAsia" w:ascii="Times New Roman" w:hAnsi="Times New Roman" w:cs="Times New Roman"/>
                <w:bCs w:val="0"/>
                <w:color w:val="auto"/>
                <w:szCs w:val="21"/>
                <w:highlight w:val="none"/>
                <w:lang w:val="en-US" w:eastAsia="zh-CN"/>
              </w:rPr>
              <w:t>五</w:t>
            </w:r>
            <w:r>
              <w:rPr>
                <w:rFonts w:hint="default" w:ascii="Times New Roman" w:hAnsi="Times New Roman" w:cs="Times New Roman"/>
                <w:bCs w:val="0"/>
                <w:color w:val="auto"/>
                <w:szCs w:val="21"/>
                <w:highlight w:val="none"/>
              </w:rPr>
              <w:t>水质净化厂考核。</w:t>
            </w:r>
          </w:p>
          <w:p w14:paraId="35840480">
            <w:pPr>
              <w:keepNext w:val="0"/>
              <w:keepLines w:val="0"/>
              <w:suppressLineNumbers w:val="0"/>
              <w:spacing w:before="0" w:beforeAutospacing="0" w:after="0" w:afterAutospacing="0" w:line="360" w:lineRule="auto"/>
              <w:ind w:left="0" w:right="0"/>
              <w:rPr>
                <w:rFonts w:hint="default"/>
                <w:color w:val="auto"/>
                <w:spacing w:val="12"/>
                <w:kern w:val="0"/>
                <w:sz w:val="24"/>
                <w:szCs w:val="21"/>
                <w:highlight w:val="none"/>
              </w:rPr>
            </w:pPr>
            <w:r>
              <w:rPr>
                <w:rFonts w:hint="default"/>
                <w:color w:val="auto"/>
                <w:spacing w:val="12"/>
                <w:kern w:val="0"/>
                <w:sz w:val="24"/>
                <w:szCs w:val="21"/>
                <w:highlight w:val="none"/>
              </w:rPr>
              <w:t>固体废弃物处置率100%，不设总量指标。</w:t>
            </w:r>
          </w:p>
          <w:p w14:paraId="49D01D2F">
            <w:pPr>
              <w:pStyle w:val="2"/>
              <w:keepNext w:val="0"/>
              <w:keepLines w:val="0"/>
              <w:suppressLineNumbers w:val="0"/>
              <w:spacing w:before="0" w:beforeAutospacing="0" w:afterAutospacing="0"/>
              <w:ind w:right="0"/>
              <w:rPr>
                <w:rFonts w:hint="default"/>
                <w:color w:val="auto"/>
                <w:spacing w:val="12"/>
                <w:kern w:val="0"/>
                <w:sz w:val="24"/>
                <w:szCs w:val="21"/>
                <w:highlight w:val="none"/>
              </w:rPr>
            </w:pPr>
          </w:p>
          <w:p w14:paraId="6FDD0D02">
            <w:pPr>
              <w:pStyle w:val="4"/>
              <w:keepNext w:val="0"/>
              <w:keepLines w:val="0"/>
              <w:suppressLineNumbers w:val="0"/>
              <w:spacing w:beforeAutospacing="0" w:afterAutospacing="0"/>
              <w:ind w:left="0"/>
              <w:rPr>
                <w:rFonts w:hint="default"/>
                <w:color w:val="auto"/>
                <w:spacing w:val="12"/>
                <w:kern w:val="0"/>
                <w:sz w:val="24"/>
                <w:szCs w:val="21"/>
                <w:highlight w:val="none"/>
              </w:rPr>
            </w:pPr>
          </w:p>
          <w:p w14:paraId="2F84FAEA">
            <w:pPr>
              <w:keepNext w:val="0"/>
              <w:keepLines w:val="0"/>
              <w:suppressLineNumbers w:val="0"/>
              <w:spacing w:before="0" w:beforeAutospacing="0" w:after="0" w:afterAutospacing="0"/>
              <w:ind w:left="0" w:right="0"/>
              <w:rPr>
                <w:rFonts w:hint="default"/>
                <w:color w:val="auto"/>
                <w:spacing w:val="12"/>
                <w:kern w:val="0"/>
                <w:sz w:val="24"/>
                <w:szCs w:val="21"/>
                <w:highlight w:val="none"/>
              </w:rPr>
            </w:pPr>
          </w:p>
          <w:p w14:paraId="5E940FBB">
            <w:pPr>
              <w:pStyle w:val="2"/>
              <w:keepNext w:val="0"/>
              <w:keepLines w:val="0"/>
              <w:suppressLineNumbers w:val="0"/>
              <w:spacing w:before="0" w:beforeAutospacing="0" w:afterAutospacing="0"/>
              <w:ind w:right="0"/>
              <w:rPr>
                <w:rFonts w:hint="default"/>
                <w:color w:val="auto"/>
                <w:spacing w:val="12"/>
                <w:kern w:val="0"/>
                <w:sz w:val="24"/>
                <w:szCs w:val="21"/>
                <w:highlight w:val="none"/>
              </w:rPr>
            </w:pPr>
          </w:p>
          <w:p w14:paraId="38C408C8">
            <w:pPr>
              <w:pStyle w:val="4"/>
              <w:keepNext w:val="0"/>
              <w:keepLines w:val="0"/>
              <w:suppressLineNumbers w:val="0"/>
              <w:spacing w:beforeAutospacing="0" w:afterAutospacing="0"/>
              <w:ind w:left="0"/>
              <w:rPr>
                <w:rFonts w:hint="default"/>
                <w:color w:val="auto"/>
                <w:spacing w:val="12"/>
                <w:kern w:val="0"/>
                <w:sz w:val="24"/>
                <w:szCs w:val="21"/>
                <w:highlight w:val="none"/>
              </w:rPr>
            </w:pPr>
          </w:p>
          <w:p w14:paraId="30AFEAD3">
            <w:pPr>
              <w:keepNext w:val="0"/>
              <w:keepLines w:val="0"/>
              <w:suppressLineNumbers w:val="0"/>
              <w:spacing w:before="0" w:beforeAutospacing="0" w:after="0" w:afterAutospacing="0"/>
              <w:ind w:left="0" w:right="0"/>
              <w:rPr>
                <w:rFonts w:hint="default"/>
                <w:color w:val="auto"/>
                <w:spacing w:val="12"/>
                <w:kern w:val="0"/>
                <w:sz w:val="24"/>
                <w:szCs w:val="21"/>
                <w:highlight w:val="none"/>
              </w:rPr>
            </w:pPr>
          </w:p>
          <w:p w14:paraId="10051E67">
            <w:pPr>
              <w:keepNext w:val="0"/>
              <w:keepLines w:val="0"/>
              <w:suppressLineNumbers w:val="0"/>
              <w:spacing w:before="0" w:beforeAutospacing="0" w:after="0" w:afterAutospacing="0"/>
              <w:ind w:left="0" w:right="0"/>
              <w:rPr>
                <w:rFonts w:hint="default"/>
                <w:color w:val="auto"/>
                <w:spacing w:val="12"/>
                <w:kern w:val="0"/>
                <w:sz w:val="24"/>
                <w:szCs w:val="21"/>
                <w:highlight w:val="none"/>
              </w:rPr>
            </w:pPr>
          </w:p>
          <w:p w14:paraId="2639BFCB">
            <w:pPr>
              <w:pStyle w:val="2"/>
              <w:keepNext w:val="0"/>
              <w:keepLines w:val="0"/>
              <w:suppressLineNumbers w:val="0"/>
              <w:spacing w:before="0" w:beforeAutospacing="0" w:afterAutospacing="0"/>
              <w:ind w:right="0"/>
              <w:rPr>
                <w:rFonts w:hint="default"/>
                <w:color w:val="auto"/>
                <w:spacing w:val="12"/>
                <w:kern w:val="0"/>
                <w:sz w:val="24"/>
                <w:szCs w:val="21"/>
                <w:highlight w:val="none"/>
              </w:rPr>
            </w:pPr>
          </w:p>
          <w:p w14:paraId="3133CD00">
            <w:pPr>
              <w:pStyle w:val="4"/>
              <w:keepNext w:val="0"/>
              <w:keepLines w:val="0"/>
              <w:suppressLineNumbers w:val="0"/>
              <w:spacing w:beforeAutospacing="0" w:afterAutospacing="0"/>
              <w:ind w:left="0"/>
              <w:rPr>
                <w:rFonts w:hint="default"/>
                <w:color w:val="auto"/>
                <w:spacing w:val="12"/>
                <w:kern w:val="0"/>
                <w:sz w:val="24"/>
                <w:szCs w:val="21"/>
                <w:highlight w:val="none"/>
              </w:rPr>
            </w:pPr>
          </w:p>
          <w:p w14:paraId="7606A7DA">
            <w:pPr>
              <w:keepNext w:val="0"/>
              <w:keepLines w:val="0"/>
              <w:suppressLineNumbers w:val="0"/>
              <w:spacing w:before="0" w:beforeAutospacing="0" w:after="0" w:afterAutospacing="0"/>
              <w:ind w:left="0" w:right="0"/>
              <w:rPr>
                <w:rFonts w:hint="default"/>
                <w:color w:val="auto"/>
                <w:spacing w:val="12"/>
                <w:kern w:val="0"/>
                <w:sz w:val="24"/>
                <w:szCs w:val="21"/>
                <w:highlight w:val="none"/>
              </w:rPr>
            </w:pPr>
          </w:p>
          <w:p w14:paraId="3BC78100">
            <w:pPr>
              <w:pStyle w:val="4"/>
              <w:keepNext w:val="0"/>
              <w:keepLines w:val="0"/>
              <w:suppressLineNumbers w:val="0"/>
              <w:spacing w:beforeAutospacing="0" w:afterAutospacing="0"/>
              <w:ind w:left="0" w:leftChars="0" w:firstLine="0" w:firstLineChars="0"/>
              <w:rPr>
                <w:rFonts w:hint="default"/>
                <w:color w:val="auto"/>
              </w:rPr>
            </w:pPr>
          </w:p>
        </w:tc>
      </w:tr>
    </w:tbl>
    <w:p w14:paraId="0D0AD1DB">
      <w:pPr>
        <w:pStyle w:val="15"/>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r>
        <w:rPr>
          <w:rFonts w:ascii="Times New Roman" w:hAnsi="Times New Roman" w:eastAsia="黑体"/>
          <w:snapToGrid w:val="0"/>
          <w:color w:val="auto"/>
          <w:sz w:val="30"/>
          <w:szCs w:val="30"/>
        </w:rPr>
        <w:t>四、主要环境影响和保护措施</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8309"/>
      </w:tblGrid>
      <w:tr w14:paraId="772F3B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99" w:type="dxa"/>
            <w:tcMar>
              <w:left w:w="28" w:type="dxa"/>
              <w:right w:w="28" w:type="dxa"/>
            </w:tcMar>
            <w:vAlign w:val="center"/>
          </w:tcPr>
          <w:p w14:paraId="57AFB0D9">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施工</w:t>
            </w:r>
          </w:p>
          <w:p w14:paraId="01BE3DE3">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期环</w:t>
            </w:r>
          </w:p>
          <w:p w14:paraId="79A19642">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境保</w:t>
            </w:r>
          </w:p>
          <w:p w14:paraId="59638228">
            <w:pPr>
              <w:pStyle w:val="15"/>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护措</w:t>
            </w:r>
          </w:p>
          <w:p w14:paraId="4B1F8422">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color w:val="auto"/>
                <w:szCs w:val="21"/>
              </w:rPr>
              <w:t>施</w:t>
            </w:r>
          </w:p>
        </w:tc>
        <w:tc>
          <w:tcPr>
            <w:tcW w:w="8309" w:type="dxa"/>
            <w:vAlign w:val="center"/>
          </w:tcPr>
          <w:p w14:paraId="1F76D7B1">
            <w:pPr>
              <w:keepNext w:val="0"/>
              <w:keepLines w:val="0"/>
              <w:suppressLineNumbers w:val="0"/>
              <w:adjustRightInd w:val="0"/>
              <w:snapToGrid w:val="0"/>
              <w:spacing w:before="120" w:beforeLines="50" w:beforeAutospacing="0" w:after="0" w:afterAutospacing="0" w:line="360" w:lineRule="auto"/>
              <w:ind w:left="0" w:right="0"/>
              <w:rPr>
                <w:rFonts w:hint="default" w:eastAsiaTheme="minorEastAsia"/>
                <w:b/>
                <w:color w:val="auto"/>
                <w:kern w:val="0"/>
                <w:sz w:val="24"/>
              </w:rPr>
            </w:pPr>
            <w:r>
              <w:rPr>
                <w:rFonts w:hint="default" w:eastAsiaTheme="minorEastAsia"/>
                <w:b/>
                <w:color w:val="auto"/>
                <w:kern w:val="0"/>
                <w:sz w:val="24"/>
              </w:rPr>
              <w:t>1.施工期大气环境保护措施</w:t>
            </w:r>
          </w:p>
          <w:p w14:paraId="7F637602">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施工期仅进行内部装修和设备安装调试，施工量较小，仅产生少量扬尘和装修废气。施工人员对场地定时清扫、洒水降尘，降低场地的粉尘污染，使用清洁环保的装修材料减少刺激性气体的产生。通过上述措施，再经过空气稀释、自然扩散后，对周边大气环境影响较小。措施可行。</w:t>
            </w:r>
          </w:p>
          <w:p w14:paraId="410D9586">
            <w:pPr>
              <w:keepNext w:val="0"/>
              <w:keepLines w:val="0"/>
              <w:suppressLineNumbers w:val="0"/>
              <w:adjustRightInd w:val="0"/>
              <w:snapToGrid w:val="0"/>
              <w:spacing w:before="120" w:beforeLines="50" w:beforeAutospacing="0" w:after="0" w:afterAutospacing="0" w:line="360" w:lineRule="auto"/>
              <w:ind w:left="0" w:right="0"/>
              <w:rPr>
                <w:rFonts w:hint="default" w:eastAsiaTheme="minorEastAsia"/>
                <w:b/>
                <w:color w:val="auto"/>
                <w:kern w:val="0"/>
                <w:sz w:val="24"/>
              </w:rPr>
            </w:pPr>
            <w:r>
              <w:rPr>
                <w:rFonts w:hint="default" w:eastAsiaTheme="minorEastAsia"/>
                <w:b/>
                <w:color w:val="auto"/>
                <w:kern w:val="0"/>
                <w:sz w:val="24"/>
              </w:rPr>
              <w:t>2.施工期水环境保护措施</w:t>
            </w:r>
          </w:p>
          <w:p w14:paraId="4977E78C">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施工期间无施工废水产生，施工人员不在项目区食宿，施工人员依托项目区内已建办公楼的</w:t>
            </w:r>
            <w:r>
              <w:rPr>
                <w:rFonts w:hint="eastAsia" w:eastAsiaTheme="minorEastAsia"/>
                <w:color w:val="auto"/>
                <w:kern w:val="0"/>
                <w:sz w:val="24"/>
                <w:lang w:val="en-US" w:eastAsia="zh-CN"/>
              </w:rPr>
              <w:t>公共</w:t>
            </w:r>
            <w:r>
              <w:rPr>
                <w:rFonts w:hint="default" w:eastAsiaTheme="minorEastAsia"/>
                <w:color w:val="auto"/>
                <w:kern w:val="0"/>
                <w:sz w:val="24"/>
              </w:rPr>
              <w:t>卫生间，施工人员</w:t>
            </w:r>
            <w:r>
              <w:rPr>
                <w:rFonts w:hint="eastAsia" w:eastAsiaTheme="minorEastAsia"/>
                <w:color w:val="auto"/>
                <w:kern w:val="0"/>
                <w:sz w:val="24"/>
                <w:lang w:val="en-US" w:eastAsia="zh-CN"/>
              </w:rPr>
              <w:t>生活</w:t>
            </w:r>
            <w:r>
              <w:rPr>
                <w:rFonts w:hint="default" w:eastAsiaTheme="minorEastAsia"/>
                <w:color w:val="auto"/>
                <w:kern w:val="0"/>
                <w:sz w:val="24"/>
              </w:rPr>
              <w:t>废水依托项目区内已建成的化粪池进行处理。</w:t>
            </w:r>
          </w:p>
          <w:p w14:paraId="77EA0A76">
            <w:pPr>
              <w:keepNext w:val="0"/>
              <w:keepLines w:val="0"/>
              <w:suppressLineNumbers w:val="0"/>
              <w:adjustRightInd w:val="0"/>
              <w:snapToGrid w:val="0"/>
              <w:spacing w:before="120" w:beforeLines="50" w:beforeAutospacing="0" w:after="0" w:afterAutospacing="0" w:line="360" w:lineRule="auto"/>
              <w:ind w:left="0" w:right="0"/>
              <w:rPr>
                <w:rFonts w:hint="default" w:eastAsiaTheme="minorEastAsia"/>
                <w:b/>
                <w:color w:val="auto"/>
                <w:kern w:val="0"/>
                <w:sz w:val="24"/>
              </w:rPr>
            </w:pPr>
            <w:r>
              <w:rPr>
                <w:rFonts w:hint="default" w:eastAsiaTheme="minorEastAsia"/>
                <w:b/>
                <w:color w:val="auto"/>
                <w:kern w:val="0"/>
                <w:sz w:val="24"/>
              </w:rPr>
              <w:t>3.施工期声环境保护措施</w:t>
            </w:r>
          </w:p>
          <w:p w14:paraId="7DF827C8">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施工期不使用大型的施工设备，使用的主要机械设备为低噪声机械设备，仅进行简单装修及设备安装，施工建设活动噪声较小，施工期间加强施工管理。通过采取相应的环保措施后，项目施工对周边声环境影响可以得到有效控制，措施可行。</w:t>
            </w:r>
          </w:p>
          <w:p w14:paraId="5A676D5B">
            <w:pPr>
              <w:keepNext w:val="0"/>
              <w:keepLines w:val="0"/>
              <w:suppressLineNumbers w:val="0"/>
              <w:adjustRightInd w:val="0"/>
              <w:snapToGrid w:val="0"/>
              <w:spacing w:before="120" w:beforeLines="50" w:beforeAutospacing="0" w:after="0" w:afterAutospacing="0" w:line="360" w:lineRule="auto"/>
              <w:ind w:left="0" w:right="0"/>
              <w:rPr>
                <w:rFonts w:hint="default" w:eastAsiaTheme="minorEastAsia"/>
                <w:b/>
                <w:color w:val="auto"/>
                <w:kern w:val="0"/>
                <w:sz w:val="24"/>
              </w:rPr>
            </w:pPr>
            <w:r>
              <w:rPr>
                <w:rFonts w:hint="default" w:eastAsiaTheme="minorEastAsia"/>
                <w:b/>
                <w:color w:val="auto"/>
                <w:kern w:val="0"/>
                <w:sz w:val="24"/>
              </w:rPr>
              <w:t>4.施工期固体废物环境保护措施</w:t>
            </w:r>
          </w:p>
          <w:p w14:paraId="74B5B351">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eastAsiaTheme="minorEastAsia"/>
                <w:b/>
                <w:color w:val="auto"/>
                <w:kern w:val="0"/>
                <w:sz w:val="24"/>
              </w:rPr>
            </w:pPr>
            <w:r>
              <w:rPr>
                <w:rFonts w:hint="default" w:eastAsiaTheme="minorEastAsia"/>
                <w:color w:val="auto"/>
                <w:kern w:val="0"/>
                <w:sz w:val="24"/>
              </w:rPr>
              <w:t>施工过程中产生的主要的固体废弃物为生活垃圾及少量包装材料、装修建筑垃圾等。设备废包装材料外售废品回收站，建筑垃圾集中收集后可回收利用部分回收利用，不能回收利用的运至相关部门指定地妥善处置；生活垃圾收集后由环卫部门清运处置。项目施工期产生的固废得到妥善处置，处置率100%。措施可行。</w:t>
            </w:r>
          </w:p>
        </w:tc>
      </w:tr>
      <w:tr w14:paraId="7CA40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99" w:type="dxa"/>
            <w:tcMar>
              <w:left w:w="28" w:type="dxa"/>
              <w:right w:w="28" w:type="dxa"/>
            </w:tcMar>
            <w:vAlign w:val="center"/>
          </w:tcPr>
          <w:p w14:paraId="44C3EB39">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运营</w:t>
            </w:r>
          </w:p>
          <w:p w14:paraId="1E038387">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期环</w:t>
            </w:r>
          </w:p>
          <w:p w14:paraId="5F31EFBE">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境影</w:t>
            </w:r>
          </w:p>
          <w:p w14:paraId="77CD87A4">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响和</w:t>
            </w:r>
          </w:p>
          <w:p w14:paraId="0366F14E">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保护</w:t>
            </w:r>
          </w:p>
          <w:p w14:paraId="38E990A7">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措施</w:t>
            </w:r>
          </w:p>
        </w:tc>
        <w:tc>
          <w:tcPr>
            <w:tcW w:w="8309" w:type="dxa"/>
            <w:vAlign w:val="center"/>
          </w:tcPr>
          <w:p w14:paraId="463F389E">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本项目污染物产排根据项目实际结合《排污许可证申请与核发技术规范总则》（HJ942-2018）、《污染源源强核算技术指南准则》（HJ884-2018）采用类比法和估算法进行核算。</w:t>
            </w:r>
          </w:p>
          <w:p w14:paraId="39D95D75">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p>
          <w:p w14:paraId="36992B61">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1.废气</w:t>
            </w:r>
          </w:p>
          <w:p w14:paraId="53AA77B3">
            <w:pPr>
              <w:keepNext w:val="0"/>
              <w:keepLines w:val="0"/>
              <w:suppressLineNumbers w:val="0"/>
              <w:autoSpaceDE w:val="0"/>
              <w:autoSpaceDN w:val="0"/>
              <w:spacing w:before="0" w:beforeAutospacing="0" w:after="0" w:afterAutospacing="0" w:line="360" w:lineRule="auto"/>
              <w:ind w:left="0" w:right="0" w:firstLine="482" w:firstLineChars="200"/>
              <w:rPr>
                <w:rFonts w:hint="default"/>
                <w:b/>
                <w:color w:val="auto"/>
                <w:sz w:val="24"/>
              </w:rPr>
            </w:pPr>
            <w:r>
              <w:rPr>
                <w:rFonts w:hint="default"/>
                <w:b/>
                <w:color w:val="auto"/>
                <w:sz w:val="24"/>
              </w:rPr>
              <w:t>本项目大气为专项评价，大气环境影响分析详见大气专项评价，仅在此填写评价结论。</w:t>
            </w:r>
          </w:p>
          <w:p w14:paraId="2D90FD0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color w:val="auto"/>
                <w:sz w:val="24"/>
              </w:rPr>
            </w:pPr>
            <w:r>
              <w:rPr>
                <w:rFonts w:hint="default"/>
                <w:color w:val="auto"/>
                <w:sz w:val="24"/>
              </w:rPr>
              <w:t>项目运营期产生的废气主要为化学实验室配制溶液和样品分析时产生的硫酸雾、氯化氢、</w:t>
            </w:r>
            <w:r>
              <w:rPr>
                <w:rFonts w:hint="eastAsia"/>
                <w:color w:val="auto"/>
                <w:sz w:val="24"/>
                <w:lang w:val="en-US" w:eastAsia="zh-CN"/>
              </w:rPr>
              <w:t>氨、</w:t>
            </w:r>
            <w:r>
              <w:rPr>
                <w:rFonts w:hint="default"/>
                <w:color w:val="auto"/>
                <w:sz w:val="24"/>
              </w:rPr>
              <w:t>非甲烷总烃</w:t>
            </w:r>
            <w:r>
              <w:rPr>
                <w:rFonts w:hint="eastAsia"/>
                <w:color w:val="auto"/>
                <w:sz w:val="24"/>
                <w:lang w:val="en-US" w:eastAsia="zh-CN"/>
              </w:rPr>
              <w:t>和异味</w:t>
            </w:r>
            <w:r>
              <w:rPr>
                <w:rFonts w:hint="default"/>
                <w:color w:val="auto"/>
                <w:sz w:val="24"/>
              </w:rPr>
              <w:t>等；在沥青的马歇尔稳定度实验中，需要对沥青进行加热，该过程中会产生沥青烟和苯并[a]芘；在进行岩石，砂石料和混凝土样品预处理时会产生少量的粉尘</w:t>
            </w:r>
            <w:r>
              <w:rPr>
                <w:rFonts w:hint="eastAsia"/>
                <w:color w:val="auto"/>
                <w:sz w:val="24"/>
                <w:lang w:eastAsia="zh-CN"/>
              </w:rPr>
              <w:t>；</w:t>
            </w:r>
            <w:r>
              <w:rPr>
                <w:rFonts w:hint="eastAsia"/>
                <w:color w:val="auto"/>
                <w:sz w:val="24"/>
                <w:lang w:val="en-US" w:eastAsia="zh-CN"/>
              </w:rPr>
              <w:t>以及食堂产生的食堂油烟等</w:t>
            </w:r>
            <w:r>
              <w:rPr>
                <w:rFonts w:hint="default"/>
                <w:color w:val="auto"/>
                <w:sz w:val="24"/>
              </w:rPr>
              <w:t>。</w:t>
            </w:r>
            <w:r>
              <w:rPr>
                <w:rFonts w:hint="default"/>
                <w:b/>
                <w:color w:val="auto"/>
                <w:sz w:val="24"/>
              </w:rPr>
              <w:t>具体分析见大气专项评价。</w:t>
            </w:r>
          </w:p>
          <w:p w14:paraId="26DF8383">
            <w:pPr>
              <w:keepNext w:val="0"/>
              <w:keepLines w:val="0"/>
              <w:suppressLineNumbers w:val="0"/>
              <w:autoSpaceDE w:val="0"/>
              <w:autoSpaceDN w:val="0"/>
              <w:spacing w:before="0" w:beforeAutospacing="0" w:after="0" w:afterAutospacing="0" w:line="360" w:lineRule="auto"/>
              <w:ind w:left="0" w:right="0" w:firstLine="482" w:firstLineChars="200"/>
              <w:rPr>
                <w:rFonts w:hint="default"/>
                <w:b/>
                <w:color w:val="auto"/>
                <w:sz w:val="24"/>
              </w:rPr>
            </w:pPr>
            <w:r>
              <w:rPr>
                <w:rFonts w:hint="default"/>
                <w:b/>
                <w:color w:val="auto"/>
                <w:sz w:val="24"/>
              </w:rPr>
              <w:t>（1）废气污染源强产排情况</w:t>
            </w:r>
          </w:p>
          <w:p w14:paraId="79BBE8EF">
            <w:pPr>
              <w:keepNext w:val="0"/>
              <w:keepLines w:val="0"/>
              <w:suppressLineNumbers w:val="0"/>
              <w:autoSpaceDE w:val="0"/>
              <w:autoSpaceDN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本项目废气污染源强产排情况及治理措施见表4-1，大气排放口基本情况见表4-2。</w:t>
            </w:r>
          </w:p>
          <w:p w14:paraId="4CBBD807">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61CD9010">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1390403A">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30F08581">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21E1F455">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7D18D8E5">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2650F0A4">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226F8303">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7A034B40">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7BA7EC15">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2093A05A">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16EEF647">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6C1A1AE7">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1E5E886E">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580C54E2">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tc>
      </w:tr>
    </w:tbl>
    <w:p w14:paraId="5764BB5E">
      <w:pPr>
        <w:adjustRightInd w:val="0"/>
        <w:snapToGrid w:val="0"/>
        <w:spacing w:line="360" w:lineRule="auto"/>
        <w:rPr>
          <w:b/>
          <w:color w:val="auto"/>
          <w:kern w:val="0"/>
          <w:sz w:val="28"/>
          <w:szCs w:val="28"/>
        </w:rPr>
        <w:sectPr>
          <w:pgSz w:w="11907" w:h="16840"/>
          <w:pgMar w:top="1701" w:right="1531" w:bottom="2127" w:left="1531" w:header="851" w:footer="851" w:gutter="0"/>
          <w:pgNumType w:fmt="decimal"/>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977"/>
      </w:tblGrid>
      <w:tr w14:paraId="4CEC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3CBC91FF">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运营</w:t>
            </w:r>
          </w:p>
          <w:p w14:paraId="7DA947C5">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期环</w:t>
            </w:r>
          </w:p>
          <w:p w14:paraId="3F87E100">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境影</w:t>
            </w:r>
          </w:p>
          <w:p w14:paraId="1F44D0BC">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响和</w:t>
            </w:r>
          </w:p>
          <w:p w14:paraId="5990F30E">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 xml:space="preserve">保护 </w:t>
            </w:r>
          </w:p>
          <w:p w14:paraId="7B2F98C9">
            <w:pPr>
              <w:keepNext w:val="0"/>
              <w:keepLines w:val="0"/>
              <w:suppressLineNumbers w:val="0"/>
              <w:adjustRightInd w:val="0"/>
              <w:snapToGrid w:val="0"/>
              <w:spacing w:before="0" w:beforeAutospacing="0" w:after="0" w:afterAutospacing="0" w:line="360" w:lineRule="auto"/>
              <w:ind w:left="0" w:right="0"/>
              <w:jc w:val="center"/>
              <w:rPr>
                <w:rFonts w:hint="default" w:eastAsiaTheme="minorEastAsia"/>
                <w:color w:val="auto"/>
                <w:kern w:val="0"/>
                <w:sz w:val="24"/>
              </w:rPr>
            </w:pPr>
            <w:r>
              <w:rPr>
                <w:rFonts w:hint="default"/>
                <w:bCs/>
                <w:color w:val="auto"/>
                <w:szCs w:val="21"/>
              </w:rPr>
              <w:t>措施</w:t>
            </w:r>
          </w:p>
        </w:tc>
        <w:tc>
          <w:tcPr>
            <w:tcW w:w="12977" w:type="dxa"/>
          </w:tcPr>
          <w:p w14:paraId="1E461659">
            <w:pPr>
              <w:keepNext w:val="0"/>
              <w:keepLines w:val="0"/>
              <w:suppressLineNumbers w:val="0"/>
              <w:kinsoku w:val="0"/>
              <w:overflowPunct w:val="0"/>
              <w:spacing w:before="120" w:beforeLines="50" w:beforeAutospacing="0" w:after="0" w:afterAutospacing="0" w:line="240" w:lineRule="atLeast"/>
              <w:ind w:left="0" w:right="0"/>
              <w:contextualSpacing/>
              <w:jc w:val="center"/>
              <w:rPr>
                <w:rFonts w:hint="default"/>
                <w:b/>
                <w:bCs/>
                <w:color w:val="auto"/>
                <w:szCs w:val="21"/>
              </w:rPr>
            </w:pPr>
            <w:r>
              <w:rPr>
                <w:rFonts w:hint="default"/>
                <w:b/>
                <w:bCs/>
                <w:color w:val="auto"/>
                <w:szCs w:val="21"/>
              </w:rPr>
              <w:t>表4-1   本项目废气污染源强产排情况及治理措施一览表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702"/>
              <w:gridCol w:w="378"/>
              <w:gridCol w:w="378"/>
              <w:gridCol w:w="1169"/>
              <w:gridCol w:w="919"/>
              <w:gridCol w:w="1014"/>
              <w:gridCol w:w="378"/>
              <w:gridCol w:w="796"/>
              <w:gridCol w:w="854"/>
              <w:gridCol w:w="548"/>
              <w:gridCol w:w="687"/>
              <w:gridCol w:w="383"/>
              <w:gridCol w:w="378"/>
              <w:gridCol w:w="1169"/>
              <w:gridCol w:w="968"/>
              <w:gridCol w:w="1014"/>
              <w:gridCol w:w="638"/>
            </w:tblGrid>
            <w:tr w14:paraId="25BB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restart"/>
                  <w:vAlign w:val="center"/>
                </w:tcPr>
                <w:p w14:paraId="524F3980">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产排污环节</w:t>
                  </w:r>
                </w:p>
              </w:tc>
              <w:tc>
                <w:tcPr>
                  <w:tcW w:w="275" w:type="pct"/>
                  <w:vMerge w:val="restart"/>
                  <w:vAlign w:val="center"/>
                </w:tcPr>
                <w:p w14:paraId="19398906">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污染源</w:t>
                  </w:r>
                </w:p>
              </w:tc>
              <w:tc>
                <w:tcPr>
                  <w:tcW w:w="148" w:type="pct"/>
                  <w:vMerge w:val="restart"/>
                  <w:vAlign w:val="center"/>
                </w:tcPr>
                <w:p w14:paraId="01868962">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污染物</w:t>
                  </w:r>
                </w:p>
              </w:tc>
              <w:tc>
                <w:tcPr>
                  <w:tcW w:w="148" w:type="pct"/>
                  <w:vMerge w:val="restart"/>
                  <w:vAlign w:val="center"/>
                </w:tcPr>
                <w:p w14:paraId="71BFC9F2">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核算方法</w:t>
                  </w:r>
                </w:p>
              </w:tc>
              <w:tc>
                <w:tcPr>
                  <w:tcW w:w="1216" w:type="pct"/>
                  <w:gridSpan w:val="3"/>
                  <w:vAlign w:val="center"/>
                </w:tcPr>
                <w:p w14:paraId="173B3043">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污染物产生</w:t>
                  </w:r>
                </w:p>
              </w:tc>
              <w:tc>
                <w:tcPr>
                  <w:tcW w:w="148" w:type="pct"/>
                  <w:vMerge w:val="restart"/>
                  <w:vAlign w:val="center"/>
                </w:tcPr>
                <w:p w14:paraId="68B91FB9">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排放形式</w:t>
                  </w:r>
                </w:p>
              </w:tc>
              <w:tc>
                <w:tcPr>
                  <w:tcW w:w="1281" w:type="pct"/>
                  <w:gridSpan w:val="5"/>
                  <w:vAlign w:val="center"/>
                </w:tcPr>
                <w:p w14:paraId="40BCDD4E">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治理</w:t>
                  </w:r>
                  <w:r>
                    <w:rPr>
                      <w:rFonts w:hint="default"/>
                      <w:b/>
                      <w:bCs/>
                      <w:color w:val="auto"/>
                      <w:kern w:val="21"/>
                      <w:sz w:val="18"/>
                      <w:szCs w:val="18"/>
                      <w:highlight w:val="none"/>
                    </w:rPr>
                    <w:t>设施</w:t>
                  </w:r>
                </w:p>
              </w:tc>
              <w:tc>
                <w:tcPr>
                  <w:tcW w:w="1383" w:type="pct"/>
                  <w:gridSpan w:val="4"/>
                  <w:vAlign w:val="center"/>
                </w:tcPr>
                <w:p w14:paraId="5285D062">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污染物排放</w:t>
                  </w:r>
                </w:p>
              </w:tc>
              <w:tc>
                <w:tcPr>
                  <w:tcW w:w="250" w:type="pct"/>
                  <w:vMerge w:val="restart"/>
                  <w:vAlign w:val="center"/>
                </w:tcPr>
                <w:p w14:paraId="658A00FB">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排放时间（h）</w:t>
                  </w:r>
                </w:p>
              </w:tc>
            </w:tr>
            <w:tr w14:paraId="74F5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vAlign w:val="center"/>
                </w:tcPr>
                <w:p w14:paraId="3E147F45">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yellow"/>
                    </w:rPr>
                  </w:pPr>
                </w:p>
              </w:tc>
              <w:tc>
                <w:tcPr>
                  <w:tcW w:w="275" w:type="pct"/>
                  <w:vMerge w:val="continue"/>
                  <w:vAlign w:val="center"/>
                </w:tcPr>
                <w:p w14:paraId="4C80EAB8">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yellow"/>
                    </w:rPr>
                  </w:pPr>
                </w:p>
              </w:tc>
              <w:tc>
                <w:tcPr>
                  <w:tcW w:w="148" w:type="pct"/>
                  <w:vMerge w:val="continue"/>
                  <w:vAlign w:val="center"/>
                </w:tcPr>
                <w:p w14:paraId="611017DC">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yellow"/>
                    </w:rPr>
                  </w:pPr>
                </w:p>
              </w:tc>
              <w:tc>
                <w:tcPr>
                  <w:tcW w:w="148" w:type="pct"/>
                  <w:vMerge w:val="continue"/>
                  <w:vAlign w:val="center"/>
                </w:tcPr>
                <w:p w14:paraId="06C2BDB1">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yellow"/>
                    </w:rPr>
                  </w:pPr>
                </w:p>
              </w:tc>
              <w:tc>
                <w:tcPr>
                  <w:tcW w:w="458" w:type="pct"/>
                  <w:vAlign w:val="center"/>
                </w:tcPr>
                <w:p w14:paraId="4ADF281B">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产生量（kg/a）</w:t>
                  </w:r>
                </w:p>
              </w:tc>
              <w:tc>
                <w:tcPr>
                  <w:tcW w:w="360" w:type="pct"/>
                  <w:vAlign w:val="center"/>
                </w:tcPr>
                <w:p w14:paraId="76878747">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产生速率（</w:t>
                  </w:r>
                  <w:r>
                    <w:rPr>
                      <w:rFonts w:hint="eastAsia"/>
                      <w:b/>
                      <w:bCs/>
                      <w:color w:val="auto"/>
                      <w:kern w:val="0"/>
                      <w:sz w:val="18"/>
                      <w:szCs w:val="18"/>
                      <w:highlight w:val="none"/>
                      <w:lang w:val="en-US" w:eastAsia="zh-CN"/>
                    </w:rPr>
                    <w:t>k</w:t>
                  </w:r>
                  <w:r>
                    <w:rPr>
                      <w:rFonts w:hint="default"/>
                      <w:b/>
                      <w:bCs/>
                      <w:color w:val="auto"/>
                      <w:kern w:val="0"/>
                      <w:sz w:val="18"/>
                      <w:szCs w:val="18"/>
                      <w:highlight w:val="none"/>
                    </w:rPr>
                    <w:t>g/h）</w:t>
                  </w:r>
                </w:p>
              </w:tc>
              <w:tc>
                <w:tcPr>
                  <w:tcW w:w="397" w:type="pct"/>
                  <w:vAlign w:val="center"/>
                </w:tcPr>
                <w:p w14:paraId="595D97FF">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产生浓度（mg/m</w:t>
                  </w:r>
                  <w:r>
                    <w:rPr>
                      <w:rFonts w:hint="default"/>
                      <w:b/>
                      <w:bCs/>
                      <w:color w:val="auto"/>
                      <w:kern w:val="0"/>
                      <w:sz w:val="18"/>
                      <w:szCs w:val="18"/>
                      <w:highlight w:val="none"/>
                      <w:vertAlign w:val="superscript"/>
                    </w:rPr>
                    <w:t>3</w:t>
                  </w:r>
                  <w:r>
                    <w:rPr>
                      <w:rFonts w:hint="default"/>
                      <w:b/>
                      <w:bCs/>
                      <w:color w:val="auto"/>
                      <w:kern w:val="0"/>
                      <w:sz w:val="18"/>
                      <w:szCs w:val="18"/>
                      <w:highlight w:val="none"/>
                    </w:rPr>
                    <w:t>）</w:t>
                  </w:r>
                </w:p>
              </w:tc>
              <w:tc>
                <w:tcPr>
                  <w:tcW w:w="148" w:type="pct"/>
                  <w:vMerge w:val="continue"/>
                  <w:vAlign w:val="center"/>
                </w:tcPr>
                <w:p w14:paraId="190F13EE">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p>
              </w:tc>
              <w:tc>
                <w:tcPr>
                  <w:tcW w:w="312" w:type="pct"/>
                  <w:vAlign w:val="center"/>
                </w:tcPr>
                <w:p w14:paraId="26D90774">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风量（m</w:t>
                  </w:r>
                  <w:r>
                    <w:rPr>
                      <w:rFonts w:hint="default"/>
                      <w:b/>
                      <w:bCs/>
                      <w:color w:val="auto"/>
                      <w:kern w:val="0"/>
                      <w:sz w:val="18"/>
                      <w:szCs w:val="18"/>
                      <w:highlight w:val="none"/>
                      <w:vertAlign w:val="superscript"/>
                    </w:rPr>
                    <w:t>3</w:t>
                  </w:r>
                  <w:r>
                    <w:rPr>
                      <w:rFonts w:hint="default"/>
                      <w:b/>
                      <w:bCs/>
                      <w:color w:val="auto"/>
                      <w:kern w:val="0"/>
                      <w:sz w:val="18"/>
                      <w:szCs w:val="18"/>
                      <w:highlight w:val="none"/>
                    </w:rPr>
                    <w:t>/h）</w:t>
                  </w:r>
                </w:p>
              </w:tc>
              <w:tc>
                <w:tcPr>
                  <w:tcW w:w="334" w:type="pct"/>
                  <w:vAlign w:val="center"/>
                </w:tcPr>
                <w:p w14:paraId="01289B76">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治理工艺</w:t>
                  </w:r>
                </w:p>
              </w:tc>
              <w:tc>
                <w:tcPr>
                  <w:tcW w:w="214" w:type="pct"/>
                  <w:vAlign w:val="center"/>
                </w:tcPr>
                <w:p w14:paraId="19CE4EA1">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收集效率（</w:t>
                  </w:r>
                  <w:r>
                    <w:rPr>
                      <w:rFonts w:hint="default"/>
                      <w:color w:val="auto"/>
                      <w:kern w:val="0"/>
                      <w:sz w:val="18"/>
                      <w:szCs w:val="18"/>
                      <w:highlight w:val="none"/>
                    </w:rPr>
                    <w:t>%</w:t>
                  </w:r>
                  <w:r>
                    <w:rPr>
                      <w:rFonts w:hint="default"/>
                      <w:b/>
                      <w:bCs/>
                      <w:color w:val="auto"/>
                      <w:kern w:val="0"/>
                      <w:sz w:val="18"/>
                      <w:szCs w:val="18"/>
                      <w:highlight w:val="none"/>
                    </w:rPr>
                    <w:t>）</w:t>
                  </w:r>
                </w:p>
              </w:tc>
              <w:tc>
                <w:tcPr>
                  <w:tcW w:w="269" w:type="pct"/>
                  <w:vAlign w:val="center"/>
                </w:tcPr>
                <w:p w14:paraId="5AF13746">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治理工艺去除率（</w:t>
                  </w:r>
                  <w:r>
                    <w:rPr>
                      <w:rFonts w:hint="default"/>
                      <w:color w:val="auto"/>
                      <w:kern w:val="0"/>
                      <w:sz w:val="18"/>
                      <w:szCs w:val="18"/>
                      <w:highlight w:val="none"/>
                    </w:rPr>
                    <w:t>%</w:t>
                  </w:r>
                  <w:r>
                    <w:rPr>
                      <w:rFonts w:hint="default"/>
                      <w:b/>
                      <w:bCs/>
                      <w:color w:val="auto"/>
                      <w:kern w:val="0"/>
                      <w:sz w:val="18"/>
                      <w:szCs w:val="18"/>
                      <w:highlight w:val="none"/>
                    </w:rPr>
                    <w:t>）</w:t>
                  </w:r>
                </w:p>
              </w:tc>
              <w:tc>
                <w:tcPr>
                  <w:tcW w:w="150" w:type="pct"/>
                  <w:vAlign w:val="center"/>
                </w:tcPr>
                <w:p w14:paraId="4E5B0D56">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是否为可行技术</w:t>
                  </w:r>
                </w:p>
              </w:tc>
              <w:tc>
                <w:tcPr>
                  <w:tcW w:w="148" w:type="pct"/>
                  <w:vAlign w:val="center"/>
                </w:tcPr>
                <w:p w14:paraId="46E30626">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核算方法</w:t>
                  </w:r>
                </w:p>
              </w:tc>
              <w:tc>
                <w:tcPr>
                  <w:tcW w:w="458" w:type="pct"/>
                  <w:vAlign w:val="center"/>
                </w:tcPr>
                <w:p w14:paraId="3256213D">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排放量（kg/a）</w:t>
                  </w:r>
                </w:p>
              </w:tc>
              <w:tc>
                <w:tcPr>
                  <w:tcW w:w="379" w:type="pct"/>
                  <w:vAlign w:val="center"/>
                </w:tcPr>
                <w:p w14:paraId="7BDD8881">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排放速率（</w:t>
                  </w:r>
                  <w:r>
                    <w:rPr>
                      <w:rFonts w:hint="eastAsia"/>
                      <w:b/>
                      <w:bCs/>
                      <w:color w:val="auto"/>
                      <w:kern w:val="0"/>
                      <w:sz w:val="18"/>
                      <w:szCs w:val="18"/>
                      <w:highlight w:val="none"/>
                      <w:lang w:val="en-US" w:eastAsia="zh-CN"/>
                    </w:rPr>
                    <w:t>k</w:t>
                  </w:r>
                  <w:r>
                    <w:rPr>
                      <w:rFonts w:hint="default"/>
                      <w:b/>
                      <w:bCs/>
                      <w:color w:val="auto"/>
                      <w:kern w:val="0"/>
                      <w:sz w:val="18"/>
                      <w:szCs w:val="18"/>
                      <w:highlight w:val="none"/>
                    </w:rPr>
                    <w:t>g/h）</w:t>
                  </w:r>
                </w:p>
              </w:tc>
              <w:tc>
                <w:tcPr>
                  <w:tcW w:w="397" w:type="pct"/>
                  <w:vAlign w:val="center"/>
                </w:tcPr>
                <w:p w14:paraId="32550372">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none"/>
                    </w:rPr>
                  </w:pPr>
                  <w:r>
                    <w:rPr>
                      <w:rFonts w:hint="default"/>
                      <w:b/>
                      <w:bCs/>
                      <w:color w:val="auto"/>
                      <w:kern w:val="0"/>
                      <w:sz w:val="18"/>
                      <w:szCs w:val="18"/>
                      <w:highlight w:val="none"/>
                    </w:rPr>
                    <w:t>排放浓度（mg/m</w:t>
                  </w:r>
                  <w:r>
                    <w:rPr>
                      <w:rFonts w:hint="default"/>
                      <w:b/>
                      <w:bCs/>
                      <w:color w:val="auto"/>
                      <w:kern w:val="0"/>
                      <w:sz w:val="18"/>
                      <w:szCs w:val="18"/>
                      <w:highlight w:val="none"/>
                      <w:vertAlign w:val="superscript"/>
                    </w:rPr>
                    <w:t>3</w:t>
                  </w:r>
                  <w:r>
                    <w:rPr>
                      <w:rFonts w:hint="default"/>
                      <w:b/>
                      <w:bCs/>
                      <w:color w:val="auto"/>
                      <w:kern w:val="0"/>
                      <w:sz w:val="18"/>
                      <w:szCs w:val="18"/>
                      <w:highlight w:val="none"/>
                    </w:rPr>
                    <w:t>）</w:t>
                  </w:r>
                </w:p>
              </w:tc>
              <w:tc>
                <w:tcPr>
                  <w:tcW w:w="250" w:type="pct"/>
                  <w:vMerge w:val="continue"/>
                  <w:vAlign w:val="center"/>
                </w:tcPr>
                <w:p w14:paraId="619BA92E">
                  <w:pPr>
                    <w:keepNext w:val="0"/>
                    <w:keepLines w:val="0"/>
                    <w:widowControl/>
                    <w:suppressLineNumbers w:val="0"/>
                    <w:spacing w:before="0" w:beforeAutospacing="0" w:after="0" w:afterAutospacing="0"/>
                    <w:ind w:left="0" w:right="0"/>
                    <w:jc w:val="center"/>
                    <w:rPr>
                      <w:rFonts w:hint="default"/>
                      <w:b/>
                      <w:bCs/>
                      <w:color w:val="auto"/>
                      <w:kern w:val="0"/>
                      <w:sz w:val="18"/>
                      <w:szCs w:val="18"/>
                      <w:highlight w:val="yellow"/>
                    </w:rPr>
                  </w:pPr>
                </w:p>
              </w:tc>
            </w:tr>
            <w:tr w14:paraId="4E29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restart"/>
                  <w:vAlign w:val="center"/>
                </w:tcPr>
                <w:p w14:paraId="5C4A8D7D">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化学实验室</w:t>
                  </w:r>
                </w:p>
              </w:tc>
              <w:tc>
                <w:tcPr>
                  <w:tcW w:w="275" w:type="pct"/>
                  <w:vMerge w:val="restart"/>
                  <w:vAlign w:val="center"/>
                </w:tcPr>
                <w:p w14:paraId="1673C30A">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DA001排气筒</w:t>
                  </w:r>
                </w:p>
              </w:tc>
              <w:tc>
                <w:tcPr>
                  <w:tcW w:w="148" w:type="pct"/>
                  <w:vAlign w:val="center"/>
                </w:tcPr>
                <w:p w14:paraId="2399E09C">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非甲烷总烃</w:t>
                  </w:r>
                </w:p>
              </w:tc>
              <w:tc>
                <w:tcPr>
                  <w:tcW w:w="148" w:type="pct"/>
                  <w:vMerge w:val="restart"/>
                  <w:vAlign w:val="center"/>
                </w:tcPr>
                <w:p w14:paraId="7AA0A646">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产污系数法</w:t>
                  </w:r>
                </w:p>
              </w:tc>
              <w:tc>
                <w:tcPr>
                  <w:tcW w:w="458" w:type="pct"/>
                  <w:vAlign w:val="center"/>
                </w:tcPr>
                <w:p w14:paraId="04350C62">
                  <w:pPr>
                    <w:keepNext w:val="0"/>
                    <w:keepLines w:val="0"/>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0.09832</w:t>
                  </w:r>
                </w:p>
              </w:tc>
              <w:tc>
                <w:tcPr>
                  <w:tcW w:w="360" w:type="pct"/>
                  <w:vAlign w:val="center"/>
                </w:tcPr>
                <w:p w14:paraId="23DD1AA2">
                  <w:pPr>
                    <w:keepNext w:val="0"/>
                    <w:keepLines w:val="0"/>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default"/>
                      <w:color w:val="auto"/>
                      <w:kern w:val="0"/>
                      <w:sz w:val="18"/>
                      <w:szCs w:val="18"/>
                      <w:highlight w:val="none"/>
                    </w:rPr>
                    <w:t>0.</w:t>
                  </w:r>
                  <w:r>
                    <w:rPr>
                      <w:rFonts w:hint="eastAsia"/>
                      <w:color w:val="auto"/>
                      <w:kern w:val="0"/>
                      <w:sz w:val="18"/>
                      <w:szCs w:val="18"/>
                      <w:highlight w:val="none"/>
                      <w:lang w:val="en-US" w:eastAsia="zh-CN"/>
                    </w:rPr>
                    <w:t>000041</w:t>
                  </w:r>
                </w:p>
              </w:tc>
              <w:tc>
                <w:tcPr>
                  <w:tcW w:w="397" w:type="pct"/>
                  <w:vAlign w:val="center"/>
                </w:tcPr>
                <w:p w14:paraId="2A6C23C1">
                  <w:pPr>
                    <w:keepNext w:val="0"/>
                    <w:keepLines w:val="0"/>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default"/>
                      <w:color w:val="auto"/>
                      <w:kern w:val="0"/>
                      <w:sz w:val="18"/>
                      <w:szCs w:val="18"/>
                      <w:highlight w:val="none"/>
                    </w:rPr>
                    <w:t>0.</w:t>
                  </w:r>
                  <w:r>
                    <w:rPr>
                      <w:rFonts w:hint="eastAsia"/>
                      <w:color w:val="auto"/>
                      <w:kern w:val="0"/>
                      <w:sz w:val="18"/>
                      <w:szCs w:val="18"/>
                      <w:highlight w:val="none"/>
                      <w:lang w:val="en-US" w:eastAsia="zh-CN"/>
                    </w:rPr>
                    <w:t>00386</w:t>
                  </w:r>
                </w:p>
              </w:tc>
              <w:tc>
                <w:tcPr>
                  <w:tcW w:w="148" w:type="pct"/>
                  <w:vMerge w:val="restart"/>
                  <w:vAlign w:val="center"/>
                </w:tcPr>
                <w:p w14:paraId="563FCA14">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有组织</w:t>
                  </w:r>
                </w:p>
              </w:tc>
              <w:tc>
                <w:tcPr>
                  <w:tcW w:w="312" w:type="pct"/>
                  <w:vMerge w:val="restart"/>
                  <w:vAlign w:val="center"/>
                </w:tcPr>
                <w:p w14:paraId="78BEA9F3">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10600</w:t>
                  </w:r>
                </w:p>
              </w:tc>
              <w:tc>
                <w:tcPr>
                  <w:tcW w:w="334" w:type="pct"/>
                  <w:vMerge w:val="restart"/>
                  <w:vAlign w:val="center"/>
                </w:tcPr>
                <w:p w14:paraId="1CCB4473">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通风橱</w:t>
                  </w:r>
                  <w:r>
                    <w:rPr>
                      <w:rFonts w:hint="eastAsia"/>
                      <w:color w:val="auto"/>
                      <w:kern w:val="0"/>
                      <w:sz w:val="18"/>
                      <w:szCs w:val="18"/>
                      <w:highlight w:val="none"/>
                      <w:lang w:eastAsia="zh-CN"/>
                    </w:rPr>
                    <w:t>、</w:t>
                  </w:r>
                  <w:r>
                    <w:rPr>
                      <w:rFonts w:hint="eastAsia"/>
                      <w:color w:val="auto"/>
                      <w:kern w:val="0"/>
                      <w:sz w:val="18"/>
                      <w:szCs w:val="18"/>
                      <w:highlight w:val="none"/>
                      <w:lang w:val="en-US" w:eastAsia="zh-CN"/>
                    </w:rPr>
                    <w:t>集气罩+喷淋设施</w:t>
                  </w:r>
                  <w:r>
                    <w:rPr>
                      <w:rFonts w:hint="default"/>
                      <w:color w:val="auto"/>
                      <w:kern w:val="0"/>
                      <w:sz w:val="18"/>
                      <w:szCs w:val="18"/>
                      <w:highlight w:val="none"/>
                    </w:rPr>
                    <w:t>+</w:t>
                  </w:r>
                  <w:r>
                    <w:rPr>
                      <w:rFonts w:hint="eastAsia"/>
                      <w:color w:val="auto"/>
                      <w:kern w:val="0"/>
                      <w:sz w:val="18"/>
                      <w:szCs w:val="18"/>
                      <w:highlight w:val="none"/>
                      <w:lang w:val="en-US" w:eastAsia="zh-CN"/>
                    </w:rPr>
                    <w:t>1#二级</w:t>
                  </w:r>
                  <w:r>
                    <w:rPr>
                      <w:rFonts w:hint="default"/>
                      <w:color w:val="auto"/>
                      <w:kern w:val="0"/>
                      <w:sz w:val="18"/>
                      <w:szCs w:val="18"/>
                      <w:highlight w:val="none"/>
                    </w:rPr>
                    <w:t>活性炭吸附装置+ 1</w:t>
                  </w:r>
                  <w:r>
                    <w:rPr>
                      <w:rFonts w:hint="eastAsia"/>
                      <w:color w:val="auto"/>
                      <w:kern w:val="0"/>
                      <w:sz w:val="18"/>
                      <w:szCs w:val="18"/>
                      <w:highlight w:val="none"/>
                      <w:lang w:val="en-US" w:eastAsia="zh-CN"/>
                    </w:rPr>
                    <w:t>5</w:t>
                  </w:r>
                  <w:r>
                    <w:rPr>
                      <w:rFonts w:hint="default"/>
                      <w:color w:val="auto"/>
                      <w:kern w:val="0"/>
                      <w:sz w:val="18"/>
                      <w:szCs w:val="18"/>
                      <w:highlight w:val="none"/>
                    </w:rPr>
                    <w:t>m排气筒</w:t>
                  </w:r>
                </w:p>
              </w:tc>
              <w:tc>
                <w:tcPr>
                  <w:tcW w:w="214" w:type="pct"/>
                  <w:vMerge w:val="restart"/>
                  <w:vAlign w:val="center"/>
                </w:tcPr>
                <w:p w14:paraId="448F6F81">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90%</w:t>
                  </w:r>
                </w:p>
              </w:tc>
              <w:tc>
                <w:tcPr>
                  <w:tcW w:w="269" w:type="pct"/>
                  <w:vAlign w:val="center"/>
                </w:tcPr>
                <w:p w14:paraId="00F5FE21">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eastAsia"/>
                      <w:color w:val="auto"/>
                      <w:kern w:val="0"/>
                      <w:sz w:val="18"/>
                      <w:szCs w:val="18"/>
                      <w:highlight w:val="none"/>
                      <w:lang w:val="en-US" w:eastAsia="zh-CN"/>
                    </w:rPr>
                    <w:t>75</w:t>
                  </w:r>
                  <w:r>
                    <w:rPr>
                      <w:rFonts w:hint="default"/>
                      <w:color w:val="auto"/>
                      <w:kern w:val="0"/>
                      <w:sz w:val="18"/>
                      <w:szCs w:val="18"/>
                      <w:highlight w:val="none"/>
                    </w:rPr>
                    <w:t>%</w:t>
                  </w:r>
                </w:p>
              </w:tc>
              <w:tc>
                <w:tcPr>
                  <w:tcW w:w="150" w:type="pct"/>
                  <w:vMerge w:val="restart"/>
                  <w:vAlign w:val="center"/>
                </w:tcPr>
                <w:p w14:paraId="698E490F">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是</w:t>
                  </w:r>
                </w:p>
              </w:tc>
              <w:tc>
                <w:tcPr>
                  <w:tcW w:w="148" w:type="pct"/>
                  <w:vMerge w:val="restart"/>
                  <w:vAlign w:val="center"/>
                </w:tcPr>
                <w:p w14:paraId="6D5DB2B5">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排污系数法</w:t>
                  </w:r>
                </w:p>
              </w:tc>
              <w:tc>
                <w:tcPr>
                  <w:tcW w:w="458" w:type="pct"/>
                  <w:vAlign w:val="center"/>
                </w:tcPr>
                <w:p w14:paraId="526119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0.0221 </w:t>
                  </w:r>
                </w:p>
              </w:tc>
              <w:tc>
                <w:tcPr>
                  <w:tcW w:w="379" w:type="pct"/>
                  <w:vAlign w:val="center"/>
                </w:tcPr>
                <w:p w14:paraId="41978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0.000009 </w:t>
                  </w:r>
                </w:p>
              </w:tc>
              <w:tc>
                <w:tcPr>
                  <w:tcW w:w="397" w:type="pct"/>
                  <w:vAlign w:val="center"/>
                </w:tcPr>
                <w:p w14:paraId="2D5F9C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0.0009 </w:t>
                  </w:r>
                </w:p>
              </w:tc>
              <w:tc>
                <w:tcPr>
                  <w:tcW w:w="250" w:type="pct"/>
                  <w:vMerge w:val="restart"/>
                  <w:vAlign w:val="center"/>
                </w:tcPr>
                <w:p w14:paraId="579A6E10">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2400</w:t>
                  </w:r>
                </w:p>
              </w:tc>
            </w:tr>
            <w:tr w14:paraId="771B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vAlign w:val="center"/>
                </w:tcPr>
                <w:p w14:paraId="733AEAC2">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75" w:type="pct"/>
                  <w:vMerge w:val="continue"/>
                  <w:vAlign w:val="center"/>
                </w:tcPr>
                <w:p w14:paraId="29485D62">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148" w:type="pct"/>
                  <w:vAlign w:val="center"/>
                </w:tcPr>
                <w:p w14:paraId="3E368EBF">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氯化氢</w:t>
                  </w:r>
                </w:p>
              </w:tc>
              <w:tc>
                <w:tcPr>
                  <w:tcW w:w="148" w:type="pct"/>
                  <w:vMerge w:val="continue"/>
                  <w:vAlign w:val="center"/>
                </w:tcPr>
                <w:p w14:paraId="5421042E">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458" w:type="pct"/>
                  <w:vAlign w:val="center"/>
                </w:tcPr>
                <w:p w14:paraId="5DA20944">
                  <w:pPr>
                    <w:keepNext w:val="0"/>
                    <w:keepLines w:val="0"/>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0.2929</w:t>
                  </w:r>
                </w:p>
              </w:tc>
              <w:tc>
                <w:tcPr>
                  <w:tcW w:w="360" w:type="pct"/>
                  <w:vAlign w:val="center"/>
                </w:tcPr>
                <w:p w14:paraId="1556C57D">
                  <w:pPr>
                    <w:keepNext w:val="0"/>
                    <w:keepLines w:val="0"/>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default"/>
                      <w:color w:val="auto"/>
                      <w:kern w:val="0"/>
                      <w:sz w:val="18"/>
                      <w:szCs w:val="18"/>
                      <w:highlight w:val="none"/>
                    </w:rPr>
                    <w:t>0.0</w:t>
                  </w:r>
                  <w:r>
                    <w:rPr>
                      <w:rFonts w:hint="eastAsia"/>
                      <w:color w:val="auto"/>
                      <w:kern w:val="0"/>
                      <w:sz w:val="18"/>
                      <w:szCs w:val="18"/>
                      <w:highlight w:val="none"/>
                      <w:lang w:val="en-US" w:eastAsia="zh-CN"/>
                    </w:rPr>
                    <w:t>00122</w:t>
                  </w:r>
                </w:p>
              </w:tc>
              <w:tc>
                <w:tcPr>
                  <w:tcW w:w="397" w:type="pct"/>
                  <w:vAlign w:val="center"/>
                </w:tcPr>
                <w:p w14:paraId="18308088">
                  <w:pPr>
                    <w:keepNext w:val="0"/>
                    <w:keepLines w:val="0"/>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default"/>
                      <w:color w:val="auto"/>
                      <w:kern w:val="0"/>
                      <w:sz w:val="18"/>
                      <w:szCs w:val="18"/>
                      <w:highlight w:val="none"/>
                    </w:rPr>
                    <w:t>0.</w:t>
                  </w:r>
                  <w:r>
                    <w:rPr>
                      <w:rFonts w:hint="eastAsia"/>
                      <w:color w:val="auto"/>
                      <w:kern w:val="0"/>
                      <w:sz w:val="18"/>
                      <w:szCs w:val="18"/>
                      <w:highlight w:val="none"/>
                      <w:lang w:val="en-US" w:eastAsia="zh-CN"/>
                    </w:rPr>
                    <w:t>0115</w:t>
                  </w:r>
                </w:p>
              </w:tc>
              <w:tc>
                <w:tcPr>
                  <w:tcW w:w="148" w:type="pct"/>
                  <w:vMerge w:val="continue"/>
                  <w:vAlign w:val="center"/>
                </w:tcPr>
                <w:p w14:paraId="2F58D86A">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312" w:type="pct"/>
                  <w:vMerge w:val="continue"/>
                  <w:vAlign w:val="center"/>
                </w:tcPr>
                <w:p w14:paraId="1FFB8DDC">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34" w:type="pct"/>
                  <w:vMerge w:val="continue"/>
                  <w:vAlign w:val="center"/>
                </w:tcPr>
                <w:p w14:paraId="4A18E3BB">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14" w:type="pct"/>
                  <w:vMerge w:val="continue"/>
                  <w:vAlign w:val="center"/>
                </w:tcPr>
                <w:p w14:paraId="084084CC">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69" w:type="pct"/>
                  <w:vMerge w:val="restart"/>
                  <w:vAlign w:val="center"/>
                </w:tcPr>
                <w:p w14:paraId="4750476C">
                  <w:pPr>
                    <w:keepNext w:val="0"/>
                    <w:keepLines w:val="0"/>
                    <w:suppressLineNumbers w:val="0"/>
                    <w:spacing w:before="0" w:beforeAutospacing="0" w:after="0" w:afterAutospacing="0"/>
                    <w:ind w:left="0" w:right="0"/>
                    <w:jc w:val="center"/>
                    <w:rPr>
                      <w:rFonts w:hint="default"/>
                      <w:color w:val="auto"/>
                      <w:kern w:val="0"/>
                      <w:sz w:val="18"/>
                      <w:szCs w:val="18"/>
                      <w:highlight w:val="yellow"/>
                    </w:rPr>
                  </w:pPr>
                  <w:r>
                    <w:rPr>
                      <w:rFonts w:hint="eastAsia"/>
                      <w:color w:val="auto"/>
                      <w:kern w:val="0"/>
                      <w:sz w:val="18"/>
                      <w:szCs w:val="18"/>
                      <w:highlight w:val="none"/>
                      <w:lang w:val="en-US" w:eastAsia="zh-CN"/>
                    </w:rPr>
                    <w:t>8</w:t>
                  </w:r>
                  <w:r>
                    <w:rPr>
                      <w:rFonts w:hint="default"/>
                      <w:color w:val="auto"/>
                      <w:kern w:val="0"/>
                      <w:sz w:val="18"/>
                      <w:szCs w:val="18"/>
                      <w:highlight w:val="none"/>
                    </w:rPr>
                    <w:t>0%</w:t>
                  </w:r>
                </w:p>
              </w:tc>
              <w:tc>
                <w:tcPr>
                  <w:tcW w:w="150" w:type="pct"/>
                  <w:vMerge w:val="continue"/>
                  <w:vAlign w:val="center"/>
                </w:tcPr>
                <w:p w14:paraId="17CECC25">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148" w:type="pct"/>
                  <w:vMerge w:val="continue"/>
                  <w:vAlign w:val="center"/>
                </w:tcPr>
                <w:p w14:paraId="2BAD2BD4">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458" w:type="pct"/>
                  <w:vAlign w:val="center"/>
                </w:tcPr>
                <w:p w14:paraId="5B668374">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 xml:space="preserve">0.053 </w:t>
                  </w:r>
                </w:p>
              </w:tc>
              <w:tc>
                <w:tcPr>
                  <w:tcW w:w="379" w:type="pct"/>
                  <w:vAlign w:val="center"/>
                </w:tcPr>
                <w:p w14:paraId="14FC4925">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0.000022</w:t>
                  </w:r>
                </w:p>
              </w:tc>
              <w:tc>
                <w:tcPr>
                  <w:tcW w:w="397" w:type="pct"/>
                  <w:vAlign w:val="center"/>
                </w:tcPr>
                <w:p w14:paraId="3B85647F">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 xml:space="preserve">0.0021 </w:t>
                  </w:r>
                </w:p>
              </w:tc>
              <w:tc>
                <w:tcPr>
                  <w:tcW w:w="250" w:type="pct"/>
                  <w:vMerge w:val="continue"/>
                  <w:vAlign w:val="center"/>
                </w:tcPr>
                <w:p w14:paraId="57E015C2">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r>
            <w:tr w14:paraId="2821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vAlign w:val="center"/>
                </w:tcPr>
                <w:p w14:paraId="4870B0A2">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75" w:type="pct"/>
                  <w:vMerge w:val="continue"/>
                  <w:vAlign w:val="center"/>
                </w:tcPr>
                <w:p w14:paraId="44A34158">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148" w:type="pct"/>
                  <w:vAlign w:val="center"/>
                </w:tcPr>
                <w:p w14:paraId="2C1B2D5B">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硫酸雾</w:t>
                  </w:r>
                </w:p>
              </w:tc>
              <w:tc>
                <w:tcPr>
                  <w:tcW w:w="148" w:type="pct"/>
                  <w:vMerge w:val="continue"/>
                  <w:vAlign w:val="center"/>
                </w:tcPr>
                <w:p w14:paraId="66574FA2">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458" w:type="pct"/>
                  <w:vAlign w:val="center"/>
                </w:tcPr>
                <w:p w14:paraId="13439544">
                  <w:pPr>
                    <w:keepNext w:val="0"/>
                    <w:keepLines w:val="0"/>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2.9416</w:t>
                  </w:r>
                </w:p>
              </w:tc>
              <w:tc>
                <w:tcPr>
                  <w:tcW w:w="360" w:type="pct"/>
                  <w:vAlign w:val="center"/>
                </w:tcPr>
                <w:p w14:paraId="47E87BC1">
                  <w:pPr>
                    <w:keepNext w:val="0"/>
                    <w:keepLines w:val="0"/>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0.00123</w:t>
                  </w:r>
                </w:p>
              </w:tc>
              <w:tc>
                <w:tcPr>
                  <w:tcW w:w="397" w:type="pct"/>
                  <w:vAlign w:val="center"/>
                </w:tcPr>
                <w:p w14:paraId="24261BF9">
                  <w:pPr>
                    <w:keepNext w:val="0"/>
                    <w:keepLines w:val="0"/>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0.116</w:t>
                  </w:r>
                </w:p>
              </w:tc>
              <w:tc>
                <w:tcPr>
                  <w:tcW w:w="148" w:type="pct"/>
                  <w:vMerge w:val="continue"/>
                  <w:vAlign w:val="center"/>
                </w:tcPr>
                <w:p w14:paraId="3EB41EC6">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312" w:type="pct"/>
                  <w:vMerge w:val="continue"/>
                  <w:vAlign w:val="center"/>
                </w:tcPr>
                <w:p w14:paraId="03FA33C0">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34" w:type="pct"/>
                  <w:vMerge w:val="continue"/>
                  <w:vAlign w:val="center"/>
                </w:tcPr>
                <w:p w14:paraId="2796CD85">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14" w:type="pct"/>
                  <w:vMerge w:val="continue"/>
                  <w:vAlign w:val="center"/>
                </w:tcPr>
                <w:p w14:paraId="6810DFCA">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69" w:type="pct"/>
                  <w:vMerge w:val="continue"/>
                  <w:vAlign w:val="center"/>
                </w:tcPr>
                <w:p w14:paraId="412E1F4F">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150" w:type="pct"/>
                  <w:vMerge w:val="continue"/>
                  <w:vAlign w:val="center"/>
                </w:tcPr>
                <w:p w14:paraId="78C98F05">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148" w:type="pct"/>
                  <w:vMerge w:val="continue"/>
                  <w:vAlign w:val="center"/>
                </w:tcPr>
                <w:p w14:paraId="06806058">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458" w:type="pct"/>
                  <w:vAlign w:val="center"/>
                </w:tcPr>
                <w:p w14:paraId="02626E25">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 xml:space="preserve">0.529 </w:t>
                  </w:r>
                </w:p>
              </w:tc>
              <w:tc>
                <w:tcPr>
                  <w:tcW w:w="379" w:type="pct"/>
                  <w:vAlign w:val="center"/>
                </w:tcPr>
                <w:p w14:paraId="0FA9C14B">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 xml:space="preserve">0.000221 </w:t>
                  </w:r>
                </w:p>
              </w:tc>
              <w:tc>
                <w:tcPr>
                  <w:tcW w:w="397" w:type="pct"/>
                  <w:vAlign w:val="center"/>
                </w:tcPr>
                <w:p w14:paraId="2D6CD327">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 xml:space="preserve">0.0208 </w:t>
                  </w:r>
                </w:p>
              </w:tc>
              <w:tc>
                <w:tcPr>
                  <w:tcW w:w="250" w:type="pct"/>
                  <w:vMerge w:val="continue"/>
                  <w:vAlign w:val="center"/>
                </w:tcPr>
                <w:p w14:paraId="418023D4">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r>
            <w:tr w14:paraId="0664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vAlign w:val="center"/>
                </w:tcPr>
                <w:p w14:paraId="08836025">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75" w:type="pct"/>
                  <w:vMerge w:val="continue"/>
                  <w:vAlign w:val="center"/>
                </w:tcPr>
                <w:p w14:paraId="2A6EBCD4">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148" w:type="pct"/>
                  <w:vAlign w:val="center"/>
                </w:tcPr>
                <w:p w14:paraId="27E3C9AD">
                  <w:pPr>
                    <w:keepNext w:val="0"/>
                    <w:keepLines w:val="0"/>
                    <w:suppressLineNumbers w:val="0"/>
                    <w:spacing w:before="0" w:beforeAutospacing="0" w:after="0" w:afterAutospacing="0"/>
                    <w:ind w:left="0" w:right="0"/>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氨</w:t>
                  </w:r>
                </w:p>
              </w:tc>
              <w:tc>
                <w:tcPr>
                  <w:tcW w:w="148" w:type="pct"/>
                  <w:vMerge w:val="continue"/>
                  <w:vAlign w:val="center"/>
                </w:tcPr>
                <w:p w14:paraId="75C53EA1">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458" w:type="pct"/>
                  <w:vAlign w:val="center"/>
                </w:tcPr>
                <w:p w14:paraId="711F5D9F">
                  <w:pPr>
                    <w:keepNext w:val="0"/>
                    <w:keepLines w:val="0"/>
                    <w:suppressLineNumbers w:val="0"/>
                    <w:spacing w:before="0" w:beforeAutospacing="0" w:after="0" w:afterAutospacing="0"/>
                    <w:ind w:left="0" w:right="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0.455</w:t>
                  </w:r>
                </w:p>
              </w:tc>
              <w:tc>
                <w:tcPr>
                  <w:tcW w:w="360" w:type="pct"/>
                  <w:vAlign w:val="center"/>
                </w:tcPr>
                <w:p w14:paraId="58C08C42">
                  <w:pPr>
                    <w:keepNext w:val="0"/>
                    <w:keepLines w:val="0"/>
                    <w:suppressLineNumbers w:val="0"/>
                    <w:spacing w:before="0" w:beforeAutospacing="0" w:after="0" w:afterAutospacing="0"/>
                    <w:ind w:left="0" w:right="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0.00019</w:t>
                  </w:r>
                </w:p>
              </w:tc>
              <w:tc>
                <w:tcPr>
                  <w:tcW w:w="397" w:type="pct"/>
                  <w:vAlign w:val="center"/>
                </w:tcPr>
                <w:p w14:paraId="5E3D8097">
                  <w:pPr>
                    <w:keepNext w:val="0"/>
                    <w:keepLines w:val="0"/>
                    <w:suppressLineNumbers w:val="0"/>
                    <w:spacing w:before="0" w:beforeAutospacing="0" w:after="0" w:afterAutospacing="0"/>
                    <w:ind w:left="0" w:right="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0.018</w:t>
                  </w:r>
                </w:p>
              </w:tc>
              <w:tc>
                <w:tcPr>
                  <w:tcW w:w="148" w:type="pct"/>
                  <w:vMerge w:val="continue"/>
                  <w:vAlign w:val="center"/>
                </w:tcPr>
                <w:p w14:paraId="512D82F6">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312" w:type="pct"/>
                  <w:vMerge w:val="continue"/>
                  <w:vAlign w:val="center"/>
                </w:tcPr>
                <w:p w14:paraId="631F5647">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34" w:type="pct"/>
                  <w:vMerge w:val="continue"/>
                  <w:vAlign w:val="center"/>
                </w:tcPr>
                <w:p w14:paraId="64AA0D37">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14" w:type="pct"/>
                  <w:vMerge w:val="continue"/>
                  <w:vAlign w:val="center"/>
                </w:tcPr>
                <w:p w14:paraId="43A5010A">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69" w:type="pct"/>
                  <w:vMerge w:val="continue"/>
                  <w:vAlign w:val="center"/>
                </w:tcPr>
                <w:p w14:paraId="06D0C5B4">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150" w:type="pct"/>
                  <w:vMerge w:val="continue"/>
                  <w:vAlign w:val="center"/>
                </w:tcPr>
                <w:p w14:paraId="49CEB2C4">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148" w:type="pct"/>
                  <w:vMerge w:val="continue"/>
                  <w:vAlign w:val="center"/>
                </w:tcPr>
                <w:p w14:paraId="66C13684">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458" w:type="pct"/>
                  <w:vAlign w:val="center"/>
                </w:tcPr>
                <w:p w14:paraId="465C7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18"/>
                      <w:szCs w:val="18"/>
                      <w:highlight w:val="yellow"/>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0.0819</w:t>
                  </w:r>
                </w:p>
              </w:tc>
              <w:tc>
                <w:tcPr>
                  <w:tcW w:w="379" w:type="pct"/>
                  <w:vAlign w:val="center"/>
                </w:tcPr>
                <w:p w14:paraId="0F05A2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18"/>
                      <w:szCs w:val="18"/>
                      <w:highlight w:val="yellow"/>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0.000034</w:t>
                  </w:r>
                </w:p>
              </w:tc>
              <w:tc>
                <w:tcPr>
                  <w:tcW w:w="397" w:type="pct"/>
                  <w:vAlign w:val="center"/>
                </w:tcPr>
                <w:p w14:paraId="2F7AF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18"/>
                      <w:szCs w:val="18"/>
                      <w:highlight w:val="yellow"/>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0.00322</w:t>
                  </w:r>
                </w:p>
              </w:tc>
              <w:tc>
                <w:tcPr>
                  <w:tcW w:w="250" w:type="pct"/>
                  <w:vMerge w:val="continue"/>
                  <w:vAlign w:val="center"/>
                </w:tcPr>
                <w:p w14:paraId="5DB43444">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r>
            <w:tr w14:paraId="6145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148" w:type="pct"/>
                  <w:vMerge w:val="restart"/>
                  <w:vAlign w:val="center"/>
                </w:tcPr>
                <w:p w14:paraId="5227214D">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沥青实验室</w:t>
                  </w:r>
                </w:p>
              </w:tc>
              <w:tc>
                <w:tcPr>
                  <w:tcW w:w="275" w:type="pct"/>
                  <w:vMerge w:val="restart"/>
                  <w:vAlign w:val="center"/>
                </w:tcPr>
                <w:p w14:paraId="407BBE93">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DA002排气筒</w:t>
                  </w:r>
                </w:p>
              </w:tc>
              <w:tc>
                <w:tcPr>
                  <w:tcW w:w="148" w:type="pct"/>
                  <w:vAlign w:val="center"/>
                </w:tcPr>
                <w:p w14:paraId="6B2DFFD8">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沥青烟</w:t>
                  </w:r>
                </w:p>
              </w:tc>
              <w:tc>
                <w:tcPr>
                  <w:tcW w:w="148" w:type="pct"/>
                  <w:vMerge w:val="restart"/>
                  <w:vAlign w:val="center"/>
                </w:tcPr>
                <w:p w14:paraId="4844E987">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kern w:val="0"/>
                      <w:sz w:val="18"/>
                      <w:szCs w:val="18"/>
                      <w:highlight w:val="none"/>
                    </w:rPr>
                    <w:t>产污系数法</w:t>
                  </w:r>
                </w:p>
              </w:tc>
              <w:tc>
                <w:tcPr>
                  <w:tcW w:w="458" w:type="pct"/>
                  <w:vAlign w:val="center"/>
                </w:tcPr>
                <w:p w14:paraId="3BA8E2E8">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0.00045</w:t>
                  </w:r>
                  <w:r>
                    <w:rPr>
                      <w:rFonts w:hint="default" w:ascii="Times New Roman" w:hAnsi="Times New Roman" w:eastAsia="宋体" w:cs="Times New Roman"/>
                      <w:color w:val="auto"/>
                      <w:kern w:val="2"/>
                      <w:sz w:val="18"/>
                      <w:szCs w:val="18"/>
                      <w:highlight w:val="none"/>
                      <w:lang w:val="en-US" w:eastAsia="zh-CN" w:bidi="ar"/>
                    </w:rPr>
                    <w:t>g/a</w:t>
                  </w:r>
                </w:p>
              </w:tc>
              <w:tc>
                <w:tcPr>
                  <w:tcW w:w="360" w:type="pct"/>
                  <w:vAlign w:val="center"/>
                </w:tcPr>
                <w:p w14:paraId="08E4CB61">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0.00</w:t>
                  </w:r>
                  <w:r>
                    <w:rPr>
                      <w:rFonts w:hint="eastAsia"/>
                      <w:color w:val="auto"/>
                      <w:sz w:val="18"/>
                      <w:szCs w:val="18"/>
                      <w:highlight w:val="none"/>
                      <w:lang w:val="en-US" w:eastAsia="zh-CN"/>
                    </w:rPr>
                    <w:t>0</w:t>
                  </w:r>
                  <w:r>
                    <w:rPr>
                      <w:rFonts w:hint="default"/>
                      <w:color w:val="auto"/>
                      <w:sz w:val="18"/>
                      <w:szCs w:val="18"/>
                      <w:highlight w:val="none"/>
                    </w:rPr>
                    <w:t>0</w:t>
                  </w:r>
                  <w:r>
                    <w:rPr>
                      <w:rFonts w:hint="eastAsia"/>
                      <w:color w:val="auto"/>
                      <w:sz w:val="18"/>
                      <w:szCs w:val="18"/>
                      <w:highlight w:val="none"/>
                      <w:lang w:val="en-US" w:eastAsia="zh-CN"/>
                    </w:rPr>
                    <w:t>15</w:t>
                  </w:r>
                  <w:r>
                    <w:rPr>
                      <w:rFonts w:hint="default" w:ascii="Times New Roman" w:hAnsi="Times New Roman" w:eastAsia="宋体" w:cs="Times New Roman"/>
                      <w:color w:val="auto"/>
                      <w:kern w:val="2"/>
                      <w:sz w:val="18"/>
                      <w:szCs w:val="18"/>
                      <w:highlight w:val="none"/>
                      <w:lang w:val="en-US" w:eastAsia="zh-CN" w:bidi="ar"/>
                    </w:rPr>
                    <w:t>g/</w:t>
                  </w:r>
                  <w:r>
                    <w:rPr>
                      <w:rFonts w:hint="eastAsia" w:ascii="Times New Roman" w:hAnsi="Times New Roman" w:eastAsia="宋体" w:cs="Times New Roman"/>
                      <w:color w:val="auto"/>
                      <w:kern w:val="2"/>
                      <w:sz w:val="18"/>
                      <w:szCs w:val="18"/>
                      <w:highlight w:val="none"/>
                      <w:lang w:val="en-US" w:eastAsia="zh-CN" w:bidi="ar"/>
                    </w:rPr>
                    <w:t>h</w:t>
                  </w:r>
                </w:p>
              </w:tc>
              <w:tc>
                <w:tcPr>
                  <w:tcW w:w="397" w:type="pct"/>
                  <w:vAlign w:val="center"/>
                </w:tcPr>
                <w:p w14:paraId="3B63C363">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10</w:t>
                  </w:r>
                </w:p>
              </w:tc>
              <w:tc>
                <w:tcPr>
                  <w:tcW w:w="148" w:type="pct"/>
                  <w:vMerge w:val="restart"/>
                  <w:vAlign w:val="center"/>
                </w:tcPr>
                <w:p w14:paraId="0AB1F719">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有组织</w:t>
                  </w:r>
                </w:p>
              </w:tc>
              <w:tc>
                <w:tcPr>
                  <w:tcW w:w="312" w:type="pct"/>
                  <w:vMerge w:val="restart"/>
                  <w:vAlign w:val="center"/>
                </w:tcPr>
                <w:p w14:paraId="53BB183A">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10600</w:t>
                  </w:r>
                </w:p>
              </w:tc>
              <w:tc>
                <w:tcPr>
                  <w:tcW w:w="334" w:type="pct"/>
                  <w:vMerge w:val="restart"/>
                  <w:vAlign w:val="center"/>
                </w:tcPr>
                <w:p w14:paraId="37EF1472">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通风橱+</w:t>
                  </w:r>
                  <w:r>
                    <w:rPr>
                      <w:rFonts w:hint="eastAsia"/>
                      <w:color w:val="auto"/>
                      <w:kern w:val="0"/>
                      <w:sz w:val="18"/>
                      <w:szCs w:val="18"/>
                      <w:highlight w:val="none"/>
                      <w:lang w:val="en-US" w:eastAsia="zh-CN"/>
                    </w:rPr>
                    <w:t>2#</w:t>
                  </w:r>
                  <w:r>
                    <w:rPr>
                      <w:rFonts w:hint="default"/>
                      <w:color w:val="auto"/>
                      <w:kern w:val="0"/>
                      <w:sz w:val="18"/>
                      <w:szCs w:val="18"/>
                      <w:highlight w:val="none"/>
                    </w:rPr>
                    <w:t>二级活性炭吸附装置+ 15m排气筒</w:t>
                  </w:r>
                </w:p>
              </w:tc>
              <w:tc>
                <w:tcPr>
                  <w:tcW w:w="214" w:type="pct"/>
                  <w:vMerge w:val="restart"/>
                  <w:vAlign w:val="center"/>
                </w:tcPr>
                <w:p w14:paraId="268246F1">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90%</w:t>
                  </w:r>
                </w:p>
              </w:tc>
              <w:tc>
                <w:tcPr>
                  <w:tcW w:w="269" w:type="pct"/>
                  <w:vMerge w:val="restart"/>
                  <w:vAlign w:val="center"/>
                </w:tcPr>
                <w:p w14:paraId="31F7982E">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eastAsia"/>
                      <w:color w:val="auto"/>
                      <w:kern w:val="0"/>
                      <w:sz w:val="18"/>
                      <w:szCs w:val="18"/>
                      <w:highlight w:val="none"/>
                      <w:lang w:val="en-US" w:eastAsia="zh-CN"/>
                    </w:rPr>
                    <w:t>75</w:t>
                  </w:r>
                  <w:r>
                    <w:rPr>
                      <w:rFonts w:hint="default"/>
                      <w:color w:val="auto"/>
                      <w:kern w:val="0"/>
                      <w:sz w:val="18"/>
                      <w:szCs w:val="18"/>
                      <w:highlight w:val="none"/>
                    </w:rPr>
                    <w:t>%</w:t>
                  </w:r>
                </w:p>
              </w:tc>
              <w:tc>
                <w:tcPr>
                  <w:tcW w:w="150" w:type="pct"/>
                  <w:vMerge w:val="restart"/>
                  <w:vAlign w:val="center"/>
                </w:tcPr>
                <w:p w14:paraId="768CD604">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是</w:t>
                  </w:r>
                </w:p>
              </w:tc>
              <w:tc>
                <w:tcPr>
                  <w:tcW w:w="148" w:type="pct"/>
                  <w:vMerge w:val="restart"/>
                  <w:vAlign w:val="center"/>
                </w:tcPr>
                <w:p w14:paraId="28EFB2AC">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排污系数法</w:t>
                  </w:r>
                </w:p>
              </w:tc>
              <w:tc>
                <w:tcPr>
                  <w:tcW w:w="458" w:type="pct"/>
                  <w:vAlign w:val="center"/>
                </w:tcPr>
                <w:p w14:paraId="6DF54AF0">
                  <w:pPr>
                    <w:keepNext w:val="0"/>
                    <w:keepLines w:val="0"/>
                    <w:suppressLineNumbers w:val="0"/>
                    <w:adjustRightInd w:val="0"/>
                    <w:snapToGrid w:val="0"/>
                    <w:spacing w:before="0" w:beforeAutospacing="0" w:after="0" w:afterAutospacing="0"/>
                    <w:ind w:left="0" w:leftChars="0" w:right="0" w:rightChars="0"/>
                    <w:jc w:val="center"/>
                    <w:rPr>
                      <w:rFonts w:hint="default"/>
                      <w:color w:val="auto"/>
                      <w:sz w:val="18"/>
                      <w:szCs w:val="18"/>
                      <w:highlight w:val="none"/>
                    </w:rPr>
                  </w:pPr>
                  <w:r>
                    <w:rPr>
                      <w:rFonts w:hint="default"/>
                      <w:color w:val="auto"/>
                      <w:sz w:val="18"/>
                      <w:szCs w:val="18"/>
                      <w:highlight w:val="none"/>
                    </w:rPr>
                    <w:t>0.0001</w:t>
                  </w:r>
                  <w:r>
                    <w:rPr>
                      <w:rFonts w:hint="default"/>
                      <w:b/>
                      <w:color w:val="auto"/>
                      <w:sz w:val="18"/>
                      <w:szCs w:val="18"/>
                      <w:highlight w:val="none"/>
                    </w:rPr>
                    <w:t xml:space="preserve"> g/a</w:t>
                  </w:r>
                </w:p>
              </w:tc>
              <w:tc>
                <w:tcPr>
                  <w:tcW w:w="379" w:type="pct"/>
                  <w:vAlign w:val="center"/>
                </w:tcPr>
                <w:p w14:paraId="4CB328A0">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sz w:val="18"/>
                      <w:szCs w:val="18"/>
                      <w:highlight w:val="none"/>
                      <w:lang w:val="en-US" w:eastAsia="zh-CN"/>
                    </w:rPr>
                  </w:pPr>
                  <w:r>
                    <w:rPr>
                      <w:rFonts w:hint="default"/>
                      <w:color w:val="auto"/>
                      <w:sz w:val="18"/>
                      <w:szCs w:val="18"/>
                      <w:highlight w:val="none"/>
                    </w:rPr>
                    <w:t>0.0000</w:t>
                  </w:r>
                  <w:r>
                    <w:rPr>
                      <w:rFonts w:hint="eastAsia"/>
                      <w:color w:val="auto"/>
                      <w:sz w:val="18"/>
                      <w:szCs w:val="18"/>
                      <w:highlight w:val="none"/>
                      <w:lang w:val="en-US" w:eastAsia="zh-CN"/>
                    </w:rPr>
                    <w:t>375</w:t>
                  </w:r>
                </w:p>
              </w:tc>
              <w:tc>
                <w:tcPr>
                  <w:tcW w:w="397" w:type="pct"/>
                  <w:vAlign w:val="center"/>
                </w:tcPr>
                <w:p w14:paraId="54E7E408">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2.25</w:t>
                  </w:r>
                </w:p>
              </w:tc>
              <w:tc>
                <w:tcPr>
                  <w:tcW w:w="250" w:type="pct"/>
                  <w:vMerge w:val="restart"/>
                  <w:vAlign w:val="center"/>
                </w:tcPr>
                <w:p w14:paraId="70CD6805">
                  <w:pPr>
                    <w:keepNext w:val="0"/>
                    <w:keepLines w:val="0"/>
                    <w:widowControl/>
                    <w:suppressLineNumbers w:val="0"/>
                    <w:spacing w:before="0" w:beforeAutospacing="0" w:after="0" w:afterAutospacing="0"/>
                    <w:ind w:left="0" w:right="0"/>
                    <w:jc w:val="center"/>
                    <w:rPr>
                      <w:rFonts w:hint="eastAsia" w:eastAsia="宋体"/>
                      <w:color w:val="auto"/>
                      <w:kern w:val="0"/>
                      <w:sz w:val="18"/>
                      <w:szCs w:val="18"/>
                      <w:highlight w:val="yellow"/>
                      <w:lang w:eastAsia="zh-CN"/>
                    </w:rPr>
                  </w:pPr>
                  <w:r>
                    <w:rPr>
                      <w:rFonts w:hint="eastAsia"/>
                      <w:color w:val="auto"/>
                      <w:kern w:val="0"/>
                      <w:sz w:val="18"/>
                      <w:szCs w:val="18"/>
                      <w:highlight w:val="none"/>
                      <w:lang w:val="en-US" w:eastAsia="zh-CN"/>
                    </w:rPr>
                    <w:t>3</w:t>
                  </w:r>
                </w:p>
              </w:tc>
            </w:tr>
            <w:tr w14:paraId="416D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vAlign w:val="center"/>
                </w:tcPr>
                <w:p w14:paraId="79C03C78">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275" w:type="pct"/>
                  <w:vMerge w:val="continue"/>
                  <w:vAlign w:val="center"/>
                </w:tcPr>
                <w:p w14:paraId="7B54888B">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148" w:type="pct"/>
                  <w:vAlign w:val="center"/>
                </w:tcPr>
                <w:p w14:paraId="27A531E6">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苯并芘</w:t>
                  </w:r>
                </w:p>
              </w:tc>
              <w:tc>
                <w:tcPr>
                  <w:tcW w:w="148" w:type="pct"/>
                  <w:vMerge w:val="continue"/>
                  <w:vAlign w:val="center"/>
                </w:tcPr>
                <w:p w14:paraId="1C836FED">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458" w:type="pct"/>
                  <w:vAlign w:val="center"/>
                </w:tcPr>
                <w:p w14:paraId="376E3C5F">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0.0000</w:t>
                  </w:r>
                  <w:r>
                    <w:rPr>
                      <w:rFonts w:hint="eastAsia"/>
                      <w:color w:val="auto"/>
                      <w:sz w:val="18"/>
                      <w:szCs w:val="18"/>
                      <w:highlight w:val="none"/>
                      <w:lang w:val="en-US" w:eastAsia="zh-CN"/>
                    </w:rPr>
                    <w:t>0</w:t>
                  </w:r>
                  <w:r>
                    <w:rPr>
                      <w:rFonts w:hint="default"/>
                      <w:color w:val="auto"/>
                      <w:sz w:val="18"/>
                      <w:szCs w:val="18"/>
                      <w:highlight w:val="none"/>
                    </w:rPr>
                    <w:t>675</w:t>
                  </w:r>
                  <w:r>
                    <w:rPr>
                      <w:rFonts w:hint="default" w:ascii="Times New Roman" w:hAnsi="Times New Roman" w:eastAsia="宋体" w:cs="Times New Roman"/>
                      <w:color w:val="auto"/>
                      <w:kern w:val="2"/>
                      <w:sz w:val="18"/>
                      <w:szCs w:val="18"/>
                      <w:highlight w:val="none"/>
                      <w:lang w:val="en-US" w:eastAsia="zh-CN" w:bidi="ar"/>
                    </w:rPr>
                    <w:t>g/a</w:t>
                  </w:r>
                </w:p>
              </w:tc>
              <w:tc>
                <w:tcPr>
                  <w:tcW w:w="360" w:type="pct"/>
                  <w:vAlign w:val="center"/>
                </w:tcPr>
                <w:p w14:paraId="12DAC7B1">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0.0000</w:t>
                  </w:r>
                  <w:r>
                    <w:rPr>
                      <w:rFonts w:hint="eastAsia"/>
                      <w:color w:val="auto"/>
                      <w:sz w:val="18"/>
                      <w:szCs w:val="18"/>
                      <w:highlight w:val="none"/>
                      <w:lang w:val="en-US" w:eastAsia="zh-CN"/>
                    </w:rPr>
                    <w:t>225</w:t>
                  </w:r>
                  <w:r>
                    <w:rPr>
                      <w:rFonts w:hint="default" w:ascii="Times New Roman" w:hAnsi="Times New Roman" w:eastAsia="宋体" w:cs="Times New Roman"/>
                      <w:color w:val="auto"/>
                      <w:kern w:val="2"/>
                      <w:sz w:val="18"/>
                      <w:szCs w:val="18"/>
                      <w:highlight w:val="none"/>
                      <w:lang w:val="en-US" w:eastAsia="zh-CN" w:bidi="ar"/>
                    </w:rPr>
                    <w:t>g/</w:t>
                  </w:r>
                  <w:r>
                    <w:rPr>
                      <w:rFonts w:hint="eastAsia" w:ascii="Times New Roman" w:hAnsi="Times New Roman" w:eastAsia="宋体" w:cs="Times New Roman"/>
                      <w:color w:val="auto"/>
                      <w:kern w:val="2"/>
                      <w:sz w:val="18"/>
                      <w:szCs w:val="18"/>
                      <w:highlight w:val="none"/>
                      <w:lang w:val="en-US" w:eastAsia="zh-CN" w:bidi="ar"/>
                    </w:rPr>
                    <w:t>h</w:t>
                  </w:r>
                </w:p>
              </w:tc>
              <w:tc>
                <w:tcPr>
                  <w:tcW w:w="397" w:type="pct"/>
                  <w:vAlign w:val="center"/>
                </w:tcPr>
                <w:p w14:paraId="6CE4BB7F">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0.000</w:t>
                  </w:r>
                  <w:r>
                    <w:rPr>
                      <w:rFonts w:hint="eastAsia"/>
                      <w:color w:val="auto"/>
                      <w:sz w:val="18"/>
                      <w:szCs w:val="18"/>
                      <w:highlight w:val="none"/>
                      <w:lang w:val="en-US" w:eastAsia="zh-CN"/>
                    </w:rPr>
                    <w:t>212</w:t>
                  </w:r>
                </w:p>
              </w:tc>
              <w:tc>
                <w:tcPr>
                  <w:tcW w:w="148" w:type="pct"/>
                  <w:vMerge w:val="continue"/>
                  <w:vAlign w:val="center"/>
                </w:tcPr>
                <w:p w14:paraId="5624DE68">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312" w:type="pct"/>
                  <w:vMerge w:val="continue"/>
                  <w:vAlign w:val="center"/>
                </w:tcPr>
                <w:p w14:paraId="10650587">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34" w:type="pct"/>
                  <w:vMerge w:val="continue"/>
                  <w:vAlign w:val="center"/>
                </w:tcPr>
                <w:p w14:paraId="40EAEF16">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14" w:type="pct"/>
                  <w:vMerge w:val="continue"/>
                  <w:vAlign w:val="center"/>
                </w:tcPr>
                <w:p w14:paraId="055D1566">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269" w:type="pct"/>
                  <w:vMerge w:val="continue"/>
                  <w:vAlign w:val="center"/>
                </w:tcPr>
                <w:p w14:paraId="6A28C137">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150" w:type="pct"/>
                  <w:vMerge w:val="continue"/>
                  <w:vAlign w:val="center"/>
                </w:tcPr>
                <w:p w14:paraId="6B2A6C7C">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148" w:type="pct"/>
                  <w:vMerge w:val="continue"/>
                  <w:vAlign w:val="center"/>
                </w:tcPr>
                <w:p w14:paraId="36D11EB6">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458" w:type="pct"/>
                  <w:vAlign w:val="center"/>
                </w:tcPr>
                <w:p w14:paraId="6D11AB45">
                  <w:pPr>
                    <w:keepNext w:val="0"/>
                    <w:keepLines w:val="0"/>
                    <w:suppressLineNumbers w:val="0"/>
                    <w:adjustRightInd w:val="0"/>
                    <w:snapToGrid w:val="0"/>
                    <w:spacing w:before="0" w:beforeAutospacing="0" w:after="0" w:afterAutospacing="0"/>
                    <w:ind w:left="0" w:leftChars="0" w:right="0" w:rightChars="0"/>
                    <w:jc w:val="center"/>
                    <w:rPr>
                      <w:rFonts w:hint="default"/>
                      <w:color w:val="auto"/>
                      <w:sz w:val="18"/>
                      <w:szCs w:val="18"/>
                      <w:highlight w:val="none"/>
                    </w:rPr>
                  </w:pPr>
                  <w:r>
                    <w:rPr>
                      <w:rFonts w:hint="default"/>
                      <w:color w:val="auto"/>
                      <w:sz w:val="18"/>
                      <w:szCs w:val="18"/>
                      <w:highlight w:val="none"/>
                    </w:rPr>
                    <w:t>0.0000152g/a</w:t>
                  </w:r>
                </w:p>
              </w:tc>
              <w:tc>
                <w:tcPr>
                  <w:tcW w:w="379" w:type="pct"/>
                  <w:vAlign w:val="center"/>
                </w:tcPr>
                <w:p w14:paraId="12E607CD">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sz w:val="18"/>
                      <w:szCs w:val="18"/>
                      <w:highlight w:val="none"/>
                      <w:lang w:val="en-US" w:eastAsia="zh-CN"/>
                    </w:rPr>
                  </w:pPr>
                  <w:r>
                    <w:rPr>
                      <w:rFonts w:hint="default"/>
                      <w:color w:val="auto"/>
                      <w:sz w:val="18"/>
                      <w:szCs w:val="18"/>
                      <w:highlight w:val="none"/>
                    </w:rPr>
                    <w:t>0.0000</w:t>
                  </w:r>
                  <w:r>
                    <w:rPr>
                      <w:rFonts w:hint="eastAsia"/>
                      <w:color w:val="auto"/>
                      <w:sz w:val="18"/>
                      <w:szCs w:val="18"/>
                      <w:highlight w:val="none"/>
                      <w:lang w:val="en-US" w:eastAsia="zh-CN"/>
                    </w:rPr>
                    <w:t>0506</w:t>
                  </w:r>
                </w:p>
              </w:tc>
              <w:tc>
                <w:tcPr>
                  <w:tcW w:w="397" w:type="pct"/>
                  <w:vAlign w:val="center"/>
                </w:tcPr>
                <w:p w14:paraId="4FD4E37E">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sz w:val="18"/>
                      <w:szCs w:val="18"/>
                      <w:highlight w:val="none"/>
                      <w:lang w:val="en-US" w:eastAsia="zh-CN"/>
                    </w:rPr>
                  </w:pPr>
                  <w:r>
                    <w:rPr>
                      <w:rFonts w:hint="default"/>
                      <w:color w:val="auto"/>
                      <w:sz w:val="18"/>
                      <w:szCs w:val="18"/>
                      <w:highlight w:val="none"/>
                    </w:rPr>
                    <w:t>0.000000</w:t>
                  </w:r>
                  <w:r>
                    <w:rPr>
                      <w:rFonts w:hint="eastAsia"/>
                      <w:color w:val="auto"/>
                      <w:sz w:val="18"/>
                      <w:szCs w:val="18"/>
                      <w:highlight w:val="none"/>
                      <w:lang w:val="en-US" w:eastAsia="zh-CN"/>
                    </w:rPr>
                    <w:t>48</w:t>
                  </w:r>
                </w:p>
              </w:tc>
              <w:tc>
                <w:tcPr>
                  <w:tcW w:w="250" w:type="pct"/>
                  <w:vMerge w:val="continue"/>
                  <w:vAlign w:val="center"/>
                </w:tcPr>
                <w:p w14:paraId="3EAB3AF1">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r>
            <w:tr w14:paraId="256A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restart"/>
                  <w:vAlign w:val="center"/>
                </w:tcPr>
                <w:p w14:paraId="3D9A4288">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食堂</w:t>
                  </w:r>
                </w:p>
              </w:tc>
              <w:tc>
                <w:tcPr>
                  <w:tcW w:w="275" w:type="pct"/>
                  <w:vMerge w:val="restart"/>
                  <w:vAlign w:val="center"/>
                </w:tcPr>
                <w:p w14:paraId="4E5C5AB9">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油烟排气筒</w:t>
                  </w:r>
                </w:p>
              </w:tc>
              <w:tc>
                <w:tcPr>
                  <w:tcW w:w="148" w:type="pct"/>
                  <w:vAlign w:val="center"/>
                </w:tcPr>
                <w:p w14:paraId="12A25A59">
                  <w:pPr>
                    <w:keepNext w:val="0"/>
                    <w:keepLines w:val="0"/>
                    <w:suppressLineNumbers w:val="0"/>
                    <w:spacing w:before="0" w:beforeAutospacing="0" w:after="0" w:afterAutospacing="0"/>
                    <w:ind w:left="0" w:right="0"/>
                    <w:jc w:val="center"/>
                    <w:rPr>
                      <w:rFonts w:hint="eastAsia" w:eastAsia="宋体"/>
                      <w:color w:val="auto"/>
                      <w:kern w:val="0"/>
                      <w:sz w:val="18"/>
                      <w:szCs w:val="18"/>
                      <w:highlight w:val="none"/>
                      <w:lang w:val="en-US" w:eastAsia="zh-CN"/>
                    </w:rPr>
                  </w:pPr>
                  <w:r>
                    <w:rPr>
                      <w:rFonts w:hint="default"/>
                      <w:color w:val="auto"/>
                      <w:kern w:val="0"/>
                      <w:sz w:val="18"/>
                      <w:szCs w:val="18"/>
                      <w:highlight w:val="none"/>
                    </w:rPr>
                    <w:t>油烟</w:t>
                  </w:r>
                  <w:r>
                    <w:rPr>
                      <w:rFonts w:hint="eastAsia"/>
                      <w:color w:val="auto"/>
                      <w:kern w:val="0"/>
                      <w:sz w:val="18"/>
                      <w:szCs w:val="18"/>
                      <w:highlight w:val="none"/>
                      <w:lang w:val="en-US" w:eastAsia="zh-CN"/>
                    </w:rPr>
                    <w:t>废气</w:t>
                  </w:r>
                </w:p>
              </w:tc>
              <w:tc>
                <w:tcPr>
                  <w:tcW w:w="148" w:type="pct"/>
                  <w:vMerge w:val="restart"/>
                  <w:vAlign w:val="center"/>
                </w:tcPr>
                <w:p w14:paraId="46E09D70">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产污系数法</w:t>
                  </w:r>
                </w:p>
              </w:tc>
              <w:tc>
                <w:tcPr>
                  <w:tcW w:w="458" w:type="pct"/>
                  <w:vAlign w:val="center"/>
                </w:tcPr>
                <w:p w14:paraId="10DC7942">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20.3</w:t>
                  </w:r>
                </w:p>
              </w:tc>
              <w:tc>
                <w:tcPr>
                  <w:tcW w:w="360" w:type="pct"/>
                  <w:vAlign w:val="center"/>
                </w:tcPr>
                <w:p w14:paraId="602C0615">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0.0225</w:t>
                  </w:r>
                </w:p>
              </w:tc>
              <w:tc>
                <w:tcPr>
                  <w:tcW w:w="397" w:type="pct"/>
                  <w:vAlign w:val="center"/>
                </w:tcPr>
                <w:p w14:paraId="161EF72A">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5.625</w:t>
                  </w:r>
                </w:p>
              </w:tc>
              <w:tc>
                <w:tcPr>
                  <w:tcW w:w="148" w:type="pct"/>
                  <w:vAlign w:val="center"/>
                </w:tcPr>
                <w:p w14:paraId="48743AB9">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有组织</w:t>
                  </w:r>
                </w:p>
              </w:tc>
              <w:tc>
                <w:tcPr>
                  <w:tcW w:w="312" w:type="pct"/>
                  <w:vAlign w:val="center"/>
                </w:tcPr>
                <w:p w14:paraId="40FA60F9">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4000</w:t>
                  </w:r>
                </w:p>
              </w:tc>
              <w:tc>
                <w:tcPr>
                  <w:tcW w:w="549" w:type="pct"/>
                  <w:gridSpan w:val="2"/>
                  <w:vMerge w:val="restart"/>
                  <w:vAlign w:val="center"/>
                </w:tcPr>
                <w:p w14:paraId="21515928">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安装油烟净化效率为60%的油烟净化器+高于楼顶的排气筒排放</w:t>
                  </w:r>
                </w:p>
              </w:tc>
              <w:tc>
                <w:tcPr>
                  <w:tcW w:w="269" w:type="pct"/>
                  <w:vAlign w:val="center"/>
                </w:tcPr>
                <w:p w14:paraId="1A75948A">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60%</w:t>
                  </w:r>
                </w:p>
              </w:tc>
              <w:tc>
                <w:tcPr>
                  <w:tcW w:w="150" w:type="pct"/>
                  <w:vAlign w:val="center"/>
                </w:tcPr>
                <w:p w14:paraId="6AE47E90">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是</w:t>
                  </w:r>
                </w:p>
              </w:tc>
              <w:tc>
                <w:tcPr>
                  <w:tcW w:w="148" w:type="pct"/>
                  <w:vMerge w:val="restart"/>
                  <w:vAlign w:val="center"/>
                </w:tcPr>
                <w:p w14:paraId="560F97EB">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排污系数法</w:t>
                  </w:r>
                </w:p>
              </w:tc>
              <w:tc>
                <w:tcPr>
                  <w:tcW w:w="458" w:type="pct"/>
                  <w:vAlign w:val="center"/>
                </w:tcPr>
                <w:p w14:paraId="3083B9EE">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7.31</w:t>
                  </w:r>
                </w:p>
              </w:tc>
              <w:tc>
                <w:tcPr>
                  <w:tcW w:w="379" w:type="pct"/>
                  <w:vAlign w:val="center"/>
                </w:tcPr>
                <w:p w14:paraId="6784DD0E">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0.0081</w:t>
                  </w:r>
                </w:p>
              </w:tc>
              <w:tc>
                <w:tcPr>
                  <w:tcW w:w="397" w:type="pct"/>
                  <w:vAlign w:val="center"/>
                </w:tcPr>
                <w:p w14:paraId="1FEB168E">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0.203</w:t>
                  </w:r>
                </w:p>
              </w:tc>
              <w:tc>
                <w:tcPr>
                  <w:tcW w:w="250" w:type="pct"/>
                  <w:vMerge w:val="restart"/>
                  <w:vAlign w:val="center"/>
                </w:tcPr>
                <w:p w14:paraId="31543023">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900</w:t>
                  </w:r>
                </w:p>
              </w:tc>
            </w:tr>
            <w:tr w14:paraId="7B30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vAlign w:val="center"/>
                </w:tcPr>
                <w:p w14:paraId="07F37502">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275" w:type="pct"/>
                  <w:vMerge w:val="continue"/>
                  <w:vAlign w:val="center"/>
                </w:tcPr>
                <w:p w14:paraId="4F61AEB8">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148" w:type="pct"/>
                  <w:vAlign w:val="center"/>
                </w:tcPr>
                <w:p w14:paraId="23732B18">
                  <w:pPr>
                    <w:keepNext w:val="0"/>
                    <w:keepLines w:val="0"/>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非甲烷总烃</w:t>
                  </w:r>
                </w:p>
              </w:tc>
              <w:tc>
                <w:tcPr>
                  <w:tcW w:w="148" w:type="pct"/>
                  <w:vMerge w:val="continue"/>
                  <w:vAlign w:val="center"/>
                </w:tcPr>
                <w:p w14:paraId="26326693">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458" w:type="pct"/>
                  <w:vAlign w:val="center"/>
                </w:tcPr>
                <w:p w14:paraId="35911DC4">
                  <w:pPr>
                    <w:keepNext w:val="0"/>
                    <w:keepLines w:val="0"/>
                    <w:suppressLineNumbers w:val="0"/>
                    <w:spacing w:before="0" w:beforeAutospacing="0" w:after="0" w:afterAutospacing="0"/>
                    <w:ind w:left="0" w:right="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c>
                <w:tcPr>
                  <w:tcW w:w="360" w:type="pct"/>
                  <w:vAlign w:val="center"/>
                </w:tcPr>
                <w:p w14:paraId="4D10CBA6">
                  <w:pPr>
                    <w:keepNext w:val="0"/>
                    <w:keepLines w:val="0"/>
                    <w:suppressLineNumbers w:val="0"/>
                    <w:spacing w:before="0" w:beforeAutospacing="0" w:after="0" w:afterAutospacing="0"/>
                    <w:ind w:left="0" w:right="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c>
                <w:tcPr>
                  <w:tcW w:w="397" w:type="pct"/>
                  <w:vAlign w:val="center"/>
                </w:tcPr>
                <w:p w14:paraId="50562B7C">
                  <w:pPr>
                    <w:keepNext w:val="0"/>
                    <w:keepLines w:val="0"/>
                    <w:suppressLineNumbers w:val="0"/>
                    <w:spacing w:before="0" w:beforeAutospacing="0" w:after="0" w:afterAutospacing="0"/>
                    <w:ind w:left="0" w:right="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c>
                <w:tcPr>
                  <w:tcW w:w="148" w:type="pct"/>
                  <w:vAlign w:val="center"/>
                </w:tcPr>
                <w:p w14:paraId="4A14B8AD">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312" w:type="pct"/>
                  <w:vAlign w:val="center"/>
                </w:tcPr>
                <w:p w14:paraId="20901490">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549" w:type="pct"/>
                  <w:gridSpan w:val="2"/>
                  <w:vMerge w:val="continue"/>
                  <w:vAlign w:val="center"/>
                </w:tcPr>
                <w:p w14:paraId="462CAAFC">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269" w:type="pct"/>
                  <w:vAlign w:val="center"/>
                </w:tcPr>
                <w:p w14:paraId="31E33336">
                  <w:pPr>
                    <w:keepNext w:val="0"/>
                    <w:keepLines w:val="0"/>
                    <w:suppressLineNumbers w:val="0"/>
                    <w:spacing w:before="0" w:beforeAutospacing="0" w:after="0" w:afterAutospacing="0"/>
                    <w:ind w:left="0" w:right="0"/>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0</w:t>
                  </w:r>
                </w:p>
              </w:tc>
              <w:tc>
                <w:tcPr>
                  <w:tcW w:w="150" w:type="pct"/>
                  <w:vAlign w:val="center"/>
                </w:tcPr>
                <w:p w14:paraId="793A91BD">
                  <w:pPr>
                    <w:keepNext w:val="0"/>
                    <w:keepLines w:val="0"/>
                    <w:suppressLineNumbers w:val="0"/>
                    <w:spacing w:before="0" w:beforeAutospacing="0" w:after="0" w:afterAutospacing="0"/>
                    <w:ind w:left="0" w:right="0"/>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是</w:t>
                  </w:r>
                </w:p>
              </w:tc>
              <w:tc>
                <w:tcPr>
                  <w:tcW w:w="148" w:type="pct"/>
                  <w:vMerge w:val="continue"/>
                  <w:vAlign w:val="center"/>
                </w:tcPr>
                <w:p w14:paraId="29277A02">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458" w:type="pct"/>
                  <w:vAlign w:val="center"/>
                </w:tcPr>
                <w:p w14:paraId="7EDE328D">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20.88</w:t>
                  </w:r>
                </w:p>
              </w:tc>
              <w:tc>
                <w:tcPr>
                  <w:tcW w:w="379" w:type="pct"/>
                  <w:vAlign w:val="center"/>
                </w:tcPr>
                <w:p w14:paraId="717472D2">
                  <w:pPr>
                    <w:keepNext w:val="0"/>
                    <w:keepLines w:val="0"/>
                    <w:suppressLineNumbers w:val="0"/>
                    <w:spacing w:before="0" w:beforeAutospacing="0" w:after="0" w:afterAutospacing="0"/>
                    <w:ind w:left="0" w:right="0"/>
                    <w:jc w:val="center"/>
                    <w:rPr>
                      <w:rFonts w:hint="default"/>
                      <w:color w:val="auto"/>
                      <w:sz w:val="18"/>
                      <w:szCs w:val="18"/>
                      <w:highlight w:val="none"/>
                      <w:lang w:val="en-US" w:eastAsia="zh-CN"/>
                    </w:rPr>
                  </w:pPr>
                  <w:r>
                    <w:rPr>
                      <w:rFonts w:hint="eastAsia"/>
                      <w:color w:val="auto"/>
                      <w:sz w:val="18"/>
                      <w:szCs w:val="18"/>
                      <w:highlight w:val="none"/>
                      <w:lang w:val="en-US" w:eastAsia="zh-CN"/>
                    </w:rPr>
                    <w:t>0.0232</w:t>
                  </w:r>
                </w:p>
              </w:tc>
              <w:tc>
                <w:tcPr>
                  <w:tcW w:w="397" w:type="pct"/>
                  <w:vAlign w:val="center"/>
                </w:tcPr>
                <w:p w14:paraId="5F1B9375">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5.8</w:t>
                  </w:r>
                </w:p>
              </w:tc>
              <w:tc>
                <w:tcPr>
                  <w:tcW w:w="250" w:type="pct"/>
                  <w:vMerge w:val="continue"/>
                  <w:vAlign w:val="center"/>
                </w:tcPr>
                <w:p w14:paraId="6CE8FC46">
                  <w:pPr>
                    <w:keepNext w:val="0"/>
                    <w:keepLines w:val="0"/>
                    <w:widowControl/>
                    <w:suppressLineNumbers w:val="0"/>
                    <w:spacing w:before="0" w:beforeAutospacing="0" w:after="0" w:afterAutospacing="0"/>
                    <w:ind w:left="0" w:right="0"/>
                    <w:jc w:val="center"/>
                    <w:rPr>
                      <w:rFonts w:hint="eastAsia"/>
                      <w:color w:val="auto"/>
                      <w:kern w:val="0"/>
                      <w:sz w:val="18"/>
                      <w:szCs w:val="18"/>
                      <w:highlight w:val="yellow"/>
                      <w:lang w:val="en-US" w:eastAsia="zh-CN"/>
                    </w:rPr>
                  </w:pPr>
                </w:p>
              </w:tc>
            </w:tr>
            <w:tr w14:paraId="1A17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restart"/>
                  <w:vAlign w:val="center"/>
                </w:tcPr>
                <w:p w14:paraId="3377E3AC">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实验室</w:t>
                  </w:r>
                </w:p>
              </w:tc>
              <w:tc>
                <w:tcPr>
                  <w:tcW w:w="275" w:type="pct"/>
                  <w:vMerge w:val="restart"/>
                  <w:vAlign w:val="center"/>
                </w:tcPr>
                <w:p w14:paraId="35B651C9">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厂界</w:t>
                  </w:r>
                </w:p>
              </w:tc>
              <w:tc>
                <w:tcPr>
                  <w:tcW w:w="148" w:type="pct"/>
                  <w:vAlign w:val="center"/>
                </w:tcPr>
                <w:p w14:paraId="1F02555B">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非甲烷总烃</w:t>
                  </w:r>
                </w:p>
              </w:tc>
              <w:tc>
                <w:tcPr>
                  <w:tcW w:w="148" w:type="pct"/>
                  <w:vMerge w:val="restart"/>
                  <w:vAlign w:val="center"/>
                </w:tcPr>
                <w:p w14:paraId="3C0B0F4A">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产污系数法</w:t>
                  </w:r>
                </w:p>
              </w:tc>
              <w:tc>
                <w:tcPr>
                  <w:tcW w:w="458" w:type="pct"/>
                  <w:vAlign w:val="center"/>
                </w:tcPr>
                <w:p w14:paraId="2CABDB94">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rPr>
                    <w:t>0.0</w:t>
                  </w:r>
                  <w:r>
                    <w:rPr>
                      <w:rFonts w:hint="eastAsia"/>
                      <w:color w:val="auto"/>
                      <w:sz w:val="18"/>
                      <w:szCs w:val="18"/>
                      <w:highlight w:val="none"/>
                      <w:lang w:val="en-US" w:eastAsia="zh-CN"/>
                    </w:rPr>
                    <w:t>098</w:t>
                  </w:r>
                </w:p>
              </w:tc>
              <w:tc>
                <w:tcPr>
                  <w:tcW w:w="360" w:type="pct"/>
                  <w:vAlign w:val="center"/>
                </w:tcPr>
                <w:p w14:paraId="3D227DAD">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rPr>
                    <w:t>0.00000</w:t>
                  </w:r>
                  <w:r>
                    <w:rPr>
                      <w:rFonts w:hint="eastAsia"/>
                      <w:color w:val="auto"/>
                      <w:sz w:val="18"/>
                      <w:szCs w:val="18"/>
                      <w:highlight w:val="none"/>
                      <w:lang w:val="en-US" w:eastAsia="zh-CN"/>
                    </w:rPr>
                    <w:t>41</w:t>
                  </w:r>
                </w:p>
              </w:tc>
              <w:tc>
                <w:tcPr>
                  <w:tcW w:w="397" w:type="pct"/>
                  <w:vAlign w:val="center"/>
                </w:tcPr>
                <w:p w14:paraId="397DE60D">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148" w:type="pct"/>
                  <w:vMerge w:val="restart"/>
                  <w:vAlign w:val="center"/>
                </w:tcPr>
                <w:p w14:paraId="27261651">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无组织</w:t>
                  </w:r>
                </w:p>
              </w:tc>
              <w:tc>
                <w:tcPr>
                  <w:tcW w:w="312" w:type="pct"/>
                  <w:vMerge w:val="restart"/>
                  <w:vAlign w:val="center"/>
                </w:tcPr>
                <w:p w14:paraId="7DADBD9D">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334" w:type="pct"/>
                  <w:vMerge w:val="restart"/>
                  <w:vAlign w:val="center"/>
                </w:tcPr>
                <w:p w14:paraId="68645DCD">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自然扩散、大气稀释、绿化吸收</w:t>
                  </w:r>
                </w:p>
              </w:tc>
              <w:tc>
                <w:tcPr>
                  <w:tcW w:w="214" w:type="pct"/>
                  <w:vMerge w:val="restart"/>
                  <w:vAlign w:val="center"/>
                </w:tcPr>
                <w:p w14:paraId="6BED3125">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269" w:type="pct"/>
                  <w:vMerge w:val="restart"/>
                  <w:vAlign w:val="center"/>
                </w:tcPr>
                <w:p w14:paraId="3EB9398F">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150" w:type="pct"/>
                  <w:vMerge w:val="restart"/>
                  <w:vAlign w:val="center"/>
                </w:tcPr>
                <w:p w14:paraId="624691BB">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148" w:type="pct"/>
                  <w:vMerge w:val="restart"/>
                  <w:vAlign w:val="center"/>
                </w:tcPr>
                <w:p w14:paraId="24E563D1">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kern w:val="0"/>
                      <w:sz w:val="18"/>
                      <w:szCs w:val="18"/>
                      <w:highlight w:val="none"/>
                    </w:rPr>
                    <w:t>排污系数法</w:t>
                  </w:r>
                </w:p>
              </w:tc>
              <w:tc>
                <w:tcPr>
                  <w:tcW w:w="1169" w:type="dxa"/>
                  <w:vAlign w:val="center"/>
                </w:tcPr>
                <w:p w14:paraId="79C3FBD5">
                  <w:pPr>
                    <w:keepNext w:val="0"/>
                    <w:keepLines w:val="0"/>
                    <w:suppressLineNumbers w:val="0"/>
                    <w:spacing w:before="0" w:beforeAutospacing="0" w:after="0" w:afterAutospacing="0"/>
                    <w:ind w:left="0" w:leftChars="0" w:right="0" w:rightChars="0"/>
                    <w:jc w:val="center"/>
                    <w:rPr>
                      <w:rFonts w:hint="default"/>
                      <w:color w:val="auto"/>
                      <w:sz w:val="18"/>
                      <w:szCs w:val="18"/>
                      <w:highlight w:val="none"/>
                    </w:rPr>
                  </w:pPr>
                  <w:r>
                    <w:rPr>
                      <w:rFonts w:hint="eastAsia"/>
                      <w:color w:val="auto"/>
                      <w:sz w:val="18"/>
                      <w:szCs w:val="18"/>
                      <w:highlight w:val="none"/>
                    </w:rPr>
                    <w:t>0.0</w:t>
                  </w:r>
                  <w:r>
                    <w:rPr>
                      <w:rFonts w:hint="eastAsia"/>
                      <w:color w:val="auto"/>
                      <w:sz w:val="18"/>
                      <w:szCs w:val="18"/>
                      <w:highlight w:val="none"/>
                      <w:lang w:val="en-US" w:eastAsia="zh-CN"/>
                    </w:rPr>
                    <w:t>098</w:t>
                  </w:r>
                </w:p>
              </w:tc>
              <w:tc>
                <w:tcPr>
                  <w:tcW w:w="968" w:type="dxa"/>
                  <w:vAlign w:val="center"/>
                </w:tcPr>
                <w:p w14:paraId="16038F8C">
                  <w:pPr>
                    <w:keepNext w:val="0"/>
                    <w:keepLines w:val="0"/>
                    <w:suppressLineNumbers w:val="0"/>
                    <w:spacing w:before="0" w:beforeAutospacing="0" w:after="0" w:afterAutospacing="0"/>
                    <w:ind w:left="0" w:leftChars="0" w:right="0" w:rightChars="0"/>
                    <w:jc w:val="center"/>
                    <w:rPr>
                      <w:rFonts w:hint="default"/>
                      <w:color w:val="auto"/>
                      <w:sz w:val="18"/>
                      <w:szCs w:val="18"/>
                      <w:highlight w:val="none"/>
                    </w:rPr>
                  </w:pPr>
                  <w:r>
                    <w:rPr>
                      <w:rFonts w:hint="eastAsia"/>
                      <w:color w:val="auto"/>
                      <w:sz w:val="18"/>
                      <w:szCs w:val="18"/>
                      <w:highlight w:val="none"/>
                    </w:rPr>
                    <w:t>0.00000</w:t>
                  </w:r>
                  <w:r>
                    <w:rPr>
                      <w:rFonts w:hint="eastAsia"/>
                      <w:color w:val="auto"/>
                      <w:sz w:val="18"/>
                      <w:szCs w:val="18"/>
                      <w:highlight w:val="none"/>
                      <w:lang w:val="en-US" w:eastAsia="zh-CN"/>
                    </w:rPr>
                    <w:t>41</w:t>
                  </w:r>
                </w:p>
              </w:tc>
              <w:tc>
                <w:tcPr>
                  <w:tcW w:w="397" w:type="pct"/>
                  <w:vAlign w:val="center"/>
                </w:tcPr>
                <w:p w14:paraId="26EAE001">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250" w:type="pct"/>
                  <w:vMerge w:val="restart"/>
                  <w:vAlign w:val="center"/>
                </w:tcPr>
                <w:p w14:paraId="4D063E1A">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p w14:paraId="54AA8CD6">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r>
            <w:tr w14:paraId="3C3E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vAlign w:val="center"/>
                </w:tcPr>
                <w:p w14:paraId="6377A02B">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75" w:type="pct"/>
                  <w:vMerge w:val="continue"/>
                  <w:vAlign w:val="center"/>
                </w:tcPr>
                <w:p w14:paraId="47CAB543">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48" w:type="pct"/>
                  <w:vAlign w:val="center"/>
                </w:tcPr>
                <w:p w14:paraId="57015D20">
                  <w:pPr>
                    <w:keepNext w:val="0"/>
                    <w:keepLines w:val="0"/>
                    <w:widowControl/>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硫酸雾</w:t>
                  </w:r>
                </w:p>
              </w:tc>
              <w:tc>
                <w:tcPr>
                  <w:tcW w:w="148" w:type="pct"/>
                  <w:vMerge w:val="continue"/>
                  <w:vAlign w:val="center"/>
                </w:tcPr>
                <w:p w14:paraId="2994603A">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458" w:type="pct"/>
                  <w:vAlign w:val="center"/>
                </w:tcPr>
                <w:p w14:paraId="61397AE8">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0.0293</w:t>
                  </w:r>
                </w:p>
              </w:tc>
              <w:tc>
                <w:tcPr>
                  <w:tcW w:w="360" w:type="pct"/>
                  <w:vAlign w:val="center"/>
                </w:tcPr>
                <w:p w14:paraId="7EE88CC5">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0.0000122</w:t>
                  </w:r>
                </w:p>
              </w:tc>
              <w:tc>
                <w:tcPr>
                  <w:tcW w:w="397" w:type="pct"/>
                  <w:vAlign w:val="center"/>
                </w:tcPr>
                <w:p w14:paraId="4DB7FB4F">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148" w:type="pct"/>
                  <w:vMerge w:val="continue"/>
                  <w:vAlign w:val="center"/>
                </w:tcPr>
                <w:p w14:paraId="59D95989">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12" w:type="pct"/>
                  <w:vMerge w:val="continue"/>
                  <w:vAlign w:val="center"/>
                </w:tcPr>
                <w:p w14:paraId="6EA12B6F">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34" w:type="pct"/>
                  <w:vMerge w:val="continue"/>
                  <w:vAlign w:val="center"/>
                </w:tcPr>
                <w:p w14:paraId="1E1586BF">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214" w:type="pct"/>
                  <w:vMerge w:val="continue"/>
                  <w:vAlign w:val="center"/>
                </w:tcPr>
                <w:p w14:paraId="4BED9093">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269" w:type="pct"/>
                  <w:vMerge w:val="continue"/>
                  <w:vAlign w:val="center"/>
                </w:tcPr>
                <w:p w14:paraId="5E81D1FA">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50" w:type="pct"/>
                  <w:vMerge w:val="continue"/>
                  <w:vAlign w:val="center"/>
                </w:tcPr>
                <w:p w14:paraId="0BCA6BB7">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148" w:type="pct"/>
                  <w:vMerge w:val="continue"/>
                  <w:vAlign w:val="center"/>
                </w:tcPr>
                <w:p w14:paraId="48535DF6">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1169" w:type="dxa"/>
                  <w:vAlign w:val="center"/>
                </w:tcPr>
                <w:p w14:paraId="0D556572">
                  <w:pPr>
                    <w:keepNext w:val="0"/>
                    <w:keepLines w:val="0"/>
                    <w:suppressLineNumbers w:val="0"/>
                    <w:spacing w:before="0" w:beforeAutospacing="0" w:after="0" w:afterAutospacing="0"/>
                    <w:ind w:left="0" w:leftChars="0" w:right="0" w:rightChars="0"/>
                    <w:jc w:val="center"/>
                    <w:rPr>
                      <w:rFonts w:hint="default"/>
                      <w:color w:val="auto"/>
                      <w:sz w:val="18"/>
                      <w:szCs w:val="18"/>
                      <w:highlight w:val="none"/>
                    </w:rPr>
                  </w:pPr>
                  <w:r>
                    <w:rPr>
                      <w:rFonts w:hint="eastAsia"/>
                      <w:color w:val="auto"/>
                      <w:sz w:val="18"/>
                      <w:szCs w:val="18"/>
                      <w:highlight w:val="none"/>
                    </w:rPr>
                    <w:t>0.0293</w:t>
                  </w:r>
                </w:p>
              </w:tc>
              <w:tc>
                <w:tcPr>
                  <w:tcW w:w="968" w:type="dxa"/>
                  <w:vAlign w:val="center"/>
                </w:tcPr>
                <w:p w14:paraId="74E103CB">
                  <w:pPr>
                    <w:keepNext w:val="0"/>
                    <w:keepLines w:val="0"/>
                    <w:suppressLineNumbers w:val="0"/>
                    <w:spacing w:before="0" w:beforeAutospacing="0" w:after="0" w:afterAutospacing="0"/>
                    <w:ind w:left="0" w:leftChars="0" w:right="0" w:rightChars="0"/>
                    <w:jc w:val="center"/>
                    <w:rPr>
                      <w:rFonts w:hint="default"/>
                      <w:color w:val="auto"/>
                      <w:sz w:val="18"/>
                      <w:szCs w:val="18"/>
                      <w:highlight w:val="none"/>
                    </w:rPr>
                  </w:pPr>
                  <w:r>
                    <w:rPr>
                      <w:rFonts w:hint="eastAsia"/>
                      <w:color w:val="auto"/>
                      <w:sz w:val="18"/>
                      <w:szCs w:val="18"/>
                      <w:highlight w:val="none"/>
                    </w:rPr>
                    <w:t>0.0000122</w:t>
                  </w:r>
                </w:p>
              </w:tc>
              <w:tc>
                <w:tcPr>
                  <w:tcW w:w="397" w:type="pct"/>
                  <w:vAlign w:val="center"/>
                </w:tcPr>
                <w:p w14:paraId="2771759C">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250" w:type="pct"/>
                  <w:vMerge w:val="continue"/>
                  <w:vAlign w:val="center"/>
                </w:tcPr>
                <w:p w14:paraId="3671B472">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r>
            <w:tr w14:paraId="3BE7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vAlign w:val="center"/>
                </w:tcPr>
                <w:p w14:paraId="0AEA6631">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75" w:type="pct"/>
                  <w:vMerge w:val="continue"/>
                  <w:vAlign w:val="center"/>
                </w:tcPr>
                <w:p w14:paraId="0E783A37">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48" w:type="pct"/>
                  <w:vAlign w:val="center"/>
                </w:tcPr>
                <w:p w14:paraId="5CF72D0C">
                  <w:pPr>
                    <w:keepNext w:val="0"/>
                    <w:keepLines w:val="0"/>
                    <w:widowControl/>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氯化氢</w:t>
                  </w:r>
                </w:p>
              </w:tc>
              <w:tc>
                <w:tcPr>
                  <w:tcW w:w="148" w:type="pct"/>
                  <w:vMerge w:val="continue"/>
                  <w:vAlign w:val="center"/>
                </w:tcPr>
                <w:p w14:paraId="1877C7D6">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458" w:type="pct"/>
                  <w:vAlign w:val="center"/>
                </w:tcPr>
                <w:p w14:paraId="0F62AE77">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0.2942</w:t>
                  </w:r>
                </w:p>
              </w:tc>
              <w:tc>
                <w:tcPr>
                  <w:tcW w:w="360" w:type="pct"/>
                  <w:vAlign w:val="center"/>
                </w:tcPr>
                <w:p w14:paraId="46C342BA">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0.000123</w:t>
                  </w:r>
                </w:p>
              </w:tc>
              <w:tc>
                <w:tcPr>
                  <w:tcW w:w="397" w:type="pct"/>
                  <w:vAlign w:val="center"/>
                </w:tcPr>
                <w:p w14:paraId="1B63C9B5">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148" w:type="pct"/>
                  <w:vMerge w:val="continue"/>
                  <w:vAlign w:val="center"/>
                </w:tcPr>
                <w:p w14:paraId="0DAD3AFE">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12" w:type="pct"/>
                  <w:vMerge w:val="continue"/>
                  <w:vAlign w:val="center"/>
                </w:tcPr>
                <w:p w14:paraId="2732B484">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34" w:type="pct"/>
                  <w:vMerge w:val="continue"/>
                  <w:vAlign w:val="center"/>
                </w:tcPr>
                <w:p w14:paraId="551FECDF">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214" w:type="pct"/>
                  <w:vMerge w:val="continue"/>
                  <w:vAlign w:val="center"/>
                </w:tcPr>
                <w:p w14:paraId="6F9C2A40">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269" w:type="pct"/>
                  <w:vMerge w:val="continue"/>
                  <w:vAlign w:val="center"/>
                </w:tcPr>
                <w:p w14:paraId="1BA88885">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50" w:type="pct"/>
                  <w:vMerge w:val="continue"/>
                  <w:vAlign w:val="center"/>
                </w:tcPr>
                <w:p w14:paraId="27CB42D2">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148" w:type="pct"/>
                  <w:vMerge w:val="continue"/>
                  <w:vAlign w:val="center"/>
                </w:tcPr>
                <w:p w14:paraId="3C719A45">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1169" w:type="dxa"/>
                  <w:vAlign w:val="center"/>
                </w:tcPr>
                <w:p w14:paraId="5D288A70">
                  <w:pPr>
                    <w:keepNext w:val="0"/>
                    <w:keepLines w:val="0"/>
                    <w:suppressLineNumbers w:val="0"/>
                    <w:spacing w:before="0" w:beforeAutospacing="0" w:after="0" w:afterAutospacing="0"/>
                    <w:ind w:left="0" w:leftChars="0" w:right="0" w:rightChars="0"/>
                    <w:jc w:val="center"/>
                    <w:rPr>
                      <w:rFonts w:hint="default"/>
                      <w:color w:val="auto"/>
                      <w:sz w:val="18"/>
                      <w:szCs w:val="18"/>
                      <w:highlight w:val="none"/>
                    </w:rPr>
                  </w:pPr>
                  <w:r>
                    <w:rPr>
                      <w:rFonts w:hint="eastAsia"/>
                      <w:color w:val="auto"/>
                      <w:sz w:val="18"/>
                      <w:szCs w:val="18"/>
                      <w:highlight w:val="none"/>
                    </w:rPr>
                    <w:t>0.2942</w:t>
                  </w:r>
                </w:p>
              </w:tc>
              <w:tc>
                <w:tcPr>
                  <w:tcW w:w="968" w:type="dxa"/>
                  <w:vAlign w:val="center"/>
                </w:tcPr>
                <w:p w14:paraId="2FA16C9B">
                  <w:pPr>
                    <w:keepNext w:val="0"/>
                    <w:keepLines w:val="0"/>
                    <w:suppressLineNumbers w:val="0"/>
                    <w:spacing w:before="0" w:beforeAutospacing="0" w:after="0" w:afterAutospacing="0"/>
                    <w:ind w:left="0" w:leftChars="0" w:right="0" w:rightChars="0"/>
                    <w:jc w:val="center"/>
                    <w:rPr>
                      <w:rFonts w:hint="default"/>
                      <w:color w:val="auto"/>
                      <w:sz w:val="18"/>
                      <w:szCs w:val="18"/>
                      <w:highlight w:val="none"/>
                    </w:rPr>
                  </w:pPr>
                  <w:r>
                    <w:rPr>
                      <w:rFonts w:hint="eastAsia"/>
                      <w:color w:val="auto"/>
                      <w:sz w:val="18"/>
                      <w:szCs w:val="18"/>
                      <w:highlight w:val="none"/>
                    </w:rPr>
                    <w:t>0.000123</w:t>
                  </w:r>
                </w:p>
              </w:tc>
              <w:tc>
                <w:tcPr>
                  <w:tcW w:w="397" w:type="pct"/>
                  <w:vAlign w:val="center"/>
                </w:tcPr>
                <w:p w14:paraId="0A091EC5">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250" w:type="pct"/>
                  <w:vMerge w:val="continue"/>
                  <w:vAlign w:val="center"/>
                </w:tcPr>
                <w:p w14:paraId="5DA14D15">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r>
            <w:tr w14:paraId="652B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vAlign w:val="center"/>
                </w:tcPr>
                <w:p w14:paraId="097F9AB6">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75" w:type="pct"/>
                  <w:vMerge w:val="continue"/>
                  <w:vAlign w:val="center"/>
                </w:tcPr>
                <w:p w14:paraId="6AEB1148">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48" w:type="pct"/>
                  <w:vAlign w:val="center"/>
                </w:tcPr>
                <w:p w14:paraId="5F091270">
                  <w:pPr>
                    <w:keepNext w:val="0"/>
                    <w:keepLines w:val="0"/>
                    <w:widowControl/>
                    <w:suppressLineNumbers w:val="0"/>
                    <w:spacing w:before="0" w:beforeAutospacing="0" w:after="0" w:afterAutospacing="0"/>
                    <w:ind w:left="0" w:right="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氨</w:t>
                  </w:r>
                </w:p>
              </w:tc>
              <w:tc>
                <w:tcPr>
                  <w:tcW w:w="148" w:type="pct"/>
                  <w:vMerge w:val="continue"/>
                  <w:vAlign w:val="center"/>
                </w:tcPr>
                <w:p w14:paraId="41B5003E">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458" w:type="pct"/>
                  <w:vAlign w:val="center"/>
                </w:tcPr>
                <w:p w14:paraId="1272AB80">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0.0455</w:t>
                  </w:r>
                </w:p>
              </w:tc>
              <w:tc>
                <w:tcPr>
                  <w:tcW w:w="360" w:type="pct"/>
                  <w:vAlign w:val="center"/>
                </w:tcPr>
                <w:p w14:paraId="328B58AF">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0.000019</w:t>
                  </w:r>
                </w:p>
              </w:tc>
              <w:tc>
                <w:tcPr>
                  <w:tcW w:w="397" w:type="pct"/>
                  <w:vAlign w:val="center"/>
                </w:tcPr>
                <w:p w14:paraId="6D8FBB91">
                  <w:pPr>
                    <w:keepNext w:val="0"/>
                    <w:keepLines w:val="0"/>
                    <w:widowControl/>
                    <w:suppressLineNumbers w:val="0"/>
                    <w:spacing w:before="0" w:beforeAutospacing="0" w:after="0" w:afterAutospacing="0"/>
                    <w:ind w:left="0" w:right="0"/>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w:t>
                  </w:r>
                </w:p>
              </w:tc>
              <w:tc>
                <w:tcPr>
                  <w:tcW w:w="148" w:type="pct"/>
                  <w:vMerge w:val="continue"/>
                  <w:vAlign w:val="center"/>
                </w:tcPr>
                <w:p w14:paraId="0E7368DA">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12" w:type="pct"/>
                  <w:vMerge w:val="continue"/>
                  <w:vAlign w:val="center"/>
                </w:tcPr>
                <w:p w14:paraId="2567AC3D">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34" w:type="pct"/>
                  <w:vMerge w:val="continue"/>
                  <w:vAlign w:val="center"/>
                </w:tcPr>
                <w:p w14:paraId="2B3A112A">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214" w:type="pct"/>
                  <w:vMerge w:val="continue"/>
                  <w:vAlign w:val="center"/>
                </w:tcPr>
                <w:p w14:paraId="0C93F9C4">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269" w:type="pct"/>
                  <w:vMerge w:val="continue"/>
                  <w:vAlign w:val="center"/>
                </w:tcPr>
                <w:p w14:paraId="4FDE9EAA">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50" w:type="pct"/>
                  <w:vMerge w:val="continue"/>
                  <w:vAlign w:val="center"/>
                </w:tcPr>
                <w:p w14:paraId="477A5289">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148" w:type="pct"/>
                  <w:vMerge w:val="continue"/>
                  <w:vAlign w:val="center"/>
                </w:tcPr>
                <w:p w14:paraId="39D4C172">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1169" w:type="dxa"/>
                  <w:vAlign w:val="center"/>
                </w:tcPr>
                <w:p w14:paraId="33E79CF5">
                  <w:pPr>
                    <w:keepNext w:val="0"/>
                    <w:keepLines w:val="0"/>
                    <w:suppressLineNumbers w:val="0"/>
                    <w:spacing w:before="0" w:beforeAutospacing="0" w:after="0" w:afterAutospacing="0"/>
                    <w:ind w:left="0" w:leftChars="0" w:right="0" w:rightChars="0"/>
                    <w:jc w:val="center"/>
                    <w:rPr>
                      <w:rFonts w:hint="eastAsia"/>
                      <w:color w:val="auto"/>
                      <w:sz w:val="18"/>
                      <w:szCs w:val="18"/>
                      <w:highlight w:val="none"/>
                    </w:rPr>
                  </w:pPr>
                  <w:r>
                    <w:rPr>
                      <w:rFonts w:hint="eastAsia"/>
                      <w:color w:val="auto"/>
                      <w:sz w:val="18"/>
                      <w:szCs w:val="18"/>
                      <w:highlight w:val="none"/>
                      <w:lang w:val="en-US" w:eastAsia="zh-CN"/>
                    </w:rPr>
                    <w:t>0.0455</w:t>
                  </w:r>
                </w:p>
              </w:tc>
              <w:tc>
                <w:tcPr>
                  <w:tcW w:w="968" w:type="dxa"/>
                  <w:vAlign w:val="center"/>
                </w:tcPr>
                <w:p w14:paraId="4D7EECCA">
                  <w:pPr>
                    <w:keepNext w:val="0"/>
                    <w:keepLines w:val="0"/>
                    <w:suppressLineNumbers w:val="0"/>
                    <w:spacing w:before="0" w:beforeAutospacing="0" w:after="0" w:afterAutospacing="0"/>
                    <w:ind w:left="0" w:leftChars="0" w:right="0" w:rightChars="0"/>
                    <w:jc w:val="center"/>
                    <w:rPr>
                      <w:rFonts w:hint="eastAsia"/>
                      <w:color w:val="auto"/>
                      <w:sz w:val="18"/>
                      <w:szCs w:val="18"/>
                      <w:highlight w:val="none"/>
                    </w:rPr>
                  </w:pPr>
                  <w:r>
                    <w:rPr>
                      <w:rFonts w:hint="eastAsia"/>
                      <w:color w:val="auto"/>
                      <w:sz w:val="18"/>
                      <w:szCs w:val="18"/>
                      <w:highlight w:val="none"/>
                      <w:lang w:val="en-US" w:eastAsia="zh-CN"/>
                    </w:rPr>
                    <w:t>0.000019</w:t>
                  </w:r>
                </w:p>
              </w:tc>
              <w:tc>
                <w:tcPr>
                  <w:tcW w:w="397" w:type="pct"/>
                  <w:vAlign w:val="center"/>
                </w:tcPr>
                <w:p w14:paraId="7ECAE3D7">
                  <w:pPr>
                    <w:keepNext w:val="0"/>
                    <w:keepLines w:val="0"/>
                    <w:widowControl/>
                    <w:suppressLineNumbers w:val="0"/>
                    <w:spacing w:before="0" w:beforeAutospacing="0" w:after="0" w:afterAutospacing="0"/>
                    <w:ind w:left="0" w:right="0"/>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w:t>
                  </w:r>
                </w:p>
              </w:tc>
              <w:tc>
                <w:tcPr>
                  <w:tcW w:w="250" w:type="pct"/>
                  <w:vMerge w:val="continue"/>
                  <w:vAlign w:val="center"/>
                </w:tcPr>
                <w:p w14:paraId="164BAC0E">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r>
            <w:tr w14:paraId="6506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8" w:type="pct"/>
                  <w:vMerge w:val="continue"/>
                  <w:vAlign w:val="center"/>
                </w:tcPr>
                <w:p w14:paraId="4458DC27">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75" w:type="pct"/>
                  <w:vMerge w:val="continue"/>
                  <w:vAlign w:val="center"/>
                </w:tcPr>
                <w:p w14:paraId="14F516E9">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48" w:type="pct"/>
                  <w:vAlign w:val="center"/>
                </w:tcPr>
                <w:p w14:paraId="6A5FC0C3">
                  <w:pPr>
                    <w:keepNext w:val="0"/>
                    <w:keepLines w:val="0"/>
                    <w:widowControl/>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沥青烟</w:t>
                  </w:r>
                </w:p>
              </w:tc>
              <w:tc>
                <w:tcPr>
                  <w:tcW w:w="148" w:type="pct"/>
                  <w:vMerge w:val="restart"/>
                  <w:vAlign w:val="center"/>
                </w:tcPr>
                <w:p w14:paraId="3A367D77">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产污系数法</w:t>
                  </w:r>
                </w:p>
              </w:tc>
              <w:tc>
                <w:tcPr>
                  <w:tcW w:w="458" w:type="pct"/>
                  <w:vAlign w:val="center"/>
                </w:tcPr>
                <w:p w14:paraId="77A3584C">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ascii="Times New Roman" w:hAnsi="Times New Roman" w:eastAsia="宋体" w:cs="Times New Roman"/>
                      <w:color w:val="auto"/>
                      <w:sz w:val="18"/>
                      <w:szCs w:val="18"/>
                      <w:highlight w:val="none"/>
                      <w:lang w:val="en-US" w:eastAsia="zh-CN"/>
                    </w:rPr>
                    <w:t>0.000045g/a</w:t>
                  </w:r>
                </w:p>
              </w:tc>
              <w:tc>
                <w:tcPr>
                  <w:tcW w:w="360" w:type="pct"/>
                  <w:vAlign w:val="center"/>
                </w:tcPr>
                <w:p w14:paraId="0F8EF5E8">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ascii="Times New Roman" w:hAnsi="Times New Roman" w:eastAsia="宋体" w:cs="Times New Roman"/>
                      <w:color w:val="auto"/>
                      <w:sz w:val="18"/>
                      <w:szCs w:val="18"/>
                      <w:highlight w:val="none"/>
                      <w:lang w:val="en-US" w:eastAsia="zh-CN"/>
                    </w:rPr>
                    <w:t>0.00003g/h</w:t>
                  </w:r>
                </w:p>
              </w:tc>
              <w:tc>
                <w:tcPr>
                  <w:tcW w:w="397" w:type="pct"/>
                  <w:vAlign w:val="center"/>
                </w:tcPr>
                <w:p w14:paraId="11E44DBF">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148" w:type="pct"/>
                  <w:vMerge w:val="continue"/>
                  <w:vAlign w:val="center"/>
                </w:tcPr>
                <w:p w14:paraId="14EA8127">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12" w:type="pct"/>
                  <w:vMerge w:val="continue"/>
                  <w:vAlign w:val="center"/>
                </w:tcPr>
                <w:p w14:paraId="3B1D5119">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34" w:type="pct"/>
                  <w:vMerge w:val="continue"/>
                  <w:vAlign w:val="center"/>
                </w:tcPr>
                <w:p w14:paraId="5DCE8B66">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214" w:type="pct"/>
                  <w:vMerge w:val="continue"/>
                  <w:vAlign w:val="center"/>
                </w:tcPr>
                <w:p w14:paraId="72611BC5">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269" w:type="pct"/>
                  <w:vMerge w:val="continue"/>
                  <w:vAlign w:val="center"/>
                </w:tcPr>
                <w:p w14:paraId="7DFFE3F9">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50" w:type="pct"/>
                  <w:vMerge w:val="continue"/>
                  <w:vAlign w:val="center"/>
                </w:tcPr>
                <w:p w14:paraId="0F7F1EDD">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148" w:type="pct"/>
                  <w:vMerge w:val="restart"/>
                  <w:vAlign w:val="center"/>
                </w:tcPr>
                <w:p w14:paraId="7EE15AE5">
                  <w:pPr>
                    <w:keepNext w:val="0"/>
                    <w:keepLines w:val="0"/>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产污系数法</w:t>
                  </w:r>
                </w:p>
              </w:tc>
              <w:tc>
                <w:tcPr>
                  <w:tcW w:w="1169" w:type="dxa"/>
                  <w:vAlign w:val="center"/>
                </w:tcPr>
                <w:p w14:paraId="54EAF066">
                  <w:pPr>
                    <w:keepNext w:val="0"/>
                    <w:keepLines w:val="0"/>
                    <w:suppressLineNumbers w:val="0"/>
                    <w:spacing w:before="0" w:beforeAutospacing="0" w:after="0" w:afterAutospacing="0"/>
                    <w:ind w:left="0" w:leftChars="0" w:right="0" w:rightChars="0"/>
                    <w:jc w:val="center"/>
                    <w:rPr>
                      <w:rFonts w:hint="default"/>
                      <w:color w:val="auto"/>
                      <w:sz w:val="18"/>
                      <w:szCs w:val="18"/>
                      <w:highlight w:val="none"/>
                    </w:rPr>
                  </w:pPr>
                  <w:r>
                    <w:rPr>
                      <w:rFonts w:hint="eastAsia" w:ascii="Times New Roman" w:hAnsi="Times New Roman" w:eastAsia="宋体" w:cs="Times New Roman"/>
                      <w:color w:val="auto"/>
                      <w:sz w:val="18"/>
                      <w:szCs w:val="18"/>
                      <w:highlight w:val="none"/>
                      <w:lang w:val="en-US" w:eastAsia="zh-CN"/>
                    </w:rPr>
                    <w:t>0.000045g/a</w:t>
                  </w:r>
                </w:p>
              </w:tc>
              <w:tc>
                <w:tcPr>
                  <w:tcW w:w="968" w:type="dxa"/>
                  <w:vAlign w:val="center"/>
                </w:tcPr>
                <w:p w14:paraId="6355C9C4">
                  <w:pPr>
                    <w:keepNext w:val="0"/>
                    <w:keepLines w:val="0"/>
                    <w:suppressLineNumbers w:val="0"/>
                    <w:spacing w:before="0" w:beforeAutospacing="0" w:after="0" w:afterAutospacing="0"/>
                    <w:ind w:left="0" w:leftChars="0" w:right="0" w:rightChars="0"/>
                    <w:jc w:val="center"/>
                    <w:rPr>
                      <w:rFonts w:hint="default"/>
                      <w:color w:val="auto"/>
                      <w:sz w:val="18"/>
                      <w:szCs w:val="18"/>
                      <w:highlight w:val="none"/>
                    </w:rPr>
                  </w:pPr>
                  <w:r>
                    <w:rPr>
                      <w:rFonts w:hint="eastAsia" w:ascii="Times New Roman" w:hAnsi="Times New Roman" w:eastAsia="宋体" w:cs="Times New Roman"/>
                      <w:color w:val="auto"/>
                      <w:sz w:val="18"/>
                      <w:szCs w:val="18"/>
                      <w:highlight w:val="none"/>
                      <w:lang w:val="en-US" w:eastAsia="zh-CN"/>
                    </w:rPr>
                    <w:t>0.00003g/h</w:t>
                  </w:r>
                </w:p>
              </w:tc>
              <w:tc>
                <w:tcPr>
                  <w:tcW w:w="397" w:type="pct"/>
                  <w:vAlign w:val="center"/>
                </w:tcPr>
                <w:p w14:paraId="6DDAC4A8">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250" w:type="pct"/>
                  <w:vMerge w:val="continue"/>
                  <w:vAlign w:val="center"/>
                </w:tcPr>
                <w:p w14:paraId="0DD3FF3A">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r>
            <w:tr w14:paraId="1DC9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vAlign w:val="center"/>
                </w:tcPr>
                <w:p w14:paraId="25FD6B08">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75" w:type="pct"/>
                  <w:vMerge w:val="continue"/>
                  <w:vAlign w:val="center"/>
                </w:tcPr>
                <w:p w14:paraId="6B188210">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48" w:type="pct"/>
                  <w:vAlign w:val="center"/>
                </w:tcPr>
                <w:p w14:paraId="17AB3F6F">
                  <w:pPr>
                    <w:keepNext w:val="0"/>
                    <w:keepLines w:val="0"/>
                    <w:widowControl/>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苯并芘</w:t>
                  </w:r>
                </w:p>
              </w:tc>
              <w:tc>
                <w:tcPr>
                  <w:tcW w:w="148" w:type="pct"/>
                  <w:vMerge w:val="continue"/>
                  <w:vAlign w:val="center"/>
                </w:tcPr>
                <w:p w14:paraId="3020ED08">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458" w:type="pct"/>
                  <w:vAlign w:val="center"/>
                </w:tcPr>
                <w:p w14:paraId="53D5244D">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ascii="Times New Roman" w:hAnsi="Times New Roman" w:eastAsia="宋体" w:cs="Times New Roman"/>
                      <w:color w:val="auto"/>
                      <w:sz w:val="18"/>
                      <w:szCs w:val="18"/>
                      <w:highlight w:val="none"/>
                      <w:lang w:val="en-US" w:eastAsia="zh-CN"/>
                    </w:rPr>
                    <w:t>0.00000675g/a</w:t>
                  </w:r>
                </w:p>
              </w:tc>
              <w:tc>
                <w:tcPr>
                  <w:tcW w:w="360" w:type="pct"/>
                  <w:vAlign w:val="center"/>
                </w:tcPr>
                <w:p w14:paraId="31E53745">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ascii="Times New Roman" w:hAnsi="Times New Roman" w:eastAsia="宋体" w:cs="Times New Roman"/>
                      <w:color w:val="auto"/>
                      <w:sz w:val="18"/>
                      <w:szCs w:val="18"/>
                      <w:highlight w:val="none"/>
                      <w:lang w:val="en-US" w:eastAsia="zh-CN"/>
                    </w:rPr>
                    <w:t>0.0000045g/h</w:t>
                  </w:r>
                </w:p>
              </w:tc>
              <w:tc>
                <w:tcPr>
                  <w:tcW w:w="397" w:type="pct"/>
                  <w:vAlign w:val="center"/>
                </w:tcPr>
                <w:p w14:paraId="2DC5D26C">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148" w:type="pct"/>
                  <w:vMerge w:val="continue"/>
                  <w:vAlign w:val="center"/>
                </w:tcPr>
                <w:p w14:paraId="60EF3228">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12" w:type="pct"/>
                  <w:vMerge w:val="continue"/>
                  <w:vAlign w:val="center"/>
                </w:tcPr>
                <w:p w14:paraId="45BB1107">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34" w:type="pct"/>
                  <w:vMerge w:val="continue"/>
                  <w:vAlign w:val="center"/>
                </w:tcPr>
                <w:p w14:paraId="14E8FA30">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214" w:type="pct"/>
                  <w:vMerge w:val="continue"/>
                  <w:vAlign w:val="center"/>
                </w:tcPr>
                <w:p w14:paraId="0B7D46F4">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269" w:type="pct"/>
                  <w:vMerge w:val="continue"/>
                  <w:vAlign w:val="center"/>
                </w:tcPr>
                <w:p w14:paraId="72E2B0DB">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50" w:type="pct"/>
                  <w:vMerge w:val="continue"/>
                  <w:vAlign w:val="center"/>
                </w:tcPr>
                <w:p w14:paraId="07AF122D">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148" w:type="pct"/>
                  <w:vMerge w:val="continue"/>
                  <w:vAlign w:val="center"/>
                </w:tcPr>
                <w:p w14:paraId="754BCA21">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1169" w:type="dxa"/>
                  <w:vAlign w:val="center"/>
                </w:tcPr>
                <w:p w14:paraId="322D9CDB">
                  <w:pPr>
                    <w:keepNext w:val="0"/>
                    <w:keepLines w:val="0"/>
                    <w:suppressLineNumbers w:val="0"/>
                    <w:spacing w:before="0" w:beforeAutospacing="0" w:after="0" w:afterAutospacing="0"/>
                    <w:ind w:left="0" w:leftChars="0" w:right="0" w:rightChars="0"/>
                    <w:jc w:val="center"/>
                    <w:rPr>
                      <w:rFonts w:hint="default"/>
                      <w:color w:val="auto"/>
                      <w:kern w:val="0"/>
                      <w:sz w:val="18"/>
                      <w:szCs w:val="18"/>
                      <w:highlight w:val="none"/>
                    </w:rPr>
                  </w:pPr>
                  <w:r>
                    <w:rPr>
                      <w:rFonts w:hint="eastAsia" w:ascii="Times New Roman" w:hAnsi="Times New Roman" w:eastAsia="宋体" w:cs="Times New Roman"/>
                      <w:color w:val="auto"/>
                      <w:sz w:val="18"/>
                      <w:szCs w:val="18"/>
                      <w:highlight w:val="none"/>
                      <w:lang w:val="en-US" w:eastAsia="zh-CN"/>
                    </w:rPr>
                    <w:t>0.00000675g/a</w:t>
                  </w:r>
                </w:p>
              </w:tc>
              <w:tc>
                <w:tcPr>
                  <w:tcW w:w="968" w:type="dxa"/>
                  <w:vAlign w:val="center"/>
                </w:tcPr>
                <w:p w14:paraId="39777A3A">
                  <w:pPr>
                    <w:keepNext w:val="0"/>
                    <w:keepLines w:val="0"/>
                    <w:suppressLineNumbers w:val="0"/>
                    <w:spacing w:before="0" w:beforeAutospacing="0" w:after="0" w:afterAutospacing="0"/>
                    <w:ind w:left="0" w:leftChars="0" w:right="0" w:rightChars="0"/>
                    <w:jc w:val="center"/>
                    <w:rPr>
                      <w:rFonts w:hint="default"/>
                      <w:color w:val="auto"/>
                      <w:kern w:val="0"/>
                      <w:sz w:val="18"/>
                      <w:szCs w:val="18"/>
                      <w:highlight w:val="none"/>
                    </w:rPr>
                  </w:pPr>
                  <w:r>
                    <w:rPr>
                      <w:rFonts w:hint="eastAsia" w:ascii="Times New Roman" w:hAnsi="Times New Roman" w:eastAsia="宋体" w:cs="Times New Roman"/>
                      <w:color w:val="auto"/>
                      <w:sz w:val="18"/>
                      <w:szCs w:val="18"/>
                      <w:highlight w:val="none"/>
                      <w:lang w:val="en-US" w:eastAsia="zh-CN"/>
                    </w:rPr>
                    <w:t>0.0000045g/h</w:t>
                  </w:r>
                </w:p>
              </w:tc>
              <w:tc>
                <w:tcPr>
                  <w:tcW w:w="397" w:type="pct"/>
                  <w:vAlign w:val="center"/>
                </w:tcPr>
                <w:p w14:paraId="3359D170">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250" w:type="pct"/>
                  <w:vMerge w:val="continue"/>
                  <w:vAlign w:val="center"/>
                </w:tcPr>
                <w:p w14:paraId="35573C41">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r>
            <w:tr w14:paraId="2C42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vAlign w:val="center"/>
                </w:tcPr>
                <w:p w14:paraId="69AB54D4">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75" w:type="pct"/>
                  <w:vMerge w:val="continue"/>
                  <w:vAlign w:val="center"/>
                </w:tcPr>
                <w:p w14:paraId="36269C6E">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48" w:type="pct"/>
                  <w:vAlign w:val="center"/>
                </w:tcPr>
                <w:p w14:paraId="283D0161">
                  <w:pPr>
                    <w:keepNext w:val="0"/>
                    <w:keepLines w:val="0"/>
                    <w:widowControl/>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颗粒物</w:t>
                  </w:r>
                </w:p>
              </w:tc>
              <w:tc>
                <w:tcPr>
                  <w:tcW w:w="148" w:type="pct"/>
                  <w:vMerge w:val="continue"/>
                  <w:vAlign w:val="center"/>
                </w:tcPr>
                <w:p w14:paraId="71E05B9F">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458" w:type="pct"/>
                  <w:vAlign w:val="center"/>
                </w:tcPr>
                <w:p w14:paraId="4D6725DA">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5</w:t>
                  </w:r>
                </w:p>
              </w:tc>
              <w:tc>
                <w:tcPr>
                  <w:tcW w:w="360" w:type="pct"/>
                  <w:vAlign w:val="center"/>
                </w:tcPr>
                <w:p w14:paraId="71C10534">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0.004</w:t>
                  </w:r>
                </w:p>
              </w:tc>
              <w:tc>
                <w:tcPr>
                  <w:tcW w:w="397" w:type="pct"/>
                  <w:vAlign w:val="center"/>
                </w:tcPr>
                <w:p w14:paraId="276D250C">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148" w:type="pct"/>
                  <w:vMerge w:val="continue"/>
                  <w:vAlign w:val="center"/>
                </w:tcPr>
                <w:p w14:paraId="01CE7037">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12" w:type="pct"/>
                  <w:vMerge w:val="continue"/>
                  <w:vAlign w:val="center"/>
                </w:tcPr>
                <w:p w14:paraId="5123C5A8">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34" w:type="pct"/>
                  <w:vAlign w:val="center"/>
                </w:tcPr>
                <w:p w14:paraId="0215B02B">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eastAsia"/>
                      <w:color w:val="auto"/>
                      <w:kern w:val="0"/>
                      <w:sz w:val="18"/>
                      <w:szCs w:val="18"/>
                      <w:highlight w:val="none"/>
                      <w:lang w:val="en-US" w:eastAsia="zh-CN"/>
                    </w:rPr>
                    <w:t>湿法作业，</w:t>
                  </w:r>
                  <w:r>
                    <w:rPr>
                      <w:rFonts w:hint="default"/>
                      <w:color w:val="auto"/>
                      <w:kern w:val="0"/>
                      <w:sz w:val="18"/>
                      <w:szCs w:val="18"/>
                      <w:highlight w:val="none"/>
                    </w:rPr>
                    <w:t>通过实验室换风系统无组织排放。</w:t>
                  </w:r>
                </w:p>
              </w:tc>
              <w:tc>
                <w:tcPr>
                  <w:tcW w:w="214" w:type="pct"/>
                  <w:vMerge w:val="continue"/>
                  <w:vAlign w:val="center"/>
                </w:tcPr>
                <w:p w14:paraId="0719BD17">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269" w:type="pct"/>
                  <w:vMerge w:val="continue"/>
                  <w:vAlign w:val="center"/>
                </w:tcPr>
                <w:p w14:paraId="60096CCF">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50" w:type="pct"/>
                  <w:vMerge w:val="continue"/>
                  <w:vAlign w:val="center"/>
                </w:tcPr>
                <w:p w14:paraId="2FF63006">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p>
              </w:tc>
              <w:tc>
                <w:tcPr>
                  <w:tcW w:w="148" w:type="pct"/>
                  <w:vMerge w:val="continue"/>
                  <w:vAlign w:val="center"/>
                </w:tcPr>
                <w:p w14:paraId="75CA664A">
                  <w:pPr>
                    <w:keepNext w:val="0"/>
                    <w:keepLines w:val="0"/>
                    <w:suppressLineNumbers w:val="0"/>
                    <w:spacing w:before="0" w:beforeAutospacing="0" w:after="0" w:afterAutospacing="0"/>
                    <w:ind w:left="0" w:right="0"/>
                    <w:jc w:val="center"/>
                    <w:rPr>
                      <w:rFonts w:hint="default"/>
                      <w:color w:val="auto"/>
                      <w:kern w:val="0"/>
                      <w:sz w:val="18"/>
                      <w:szCs w:val="18"/>
                      <w:highlight w:val="none"/>
                    </w:rPr>
                  </w:pPr>
                </w:p>
              </w:tc>
              <w:tc>
                <w:tcPr>
                  <w:tcW w:w="1169" w:type="dxa"/>
                  <w:vAlign w:val="center"/>
                </w:tcPr>
                <w:p w14:paraId="2F64DC86">
                  <w:pPr>
                    <w:keepNext w:val="0"/>
                    <w:keepLines w:val="0"/>
                    <w:suppressLineNumbers w:val="0"/>
                    <w:spacing w:before="0" w:beforeAutospacing="0" w:after="0" w:afterAutospacing="0"/>
                    <w:ind w:left="0" w:leftChars="0" w:right="0" w:rightChars="0"/>
                    <w:jc w:val="center"/>
                    <w:rPr>
                      <w:rFonts w:hint="default"/>
                      <w:color w:val="auto"/>
                      <w:sz w:val="18"/>
                      <w:szCs w:val="18"/>
                      <w:highlight w:val="none"/>
                    </w:rPr>
                  </w:pPr>
                  <w:r>
                    <w:rPr>
                      <w:rFonts w:hint="eastAsia"/>
                      <w:color w:val="auto"/>
                      <w:sz w:val="18"/>
                      <w:szCs w:val="18"/>
                      <w:highlight w:val="none"/>
                    </w:rPr>
                    <w:t>5</w:t>
                  </w:r>
                </w:p>
              </w:tc>
              <w:tc>
                <w:tcPr>
                  <w:tcW w:w="968" w:type="dxa"/>
                  <w:vAlign w:val="center"/>
                </w:tcPr>
                <w:p w14:paraId="27537CAE">
                  <w:pPr>
                    <w:keepNext w:val="0"/>
                    <w:keepLines w:val="0"/>
                    <w:suppressLineNumbers w:val="0"/>
                    <w:spacing w:before="0" w:beforeAutospacing="0" w:after="0" w:afterAutospacing="0"/>
                    <w:ind w:left="0" w:leftChars="0" w:right="0" w:rightChars="0"/>
                    <w:jc w:val="center"/>
                    <w:rPr>
                      <w:rFonts w:hint="default"/>
                      <w:color w:val="auto"/>
                      <w:sz w:val="18"/>
                      <w:szCs w:val="18"/>
                      <w:highlight w:val="none"/>
                    </w:rPr>
                  </w:pPr>
                  <w:r>
                    <w:rPr>
                      <w:rFonts w:hint="default"/>
                      <w:color w:val="auto"/>
                      <w:sz w:val="18"/>
                      <w:szCs w:val="18"/>
                      <w:highlight w:val="none"/>
                    </w:rPr>
                    <w:t>0.004</w:t>
                  </w:r>
                </w:p>
              </w:tc>
              <w:tc>
                <w:tcPr>
                  <w:tcW w:w="397" w:type="pct"/>
                  <w:vAlign w:val="center"/>
                </w:tcPr>
                <w:p w14:paraId="2914DF3E">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250" w:type="pct"/>
                  <w:vMerge w:val="continue"/>
                  <w:vAlign w:val="center"/>
                </w:tcPr>
                <w:p w14:paraId="06A0DE3A">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r>
            <w:tr w14:paraId="0FB3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 w:type="pct"/>
                  <w:vMerge w:val="continue"/>
                  <w:vAlign w:val="center"/>
                </w:tcPr>
                <w:p w14:paraId="15C2717C">
                  <w:pPr>
                    <w:keepNext w:val="0"/>
                    <w:keepLines w:val="0"/>
                    <w:suppressLineNumbers w:val="0"/>
                    <w:spacing w:before="0" w:beforeAutospacing="0" w:after="0" w:afterAutospacing="0"/>
                    <w:ind w:left="0" w:right="0"/>
                    <w:jc w:val="center"/>
                    <w:rPr>
                      <w:rFonts w:hint="default"/>
                      <w:color w:val="auto"/>
                      <w:kern w:val="0"/>
                      <w:sz w:val="18"/>
                      <w:szCs w:val="18"/>
                      <w:highlight w:val="yellow"/>
                    </w:rPr>
                  </w:pPr>
                </w:p>
              </w:tc>
              <w:tc>
                <w:tcPr>
                  <w:tcW w:w="275" w:type="pct"/>
                  <w:vMerge w:val="continue"/>
                  <w:vAlign w:val="center"/>
                </w:tcPr>
                <w:p w14:paraId="6EA8A7EB">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48" w:type="pct"/>
                  <w:vAlign w:val="center"/>
                </w:tcPr>
                <w:p w14:paraId="5C4B32DE">
                  <w:pPr>
                    <w:keepNext w:val="0"/>
                    <w:keepLines w:val="0"/>
                    <w:widowControl/>
                    <w:suppressLineNumbers w:val="0"/>
                    <w:spacing w:before="0" w:beforeAutospacing="0" w:after="0" w:afterAutospacing="0"/>
                    <w:ind w:left="0" w:right="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恶臭</w:t>
                  </w:r>
                </w:p>
              </w:tc>
              <w:tc>
                <w:tcPr>
                  <w:tcW w:w="148" w:type="pct"/>
                  <w:vAlign w:val="center"/>
                </w:tcPr>
                <w:p w14:paraId="023E76BC">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w:t>
                  </w:r>
                </w:p>
              </w:tc>
              <w:tc>
                <w:tcPr>
                  <w:tcW w:w="458" w:type="pct"/>
                  <w:vAlign w:val="center"/>
                </w:tcPr>
                <w:p w14:paraId="5B1D44EC">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少量</w:t>
                  </w:r>
                </w:p>
              </w:tc>
              <w:tc>
                <w:tcPr>
                  <w:tcW w:w="360" w:type="pct"/>
                  <w:vAlign w:val="center"/>
                </w:tcPr>
                <w:p w14:paraId="6FCEF4A5">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kern w:val="0"/>
                      <w:sz w:val="18"/>
                      <w:szCs w:val="18"/>
                      <w:highlight w:val="none"/>
                    </w:rPr>
                    <w:t>/</w:t>
                  </w:r>
                </w:p>
              </w:tc>
              <w:tc>
                <w:tcPr>
                  <w:tcW w:w="397" w:type="pct"/>
                  <w:vAlign w:val="center"/>
                </w:tcPr>
                <w:p w14:paraId="400F163B">
                  <w:pPr>
                    <w:keepNext w:val="0"/>
                    <w:keepLines w:val="0"/>
                    <w:widowControl/>
                    <w:suppressLineNumbers w:val="0"/>
                    <w:spacing w:before="0" w:beforeAutospacing="0" w:after="0" w:afterAutospacing="0"/>
                    <w:ind w:left="0" w:right="0"/>
                    <w:jc w:val="center"/>
                    <w:rPr>
                      <w:rFonts w:hint="default"/>
                      <w:color w:val="auto"/>
                      <w:kern w:val="0"/>
                      <w:sz w:val="18"/>
                      <w:szCs w:val="18"/>
                      <w:highlight w:val="none"/>
                    </w:rPr>
                  </w:pPr>
                  <w:r>
                    <w:rPr>
                      <w:rFonts w:hint="default"/>
                      <w:color w:val="auto"/>
                      <w:kern w:val="0"/>
                      <w:sz w:val="18"/>
                      <w:szCs w:val="18"/>
                      <w:highlight w:val="none"/>
                    </w:rPr>
                    <w:t>/</w:t>
                  </w:r>
                </w:p>
              </w:tc>
              <w:tc>
                <w:tcPr>
                  <w:tcW w:w="148" w:type="pct"/>
                  <w:vMerge w:val="continue"/>
                  <w:vAlign w:val="center"/>
                </w:tcPr>
                <w:p w14:paraId="1DA70BB6">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12" w:type="pct"/>
                  <w:vMerge w:val="continue"/>
                  <w:vAlign w:val="center"/>
                </w:tcPr>
                <w:p w14:paraId="0EAA9737">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334" w:type="pct"/>
                  <w:vAlign w:val="center"/>
                </w:tcPr>
                <w:p w14:paraId="0AC09A15">
                  <w:pPr>
                    <w:keepNext w:val="0"/>
                    <w:keepLines w:val="0"/>
                    <w:widowControl/>
                    <w:suppressLineNumbers w:val="0"/>
                    <w:spacing w:before="0" w:beforeAutospacing="0" w:after="0" w:afterAutospacing="0"/>
                    <w:ind w:left="0" w:right="0"/>
                    <w:jc w:val="center"/>
                    <w:rPr>
                      <w:rFonts w:hint="eastAsia"/>
                      <w:color w:val="auto"/>
                      <w:kern w:val="0"/>
                      <w:sz w:val="18"/>
                      <w:szCs w:val="18"/>
                      <w:highlight w:val="none"/>
                      <w:lang w:val="en-US" w:eastAsia="zh-CN"/>
                    </w:rPr>
                  </w:pPr>
                  <w:r>
                    <w:rPr>
                      <w:rFonts w:hint="default"/>
                      <w:color w:val="auto"/>
                      <w:kern w:val="0"/>
                      <w:sz w:val="18"/>
                      <w:szCs w:val="18"/>
                      <w:highlight w:val="none"/>
                    </w:rPr>
                    <w:t>自然扩散、大气稀释、绿化吸收</w:t>
                  </w:r>
                </w:p>
              </w:tc>
              <w:tc>
                <w:tcPr>
                  <w:tcW w:w="214" w:type="pct"/>
                  <w:vMerge w:val="continue"/>
                  <w:vAlign w:val="center"/>
                </w:tcPr>
                <w:p w14:paraId="3AF2118B">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269" w:type="pct"/>
                  <w:vMerge w:val="continue"/>
                  <w:vAlign w:val="center"/>
                </w:tcPr>
                <w:p w14:paraId="7246B06E">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50" w:type="pct"/>
                  <w:vMerge w:val="continue"/>
                  <w:vAlign w:val="center"/>
                </w:tcPr>
                <w:p w14:paraId="10FDD6D0">
                  <w:pPr>
                    <w:keepNext w:val="0"/>
                    <w:keepLines w:val="0"/>
                    <w:widowControl/>
                    <w:suppressLineNumbers w:val="0"/>
                    <w:spacing w:before="0" w:beforeAutospacing="0" w:after="0" w:afterAutospacing="0"/>
                    <w:ind w:left="0" w:right="0"/>
                    <w:jc w:val="center"/>
                    <w:rPr>
                      <w:rFonts w:hint="default"/>
                      <w:color w:val="auto"/>
                      <w:kern w:val="0"/>
                      <w:sz w:val="18"/>
                      <w:szCs w:val="18"/>
                      <w:highlight w:val="yellow"/>
                    </w:rPr>
                  </w:pPr>
                </w:p>
              </w:tc>
              <w:tc>
                <w:tcPr>
                  <w:tcW w:w="148" w:type="pct"/>
                  <w:vAlign w:val="center"/>
                </w:tcPr>
                <w:p w14:paraId="7F596D5D">
                  <w:pPr>
                    <w:keepNext w:val="0"/>
                    <w:keepLines w:val="0"/>
                    <w:suppressLineNumbers w:val="0"/>
                    <w:spacing w:before="0" w:beforeAutospacing="0" w:after="0" w:afterAutospacing="0"/>
                    <w:ind w:left="0" w:right="0"/>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w:t>
                  </w:r>
                </w:p>
              </w:tc>
              <w:tc>
                <w:tcPr>
                  <w:tcW w:w="1169" w:type="dxa"/>
                  <w:vAlign w:val="center"/>
                </w:tcPr>
                <w:p w14:paraId="15349746">
                  <w:pPr>
                    <w:keepNext w:val="0"/>
                    <w:keepLines w:val="0"/>
                    <w:suppressLineNumbers w:val="0"/>
                    <w:spacing w:before="0" w:beforeAutospacing="0" w:after="0" w:afterAutospacing="0"/>
                    <w:ind w:left="0" w:leftChars="0" w:right="0" w:rightChars="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极少量</w:t>
                  </w:r>
                </w:p>
              </w:tc>
              <w:tc>
                <w:tcPr>
                  <w:tcW w:w="968" w:type="dxa"/>
                  <w:vAlign w:val="center"/>
                </w:tcPr>
                <w:p w14:paraId="427450FA">
                  <w:pPr>
                    <w:keepNext w:val="0"/>
                    <w:keepLines w:val="0"/>
                    <w:suppressLineNumbers w:val="0"/>
                    <w:spacing w:before="0" w:beforeAutospacing="0" w:after="0" w:afterAutospacing="0"/>
                    <w:ind w:left="0" w:leftChars="0" w:right="0" w:rightChars="0"/>
                    <w:jc w:val="center"/>
                    <w:rPr>
                      <w:rFonts w:hint="default"/>
                      <w:color w:val="auto"/>
                      <w:sz w:val="18"/>
                      <w:szCs w:val="18"/>
                      <w:highlight w:val="none"/>
                    </w:rPr>
                  </w:pPr>
                  <w:r>
                    <w:rPr>
                      <w:rFonts w:hint="default"/>
                      <w:color w:val="auto"/>
                      <w:kern w:val="0"/>
                      <w:sz w:val="18"/>
                      <w:szCs w:val="18"/>
                      <w:highlight w:val="none"/>
                    </w:rPr>
                    <w:t>/</w:t>
                  </w:r>
                </w:p>
              </w:tc>
              <w:tc>
                <w:tcPr>
                  <w:tcW w:w="397" w:type="pct"/>
                  <w:vAlign w:val="center"/>
                </w:tcPr>
                <w:p w14:paraId="7EB9148B">
                  <w:pPr>
                    <w:keepNext w:val="0"/>
                    <w:keepLines w:val="0"/>
                    <w:widowControl/>
                    <w:suppressLineNumbers w:val="0"/>
                    <w:spacing w:before="0" w:beforeAutospacing="0" w:after="0" w:afterAutospacing="0"/>
                    <w:ind w:left="0" w:leftChars="0" w:right="0" w:rightChars="0"/>
                    <w:jc w:val="center"/>
                    <w:rPr>
                      <w:rFonts w:hint="default"/>
                      <w:color w:val="auto"/>
                      <w:kern w:val="0"/>
                      <w:sz w:val="18"/>
                      <w:szCs w:val="18"/>
                      <w:highlight w:val="none"/>
                    </w:rPr>
                  </w:pPr>
                  <w:r>
                    <w:rPr>
                      <w:rFonts w:hint="default"/>
                      <w:color w:val="auto"/>
                      <w:kern w:val="0"/>
                      <w:sz w:val="18"/>
                      <w:szCs w:val="18"/>
                      <w:highlight w:val="none"/>
                    </w:rPr>
                    <w:t>/</w:t>
                  </w:r>
                </w:p>
              </w:tc>
              <w:tc>
                <w:tcPr>
                  <w:tcW w:w="250" w:type="pct"/>
                  <w:vMerge w:val="continue"/>
                  <w:vAlign w:val="center"/>
                </w:tcPr>
                <w:p w14:paraId="63F70B24">
                  <w:pPr>
                    <w:keepNext w:val="0"/>
                    <w:keepLines w:val="0"/>
                    <w:suppressLineNumbers w:val="0"/>
                    <w:spacing w:before="0" w:beforeAutospacing="0" w:after="0" w:afterAutospacing="0"/>
                    <w:ind w:left="0" w:leftChars="0" w:right="0" w:rightChars="0"/>
                    <w:jc w:val="center"/>
                    <w:rPr>
                      <w:rFonts w:hint="default"/>
                      <w:color w:val="auto"/>
                      <w:kern w:val="0"/>
                      <w:sz w:val="18"/>
                      <w:szCs w:val="18"/>
                      <w:highlight w:val="yellow"/>
                    </w:rPr>
                  </w:pPr>
                </w:p>
              </w:tc>
            </w:tr>
          </w:tbl>
          <w:p w14:paraId="12D88D99">
            <w:pPr>
              <w:keepNext w:val="0"/>
              <w:keepLines w:val="0"/>
              <w:suppressLineNumbers w:val="0"/>
              <w:kinsoku w:val="0"/>
              <w:overflowPunct w:val="0"/>
              <w:spacing w:before="120" w:beforeLines="50" w:beforeAutospacing="0" w:after="0" w:afterAutospacing="0" w:line="240" w:lineRule="atLeast"/>
              <w:ind w:left="0" w:right="0"/>
              <w:contextualSpacing/>
              <w:jc w:val="center"/>
              <w:rPr>
                <w:rFonts w:hint="default"/>
                <w:b/>
                <w:bCs/>
                <w:color w:val="auto"/>
                <w:szCs w:val="21"/>
              </w:rPr>
            </w:pPr>
          </w:p>
          <w:p w14:paraId="559FF045">
            <w:pPr>
              <w:keepNext w:val="0"/>
              <w:keepLines w:val="0"/>
              <w:suppressLineNumbers w:val="0"/>
              <w:kinsoku w:val="0"/>
              <w:overflowPunct w:val="0"/>
              <w:spacing w:before="120" w:beforeLines="50" w:beforeAutospacing="0" w:after="0" w:afterAutospacing="0" w:line="240" w:lineRule="atLeast"/>
              <w:ind w:left="0" w:right="0"/>
              <w:contextualSpacing/>
              <w:jc w:val="center"/>
              <w:rPr>
                <w:rFonts w:hint="default"/>
                <w:b/>
                <w:bCs/>
                <w:color w:val="auto"/>
                <w:szCs w:val="21"/>
              </w:rPr>
            </w:pPr>
          </w:p>
          <w:p w14:paraId="283EFAD5">
            <w:pPr>
              <w:keepNext w:val="0"/>
              <w:keepLines w:val="0"/>
              <w:suppressLineNumbers w:val="0"/>
              <w:kinsoku w:val="0"/>
              <w:overflowPunct w:val="0"/>
              <w:spacing w:before="120" w:beforeLines="50" w:beforeAutospacing="0" w:after="0" w:afterAutospacing="0" w:line="240" w:lineRule="atLeast"/>
              <w:ind w:left="0" w:right="0"/>
              <w:contextualSpacing/>
              <w:jc w:val="center"/>
              <w:rPr>
                <w:rFonts w:hint="default"/>
                <w:b/>
                <w:bCs/>
                <w:color w:val="auto"/>
                <w:szCs w:val="21"/>
              </w:rPr>
            </w:pPr>
          </w:p>
          <w:p w14:paraId="2CAD2E2C">
            <w:pPr>
              <w:keepNext w:val="0"/>
              <w:keepLines w:val="0"/>
              <w:suppressLineNumbers w:val="0"/>
              <w:kinsoku w:val="0"/>
              <w:overflowPunct w:val="0"/>
              <w:spacing w:before="120" w:beforeLines="50" w:beforeAutospacing="0" w:after="0" w:afterAutospacing="0" w:line="240" w:lineRule="atLeast"/>
              <w:ind w:left="0" w:right="0"/>
              <w:contextualSpacing/>
              <w:jc w:val="center"/>
              <w:rPr>
                <w:rFonts w:hint="default"/>
                <w:b/>
                <w:bCs/>
                <w:color w:val="auto"/>
                <w:szCs w:val="21"/>
              </w:rPr>
            </w:pPr>
          </w:p>
          <w:p w14:paraId="49E23F02">
            <w:pPr>
              <w:keepNext w:val="0"/>
              <w:keepLines w:val="0"/>
              <w:suppressLineNumbers w:val="0"/>
              <w:kinsoku w:val="0"/>
              <w:overflowPunct w:val="0"/>
              <w:spacing w:before="120" w:beforeLines="50" w:beforeAutospacing="0" w:after="0" w:afterAutospacing="0" w:line="240" w:lineRule="atLeast"/>
              <w:ind w:left="0" w:right="0"/>
              <w:contextualSpacing/>
              <w:jc w:val="center"/>
              <w:rPr>
                <w:rFonts w:hint="default"/>
                <w:b/>
                <w:bCs/>
                <w:color w:val="auto"/>
                <w:szCs w:val="21"/>
              </w:rPr>
            </w:pPr>
          </w:p>
          <w:p w14:paraId="56DD157F">
            <w:pPr>
              <w:keepNext w:val="0"/>
              <w:keepLines w:val="0"/>
              <w:suppressLineNumbers w:val="0"/>
              <w:kinsoku w:val="0"/>
              <w:overflowPunct w:val="0"/>
              <w:spacing w:before="120" w:beforeLines="50" w:beforeAutospacing="0" w:after="0" w:afterAutospacing="0" w:line="240" w:lineRule="atLeast"/>
              <w:ind w:left="0" w:right="0"/>
              <w:contextualSpacing/>
              <w:jc w:val="center"/>
              <w:rPr>
                <w:rFonts w:hint="default"/>
                <w:b/>
                <w:bCs/>
                <w:color w:val="auto"/>
                <w:szCs w:val="21"/>
              </w:rPr>
            </w:pPr>
          </w:p>
          <w:p w14:paraId="2FFDF487">
            <w:pPr>
              <w:keepNext w:val="0"/>
              <w:keepLines w:val="0"/>
              <w:suppressLineNumbers w:val="0"/>
              <w:kinsoku w:val="0"/>
              <w:overflowPunct w:val="0"/>
              <w:spacing w:before="120" w:beforeLines="50" w:beforeAutospacing="0" w:after="0" w:afterAutospacing="0" w:line="240" w:lineRule="atLeast"/>
              <w:ind w:left="0" w:right="0"/>
              <w:contextualSpacing/>
              <w:jc w:val="center"/>
              <w:rPr>
                <w:rFonts w:hint="default"/>
                <w:color w:val="auto"/>
                <w:szCs w:val="21"/>
              </w:rPr>
            </w:pPr>
            <w:r>
              <w:rPr>
                <w:rFonts w:hint="default"/>
                <w:b/>
                <w:bCs/>
                <w:color w:val="auto"/>
                <w:szCs w:val="21"/>
              </w:rPr>
              <w:t>表4-2    本项目废气排放口基本情况及监测一览表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747"/>
              <w:gridCol w:w="729"/>
              <w:gridCol w:w="834"/>
              <w:gridCol w:w="653"/>
              <w:gridCol w:w="1510"/>
              <w:gridCol w:w="1520"/>
              <w:gridCol w:w="2553"/>
              <w:gridCol w:w="821"/>
              <w:gridCol w:w="1790"/>
              <w:gridCol w:w="773"/>
            </w:tblGrid>
            <w:tr w14:paraId="38DA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671" w:type="pct"/>
                  <w:gridSpan w:val="7"/>
                  <w:vAlign w:val="center"/>
                </w:tcPr>
                <w:p w14:paraId="558CBFBB">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r>
                    <w:rPr>
                      <w:rFonts w:hint="default"/>
                      <w:b/>
                      <w:bCs/>
                      <w:color w:val="auto"/>
                      <w:kern w:val="0"/>
                      <w:szCs w:val="21"/>
                    </w:rPr>
                    <w:t>排放口基本情况</w:t>
                  </w:r>
                </w:p>
              </w:tc>
              <w:tc>
                <w:tcPr>
                  <w:tcW w:w="1001" w:type="pct"/>
                  <w:vMerge w:val="restart"/>
                  <w:vAlign w:val="center"/>
                </w:tcPr>
                <w:p w14:paraId="7B4F95C4">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r>
                    <w:rPr>
                      <w:rFonts w:hint="default"/>
                      <w:b/>
                      <w:bCs/>
                      <w:color w:val="auto"/>
                      <w:szCs w:val="21"/>
                    </w:rPr>
                    <w:t>排放标准</w:t>
                  </w:r>
                </w:p>
              </w:tc>
              <w:tc>
                <w:tcPr>
                  <w:tcW w:w="1326" w:type="pct"/>
                  <w:gridSpan w:val="3"/>
                  <w:vAlign w:val="center"/>
                </w:tcPr>
                <w:p w14:paraId="1C61A737">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r>
                    <w:rPr>
                      <w:rFonts w:hint="default"/>
                      <w:b/>
                      <w:bCs/>
                      <w:color w:val="auto"/>
                      <w:kern w:val="0"/>
                      <w:szCs w:val="21"/>
                    </w:rPr>
                    <w:t>监测要求</w:t>
                  </w:r>
                </w:p>
              </w:tc>
            </w:tr>
            <w:tr w14:paraId="2D69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21" w:type="pct"/>
                  <w:vMerge w:val="restart"/>
                  <w:vAlign w:val="center"/>
                </w:tcPr>
                <w:p w14:paraId="2098CCFC">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r>
                    <w:rPr>
                      <w:rFonts w:hint="default"/>
                      <w:b/>
                      <w:bCs/>
                      <w:color w:val="auto"/>
                      <w:kern w:val="0"/>
                      <w:szCs w:val="21"/>
                    </w:rPr>
                    <w:t>编号</w:t>
                  </w:r>
                </w:p>
                <w:p w14:paraId="5C13151B">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r>
                    <w:rPr>
                      <w:rFonts w:hint="default"/>
                      <w:b/>
                      <w:bCs/>
                      <w:color w:val="auto"/>
                      <w:kern w:val="0"/>
                      <w:szCs w:val="21"/>
                    </w:rPr>
                    <w:t>及名称</w:t>
                  </w:r>
                </w:p>
              </w:tc>
              <w:tc>
                <w:tcPr>
                  <w:tcW w:w="292" w:type="pct"/>
                  <w:vMerge w:val="restart"/>
                  <w:vAlign w:val="center"/>
                </w:tcPr>
                <w:p w14:paraId="61558E99">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r>
                    <w:rPr>
                      <w:rFonts w:hint="default"/>
                      <w:b/>
                      <w:bCs/>
                      <w:color w:val="auto"/>
                      <w:kern w:val="0"/>
                      <w:szCs w:val="21"/>
                    </w:rPr>
                    <w:t>排气筒高度/m</w:t>
                  </w:r>
                </w:p>
              </w:tc>
              <w:tc>
                <w:tcPr>
                  <w:tcW w:w="285" w:type="pct"/>
                  <w:vMerge w:val="restart"/>
                  <w:vAlign w:val="center"/>
                </w:tcPr>
                <w:p w14:paraId="326ABD0C">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r>
                    <w:rPr>
                      <w:rFonts w:hint="default"/>
                      <w:b/>
                      <w:bCs/>
                      <w:color w:val="auto"/>
                      <w:kern w:val="0"/>
                      <w:szCs w:val="21"/>
                    </w:rPr>
                    <w:t>排气筒内径/m</w:t>
                  </w:r>
                </w:p>
              </w:tc>
              <w:tc>
                <w:tcPr>
                  <w:tcW w:w="327" w:type="pct"/>
                  <w:vMerge w:val="restart"/>
                  <w:vAlign w:val="center"/>
                </w:tcPr>
                <w:p w14:paraId="322476FF">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r>
                    <w:rPr>
                      <w:rFonts w:hint="default"/>
                      <w:b/>
                      <w:bCs/>
                      <w:color w:val="auto"/>
                      <w:kern w:val="0"/>
                      <w:szCs w:val="21"/>
                    </w:rPr>
                    <w:t>温度（</w:t>
                  </w:r>
                  <w:r>
                    <w:rPr>
                      <w:rFonts w:hint="default"/>
                      <w:b/>
                      <w:color w:val="auto"/>
                      <w:szCs w:val="21"/>
                    </w:rPr>
                    <w:t>℃</w:t>
                  </w:r>
                  <w:r>
                    <w:rPr>
                      <w:rFonts w:hint="default"/>
                      <w:b/>
                      <w:bCs/>
                      <w:color w:val="auto"/>
                      <w:kern w:val="0"/>
                      <w:szCs w:val="21"/>
                    </w:rPr>
                    <w:t>）</w:t>
                  </w:r>
                </w:p>
              </w:tc>
              <w:tc>
                <w:tcPr>
                  <w:tcW w:w="256" w:type="pct"/>
                  <w:vMerge w:val="restart"/>
                  <w:vAlign w:val="center"/>
                </w:tcPr>
                <w:p w14:paraId="6F3F2F2B">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r>
                    <w:rPr>
                      <w:rFonts w:hint="default"/>
                      <w:b/>
                      <w:bCs/>
                      <w:color w:val="auto"/>
                      <w:kern w:val="0"/>
                      <w:szCs w:val="21"/>
                    </w:rPr>
                    <w:t>类型</w:t>
                  </w:r>
                </w:p>
              </w:tc>
              <w:tc>
                <w:tcPr>
                  <w:tcW w:w="1188" w:type="pct"/>
                  <w:gridSpan w:val="2"/>
                  <w:vAlign w:val="center"/>
                </w:tcPr>
                <w:p w14:paraId="79FB2A86">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r>
                    <w:rPr>
                      <w:rFonts w:hint="default"/>
                      <w:b/>
                      <w:bCs/>
                      <w:color w:val="auto"/>
                      <w:kern w:val="0"/>
                      <w:szCs w:val="21"/>
                    </w:rPr>
                    <w:t>排气筒底部中心坐标</w:t>
                  </w:r>
                </w:p>
              </w:tc>
              <w:tc>
                <w:tcPr>
                  <w:tcW w:w="1001" w:type="pct"/>
                  <w:vMerge w:val="continue"/>
                  <w:vAlign w:val="center"/>
                </w:tcPr>
                <w:p w14:paraId="1647ADF7">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p>
              </w:tc>
              <w:tc>
                <w:tcPr>
                  <w:tcW w:w="321" w:type="pct"/>
                  <w:vMerge w:val="restart"/>
                  <w:vAlign w:val="center"/>
                </w:tcPr>
                <w:p w14:paraId="656808A6">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r>
                    <w:rPr>
                      <w:rFonts w:hint="default"/>
                      <w:b/>
                      <w:bCs/>
                      <w:color w:val="auto"/>
                      <w:kern w:val="0"/>
                      <w:szCs w:val="21"/>
                    </w:rPr>
                    <w:t>监测点位</w:t>
                  </w:r>
                </w:p>
              </w:tc>
              <w:tc>
                <w:tcPr>
                  <w:tcW w:w="701" w:type="pct"/>
                  <w:vMerge w:val="restart"/>
                  <w:vAlign w:val="center"/>
                </w:tcPr>
                <w:p w14:paraId="591AC32B">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r>
                    <w:rPr>
                      <w:rFonts w:hint="default"/>
                      <w:b/>
                      <w:bCs/>
                      <w:color w:val="auto"/>
                      <w:kern w:val="0"/>
                      <w:szCs w:val="21"/>
                    </w:rPr>
                    <w:t>监测因子</w:t>
                  </w:r>
                </w:p>
              </w:tc>
              <w:tc>
                <w:tcPr>
                  <w:tcW w:w="303" w:type="pct"/>
                  <w:vMerge w:val="restart"/>
                  <w:vAlign w:val="center"/>
                </w:tcPr>
                <w:p w14:paraId="010F3724">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r>
                    <w:rPr>
                      <w:rFonts w:hint="default"/>
                      <w:b/>
                      <w:bCs/>
                      <w:color w:val="auto"/>
                      <w:kern w:val="0"/>
                      <w:szCs w:val="21"/>
                    </w:rPr>
                    <w:t>监测频次</w:t>
                  </w:r>
                </w:p>
              </w:tc>
            </w:tr>
            <w:tr w14:paraId="3BD7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21" w:type="pct"/>
                  <w:vMerge w:val="continue"/>
                  <w:vAlign w:val="center"/>
                </w:tcPr>
                <w:p w14:paraId="05A1E9AA">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p>
              </w:tc>
              <w:tc>
                <w:tcPr>
                  <w:tcW w:w="292" w:type="pct"/>
                  <w:vMerge w:val="continue"/>
                  <w:vAlign w:val="center"/>
                </w:tcPr>
                <w:p w14:paraId="5B09EBD3">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p>
              </w:tc>
              <w:tc>
                <w:tcPr>
                  <w:tcW w:w="285" w:type="pct"/>
                  <w:vMerge w:val="continue"/>
                  <w:vAlign w:val="center"/>
                </w:tcPr>
                <w:p w14:paraId="198CC1CB">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p>
              </w:tc>
              <w:tc>
                <w:tcPr>
                  <w:tcW w:w="327" w:type="pct"/>
                  <w:vMerge w:val="continue"/>
                  <w:vAlign w:val="center"/>
                </w:tcPr>
                <w:p w14:paraId="26A00FDB">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p>
              </w:tc>
              <w:tc>
                <w:tcPr>
                  <w:tcW w:w="256" w:type="pct"/>
                  <w:vMerge w:val="continue"/>
                  <w:vAlign w:val="center"/>
                </w:tcPr>
                <w:p w14:paraId="72DC062C">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p>
              </w:tc>
              <w:tc>
                <w:tcPr>
                  <w:tcW w:w="592" w:type="pct"/>
                  <w:vAlign w:val="center"/>
                </w:tcPr>
                <w:p w14:paraId="7CFF8920">
                  <w:pPr>
                    <w:keepNext w:val="0"/>
                    <w:keepLines w:val="0"/>
                    <w:suppressLineNumbers w:val="0"/>
                    <w:spacing w:before="0" w:beforeAutospacing="0" w:after="0" w:afterAutospacing="0" w:line="240" w:lineRule="exact"/>
                    <w:ind w:left="0" w:right="0"/>
                    <w:jc w:val="center"/>
                    <w:rPr>
                      <w:rFonts w:hint="default"/>
                      <w:b/>
                      <w:bCs/>
                      <w:color w:val="auto"/>
                      <w:kern w:val="0"/>
                      <w:szCs w:val="21"/>
                    </w:rPr>
                  </w:pPr>
                  <w:r>
                    <w:rPr>
                      <w:rFonts w:hint="default"/>
                      <w:b/>
                      <w:color w:val="auto"/>
                      <w:kern w:val="0"/>
                      <w:szCs w:val="21"/>
                    </w:rPr>
                    <w:t>E</w:t>
                  </w:r>
                </w:p>
              </w:tc>
              <w:tc>
                <w:tcPr>
                  <w:tcW w:w="596" w:type="pct"/>
                  <w:vAlign w:val="center"/>
                </w:tcPr>
                <w:p w14:paraId="2DBBC798">
                  <w:pPr>
                    <w:keepNext w:val="0"/>
                    <w:keepLines w:val="0"/>
                    <w:suppressLineNumbers w:val="0"/>
                    <w:spacing w:before="0" w:beforeAutospacing="0" w:after="0" w:afterAutospacing="0" w:line="240" w:lineRule="exact"/>
                    <w:ind w:left="0" w:right="0"/>
                    <w:jc w:val="center"/>
                    <w:rPr>
                      <w:rFonts w:hint="default"/>
                      <w:b/>
                      <w:bCs/>
                      <w:color w:val="auto"/>
                      <w:kern w:val="0"/>
                      <w:szCs w:val="21"/>
                    </w:rPr>
                  </w:pPr>
                  <w:r>
                    <w:rPr>
                      <w:rFonts w:hint="default"/>
                      <w:b/>
                      <w:color w:val="auto"/>
                      <w:kern w:val="0"/>
                      <w:szCs w:val="21"/>
                    </w:rPr>
                    <w:t>N</w:t>
                  </w:r>
                </w:p>
              </w:tc>
              <w:tc>
                <w:tcPr>
                  <w:tcW w:w="1001" w:type="pct"/>
                  <w:vMerge w:val="continue"/>
                  <w:vAlign w:val="center"/>
                </w:tcPr>
                <w:p w14:paraId="07EBD04E">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p>
              </w:tc>
              <w:tc>
                <w:tcPr>
                  <w:tcW w:w="321" w:type="pct"/>
                  <w:vMerge w:val="continue"/>
                  <w:vAlign w:val="center"/>
                </w:tcPr>
                <w:p w14:paraId="3E3B7EE3">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p>
              </w:tc>
              <w:tc>
                <w:tcPr>
                  <w:tcW w:w="701" w:type="pct"/>
                  <w:vMerge w:val="continue"/>
                  <w:vAlign w:val="center"/>
                </w:tcPr>
                <w:p w14:paraId="298E699D">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p>
              </w:tc>
              <w:tc>
                <w:tcPr>
                  <w:tcW w:w="303" w:type="pct"/>
                  <w:vMerge w:val="continue"/>
                  <w:vAlign w:val="center"/>
                </w:tcPr>
                <w:p w14:paraId="283060F5">
                  <w:pPr>
                    <w:keepNext w:val="0"/>
                    <w:keepLines w:val="0"/>
                    <w:widowControl/>
                    <w:suppressLineNumbers w:val="0"/>
                    <w:spacing w:before="0" w:beforeAutospacing="0" w:after="0" w:afterAutospacing="0" w:line="240" w:lineRule="exact"/>
                    <w:ind w:left="0" w:right="0"/>
                    <w:jc w:val="center"/>
                    <w:rPr>
                      <w:rFonts w:hint="default"/>
                      <w:b/>
                      <w:bCs/>
                      <w:color w:val="auto"/>
                      <w:kern w:val="0"/>
                      <w:szCs w:val="21"/>
                    </w:rPr>
                  </w:pPr>
                </w:p>
              </w:tc>
            </w:tr>
            <w:tr w14:paraId="5F0A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321" w:type="pct"/>
                  <w:vMerge w:val="restart"/>
                  <w:vAlign w:val="center"/>
                </w:tcPr>
                <w:p w14:paraId="612B962B">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DA001排气筒</w:t>
                  </w:r>
                </w:p>
              </w:tc>
              <w:tc>
                <w:tcPr>
                  <w:tcW w:w="292" w:type="pct"/>
                  <w:vMerge w:val="restart"/>
                  <w:vAlign w:val="center"/>
                </w:tcPr>
                <w:p w14:paraId="5963B743">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15</w:t>
                  </w:r>
                </w:p>
              </w:tc>
              <w:tc>
                <w:tcPr>
                  <w:tcW w:w="285" w:type="pct"/>
                  <w:vMerge w:val="restart"/>
                  <w:vAlign w:val="center"/>
                </w:tcPr>
                <w:p w14:paraId="4F04DC84">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0.3</w:t>
                  </w:r>
                </w:p>
              </w:tc>
              <w:tc>
                <w:tcPr>
                  <w:tcW w:w="327" w:type="pct"/>
                  <w:vMerge w:val="restart"/>
                  <w:vAlign w:val="center"/>
                </w:tcPr>
                <w:p w14:paraId="2B173D9D">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25</w:t>
                  </w:r>
                </w:p>
              </w:tc>
              <w:tc>
                <w:tcPr>
                  <w:tcW w:w="256" w:type="pct"/>
                  <w:vMerge w:val="restart"/>
                  <w:vAlign w:val="center"/>
                </w:tcPr>
                <w:p w14:paraId="00CB2253">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一般排放口</w:t>
                  </w:r>
                </w:p>
              </w:tc>
              <w:tc>
                <w:tcPr>
                  <w:tcW w:w="592" w:type="pct"/>
                  <w:vMerge w:val="restart"/>
                  <w:vAlign w:val="center"/>
                </w:tcPr>
                <w:p w14:paraId="22995F24">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Style w:val="56"/>
                      <w:rFonts w:hint="default" w:eastAsiaTheme="minorEastAsia"/>
                      <w:color w:val="auto"/>
                      <w:kern w:val="21"/>
                      <w:sz w:val="21"/>
                      <w:szCs w:val="21"/>
                    </w:rPr>
                    <w:t>102°4</w:t>
                  </w:r>
                  <w:r>
                    <w:rPr>
                      <w:rStyle w:val="56"/>
                      <w:rFonts w:hint="default"/>
                      <w:color w:val="auto"/>
                      <w:kern w:val="21"/>
                      <w:sz w:val="21"/>
                      <w:szCs w:val="21"/>
                    </w:rPr>
                    <w:t>4</w:t>
                  </w:r>
                  <w:r>
                    <w:rPr>
                      <w:rStyle w:val="56"/>
                      <w:rFonts w:hint="default" w:eastAsiaTheme="minorEastAsia"/>
                      <w:color w:val="auto"/>
                      <w:kern w:val="21"/>
                      <w:sz w:val="21"/>
                      <w:szCs w:val="21"/>
                    </w:rPr>
                    <w:t>′2″</w:t>
                  </w:r>
                </w:p>
              </w:tc>
              <w:tc>
                <w:tcPr>
                  <w:tcW w:w="596" w:type="pct"/>
                  <w:vMerge w:val="restart"/>
                  <w:vAlign w:val="center"/>
                </w:tcPr>
                <w:p w14:paraId="3359030D">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Style w:val="56"/>
                      <w:rFonts w:hint="default" w:eastAsiaTheme="minorEastAsia"/>
                      <w:color w:val="auto"/>
                      <w:kern w:val="21"/>
                      <w:sz w:val="21"/>
                      <w:szCs w:val="21"/>
                    </w:rPr>
                    <w:t>25°9′7″</w:t>
                  </w:r>
                </w:p>
              </w:tc>
              <w:tc>
                <w:tcPr>
                  <w:tcW w:w="1001" w:type="pct"/>
                  <w:vAlign w:val="center"/>
                </w:tcPr>
                <w:p w14:paraId="7AD0B134">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《大气污染物综合排放标准》（GB 16297-1996）表2二级排放限值严格50%</w:t>
                  </w:r>
                </w:p>
              </w:tc>
              <w:tc>
                <w:tcPr>
                  <w:tcW w:w="321" w:type="pct"/>
                  <w:vMerge w:val="restart"/>
                  <w:vAlign w:val="center"/>
                </w:tcPr>
                <w:p w14:paraId="1E10141D">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DA001排气筒出口</w:t>
                  </w:r>
                </w:p>
              </w:tc>
              <w:tc>
                <w:tcPr>
                  <w:tcW w:w="701" w:type="pct"/>
                  <w:vAlign w:val="center"/>
                </w:tcPr>
                <w:p w14:paraId="2BB648AA">
                  <w:pPr>
                    <w:keepNext w:val="0"/>
                    <w:keepLines w:val="0"/>
                    <w:widowControl/>
                    <w:suppressLineNumbers w:val="0"/>
                    <w:spacing w:before="0" w:beforeAutospacing="0" w:after="0" w:afterAutospacing="0" w:line="240" w:lineRule="exact"/>
                    <w:ind w:left="0" w:right="0"/>
                    <w:jc w:val="center"/>
                    <w:rPr>
                      <w:rFonts w:hint="default" w:eastAsia="宋体"/>
                      <w:color w:val="auto"/>
                      <w:kern w:val="0"/>
                      <w:szCs w:val="21"/>
                      <w:lang w:val="en-US" w:eastAsia="zh-CN"/>
                    </w:rPr>
                  </w:pPr>
                  <w:r>
                    <w:rPr>
                      <w:rFonts w:hint="default"/>
                      <w:color w:val="auto"/>
                      <w:kern w:val="0"/>
                      <w:szCs w:val="21"/>
                    </w:rPr>
                    <w:t>非甲烷总烃、氯化氢、硫酸雾</w:t>
                  </w:r>
                  <w:r>
                    <w:rPr>
                      <w:rFonts w:hint="eastAsia"/>
                      <w:color w:val="auto"/>
                      <w:kern w:val="0"/>
                      <w:szCs w:val="21"/>
                      <w:lang w:eastAsia="zh-CN"/>
                    </w:rPr>
                    <w:t>、</w:t>
                  </w:r>
                </w:p>
              </w:tc>
              <w:tc>
                <w:tcPr>
                  <w:tcW w:w="303" w:type="pct"/>
                  <w:vMerge w:val="restart"/>
                  <w:vAlign w:val="center"/>
                </w:tcPr>
                <w:p w14:paraId="50FC866D">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1次/年</w:t>
                  </w:r>
                </w:p>
              </w:tc>
            </w:tr>
            <w:tr w14:paraId="5841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21" w:type="pct"/>
                  <w:vMerge w:val="continue"/>
                  <w:vAlign w:val="center"/>
                </w:tcPr>
                <w:p w14:paraId="7A4FA14A">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c>
                <w:tcPr>
                  <w:tcW w:w="292" w:type="pct"/>
                  <w:vMerge w:val="continue"/>
                  <w:vAlign w:val="center"/>
                </w:tcPr>
                <w:p w14:paraId="78117583">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c>
                <w:tcPr>
                  <w:tcW w:w="285" w:type="pct"/>
                  <w:vMerge w:val="continue"/>
                  <w:vAlign w:val="center"/>
                </w:tcPr>
                <w:p w14:paraId="76850BA7">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c>
                <w:tcPr>
                  <w:tcW w:w="327" w:type="pct"/>
                  <w:vMerge w:val="continue"/>
                  <w:vAlign w:val="center"/>
                </w:tcPr>
                <w:p w14:paraId="7B22C9E5">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c>
                <w:tcPr>
                  <w:tcW w:w="256" w:type="pct"/>
                  <w:vMerge w:val="continue"/>
                  <w:vAlign w:val="center"/>
                </w:tcPr>
                <w:p w14:paraId="3D869CE6">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c>
                <w:tcPr>
                  <w:tcW w:w="592" w:type="pct"/>
                  <w:vMerge w:val="continue"/>
                  <w:vAlign w:val="center"/>
                </w:tcPr>
                <w:p w14:paraId="2D63F957">
                  <w:pPr>
                    <w:keepNext w:val="0"/>
                    <w:keepLines w:val="0"/>
                    <w:widowControl/>
                    <w:suppressLineNumbers w:val="0"/>
                    <w:spacing w:before="0" w:beforeAutospacing="0" w:after="0" w:afterAutospacing="0" w:line="240" w:lineRule="exact"/>
                    <w:ind w:left="0" w:right="0"/>
                    <w:jc w:val="center"/>
                    <w:rPr>
                      <w:rStyle w:val="56"/>
                      <w:rFonts w:hint="default" w:eastAsiaTheme="minorEastAsia"/>
                      <w:color w:val="auto"/>
                      <w:kern w:val="21"/>
                      <w:sz w:val="21"/>
                      <w:szCs w:val="21"/>
                    </w:rPr>
                  </w:pPr>
                </w:p>
              </w:tc>
              <w:tc>
                <w:tcPr>
                  <w:tcW w:w="596" w:type="pct"/>
                  <w:vMerge w:val="continue"/>
                  <w:vAlign w:val="center"/>
                </w:tcPr>
                <w:p w14:paraId="1E76BBC0">
                  <w:pPr>
                    <w:keepNext w:val="0"/>
                    <w:keepLines w:val="0"/>
                    <w:widowControl/>
                    <w:suppressLineNumbers w:val="0"/>
                    <w:spacing w:before="0" w:beforeAutospacing="0" w:after="0" w:afterAutospacing="0" w:line="240" w:lineRule="exact"/>
                    <w:ind w:left="0" w:right="0"/>
                    <w:jc w:val="center"/>
                    <w:rPr>
                      <w:rStyle w:val="56"/>
                      <w:rFonts w:hint="default" w:eastAsiaTheme="minorEastAsia"/>
                      <w:color w:val="auto"/>
                      <w:kern w:val="21"/>
                      <w:sz w:val="21"/>
                      <w:szCs w:val="21"/>
                    </w:rPr>
                  </w:pPr>
                </w:p>
              </w:tc>
              <w:tc>
                <w:tcPr>
                  <w:tcW w:w="1001" w:type="pct"/>
                  <w:vAlign w:val="center"/>
                </w:tcPr>
                <w:p w14:paraId="07FF9AE4">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ascii="Times New Roman" w:cs="Times New Roman"/>
                      <w:color w:val="auto"/>
                      <w:szCs w:val="21"/>
                    </w:rPr>
                    <w:t>《恶臭污染物排放标准》（</w:t>
                  </w:r>
                  <w:r>
                    <w:rPr>
                      <w:rFonts w:hint="default" w:ascii="Times New Roman" w:hAnsi="Times New Roman" w:cs="Times New Roman"/>
                      <w:color w:val="auto"/>
                      <w:szCs w:val="21"/>
                    </w:rPr>
                    <w:t>GB14554-93</w:t>
                  </w:r>
                  <w:r>
                    <w:rPr>
                      <w:rFonts w:hint="default" w:ascii="Times New Roman" w:cs="Times New Roman"/>
                      <w:color w:val="auto"/>
                      <w:szCs w:val="21"/>
                    </w:rPr>
                    <w:t>）表</w:t>
                  </w:r>
                  <w:r>
                    <w:rPr>
                      <w:rFonts w:hint="default" w:ascii="Times New Roman" w:hAnsi="Times New Roman" w:cs="Times New Roman"/>
                      <w:color w:val="auto"/>
                      <w:szCs w:val="21"/>
                    </w:rPr>
                    <w:t>2</w:t>
                  </w:r>
                  <w:r>
                    <w:rPr>
                      <w:rFonts w:hint="default" w:ascii="Times New Roman" w:cs="Times New Roman"/>
                      <w:color w:val="auto"/>
                      <w:szCs w:val="21"/>
                    </w:rPr>
                    <w:t>相关排放标准限值</w:t>
                  </w:r>
                </w:p>
              </w:tc>
              <w:tc>
                <w:tcPr>
                  <w:tcW w:w="321" w:type="pct"/>
                  <w:vMerge w:val="continue"/>
                  <w:vAlign w:val="center"/>
                </w:tcPr>
                <w:p w14:paraId="33727046">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c>
                <w:tcPr>
                  <w:tcW w:w="701" w:type="pct"/>
                  <w:vAlign w:val="center"/>
                </w:tcPr>
                <w:p w14:paraId="2B581CF1">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eastAsia"/>
                      <w:color w:val="auto"/>
                      <w:kern w:val="0"/>
                      <w:szCs w:val="21"/>
                      <w:lang w:val="en-US" w:eastAsia="zh-CN"/>
                    </w:rPr>
                    <w:t>氨</w:t>
                  </w:r>
                </w:p>
              </w:tc>
              <w:tc>
                <w:tcPr>
                  <w:tcW w:w="303" w:type="pct"/>
                  <w:vMerge w:val="continue"/>
                  <w:vAlign w:val="center"/>
                </w:tcPr>
                <w:p w14:paraId="06A049AF">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14:paraId="40B4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1" w:type="pct"/>
                  <w:vAlign w:val="center"/>
                </w:tcPr>
                <w:p w14:paraId="54653D08">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DA002排气筒</w:t>
                  </w:r>
                </w:p>
              </w:tc>
              <w:tc>
                <w:tcPr>
                  <w:tcW w:w="292" w:type="pct"/>
                  <w:vAlign w:val="center"/>
                </w:tcPr>
                <w:p w14:paraId="5C4634F9">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15</w:t>
                  </w:r>
                </w:p>
              </w:tc>
              <w:tc>
                <w:tcPr>
                  <w:tcW w:w="285" w:type="pct"/>
                  <w:vAlign w:val="center"/>
                </w:tcPr>
                <w:p w14:paraId="50600039">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0.3</w:t>
                  </w:r>
                </w:p>
              </w:tc>
              <w:tc>
                <w:tcPr>
                  <w:tcW w:w="327" w:type="pct"/>
                  <w:vAlign w:val="center"/>
                </w:tcPr>
                <w:p w14:paraId="2078420B">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25</w:t>
                  </w:r>
                </w:p>
              </w:tc>
              <w:tc>
                <w:tcPr>
                  <w:tcW w:w="256" w:type="pct"/>
                  <w:vAlign w:val="center"/>
                </w:tcPr>
                <w:p w14:paraId="6BFE95E3">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一般排放口</w:t>
                  </w:r>
                </w:p>
              </w:tc>
              <w:tc>
                <w:tcPr>
                  <w:tcW w:w="592" w:type="pct"/>
                  <w:vAlign w:val="center"/>
                </w:tcPr>
                <w:p w14:paraId="4255DBFE">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Style w:val="56"/>
                      <w:rFonts w:hint="default" w:eastAsiaTheme="minorEastAsia"/>
                      <w:color w:val="auto"/>
                      <w:kern w:val="21"/>
                      <w:sz w:val="21"/>
                      <w:szCs w:val="21"/>
                    </w:rPr>
                    <w:t>102°4</w:t>
                  </w:r>
                  <w:r>
                    <w:rPr>
                      <w:rStyle w:val="56"/>
                      <w:rFonts w:hint="default"/>
                      <w:color w:val="auto"/>
                      <w:kern w:val="21"/>
                      <w:sz w:val="21"/>
                      <w:szCs w:val="21"/>
                    </w:rPr>
                    <w:t>4</w:t>
                  </w:r>
                  <w:r>
                    <w:rPr>
                      <w:rStyle w:val="56"/>
                      <w:rFonts w:hint="default" w:eastAsiaTheme="minorEastAsia"/>
                      <w:color w:val="auto"/>
                      <w:kern w:val="21"/>
                      <w:sz w:val="21"/>
                      <w:szCs w:val="21"/>
                    </w:rPr>
                    <w:t>′1″</w:t>
                  </w:r>
                </w:p>
              </w:tc>
              <w:tc>
                <w:tcPr>
                  <w:tcW w:w="596" w:type="pct"/>
                  <w:vAlign w:val="center"/>
                </w:tcPr>
                <w:p w14:paraId="593389E2">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Style w:val="56"/>
                      <w:rFonts w:hint="default" w:eastAsiaTheme="minorEastAsia"/>
                      <w:color w:val="auto"/>
                      <w:kern w:val="21"/>
                      <w:sz w:val="21"/>
                      <w:szCs w:val="21"/>
                    </w:rPr>
                    <w:t>25°9′8″</w:t>
                  </w:r>
                </w:p>
              </w:tc>
              <w:tc>
                <w:tcPr>
                  <w:tcW w:w="1001" w:type="pct"/>
                  <w:vAlign w:val="center"/>
                </w:tcPr>
                <w:p w14:paraId="0FF893CA">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《大气污染物综合排放标准》（GB 16297-1996）表2二级排放限值严格50%</w:t>
                  </w:r>
                </w:p>
              </w:tc>
              <w:tc>
                <w:tcPr>
                  <w:tcW w:w="321" w:type="pct"/>
                  <w:vAlign w:val="center"/>
                </w:tcPr>
                <w:p w14:paraId="11E50BA5">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DA002排气筒出口</w:t>
                  </w:r>
                </w:p>
              </w:tc>
              <w:tc>
                <w:tcPr>
                  <w:tcW w:w="701" w:type="pct"/>
                  <w:vAlign w:val="center"/>
                </w:tcPr>
                <w:p w14:paraId="7DF835A8">
                  <w:pPr>
                    <w:keepNext w:val="0"/>
                    <w:keepLines w:val="0"/>
                    <w:widowControl/>
                    <w:suppressLineNumbers w:val="0"/>
                    <w:spacing w:before="0" w:beforeAutospacing="0" w:after="0" w:afterAutospacing="0" w:line="240" w:lineRule="exact"/>
                    <w:ind w:left="0" w:right="0"/>
                    <w:jc w:val="center"/>
                    <w:rPr>
                      <w:rFonts w:hint="default" w:eastAsia="宋体"/>
                      <w:color w:val="auto"/>
                      <w:kern w:val="0"/>
                      <w:szCs w:val="21"/>
                      <w:lang w:val="en-US" w:eastAsia="zh-CN"/>
                    </w:rPr>
                  </w:pPr>
                  <w:r>
                    <w:rPr>
                      <w:rFonts w:hint="eastAsia"/>
                      <w:color w:val="auto"/>
                      <w:kern w:val="0"/>
                      <w:szCs w:val="21"/>
                      <w:lang w:val="en-US" w:eastAsia="zh-CN"/>
                    </w:rPr>
                    <w:t>沥青烟、苯并芘</w:t>
                  </w:r>
                </w:p>
              </w:tc>
              <w:tc>
                <w:tcPr>
                  <w:tcW w:w="303" w:type="pct"/>
                  <w:vAlign w:val="center"/>
                </w:tcPr>
                <w:p w14:paraId="464502A1">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1次/年</w:t>
                  </w:r>
                </w:p>
              </w:tc>
            </w:tr>
            <w:tr w14:paraId="7843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 w:hRule="atLeast"/>
              </w:trPr>
              <w:tc>
                <w:tcPr>
                  <w:tcW w:w="321" w:type="pct"/>
                  <w:vMerge w:val="restart"/>
                  <w:vAlign w:val="center"/>
                </w:tcPr>
                <w:p w14:paraId="2657F774">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color w:val="auto"/>
                      <w:szCs w:val="21"/>
                    </w:rPr>
                    <w:t>厂界</w:t>
                  </w:r>
                </w:p>
              </w:tc>
              <w:tc>
                <w:tcPr>
                  <w:tcW w:w="292" w:type="pct"/>
                  <w:vAlign w:val="center"/>
                </w:tcPr>
                <w:p w14:paraId="5083C700">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w:t>
                  </w:r>
                </w:p>
              </w:tc>
              <w:tc>
                <w:tcPr>
                  <w:tcW w:w="285" w:type="pct"/>
                  <w:vAlign w:val="center"/>
                </w:tcPr>
                <w:p w14:paraId="64DE70AF">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w:t>
                  </w:r>
                </w:p>
              </w:tc>
              <w:tc>
                <w:tcPr>
                  <w:tcW w:w="327" w:type="pct"/>
                  <w:vAlign w:val="center"/>
                </w:tcPr>
                <w:p w14:paraId="3412F11D">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w:t>
                  </w:r>
                </w:p>
              </w:tc>
              <w:tc>
                <w:tcPr>
                  <w:tcW w:w="256" w:type="pct"/>
                  <w:vAlign w:val="center"/>
                </w:tcPr>
                <w:p w14:paraId="2CAE2465">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w:t>
                  </w:r>
                </w:p>
              </w:tc>
              <w:tc>
                <w:tcPr>
                  <w:tcW w:w="592" w:type="pct"/>
                  <w:vAlign w:val="center"/>
                </w:tcPr>
                <w:p w14:paraId="2694E0C2">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w:t>
                  </w:r>
                </w:p>
              </w:tc>
              <w:tc>
                <w:tcPr>
                  <w:tcW w:w="596" w:type="pct"/>
                  <w:vAlign w:val="center"/>
                </w:tcPr>
                <w:p w14:paraId="3B4F3D7E">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w:t>
                  </w:r>
                </w:p>
              </w:tc>
              <w:tc>
                <w:tcPr>
                  <w:tcW w:w="1001" w:type="pct"/>
                  <w:vAlign w:val="center"/>
                </w:tcPr>
                <w:p w14:paraId="6877014A">
                  <w:pPr>
                    <w:keepNext w:val="0"/>
                    <w:keepLines w:val="0"/>
                    <w:suppressLineNumbers w:val="0"/>
                    <w:spacing w:before="0" w:beforeAutospacing="0" w:after="0" w:afterAutospacing="0" w:line="240" w:lineRule="exact"/>
                    <w:ind w:left="0" w:right="0"/>
                    <w:jc w:val="center"/>
                    <w:rPr>
                      <w:rFonts w:hint="default" w:eastAsia="宋体"/>
                      <w:color w:val="auto"/>
                      <w:szCs w:val="21"/>
                      <w:lang w:val="en-US" w:eastAsia="zh-CN"/>
                    </w:rPr>
                  </w:pPr>
                  <w:r>
                    <w:rPr>
                      <w:rFonts w:hint="default"/>
                      <w:color w:val="auto"/>
                      <w:szCs w:val="21"/>
                    </w:rPr>
                    <w:t>《大气污染物综合排放标准》（GB 16297-1996）表2无组织排放监控浓度限值</w:t>
                  </w:r>
                </w:p>
              </w:tc>
              <w:tc>
                <w:tcPr>
                  <w:tcW w:w="321" w:type="pct"/>
                  <w:vMerge w:val="restart"/>
                  <w:vAlign w:val="center"/>
                </w:tcPr>
                <w:p w14:paraId="2A67DAED">
                  <w:pPr>
                    <w:keepNext w:val="0"/>
                    <w:keepLines w:val="0"/>
                    <w:widowControl/>
                    <w:suppressLineNumbers w:val="0"/>
                    <w:spacing w:before="0" w:beforeAutospacing="0" w:after="0" w:afterAutospacing="0" w:line="240" w:lineRule="exact"/>
                    <w:ind w:left="0" w:right="0"/>
                    <w:jc w:val="center"/>
                    <w:rPr>
                      <w:rFonts w:hint="default"/>
                      <w:color w:val="auto"/>
                      <w:szCs w:val="21"/>
                    </w:rPr>
                  </w:pPr>
                  <w:r>
                    <w:rPr>
                      <w:rFonts w:hint="eastAsia"/>
                      <w:color w:val="auto"/>
                      <w:szCs w:val="21"/>
                      <w:lang w:val="en-US" w:eastAsia="zh-CN"/>
                    </w:rPr>
                    <w:t>厂界上风向1个点位，</w:t>
                  </w:r>
                  <w:r>
                    <w:rPr>
                      <w:rFonts w:hint="default"/>
                      <w:color w:val="auto"/>
                      <w:szCs w:val="21"/>
                    </w:rPr>
                    <w:t>下风向</w:t>
                  </w:r>
                  <w:r>
                    <w:rPr>
                      <w:rFonts w:hint="eastAsia"/>
                      <w:color w:val="auto"/>
                      <w:szCs w:val="21"/>
                      <w:lang w:val="en-US" w:eastAsia="zh-CN"/>
                    </w:rPr>
                    <w:t>3</w:t>
                  </w:r>
                  <w:r>
                    <w:rPr>
                      <w:rFonts w:hint="default"/>
                      <w:color w:val="auto"/>
                      <w:szCs w:val="21"/>
                    </w:rPr>
                    <w:t>个点位</w:t>
                  </w:r>
                </w:p>
              </w:tc>
              <w:tc>
                <w:tcPr>
                  <w:tcW w:w="701" w:type="pct"/>
                  <w:vAlign w:val="center"/>
                </w:tcPr>
                <w:p w14:paraId="3F64F7C0">
                  <w:pPr>
                    <w:keepNext w:val="0"/>
                    <w:keepLines w:val="0"/>
                    <w:widowControl/>
                    <w:suppressLineNumbers w:val="0"/>
                    <w:spacing w:before="0" w:beforeAutospacing="0" w:after="0" w:afterAutospacing="0" w:line="240" w:lineRule="exact"/>
                    <w:ind w:left="0" w:right="0"/>
                    <w:jc w:val="center"/>
                    <w:rPr>
                      <w:rFonts w:hint="default" w:eastAsia="宋体"/>
                      <w:color w:val="auto"/>
                      <w:szCs w:val="21"/>
                      <w:lang w:val="en-US" w:eastAsia="zh-CN"/>
                    </w:rPr>
                  </w:pPr>
                  <w:r>
                    <w:rPr>
                      <w:rFonts w:hint="default"/>
                      <w:color w:val="auto"/>
                      <w:kern w:val="0"/>
                      <w:szCs w:val="21"/>
                    </w:rPr>
                    <w:t>非甲烷总烃、氯化氢、硫酸雾、</w:t>
                  </w:r>
                  <w:r>
                    <w:rPr>
                      <w:rFonts w:hint="eastAsia"/>
                      <w:color w:val="auto"/>
                      <w:kern w:val="0"/>
                      <w:szCs w:val="21"/>
                      <w:lang w:val="en-US" w:eastAsia="zh-CN"/>
                    </w:rPr>
                    <w:t>沥青烟、苯并芘、颗粒物</w:t>
                  </w:r>
                </w:p>
              </w:tc>
              <w:tc>
                <w:tcPr>
                  <w:tcW w:w="303" w:type="pct"/>
                  <w:vMerge w:val="restart"/>
                  <w:vAlign w:val="center"/>
                </w:tcPr>
                <w:p w14:paraId="1FF28096">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1次/年</w:t>
                  </w:r>
                </w:p>
              </w:tc>
            </w:tr>
            <w:tr w14:paraId="4EB0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21" w:type="pct"/>
                  <w:vMerge w:val="continue"/>
                  <w:vAlign w:val="center"/>
                </w:tcPr>
                <w:p w14:paraId="285BACC0">
                  <w:pPr>
                    <w:keepNext w:val="0"/>
                    <w:keepLines w:val="0"/>
                    <w:suppressLineNumbers w:val="0"/>
                    <w:spacing w:before="0" w:beforeAutospacing="0" w:after="0" w:afterAutospacing="0" w:line="240" w:lineRule="exact"/>
                    <w:ind w:left="0" w:right="0"/>
                    <w:jc w:val="center"/>
                    <w:rPr>
                      <w:rFonts w:hint="default"/>
                      <w:color w:val="auto"/>
                      <w:szCs w:val="21"/>
                    </w:rPr>
                  </w:pPr>
                </w:p>
              </w:tc>
              <w:tc>
                <w:tcPr>
                  <w:tcW w:w="292" w:type="pct"/>
                  <w:vAlign w:val="center"/>
                </w:tcPr>
                <w:p w14:paraId="6AA3269F">
                  <w:pPr>
                    <w:keepNext w:val="0"/>
                    <w:keepLines w:val="0"/>
                    <w:widowControl/>
                    <w:suppressLineNumbers w:val="0"/>
                    <w:spacing w:before="0" w:beforeAutospacing="0" w:after="0" w:afterAutospacing="0" w:line="240" w:lineRule="exact"/>
                    <w:ind w:left="0" w:leftChars="0" w:right="0" w:rightChars="0"/>
                    <w:jc w:val="center"/>
                    <w:rPr>
                      <w:rFonts w:hint="default"/>
                      <w:color w:val="auto"/>
                      <w:kern w:val="0"/>
                      <w:szCs w:val="21"/>
                    </w:rPr>
                  </w:pPr>
                  <w:r>
                    <w:rPr>
                      <w:rFonts w:hint="default"/>
                      <w:color w:val="auto"/>
                      <w:kern w:val="0"/>
                      <w:szCs w:val="21"/>
                    </w:rPr>
                    <w:t>/</w:t>
                  </w:r>
                </w:p>
              </w:tc>
              <w:tc>
                <w:tcPr>
                  <w:tcW w:w="285" w:type="pct"/>
                  <w:vAlign w:val="center"/>
                </w:tcPr>
                <w:p w14:paraId="41913B05">
                  <w:pPr>
                    <w:keepNext w:val="0"/>
                    <w:keepLines w:val="0"/>
                    <w:widowControl/>
                    <w:suppressLineNumbers w:val="0"/>
                    <w:spacing w:before="0" w:beforeAutospacing="0" w:after="0" w:afterAutospacing="0" w:line="240" w:lineRule="exact"/>
                    <w:ind w:left="0" w:leftChars="0" w:right="0" w:rightChars="0"/>
                    <w:jc w:val="center"/>
                    <w:rPr>
                      <w:rFonts w:hint="default"/>
                      <w:color w:val="auto"/>
                      <w:kern w:val="0"/>
                      <w:szCs w:val="21"/>
                    </w:rPr>
                  </w:pPr>
                  <w:r>
                    <w:rPr>
                      <w:rFonts w:hint="default"/>
                      <w:color w:val="auto"/>
                      <w:kern w:val="0"/>
                      <w:szCs w:val="21"/>
                    </w:rPr>
                    <w:t>/</w:t>
                  </w:r>
                </w:p>
              </w:tc>
              <w:tc>
                <w:tcPr>
                  <w:tcW w:w="327" w:type="pct"/>
                  <w:vAlign w:val="center"/>
                </w:tcPr>
                <w:p w14:paraId="7C35EE56">
                  <w:pPr>
                    <w:keepNext w:val="0"/>
                    <w:keepLines w:val="0"/>
                    <w:widowControl/>
                    <w:suppressLineNumbers w:val="0"/>
                    <w:spacing w:before="0" w:beforeAutospacing="0" w:after="0" w:afterAutospacing="0" w:line="240" w:lineRule="exact"/>
                    <w:ind w:left="0" w:leftChars="0" w:right="0" w:rightChars="0"/>
                    <w:jc w:val="center"/>
                    <w:rPr>
                      <w:rFonts w:hint="default"/>
                      <w:color w:val="auto"/>
                      <w:kern w:val="0"/>
                      <w:szCs w:val="21"/>
                    </w:rPr>
                  </w:pPr>
                  <w:r>
                    <w:rPr>
                      <w:rFonts w:hint="default"/>
                      <w:color w:val="auto"/>
                      <w:kern w:val="0"/>
                      <w:szCs w:val="21"/>
                    </w:rPr>
                    <w:t>/</w:t>
                  </w:r>
                </w:p>
              </w:tc>
              <w:tc>
                <w:tcPr>
                  <w:tcW w:w="256" w:type="pct"/>
                  <w:vAlign w:val="center"/>
                </w:tcPr>
                <w:p w14:paraId="70F8B6A2">
                  <w:pPr>
                    <w:keepNext w:val="0"/>
                    <w:keepLines w:val="0"/>
                    <w:widowControl/>
                    <w:suppressLineNumbers w:val="0"/>
                    <w:spacing w:before="0" w:beforeAutospacing="0" w:after="0" w:afterAutospacing="0" w:line="240" w:lineRule="exact"/>
                    <w:ind w:left="0" w:leftChars="0" w:right="0" w:rightChars="0"/>
                    <w:jc w:val="center"/>
                    <w:rPr>
                      <w:rFonts w:hint="default"/>
                      <w:color w:val="auto"/>
                      <w:kern w:val="0"/>
                      <w:szCs w:val="21"/>
                    </w:rPr>
                  </w:pPr>
                  <w:r>
                    <w:rPr>
                      <w:rFonts w:hint="default"/>
                      <w:color w:val="auto"/>
                      <w:kern w:val="0"/>
                      <w:szCs w:val="21"/>
                    </w:rPr>
                    <w:t>/</w:t>
                  </w:r>
                </w:p>
              </w:tc>
              <w:tc>
                <w:tcPr>
                  <w:tcW w:w="592" w:type="pct"/>
                  <w:vAlign w:val="center"/>
                </w:tcPr>
                <w:p w14:paraId="24BD258C">
                  <w:pPr>
                    <w:keepNext w:val="0"/>
                    <w:keepLines w:val="0"/>
                    <w:widowControl/>
                    <w:suppressLineNumbers w:val="0"/>
                    <w:spacing w:before="0" w:beforeAutospacing="0" w:after="0" w:afterAutospacing="0" w:line="240" w:lineRule="exact"/>
                    <w:ind w:left="0" w:leftChars="0" w:right="0" w:rightChars="0"/>
                    <w:jc w:val="center"/>
                    <w:rPr>
                      <w:rFonts w:hint="default"/>
                      <w:color w:val="auto"/>
                      <w:kern w:val="0"/>
                      <w:szCs w:val="21"/>
                    </w:rPr>
                  </w:pPr>
                  <w:r>
                    <w:rPr>
                      <w:rFonts w:hint="default"/>
                      <w:color w:val="auto"/>
                      <w:kern w:val="0"/>
                      <w:szCs w:val="21"/>
                    </w:rPr>
                    <w:t>/</w:t>
                  </w:r>
                </w:p>
              </w:tc>
              <w:tc>
                <w:tcPr>
                  <w:tcW w:w="596" w:type="pct"/>
                  <w:vAlign w:val="center"/>
                </w:tcPr>
                <w:p w14:paraId="4E966EF3">
                  <w:pPr>
                    <w:keepNext w:val="0"/>
                    <w:keepLines w:val="0"/>
                    <w:widowControl/>
                    <w:suppressLineNumbers w:val="0"/>
                    <w:spacing w:before="0" w:beforeAutospacing="0" w:after="0" w:afterAutospacing="0" w:line="240" w:lineRule="exact"/>
                    <w:ind w:left="0" w:leftChars="0" w:right="0" w:rightChars="0"/>
                    <w:jc w:val="center"/>
                    <w:rPr>
                      <w:rFonts w:hint="default"/>
                      <w:color w:val="auto"/>
                      <w:kern w:val="0"/>
                      <w:szCs w:val="21"/>
                    </w:rPr>
                  </w:pPr>
                  <w:r>
                    <w:rPr>
                      <w:rFonts w:hint="default"/>
                      <w:color w:val="auto"/>
                      <w:kern w:val="0"/>
                      <w:szCs w:val="21"/>
                    </w:rPr>
                    <w:t>/</w:t>
                  </w:r>
                </w:p>
              </w:tc>
              <w:tc>
                <w:tcPr>
                  <w:tcW w:w="1001" w:type="pct"/>
                  <w:vAlign w:val="center"/>
                </w:tcPr>
                <w:p w14:paraId="020FD713">
                  <w:pPr>
                    <w:keepNext w:val="0"/>
                    <w:keepLines w:val="0"/>
                    <w:suppressLineNumbers w:val="0"/>
                    <w:spacing w:before="0" w:beforeAutospacing="0" w:after="0" w:afterAutospacing="0" w:line="240" w:lineRule="exact"/>
                    <w:ind w:left="0" w:right="0"/>
                    <w:jc w:val="center"/>
                    <w:rPr>
                      <w:rFonts w:hint="default"/>
                      <w:color w:val="auto"/>
                      <w:szCs w:val="21"/>
                    </w:rPr>
                  </w:pPr>
                  <w:r>
                    <w:rPr>
                      <w:rFonts w:hint="eastAsia"/>
                      <w:color w:val="auto"/>
                      <w:szCs w:val="21"/>
                      <w:lang w:val="en-US" w:eastAsia="zh-CN"/>
                    </w:rPr>
                    <w:t>《恶臭污染物排放标准》（GB14554-93）表1相关排放标准限值</w:t>
                  </w:r>
                </w:p>
              </w:tc>
              <w:tc>
                <w:tcPr>
                  <w:tcW w:w="321" w:type="pct"/>
                  <w:vMerge w:val="continue"/>
                  <w:vAlign w:val="center"/>
                </w:tcPr>
                <w:p w14:paraId="352FE874">
                  <w:pPr>
                    <w:keepNext w:val="0"/>
                    <w:keepLines w:val="0"/>
                    <w:widowControl/>
                    <w:suppressLineNumbers w:val="0"/>
                    <w:spacing w:before="0" w:beforeAutospacing="0" w:after="0" w:afterAutospacing="0" w:line="240" w:lineRule="exact"/>
                    <w:ind w:left="0" w:right="0"/>
                    <w:jc w:val="center"/>
                    <w:rPr>
                      <w:rFonts w:hint="eastAsia"/>
                      <w:color w:val="auto"/>
                      <w:szCs w:val="21"/>
                      <w:lang w:val="en-US" w:eastAsia="zh-CN"/>
                    </w:rPr>
                  </w:pPr>
                </w:p>
              </w:tc>
              <w:tc>
                <w:tcPr>
                  <w:tcW w:w="701" w:type="pct"/>
                  <w:vAlign w:val="center"/>
                </w:tcPr>
                <w:p w14:paraId="49B3FC60">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eastAsia"/>
                      <w:color w:val="auto"/>
                      <w:kern w:val="0"/>
                      <w:szCs w:val="21"/>
                      <w:lang w:val="en-US" w:eastAsia="zh-CN"/>
                    </w:rPr>
                    <w:t>臭气浓度、氨</w:t>
                  </w:r>
                </w:p>
              </w:tc>
              <w:tc>
                <w:tcPr>
                  <w:tcW w:w="303" w:type="pct"/>
                  <w:vMerge w:val="continue"/>
                  <w:vAlign w:val="center"/>
                </w:tcPr>
                <w:p w14:paraId="499D4B42">
                  <w:pPr>
                    <w:keepNext w:val="0"/>
                    <w:keepLines w:val="0"/>
                    <w:suppressLineNumbers w:val="0"/>
                    <w:spacing w:before="0" w:beforeAutospacing="0" w:after="0" w:afterAutospacing="0" w:line="240" w:lineRule="exact"/>
                    <w:ind w:left="0" w:right="0"/>
                    <w:jc w:val="center"/>
                    <w:rPr>
                      <w:rFonts w:hint="default"/>
                      <w:color w:val="auto"/>
                      <w:kern w:val="0"/>
                      <w:szCs w:val="21"/>
                    </w:rPr>
                  </w:pPr>
                </w:p>
              </w:tc>
            </w:tr>
            <w:tr w14:paraId="71F8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21" w:type="pct"/>
                  <w:vAlign w:val="center"/>
                </w:tcPr>
                <w:p w14:paraId="071E52C5">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color w:val="auto"/>
                      <w:szCs w:val="21"/>
                    </w:rPr>
                    <w:t>厂房外</w:t>
                  </w:r>
                </w:p>
              </w:tc>
              <w:tc>
                <w:tcPr>
                  <w:tcW w:w="292" w:type="pct"/>
                  <w:vAlign w:val="center"/>
                </w:tcPr>
                <w:p w14:paraId="778D0BD8">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w:t>
                  </w:r>
                </w:p>
              </w:tc>
              <w:tc>
                <w:tcPr>
                  <w:tcW w:w="285" w:type="pct"/>
                  <w:vAlign w:val="center"/>
                </w:tcPr>
                <w:p w14:paraId="0958C52A">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w:t>
                  </w:r>
                </w:p>
              </w:tc>
              <w:tc>
                <w:tcPr>
                  <w:tcW w:w="327" w:type="pct"/>
                  <w:vAlign w:val="center"/>
                </w:tcPr>
                <w:p w14:paraId="59A063FB">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w:t>
                  </w:r>
                </w:p>
              </w:tc>
              <w:tc>
                <w:tcPr>
                  <w:tcW w:w="256" w:type="pct"/>
                  <w:vAlign w:val="center"/>
                </w:tcPr>
                <w:p w14:paraId="622E7229">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w:t>
                  </w:r>
                </w:p>
              </w:tc>
              <w:tc>
                <w:tcPr>
                  <w:tcW w:w="592" w:type="pct"/>
                  <w:vAlign w:val="center"/>
                </w:tcPr>
                <w:p w14:paraId="1FFDA236">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w:t>
                  </w:r>
                </w:p>
              </w:tc>
              <w:tc>
                <w:tcPr>
                  <w:tcW w:w="596" w:type="pct"/>
                  <w:vAlign w:val="center"/>
                </w:tcPr>
                <w:p w14:paraId="7FE6EACC">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w:t>
                  </w:r>
                </w:p>
              </w:tc>
              <w:tc>
                <w:tcPr>
                  <w:tcW w:w="1001" w:type="pct"/>
                  <w:vAlign w:val="center"/>
                </w:tcPr>
                <w:p w14:paraId="2A496622">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《挥发性有机物无组织排放控制标准》（GB37822-2019）中无组织排放限值要求</w:t>
                  </w:r>
                </w:p>
              </w:tc>
              <w:tc>
                <w:tcPr>
                  <w:tcW w:w="321" w:type="pct"/>
                  <w:vAlign w:val="center"/>
                </w:tcPr>
                <w:p w14:paraId="00EB98D9">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厂房外设置监控点1个</w:t>
                  </w:r>
                </w:p>
              </w:tc>
              <w:tc>
                <w:tcPr>
                  <w:tcW w:w="701" w:type="pct"/>
                  <w:vAlign w:val="center"/>
                </w:tcPr>
                <w:p w14:paraId="364CD902">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非甲烷总烃</w:t>
                  </w:r>
                </w:p>
              </w:tc>
              <w:tc>
                <w:tcPr>
                  <w:tcW w:w="303" w:type="pct"/>
                  <w:vAlign w:val="center"/>
                </w:tcPr>
                <w:p w14:paraId="6DAF4562">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1次/年</w:t>
                  </w:r>
                </w:p>
              </w:tc>
            </w:tr>
          </w:tbl>
          <w:p w14:paraId="19568619">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kern w:val="0"/>
                <w:sz w:val="24"/>
              </w:rPr>
            </w:pPr>
          </w:p>
          <w:p w14:paraId="7C402078">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kern w:val="0"/>
                <w:sz w:val="24"/>
              </w:rPr>
            </w:pPr>
          </w:p>
          <w:p w14:paraId="57EC9481">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kern w:val="0"/>
                <w:sz w:val="24"/>
              </w:rPr>
            </w:pPr>
          </w:p>
          <w:p w14:paraId="5F2217EF">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kern w:val="0"/>
                <w:sz w:val="24"/>
              </w:rPr>
            </w:pPr>
          </w:p>
          <w:p w14:paraId="764FC998">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kern w:val="0"/>
                <w:sz w:val="24"/>
              </w:rPr>
            </w:pPr>
          </w:p>
        </w:tc>
      </w:tr>
    </w:tbl>
    <w:p w14:paraId="4A201457">
      <w:pPr>
        <w:adjustRightInd w:val="0"/>
        <w:snapToGrid w:val="0"/>
        <w:spacing w:line="360" w:lineRule="auto"/>
        <w:rPr>
          <w:rFonts w:eastAsiaTheme="minorEastAsia"/>
          <w:color w:val="auto"/>
          <w:kern w:val="0"/>
          <w:sz w:val="24"/>
        </w:rPr>
        <w:sectPr>
          <w:pgSz w:w="16838" w:h="11906" w:orient="landscape"/>
          <w:pgMar w:top="1531" w:right="1701" w:bottom="1531" w:left="1701" w:header="851" w:footer="851" w:gutter="0"/>
          <w:pgNumType w:fmt="decimal"/>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8486"/>
      </w:tblGrid>
      <w:tr w14:paraId="12FD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tcPr>
          <w:p w14:paraId="4D355D41">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kern w:val="0"/>
                <w:sz w:val="24"/>
                <w:vertAlign w:val="baseline"/>
              </w:rPr>
            </w:pPr>
          </w:p>
        </w:tc>
        <w:tc>
          <w:tcPr>
            <w:tcW w:w="8486" w:type="dxa"/>
          </w:tcPr>
          <w:p w14:paraId="412229E7">
            <w:pPr>
              <w:keepNext w:val="0"/>
              <w:keepLines w:val="0"/>
              <w:suppressLineNumbers w:val="0"/>
              <w:spacing w:before="0" w:beforeAutospacing="0" w:after="0" w:afterAutospacing="0" w:line="360" w:lineRule="auto"/>
              <w:ind w:left="0" w:right="0" w:firstLine="482" w:firstLineChars="200"/>
              <w:rPr>
                <w:rFonts w:hint="default"/>
                <w:b/>
                <w:color w:val="auto"/>
                <w:kern w:val="0"/>
                <w:sz w:val="24"/>
              </w:rPr>
            </w:pPr>
            <w:r>
              <w:rPr>
                <w:rFonts w:hint="default"/>
                <w:b/>
                <w:color w:val="auto"/>
                <w:kern w:val="0"/>
                <w:sz w:val="24"/>
              </w:rPr>
              <w:t>（2）废气影响分析</w:t>
            </w:r>
          </w:p>
          <w:p w14:paraId="708AEC19">
            <w:pPr>
              <w:keepNext w:val="0"/>
              <w:keepLines w:val="0"/>
              <w:suppressLineNumbers w:val="0"/>
              <w:spacing w:before="0" w:beforeAutospacing="0" w:after="0" w:afterAutospacing="0" w:line="360" w:lineRule="auto"/>
              <w:ind w:left="0" w:right="0" w:firstLine="482" w:firstLineChars="200"/>
              <w:rPr>
                <w:rFonts w:hint="default"/>
                <w:b/>
                <w:color w:val="auto"/>
                <w:kern w:val="0"/>
                <w:sz w:val="24"/>
              </w:rPr>
            </w:pPr>
            <w:r>
              <w:rPr>
                <w:rFonts w:hint="eastAsia" w:ascii="宋体" w:hAnsi="宋体" w:cs="宋体"/>
                <w:b/>
                <w:color w:val="auto"/>
                <w:kern w:val="0"/>
                <w:sz w:val="24"/>
              </w:rPr>
              <w:t>①</w:t>
            </w:r>
            <w:r>
              <w:rPr>
                <w:rFonts w:hint="default"/>
                <w:b/>
                <w:color w:val="auto"/>
                <w:kern w:val="0"/>
                <w:sz w:val="24"/>
              </w:rPr>
              <w:t>正常排放影响分析</w:t>
            </w:r>
          </w:p>
          <w:p w14:paraId="0C586E6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根据废气达标排放分析，本项目有组织废气（非甲烷总烃、氯化氢、硫酸雾、</w:t>
            </w:r>
            <w:r>
              <w:rPr>
                <w:rFonts w:hint="eastAsia"/>
                <w:color w:val="auto"/>
                <w:sz w:val="24"/>
                <w:lang w:val="en-US" w:eastAsia="zh-CN"/>
              </w:rPr>
              <w:t>氨、</w:t>
            </w:r>
            <w:r>
              <w:rPr>
                <w:rFonts w:hint="default"/>
                <w:color w:val="auto"/>
                <w:sz w:val="24"/>
              </w:rPr>
              <w:t>沥青烟、苯并[a]芘）排放浓度、排放速率、排气筒高度均满足《大气污染物综合排放标准》（GB16297-1996）表2中二级排放限值严格50%；</w:t>
            </w:r>
            <w:r>
              <w:rPr>
                <w:rFonts w:hint="default"/>
                <w:color w:val="auto"/>
                <w:kern w:val="0"/>
                <w:sz w:val="24"/>
              </w:rPr>
              <w:t>厂内无组织排放的非甲烷总烃满足《挥发性有机物无组织排放控制标准》（GB37822-2019）中无组织排放限值要求；厂界无组织排放的</w:t>
            </w:r>
            <w:r>
              <w:rPr>
                <w:rFonts w:hint="default"/>
                <w:color w:val="auto"/>
                <w:sz w:val="24"/>
              </w:rPr>
              <w:t>非甲烷总烃、氯化氢、硫酸雾、</w:t>
            </w:r>
            <w:r>
              <w:rPr>
                <w:rFonts w:hint="eastAsia"/>
                <w:color w:val="auto"/>
                <w:sz w:val="24"/>
                <w:lang w:val="en-US" w:eastAsia="zh-CN"/>
              </w:rPr>
              <w:t>氨、</w:t>
            </w:r>
            <w:r>
              <w:rPr>
                <w:rFonts w:hint="default"/>
                <w:color w:val="auto"/>
                <w:sz w:val="24"/>
              </w:rPr>
              <w:t>沥青烟、苯并[a]芘、颗粒物</w:t>
            </w:r>
            <w:r>
              <w:rPr>
                <w:rFonts w:hint="eastAsia"/>
                <w:color w:val="auto"/>
                <w:sz w:val="24"/>
                <w:lang w:eastAsia="zh-CN"/>
              </w:rPr>
              <w:t>、</w:t>
            </w:r>
            <w:r>
              <w:rPr>
                <w:rFonts w:hint="eastAsia"/>
                <w:color w:val="auto"/>
                <w:sz w:val="24"/>
                <w:lang w:val="en-US" w:eastAsia="zh-CN"/>
              </w:rPr>
              <w:t>臭气浓度</w:t>
            </w:r>
            <w:r>
              <w:rPr>
                <w:rFonts w:hint="default"/>
                <w:color w:val="auto"/>
                <w:sz w:val="24"/>
              </w:rPr>
              <w:t>能够满足《大气污染物综合排放标准》（GB 16297-1996）表2无组织排放监控浓度限值。</w:t>
            </w:r>
          </w:p>
          <w:p w14:paraId="68BD651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前文可知，项目所在区域属于环境空气质量达标区，且项目采取的废气治理措施可行，经估算模式估算分析，项目实验室废气均无超标点，废气的排放均可满足相应标准要求，可达标排放。项目区主导风向为西南风向，项目厂界外延500m的大气评价范围内最近大气环境保护目标主要为：云南技师学院、花渔沟村、昆明机床厂住宅区、昆重小区、云南机电职业技术学院、金昊佳园、劲松里小区、昆明地质勘察院生活区、茨坝等。其中昆明机床厂住宅区位于项目区下风向，其余环境空气保护目标位于项目区上风向。其次，根据工程分析，废气产生量和排放量均较小，项目建成后废气对周边环境空气保护目标存在一定的影响，但影响较小。</w:t>
            </w:r>
          </w:p>
          <w:p w14:paraId="3C9C4EAC">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综上所述，项目在采取废气治理措施后，废气均能达标排放，本评价认为运营期对当地大气环境质量影响是轻微的，对项目附近的敏感点影响较小，大气环境影响可以接受。</w:t>
            </w:r>
          </w:p>
          <w:p w14:paraId="0599F549">
            <w:pPr>
              <w:keepNext w:val="0"/>
              <w:keepLines w:val="0"/>
              <w:suppressLineNumbers w:val="0"/>
              <w:spacing w:before="0" w:beforeAutospacing="0" w:after="0" w:afterAutospacing="0" w:line="360" w:lineRule="auto"/>
              <w:ind w:left="0" w:right="0" w:firstLine="482" w:firstLineChars="200"/>
              <w:rPr>
                <w:rFonts w:hint="default"/>
                <w:b/>
                <w:color w:val="auto"/>
                <w:kern w:val="0"/>
                <w:sz w:val="24"/>
              </w:rPr>
            </w:pPr>
            <w:r>
              <w:rPr>
                <w:rFonts w:hint="eastAsia" w:ascii="宋体" w:hAnsi="宋体" w:cs="宋体"/>
                <w:b/>
                <w:color w:val="auto"/>
                <w:kern w:val="0"/>
                <w:sz w:val="24"/>
              </w:rPr>
              <w:t>②</w:t>
            </w:r>
            <w:r>
              <w:rPr>
                <w:rFonts w:hint="default"/>
                <w:b/>
                <w:color w:val="auto"/>
                <w:kern w:val="0"/>
                <w:sz w:val="24"/>
              </w:rPr>
              <w:t>非正常排放影响分析</w:t>
            </w:r>
          </w:p>
          <w:p w14:paraId="764793D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实验废气非正常排放的因素和环节较多，主要为污染治理设备发生故障，导致污染物的非正常排放。项目为检测类实验室项目，污染物产生点位于通风橱内和集气罩下，操作时配套的环保设备与通风橱、抽排风系统、集气罩同步启动，所有污染物同时出现非正常排放的可能性极小，但当喷淋</w:t>
            </w:r>
            <w:r>
              <w:rPr>
                <w:rFonts w:hint="eastAsia"/>
                <w:color w:val="auto"/>
                <w:sz w:val="24"/>
                <w:lang w:val="en-US" w:eastAsia="zh-CN"/>
              </w:rPr>
              <w:t>设施</w:t>
            </w:r>
            <w:r>
              <w:rPr>
                <w:rFonts w:hint="default"/>
                <w:color w:val="auto"/>
                <w:sz w:val="24"/>
              </w:rPr>
              <w:t>和活性炭吸附装置出现故障时，会出现污染物排放量增加，治理设备处理效率</w:t>
            </w:r>
            <w:r>
              <w:rPr>
                <w:rFonts w:hint="eastAsia"/>
                <w:color w:val="auto"/>
                <w:sz w:val="24"/>
                <w:lang w:val="en-US" w:eastAsia="zh-CN"/>
              </w:rPr>
              <w:t>降低50</w:t>
            </w:r>
            <w:r>
              <w:rPr>
                <w:rFonts w:hint="default"/>
                <w:color w:val="auto"/>
                <w:sz w:val="24"/>
              </w:rPr>
              <w:t>%。项目非正常排放条件下的废气排放情况详见下表。</w:t>
            </w:r>
          </w:p>
          <w:p w14:paraId="70ED249B">
            <w:pPr>
              <w:keepNext w:val="0"/>
              <w:keepLines w:val="0"/>
              <w:suppressLineNumbers w:val="0"/>
              <w:adjustRightInd w:val="0"/>
              <w:snapToGrid w:val="0"/>
              <w:spacing w:before="0" w:beforeAutospacing="0" w:after="0" w:afterAutospacing="0"/>
              <w:ind w:left="0" w:right="0"/>
              <w:jc w:val="center"/>
              <w:rPr>
                <w:rFonts w:hint="default"/>
                <w:b/>
                <w:color w:val="auto"/>
                <w:kern w:val="0"/>
                <w:szCs w:val="21"/>
              </w:rPr>
            </w:pPr>
          </w:p>
          <w:p w14:paraId="75D26D91">
            <w:pPr>
              <w:keepNext w:val="0"/>
              <w:keepLines w:val="0"/>
              <w:suppressLineNumbers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表4-3   非正常情况污染物产生及排放量计算情况一览表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593"/>
              <w:gridCol w:w="516"/>
              <w:gridCol w:w="807"/>
              <w:gridCol w:w="930"/>
              <w:gridCol w:w="1014"/>
              <w:gridCol w:w="899"/>
              <w:gridCol w:w="805"/>
              <w:gridCol w:w="505"/>
              <w:gridCol w:w="1560"/>
            </w:tblGrid>
            <w:tr w14:paraId="26D2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Align w:val="center"/>
                </w:tcPr>
                <w:p w14:paraId="7321D3BA">
                  <w:pPr>
                    <w:keepNext w:val="0"/>
                    <w:keepLines w:val="0"/>
                    <w:suppressLineNumbers w:val="0"/>
                    <w:adjustRightInd w:val="0"/>
                    <w:snapToGrid w:val="0"/>
                    <w:spacing w:before="0" w:beforeAutospacing="0" w:after="0" w:afterAutospacing="0"/>
                    <w:ind w:left="0" w:right="0"/>
                    <w:jc w:val="center"/>
                    <w:rPr>
                      <w:rFonts w:hint="default"/>
                      <w:b/>
                      <w:color w:val="auto"/>
                      <w:sz w:val="18"/>
                      <w:szCs w:val="18"/>
                    </w:rPr>
                  </w:pPr>
                  <w:r>
                    <w:rPr>
                      <w:rFonts w:hint="default"/>
                      <w:b/>
                      <w:color w:val="auto"/>
                      <w:sz w:val="18"/>
                      <w:szCs w:val="18"/>
                    </w:rPr>
                    <w:t>污染源</w:t>
                  </w:r>
                </w:p>
              </w:tc>
              <w:tc>
                <w:tcPr>
                  <w:tcW w:w="358" w:type="pct"/>
                  <w:vAlign w:val="center"/>
                </w:tcPr>
                <w:p w14:paraId="44C2E7BA">
                  <w:pPr>
                    <w:keepNext w:val="0"/>
                    <w:keepLines w:val="0"/>
                    <w:suppressLineNumbers w:val="0"/>
                    <w:adjustRightInd w:val="0"/>
                    <w:snapToGrid w:val="0"/>
                    <w:spacing w:before="0" w:beforeAutospacing="0" w:after="0" w:afterAutospacing="0"/>
                    <w:ind w:left="0" w:right="0"/>
                    <w:jc w:val="center"/>
                    <w:rPr>
                      <w:rFonts w:hint="default"/>
                      <w:b/>
                      <w:color w:val="auto"/>
                      <w:sz w:val="18"/>
                      <w:szCs w:val="18"/>
                    </w:rPr>
                  </w:pPr>
                  <w:r>
                    <w:rPr>
                      <w:rFonts w:hint="default"/>
                      <w:b/>
                      <w:color w:val="auto"/>
                      <w:sz w:val="18"/>
                      <w:szCs w:val="18"/>
                    </w:rPr>
                    <w:t>原因</w:t>
                  </w:r>
                </w:p>
              </w:tc>
              <w:tc>
                <w:tcPr>
                  <w:tcW w:w="312" w:type="pct"/>
                  <w:vAlign w:val="center"/>
                </w:tcPr>
                <w:p w14:paraId="2A0E21BE">
                  <w:pPr>
                    <w:keepNext w:val="0"/>
                    <w:keepLines w:val="0"/>
                    <w:suppressLineNumbers w:val="0"/>
                    <w:adjustRightInd w:val="0"/>
                    <w:snapToGrid w:val="0"/>
                    <w:spacing w:before="0" w:beforeAutospacing="0" w:after="0" w:afterAutospacing="0"/>
                    <w:ind w:left="0" w:right="0"/>
                    <w:jc w:val="center"/>
                    <w:rPr>
                      <w:rFonts w:hint="default"/>
                      <w:b/>
                      <w:color w:val="auto"/>
                      <w:sz w:val="18"/>
                      <w:szCs w:val="18"/>
                    </w:rPr>
                  </w:pPr>
                  <w:r>
                    <w:rPr>
                      <w:rFonts w:hint="default"/>
                      <w:b/>
                      <w:color w:val="auto"/>
                      <w:sz w:val="18"/>
                      <w:szCs w:val="18"/>
                    </w:rPr>
                    <w:t>污染物</w:t>
                  </w:r>
                </w:p>
              </w:tc>
              <w:tc>
                <w:tcPr>
                  <w:tcW w:w="488" w:type="pct"/>
                  <w:vAlign w:val="center"/>
                </w:tcPr>
                <w:p w14:paraId="3E51054D">
                  <w:pPr>
                    <w:keepNext w:val="0"/>
                    <w:keepLines w:val="0"/>
                    <w:suppressLineNumbers w:val="0"/>
                    <w:adjustRightInd w:val="0"/>
                    <w:snapToGrid w:val="0"/>
                    <w:spacing w:before="0" w:beforeAutospacing="0" w:after="0" w:afterAutospacing="0"/>
                    <w:ind w:left="0" w:right="0"/>
                    <w:jc w:val="center"/>
                    <w:rPr>
                      <w:rFonts w:hint="default"/>
                      <w:b/>
                      <w:color w:val="auto"/>
                      <w:sz w:val="18"/>
                      <w:szCs w:val="18"/>
                    </w:rPr>
                  </w:pPr>
                  <w:r>
                    <w:rPr>
                      <w:rFonts w:hint="default"/>
                      <w:b/>
                      <w:color w:val="auto"/>
                      <w:sz w:val="18"/>
                      <w:szCs w:val="18"/>
                    </w:rPr>
                    <w:t>排放量（kg/a）</w:t>
                  </w:r>
                </w:p>
              </w:tc>
              <w:tc>
                <w:tcPr>
                  <w:tcW w:w="562" w:type="pct"/>
                  <w:vAlign w:val="center"/>
                </w:tcPr>
                <w:p w14:paraId="1AF60AE2">
                  <w:pPr>
                    <w:keepNext w:val="0"/>
                    <w:keepLines w:val="0"/>
                    <w:suppressLineNumbers w:val="0"/>
                    <w:adjustRightInd w:val="0"/>
                    <w:snapToGrid w:val="0"/>
                    <w:spacing w:before="0" w:beforeAutospacing="0" w:after="0" w:afterAutospacing="0"/>
                    <w:ind w:left="0" w:right="0"/>
                    <w:jc w:val="center"/>
                    <w:rPr>
                      <w:rFonts w:hint="default"/>
                      <w:b/>
                      <w:color w:val="auto"/>
                      <w:sz w:val="18"/>
                      <w:szCs w:val="18"/>
                    </w:rPr>
                  </w:pPr>
                  <w:r>
                    <w:rPr>
                      <w:rFonts w:hint="default"/>
                      <w:b/>
                      <w:color w:val="auto"/>
                      <w:sz w:val="18"/>
                      <w:szCs w:val="18"/>
                    </w:rPr>
                    <w:t>排放速率（</w:t>
                  </w:r>
                  <w:r>
                    <w:rPr>
                      <w:rFonts w:hint="eastAsia"/>
                      <w:b/>
                      <w:color w:val="auto"/>
                      <w:sz w:val="18"/>
                      <w:szCs w:val="18"/>
                      <w:lang w:val="en-US" w:eastAsia="zh-CN"/>
                    </w:rPr>
                    <w:t>k</w:t>
                  </w:r>
                  <w:r>
                    <w:rPr>
                      <w:rFonts w:hint="default"/>
                      <w:b/>
                      <w:color w:val="auto"/>
                      <w:sz w:val="18"/>
                      <w:szCs w:val="18"/>
                    </w:rPr>
                    <w:t>g/h）</w:t>
                  </w:r>
                </w:p>
              </w:tc>
              <w:tc>
                <w:tcPr>
                  <w:tcW w:w="613" w:type="pct"/>
                  <w:vAlign w:val="center"/>
                </w:tcPr>
                <w:p w14:paraId="6C8814E4">
                  <w:pPr>
                    <w:keepNext w:val="0"/>
                    <w:keepLines w:val="0"/>
                    <w:suppressLineNumbers w:val="0"/>
                    <w:adjustRightInd w:val="0"/>
                    <w:snapToGrid w:val="0"/>
                    <w:spacing w:before="0" w:beforeAutospacing="0" w:after="0" w:afterAutospacing="0"/>
                    <w:ind w:left="0" w:right="0"/>
                    <w:jc w:val="center"/>
                    <w:rPr>
                      <w:rFonts w:hint="default"/>
                      <w:b/>
                      <w:color w:val="auto"/>
                      <w:sz w:val="18"/>
                      <w:szCs w:val="18"/>
                    </w:rPr>
                  </w:pPr>
                  <w:r>
                    <w:rPr>
                      <w:rFonts w:hint="default"/>
                      <w:b/>
                      <w:color w:val="auto"/>
                      <w:sz w:val="18"/>
                      <w:szCs w:val="18"/>
                    </w:rPr>
                    <w:t>排放浓度（mg/m³）</w:t>
                  </w:r>
                </w:p>
              </w:tc>
              <w:tc>
                <w:tcPr>
                  <w:tcW w:w="544" w:type="pct"/>
                  <w:vAlign w:val="center"/>
                </w:tcPr>
                <w:p w14:paraId="7A23B085">
                  <w:pPr>
                    <w:keepNext w:val="0"/>
                    <w:keepLines w:val="0"/>
                    <w:suppressLineNumbers w:val="0"/>
                    <w:adjustRightInd w:val="0"/>
                    <w:snapToGrid w:val="0"/>
                    <w:spacing w:before="0" w:beforeAutospacing="0" w:after="0" w:afterAutospacing="0"/>
                    <w:ind w:left="0" w:right="0"/>
                    <w:jc w:val="center"/>
                    <w:rPr>
                      <w:rFonts w:hint="default"/>
                      <w:b/>
                      <w:color w:val="auto"/>
                      <w:sz w:val="18"/>
                      <w:szCs w:val="18"/>
                    </w:rPr>
                  </w:pPr>
                  <w:r>
                    <w:rPr>
                      <w:rFonts w:hint="default"/>
                      <w:b/>
                      <w:color w:val="auto"/>
                      <w:sz w:val="18"/>
                      <w:szCs w:val="18"/>
                    </w:rPr>
                    <w:t>最高允许排放速率（kg/h）</w:t>
                  </w:r>
                </w:p>
              </w:tc>
              <w:tc>
                <w:tcPr>
                  <w:tcW w:w="487" w:type="pct"/>
                  <w:vAlign w:val="center"/>
                </w:tcPr>
                <w:p w14:paraId="3A97EEAA">
                  <w:pPr>
                    <w:keepNext w:val="0"/>
                    <w:keepLines w:val="0"/>
                    <w:suppressLineNumbers w:val="0"/>
                    <w:adjustRightInd w:val="0"/>
                    <w:snapToGrid w:val="0"/>
                    <w:spacing w:before="0" w:beforeAutospacing="0" w:after="0" w:afterAutospacing="0"/>
                    <w:ind w:left="0" w:right="0"/>
                    <w:jc w:val="center"/>
                    <w:rPr>
                      <w:rFonts w:hint="default"/>
                      <w:b/>
                      <w:color w:val="auto"/>
                      <w:sz w:val="18"/>
                      <w:szCs w:val="18"/>
                    </w:rPr>
                  </w:pPr>
                  <w:r>
                    <w:rPr>
                      <w:rFonts w:hint="default"/>
                      <w:b/>
                      <w:color w:val="auto"/>
                      <w:sz w:val="18"/>
                      <w:szCs w:val="18"/>
                    </w:rPr>
                    <w:t>排放限值要求（mg/m³）</w:t>
                  </w:r>
                </w:p>
              </w:tc>
              <w:tc>
                <w:tcPr>
                  <w:tcW w:w="305" w:type="pct"/>
                  <w:vAlign w:val="center"/>
                </w:tcPr>
                <w:p w14:paraId="39F720AE">
                  <w:pPr>
                    <w:keepNext w:val="0"/>
                    <w:keepLines w:val="0"/>
                    <w:suppressLineNumbers w:val="0"/>
                    <w:adjustRightInd w:val="0"/>
                    <w:snapToGrid w:val="0"/>
                    <w:spacing w:before="0" w:beforeAutospacing="0" w:after="0" w:afterAutospacing="0"/>
                    <w:ind w:left="0" w:right="0"/>
                    <w:jc w:val="center"/>
                    <w:rPr>
                      <w:rFonts w:hint="default"/>
                      <w:b/>
                      <w:color w:val="auto"/>
                      <w:sz w:val="18"/>
                      <w:szCs w:val="18"/>
                    </w:rPr>
                  </w:pPr>
                  <w:r>
                    <w:rPr>
                      <w:rFonts w:hint="default"/>
                      <w:b/>
                      <w:color w:val="auto"/>
                      <w:sz w:val="18"/>
                      <w:szCs w:val="18"/>
                    </w:rPr>
                    <w:t>达标情况</w:t>
                  </w:r>
                </w:p>
              </w:tc>
              <w:tc>
                <w:tcPr>
                  <w:tcW w:w="944" w:type="pct"/>
                  <w:vAlign w:val="center"/>
                </w:tcPr>
                <w:p w14:paraId="6945F81A">
                  <w:pPr>
                    <w:keepNext w:val="0"/>
                    <w:keepLines w:val="0"/>
                    <w:suppressLineNumbers w:val="0"/>
                    <w:adjustRightInd w:val="0"/>
                    <w:snapToGrid w:val="0"/>
                    <w:spacing w:before="0" w:beforeAutospacing="0" w:after="0" w:afterAutospacing="0"/>
                    <w:ind w:left="0" w:right="0"/>
                    <w:jc w:val="center"/>
                    <w:rPr>
                      <w:rFonts w:hint="default"/>
                      <w:b/>
                      <w:color w:val="auto"/>
                      <w:sz w:val="18"/>
                      <w:szCs w:val="18"/>
                    </w:rPr>
                  </w:pPr>
                  <w:r>
                    <w:rPr>
                      <w:rFonts w:hint="default"/>
                      <w:b/>
                      <w:color w:val="auto"/>
                      <w:sz w:val="18"/>
                      <w:szCs w:val="18"/>
                    </w:rPr>
                    <w:t>执行标准</w:t>
                  </w:r>
                </w:p>
              </w:tc>
            </w:tr>
            <w:tr w14:paraId="17BC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381" w:type="pct"/>
                  <w:vMerge w:val="restart"/>
                  <w:vAlign w:val="center"/>
                </w:tcPr>
                <w:p w14:paraId="58AA5507">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DA001排气筒</w:t>
                  </w:r>
                </w:p>
              </w:tc>
              <w:tc>
                <w:tcPr>
                  <w:tcW w:w="358" w:type="pct"/>
                  <w:vMerge w:val="restart"/>
                  <w:vAlign w:val="center"/>
                </w:tcPr>
                <w:p w14:paraId="4B02AA9A">
                  <w:pPr>
                    <w:keepNext w:val="0"/>
                    <w:keepLines w:val="0"/>
                    <w:suppressLineNumbers w:val="0"/>
                    <w:adjustRightInd w:val="0"/>
                    <w:snapToGrid w:val="0"/>
                    <w:spacing w:before="0" w:beforeAutospacing="0" w:after="0" w:afterAutospacing="0"/>
                    <w:ind w:left="0" w:right="0"/>
                    <w:jc w:val="center"/>
                    <w:rPr>
                      <w:rFonts w:hint="default" w:eastAsia="宋体"/>
                      <w:color w:val="auto"/>
                      <w:sz w:val="18"/>
                      <w:szCs w:val="18"/>
                      <w:lang w:val="en-US" w:eastAsia="zh-CN"/>
                    </w:rPr>
                  </w:pPr>
                  <w:r>
                    <w:rPr>
                      <w:rFonts w:hint="default"/>
                      <w:color w:val="auto"/>
                      <w:sz w:val="18"/>
                      <w:szCs w:val="18"/>
                    </w:rPr>
                    <w:t>因环保设备故障导致处理效率</w:t>
                  </w:r>
                  <w:r>
                    <w:rPr>
                      <w:rFonts w:hint="eastAsia"/>
                      <w:color w:val="auto"/>
                      <w:sz w:val="18"/>
                      <w:szCs w:val="18"/>
                      <w:lang w:val="en-US" w:eastAsia="zh-CN"/>
                    </w:rPr>
                    <w:t>降低50%</w:t>
                  </w:r>
                </w:p>
              </w:tc>
              <w:tc>
                <w:tcPr>
                  <w:tcW w:w="312" w:type="pct"/>
                  <w:vAlign w:val="center"/>
                </w:tcPr>
                <w:p w14:paraId="3738DD52">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非甲烷总烃</w:t>
                  </w:r>
                </w:p>
              </w:tc>
              <w:tc>
                <w:tcPr>
                  <w:tcW w:w="488" w:type="pct"/>
                  <w:vAlign w:val="center"/>
                </w:tcPr>
                <w:p w14:paraId="28BDA601">
                  <w:pPr>
                    <w:keepNext w:val="0"/>
                    <w:keepLines w:val="0"/>
                    <w:widowControl/>
                    <w:suppressLineNumbers w:val="0"/>
                    <w:spacing w:before="0" w:beforeAutospacing="0" w:after="0" w:afterAutospacing="0"/>
                    <w:ind w:left="0" w:right="0"/>
                    <w:jc w:val="center"/>
                    <w:textAlignment w:val="center"/>
                    <w:rPr>
                      <w:rFonts w:hint="default"/>
                      <w:color w:val="auto"/>
                      <w:sz w:val="18"/>
                      <w:szCs w:val="18"/>
                      <w:highlight w:val="none"/>
                    </w:rPr>
                  </w:pPr>
                  <w:r>
                    <w:rPr>
                      <w:rFonts w:hint="eastAsia" w:cs="Times New Roman"/>
                      <w:i w:val="0"/>
                      <w:iCs w:val="0"/>
                      <w:color w:val="auto"/>
                      <w:kern w:val="0"/>
                      <w:sz w:val="18"/>
                      <w:szCs w:val="18"/>
                      <w:highlight w:val="none"/>
                      <w:u w:val="none"/>
                      <w:lang w:val="en-US" w:eastAsia="zh-CN" w:bidi="ar"/>
                    </w:rPr>
                    <w:t>0.0553</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562" w:type="pct"/>
                  <w:vAlign w:val="center"/>
                </w:tcPr>
                <w:p w14:paraId="34AEAEFE">
                  <w:pPr>
                    <w:keepNext w:val="0"/>
                    <w:keepLines w:val="0"/>
                    <w:widowControl/>
                    <w:suppressLineNumbers w:val="0"/>
                    <w:spacing w:before="0" w:beforeAutospacing="0" w:after="0" w:afterAutospacing="0"/>
                    <w:ind w:left="0" w:right="0"/>
                    <w:jc w:val="center"/>
                    <w:textAlignment w:val="center"/>
                    <w:rPr>
                      <w:rFonts w:hint="default"/>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0.0000</w:t>
                  </w:r>
                  <w:r>
                    <w:rPr>
                      <w:rFonts w:hint="eastAsia" w:cs="Times New Roman"/>
                      <w:i w:val="0"/>
                      <w:iCs w:val="0"/>
                      <w:color w:val="auto"/>
                      <w:kern w:val="0"/>
                      <w:sz w:val="18"/>
                      <w:szCs w:val="18"/>
                      <w:highlight w:val="none"/>
                      <w:u w:val="none"/>
                      <w:lang w:val="en-US" w:eastAsia="zh-CN" w:bidi="ar"/>
                    </w:rPr>
                    <w:t>23</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613" w:type="pct"/>
                  <w:vAlign w:val="center"/>
                </w:tcPr>
                <w:p w14:paraId="2FF7F2CA">
                  <w:pPr>
                    <w:keepNext w:val="0"/>
                    <w:keepLines w:val="0"/>
                    <w:widowControl/>
                    <w:suppressLineNumbers w:val="0"/>
                    <w:spacing w:before="0" w:beforeAutospacing="0" w:after="0" w:afterAutospacing="0"/>
                    <w:ind w:left="0" w:right="0"/>
                    <w:jc w:val="center"/>
                    <w:textAlignment w:val="center"/>
                    <w:rPr>
                      <w:rFonts w:hint="default"/>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r>
                    <w:rPr>
                      <w:rFonts w:hint="eastAsia" w:cs="Times New Roman"/>
                      <w:i w:val="0"/>
                      <w:iCs w:val="0"/>
                      <w:color w:val="auto"/>
                      <w:kern w:val="0"/>
                      <w:sz w:val="18"/>
                      <w:szCs w:val="18"/>
                      <w:highlight w:val="none"/>
                      <w:u w:val="none"/>
                      <w:lang w:val="en-US" w:eastAsia="zh-CN" w:bidi="ar"/>
                    </w:rPr>
                    <w:t>22</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544" w:type="pct"/>
                  <w:vAlign w:val="center"/>
                </w:tcPr>
                <w:p w14:paraId="21D6907C">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5</w:t>
                  </w:r>
                </w:p>
              </w:tc>
              <w:tc>
                <w:tcPr>
                  <w:tcW w:w="487" w:type="pct"/>
                  <w:vAlign w:val="center"/>
                </w:tcPr>
                <w:p w14:paraId="1C12701E">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120</w:t>
                  </w:r>
                </w:p>
              </w:tc>
              <w:tc>
                <w:tcPr>
                  <w:tcW w:w="305" w:type="pct"/>
                  <w:vAlign w:val="center"/>
                </w:tcPr>
                <w:p w14:paraId="59FAC391">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944" w:type="pct"/>
                  <w:vMerge w:val="restart"/>
                  <w:vAlign w:val="center"/>
                </w:tcPr>
                <w:p w14:paraId="14E19170">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《大气污染物综合排放标准》（GB 16297-1996）表2二级排放限值严格50%</w:t>
                  </w:r>
                </w:p>
              </w:tc>
            </w:tr>
            <w:tr w14:paraId="78F4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381" w:type="pct"/>
                  <w:vMerge w:val="continue"/>
                  <w:vAlign w:val="center"/>
                </w:tcPr>
                <w:p w14:paraId="1F04C622">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358" w:type="pct"/>
                  <w:vMerge w:val="continue"/>
                  <w:vAlign w:val="center"/>
                </w:tcPr>
                <w:p w14:paraId="5584B341">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312" w:type="pct"/>
                  <w:vAlign w:val="center"/>
                </w:tcPr>
                <w:p w14:paraId="4ACD3646">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氯化氢</w:t>
                  </w:r>
                </w:p>
              </w:tc>
              <w:tc>
                <w:tcPr>
                  <w:tcW w:w="488" w:type="pct"/>
                  <w:vAlign w:val="center"/>
                </w:tcPr>
                <w:p w14:paraId="7727F8BD">
                  <w:pPr>
                    <w:keepNext w:val="0"/>
                    <w:keepLines w:val="0"/>
                    <w:widowControl/>
                    <w:suppressLineNumbers w:val="0"/>
                    <w:spacing w:before="0" w:beforeAutospacing="0" w:after="0" w:afterAutospacing="0"/>
                    <w:ind w:left="0" w:right="0"/>
                    <w:jc w:val="center"/>
                    <w:textAlignment w:val="center"/>
                    <w:rPr>
                      <w:rFonts w:hint="default"/>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0.158 </w:t>
                  </w:r>
                </w:p>
              </w:tc>
              <w:tc>
                <w:tcPr>
                  <w:tcW w:w="562" w:type="pct"/>
                  <w:vAlign w:val="center"/>
                </w:tcPr>
                <w:p w14:paraId="2F26CACA">
                  <w:pPr>
                    <w:keepNext w:val="0"/>
                    <w:keepLines w:val="0"/>
                    <w:widowControl/>
                    <w:suppressLineNumbers w:val="0"/>
                    <w:spacing w:before="0" w:beforeAutospacing="0" w:after="0" w:afterAutospacing="0"/>
                    <w:ind w:left="0" w:right="0"/>
                    <w:jc w:val="center"/>
                    <w:textAlignment w:val="center"/>
                    <w:rPr>
                      <w:rFonts w:hint="default"/>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0.0000659 </w:t>
                  </w:r>
                </w:p>
              </w:tc>
              <w:tc>
                <w:tcPr>
                  <w:tcW w:w="613" w:type="pct"/>
                  <w:vAlign w:val="center"/>
                </w:tcPr>
                <w:p w14:paraId="179E5E20">
                  <w:pPr>
                    <w:keepNext w:val="0"/>
                    <w:keepLines w:val="0"/>
                    <w:widowControl/>
                    <w:suppressLineNumbers w:val="0"/>
                    <w:spacing w:before="0" w:beforeAutospacing="0" w:after="0" w:afterAutospacing="0"/>
                    <w:ind w:left="0" w:right="0"/>
                    <w:jc w:val="center"/>
                    <w:textAlignment w:val="center"/>
                    <w:rPr>
                      <w:rFonts w:hint="default"/>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0.0062 </w:t>
                  </w:r>
                </w:p>
              </w:tc>
              <w:tc>
                <w:tcPr>
                  <w:tcW w:w="544" w:type="pct"/>
                  <w:vAlign w:val="center"/>
                </w:tcPr>
                <w:p w14:paraId="3EF7ED81">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0.13</w:t>
                  </w:r>
                </w:p>
              </w:tc>
              <w:tc>
                <w:tcPr>
                  <w:tcW w:w="487" w:type="pct"/>
                  <w:vAlign w:val="center"/>
                </w:tcPr>
                <w:p w14:paraId="0B797E96">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100</w:t>
                  </w:r>
                </w:p>
              </w:tc>
              <w:tc>
                <w:tcPr>
                  <w:tcW w:w="305" w:type="pct"/>
                  <w:vAlign w:val="center"/>
                </w:tcPr>
                <w:p w14:paraId="345B5FAA">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944" w:type="pct"/>
                  <w:vMerge w:val="continue"/>
                  <w:vAlign w:val="center"/>
                </w:tcPr>
                <w:p w14:paraId="7E410218">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r>
            <w:tr w14:paraId="7BD3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1" w:type="pct"/>
                  <w:vMerge w:val="continue"/>
                  <w:vAlign w:val="center"/>
                </w:tcPr>
                <w:p w14:paraId="43B2CB3D">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358" w:type="pct"/>
                  <w:vMerge w:val="continue"/>
                  <w:vAlign w:val="center"/>
                </w:tcPr>
                <w:p w14:paraId="4A8F9DB9">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312" w:type="pct"/>
                  <w:vAlign w:val="center"/>
                </w:tcPr>
                <w:p w14:paraId="55B4AE33">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硫酸雾</w:t>
                  </w:r>
                </w:p>
              </w:tc>
              <w:tc>
                <w:tcPr>
                  <w:tcW w:w="488" w:type="pct"/>
                  <w:vAlign w:val="center"/>
                </w:tcPr>
                <w:p w14:paraId="5090CDE2">
                  <w:pPr>
                    <w:keepNext w:val="0"/>
                    <w:keepLines w:val="0"/>
                    <w:widowControl/>
                    <w:suppressLineNumbers w:val="0"/>
                    <w:spacing w:before="0" w:beforeAutospacing="0" w:after="0" w:afterAutospacing="0"/>
                    <w:ind w:left="0" w:right="0"/>
                    <w:jc w:val="center"/>
                    <w:textAlignment w:val="center"/>
                    <w:rPr>
                      <w:rFonts w:hint="default"/>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1.588 </w:t>
                  </w:r>
                </w:p>
              </w:tc>
              <w:tc>
                <w:tcPr>
                  <w:tcW w:w="562" w:type="pct"/>
                  <w:vAlign w:val="center"/>
                </w:tcPr>
                <w:p w14:paraId="238E36AF">
                  <w:pPr>
                    <w:keepNext w:val="0"/>
                    <w:keepLines w:val="0"/>
                    <w:widowControl/>
                    <w:suppressLineNumbers w:val="0"/>
                    <w:spacing w:before="0" w:beforeAutospacing="0" w:after="0" w:afterAutospacing="0"/>
                    <w:ind w:left="0" w:right="0"/>
                    <w:jc w:val="center"/>
                    <w:textAlignment w:val="center"/>
                    <w:rPr>
                      <w:rFonts w:hint="default"/>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0.0006619 </w:t>
                  </w:r>
                </w:p>
              </w:tc>
              <w:tc>
                <w:tcPr>
                  <w:tcW w:w="613" w:type="pct"/>
                  <w:vAlign w:val="center"/>
                </w:tcPr>
                <w:p w14:paraId="5EC10394">
                  <w:pPr>
                    <w:keepNext w:val="0"/>
                    <w:keepLines w:val="0"/>
                    <w:widowControl/>
                    <w:suppressLineNumbers w:val="0"/>
                    <w:spacing w:before="0" w:beforeAutospacing="0" w:after="0" w:afterAutospacing="0"/>
                    <w:ind w:left="0" w:right="0"/>
                    <w:jc w:val="center"/>
                    <w:textAlignment w:val="center"/>
                    <w:rPr>
                      <w:rFonts w:hint="default"/>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0.0624 </w:t>
                  </w:r>
                </w:p>
              </w:tc>
              <w:tc>
                <w:tcPr>
                  <w:tcW w:w="544" w:type="pct"/>
                  <w:vAlign w:val="center"/>
                </w:tcPr>
                <w:p w14:paraId="2A841E5B">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0.75</w:t>
                  </w:r>
                </w:p>
              </w:tc>
              <w:tc>
                <w:tcPr>
                  <w:tcW w:w="487" w:type="pct"/>
                  <w:vAlign w:val="center"/>
                </w:tcPr>
                <w:p w14:paraId="507780BB">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45</w:t>
                  </w:r>
                </w:p>
              </w:tc>
              <w:tc>
                <w:tcPr>
                  <w:tcW w:w="305" w:type="pct"/>
                  <w:vAlign w:val="center"/>
                </w:tcPr>
                <w:p w14:paraId="77C07AF9">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944" w:type="pct"/>
                  <w:vMerge w:val="continue"/>
                  <w:vAlign w:val="center"/>
                </w:tcPr>
                <w:p w14:paraId="3A8FCE43">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r>
            <w:tr w14:paraId="4D3A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14:paraId="03A73416">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358" w:type="pct"/>
                  <w:vMerge w:val="continue"/>
                  <w:vAlign w:val="center"/>
                </w:tcPr>
                <w:p w14:paraId="15D25815">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312" w:type="pct"/>
                  <w:vAlign w:val="center"/>
                </w:tcPr>
                <w:p w14:paraId="6436C860">
                  <w:pPr>
                    <w:keepNext w:val="0"/>
                    <w:keepLines w:val="0"/>
                    <w:suppressLineNumbers w:val="0"/>
                    <w:adjustRightInd w:val="0"/>
                    <w:snapToGrid w:val="0"/>
                    <w:spacing w:before="0" w:beforeAutospacing="0" w:after="0" w:afterAutospacing="0"/>
                    <w:ind w:left="0" w:right="0"/>
                    <w:jc w:val="center"/>
                    <w:rPr>
                      <w:rFonts w:hint="eastAsia" w:eastAsia="宋体"/>
                      <w:color w:val="auto"/>
                      <w:sz w:val="18"/>
                      <w:szCs w:val="18"/>
                      <w:lang w:val="en-US" w:eastAsia="zh-CN"/>
                    </w:rPr>
                  </w:pPr>
                  <w:r>
                    <w:rPr>
                      <w:rFonts w:hint="eastAsia"/>
                      <w:color w:val="auto"/>
                      <w:sz w:val="18"/>
                      <w:szCs w:val="18"/>
                      <w:lang w:val="en-US" w:eastAsia="zh-CN"/>
                    </w:rPr>
                    <w:t>氨</w:t>
                  </w:r>
                </w:p>
              </w:tc>
              <w:tc>
                <w:tcPr>
                  <w:tcW w:w="488" w:type="pct"/>
                  <w:vAlign w:val="center"/>
                </w:tcPr>
                <w:p w14:paraId="1B66A6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0.246</w:t>
                  </w:r>
                </w:p>
              </w:tc>
              <w:tc>
                <w:tcPr>
                  <w:tcW w:w="562" w:type="pct"/>
                  <w:vAlign w:val="center"/>
                </w:tcPr>
                <w:p w14:paraId="419711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0.000102</w:t>
                  </w:r>
                </w:p>
              </w:tc>
              <w:tc>
                <w:tcPr>
                  <w:tcW w:w="613" w:type="pct"/>
                  <w:vAlign w:val="center"/>
                </w:tcPr>
                <w:p w14:paraId="26E378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0.00966</w:t>
                  </w:r>
                </w:p>
              </w:tc>
              <w:tc>
                <w:tcPr>
                  <w:tcW w:w="544" w:type="pct"/>
                  <w:vAlign w:val="center"/>
                </w:tcPr>
                <w:p w14:paraId="3C7D1AE0">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eastAsia" w:ascii="Times New Roman" w:hAnsi="Times New Roman" w:cs="Times New Roman"/>
                      <w:color w:val="auto"/>
                      <w:sz w:val="18"/>
                      <w:szCs w:val="18"/>
                    </w:rPr>
                    <w:t>4.9</w:t>
                  </w:r>
                </w:p>
              </w:tc>
              <w:tc>
                <w:tcPr>
                  <w:tcW w:w="487" w:type="pct"/>
                  <w:vAlign w:val="center"/>
                </w:tcPr>
                <w:p w14:paraId="5902B548">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eastAsia" w:ascii="Times New Roman" w:hAnsi="Times New Roman" w:cs="Times New Roman"/>
                      <w:color w:val="auto"/>
                      <w:sz w:val="18"/>
                      <w:szCs w:val="18"/>
                    </w:rPr>
                    <w:t>/</w:t>
                  </w:r>
                </w:p>
              </w:tc>
              <w:tc>
                <w:tcPr>
                  <w:tcW w:w="305" w:type="pct"/>
                  <w:vAlign w:val="center"/>
                </w:tcPr>
                <w:p w14:paraId="7AF5BCD0">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ascii="Times New Roman" w:hAnsi="Times New Roman" w:cs="Times New Roman"/>
                      <w:color w:val="auto"/>
                      <w:sz w:val="18"/>
                      <w:szCs w:val="18"/>
                    </w:rPr>
                    <w:t>达标</w:t>
                  </w:r>
                </w:p>
              </w:tc>
              <w:tc>
                <w:tcPr>
                  <w:tcW w:w="944" w:type="pct"/>
                  <w:vAlign w:val="center"/>
                </w:tcPr>
                <w:p w14:paraId="2388FFF9">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ascii="Times New Roman" w:hAnsi="Times New Roman" w:cs="Times New Roman"/>
                      <w:color w:val="auto"/>
                      <w:sz w:val="18"/>
                      <w:szCs w:val="18"/>
                    </w:rPr>
                    <w:t>《恶臭污染物排放标准》（GB14554-93）表2中相关排放标准限值</w:t>
                  </w:r>
                </w:p>
              </w:tc>
            </w:tr>
            <w:tr w14:paraId="72B8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381" w:type="pct"/>
                  <w:vMerge w:val="restart"/>
                  <w:vAlign w:val="center"/>
                </w:tcPr>
                <w:p w14:paraId="285E9925">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DA002排气筒</w:t>
                  </w:r>
                </w:p>
              </w:tc>
              <w:tc>
                <w:tcPr>
                  <w:tcW w:w="358" w:type="pct"/>
                  <w:vMerge w:val="restart"/>
                  <w:vAlign w:val="center"/>
                </w:tcPr>
                <w:p w14:paraId="6E5C2F9A">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因环保设备故障导致处理效率</w:t>
                  </w:r>
                  <w:r>
                    <w:rPr>
                      <w:rFonts w:hint="eastAsia"/>
                      <w:color w:val="auto"/>
                      <w:sz w:val="18"/>
                      <w:szCs w:val="18"/>
                      <w:lang w:val="en-US" w:eastAsia="zh-CN"/>
                    </w:rPr>
                    <w:t>降低50%</w:t>
                  </w:r>
                </w:p>
              </w:tc>
              <w:tc>
                <w:tcPr>
                  <w:tcW w:w="312" w:type="pct"/>
                  <w:vAlign w:val="center"/>
                </w:tcPr>
                <w:p w14:paraId="36A1E7DD">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沥青烟</w:t>
                  </w:r>
                </w:p>
              </w:tc>
              <w:tc>
                <w:tcPr>
                  <w:tcW w:w="488" w:type="pct"/>
                  <w:vAlign w:val="center"/>
                </w:tcPr>
                <w:p w14:paraId="54D556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0.000</w:t>
                  </w:r>
                  <w:r>
                    <w:rPr>
                      <w:rFonts w:hint="eastAsia" w:cs="Times New Roman"/>
                      <w:i w:val="0"/>
                      <w:iCs w:val="0"/>
                      <w:color w:val="auto"/>
                      <w:kern w:val="0"/>
                      <w:sz w:val="18"/>
                      <w:szCs w:val="18"/>
                      <w:highlight w:val="none"/>
                      <w:u w:val="none"/>
                      <w:lang w:val="en-US" w:eastAsia="zh-CN" w:bidi="ar"/>
                    </w:rPr>
                    <w:t>28g/a</w:t>
                  </w:r>
                </w:p>
              </w:tc>
              <w:tc>
                <w:tcPr>
                  <w:tcW w:w="562" w:type="pct"/>
                  <w:vAlign w:val="center"/>
                </w:tcPr>
                <w:p w14:paraId="319CDC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0.000</w:t>
                  </w:r>
                  <w:r>
                    <w:rPr>
                      <w:rFonts w:hint="eastAsia" w:cs="Times New Roman"/>
                      <w:i w:val="0"/>
                      <w:iCs w:val="0"/>
                      <w:color w:val="auto"/>
                      <w:kern w:val="0"/>
                      <w:sz w:val="18"/>
                      <w:szCs w:val="18"/>
                      <w:highlight w:val="none"/>
                      <w:u w:val="none"/>
                      <w:lang w:val="en-US" w:eastAsia="zh-CN" w:bidi="ar"/>
                    </w:rPr>
                    <w:t>0938g/h</w:t>
                  </w:r>
                </w:p>
              </w:tc>
              <w:tc>
                <w:tcPr>
                  <w:tcW w:w="613" w:type="pct"/>
                  <w:vAlign w:val="center"/>
                </w:tcPr>
                <w:p w14:paraId="419CF1D7">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5.625</w:t>
                  </w:r>
                </w:p>
              </w:tc>
              <w:tc>
                <w:tcPr>
                  <w:tcW w:w="544" w:type="pct"/>
                  <w:vAlign w:val="center"/>
                </w:tcPr>
                <w:p w14:paraId="7704B0C5">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0.09</w:t>
                  </w:r>
                </w:p>
              </w:tc>
              <w:tc>
                <w:tcPr>
                  <w:tcW w:w="487" w:type="pct"/>
                  <w:vAlign w:val="center"/>
                </w:tcPr>
                <w:p w14:paraId="465256C2">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75</w:t>
                  </w:r>
                </w:p>
              </w:tc>
              <w:tc>
                <w:tcPr>
                  <w:tcW w:w="305" w:type="pct"/>
                  <w:vAlign w:val="center"/>
                </w:tcPr>
                <w:p w14:paraId="31AB1A01">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944" w:type="pct"/>
                  <w:vMerge w:val="restart"/>
                  <w:vAlign w:val="center"/>
                </w:tcPr>
                <w:p w14:paraId="60868AE3">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《大气污染物综合排放标准》（GB 16297-1996）表2二级排放限值严格50%</w:t>
                  </w:r>
                </w:p>
              </w:tc>
            </w:tr>
            <w:tr w14:paraId="5315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1" w:type="pct"/>
                  <w:vMerge w:val="continue"/>
                  <w:vAlign w:val="center"/>
                </w:tcPr>
                <w:p w14:paraId="72B6E39B">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358" w:type="pct"/>
                  <w:vMerge w:val="continue"/>
                  <w:vAlign w:val="center"/>
                </w:tcPr>
                <w:p w14:paraId="2C1DC778">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312" w:type="pct"/>
                  <w:vAlign w:val="center"/>
                </w:tcPr>
                <w:p w14:paraId="4AE1DD8C">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苯并[a]芘</w:t>
                  </w:r>
                </w:p>
              </w:tc>
              <w:tc>
                <w:tcPr>
                  <w:tcW w:w="488" w:type="pct"/>
                  <w:vAlign w:val="center"/>
                </w:tcPr>
                <w:p w14:paraId="7F38C9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0.0000</w:t>
                  </w:r>
                  <w:r>
                    <w:rPr>
                      <w:rFonts w:hint="eastAsia" w:cs="Times New Roman"/>
                      <w:i w:val="0"/>
                      <w:iCs w:val="0"/>
                      <w:color w:val="auto"/>
                      <w:kern w:val="0"/>
                      <w:sz w:val="18"/>
                      <w:szCs w:val="18"/>
                      <w:highlight w:val="none"/>
                      <w:u w:val="none"/>
                      <w:lang w:val="en-US" w:eastAsia="zh-CN" w:bidi="ar"/>
                    </w:rPr>
                    <w:t>38g/a</w:t>
                  </w:r>
                </w:p>
              </w:tc>
              <w:tc>
                <w:tcPr>
                  <w:tcW w:w="562" w:type="pct"/>
                  <w:vAlign w:val="center"/>
                </w:tcPr>
                <w:p w14:paraId="0FF895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0.0000</w:t>
                  </w:r>
                  <w:r>
                    <w:rPr>
                      <w:rFonts w:hint="eastAsia" w:cs="Times New Roman"/>
                      <w:i w:val="0"/>
                      <w:iCs w:val="0"/>
                      <w:color w:val="auto"/>
                      <w:kern w:val="0"/>
                      <w:sz w:val="18"/>
                      <w:szCs w:val="18"/>
                      <w:highlight w:val="none"/>
                      <w:u w:val="none"/>
                      <w:lang w:val="en-US" w:eastAsia="zh-CN" w:bidi="ar"/>
                    </w:rPr>
                    <w:t>127g/h</w:t>
                  </w:r>
                </w:p>
              </w:tc>
              <w:tc>
                <w:tcPr>
                  <w:tcW w:w="613" w:type="pct"/>
                  <w:vAlign w:val="center"/>
                </w:tcPr>
                <w:p w14:paraId="3C5358A0">
                  <w:pPr>
                    <w:keepNext w:val="0"/>
                    <w:keepLines w:val="0"/>
                    <w:suppressLineNumbers w:val="0"/>
                    <w:adjustRightInd w:val="0"/>
                    <w:snapToGrid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0.00000</w:t>
                  </w:r>
                  <w:r>
                    <w:rPr>
                      <w:rFonts w:hint="eastAsia"/>
                      <w:color w:val="auto"/>
                      <w:sz w:val="18"/>
                      <w:szCs w:val="18"/>
                      <w:highlight w:val="none"/>
                      <w:lang w:val="en-US" w:eastAsia="zh-CN"/>
                    </w:rPr>
                    <w:t>119</w:t>
                  </w:r>
                </w:p>
              </w:tc>
              <w:tc>
                <w:tcPr>
                  <w:tcW w:w="544" w:type="pct"/>
                  <w:vAlign w:val="center"/>
                </w:tcPr>
                <w:p w14:paraId="6429837E">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0.025×10</w:t>
                  </w:r>
                  <w:r>
                    <w:rPr>
                      <w:rFonts w:hint="default"/>
                      <w:color w:val="auto"/>
                      <w:sz w:val="18"/>
                      <w:szCs w:val="18"/>
                      <w:vertAlign w:val="superscript"/>
                    </w:rPr>
                    <w:t>-3</w:t>
                  </w:r>
                </w:p>
              </w:tc>
              <w:tc>
                <w:tcPr>
                  <w:tcW w:w="487" w:type="pct"/>
                  <w:vAlign w:val="center"/>
                </w:tcPr>
                <w:p w14:paraId="44BDDB8C">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0.3×10</w:t>
                  </w:r>
                  <w:r>
                    <w:rPr>
                      <w:rFonts w:hint="default"/>
                      <w:color w:val="auto"/>
                      <w:sz w:val="18"/>
                      <w:szCs w:val="18"/>
                      <w:vertAlign w:val="superscript"/>
                    </w:rPr>
                    <w:t>-3</w:t>
                  </w:r>
                </w:p>
              </w:tc>
              <w:tc>
                <w:tcPr>
                  <w:tcW w:w="305" w:type="pct"/>
                  <w:vAlign w:val="center"/>
                </w:tcPr>
                <w:p w14:paraId="54584BB6">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944" w:type="pct"/>
                  <w:vMerge w:val="continue"/>
                  <w:vAlign w:val="center"/>
                </w:tcPr>
                <w:p w14:paraId="173BE6A9">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r>
          </w:tbl>
          <w:p w14:paraId="0C5FDFA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由上表可知，项目非正常情况下（即喷淋</w:t>
            </w:r>
            <w:r>
              <w:rPr>
                <w:rFonts w:hint="eastAsia"/>
                <w:color w:val="auto"/>
                <w:sz w:val="24"/>
                <w:lang w:val="en-US" w:eastAsia="zh-CN"/>
              </w:rPr>
              <w:t>设施</w:t>
            </w:r>
            <w:r>
              <w:rPr>
                <w:rFonts w:hint="default"/>
                <w:color w:val="auto"/>
                <w:sz w:val="24"/>
              </w:rPr>
              <w:t>故障</w:t>
            </w:r>
            <w:r>
              <w:rPr>
                <w:rFonts w:hint="eastAsia"/>
                <w:color w:val="auto"/>
                <w:sz w:val="24"/>
                <w:lang w:eastAsia="zh-CN"/>
              </w:rPr>
              <w:t>、</w:t>
            </w:r>
            <w:r>
              <w:rPr>
                <w:rFonts w:hint="default"/>
                <w:color w:val="auto"/>
                <w:sz w:val="24"/>
              </w:rPr>
              <w:t>活性炭吸附装置</w:t>
            </w:r>
            <w:r>
              <w:rPr>
                <w:rFonts w:hint="eastAsia"/>
                <w:color w:val="auto"/>
                <w:sz w:val="24"/>
                <w:lang w:val="en-US" w:eastAsia="zh-CN"/>
              </w:rPr>
              <w:t>故障导致处理效率降低50%</w:t>
            </w:r>
            <w:r>
              <w:rPr>
                <w:rFonts w:hint="default"/>
                <w:color w:val="auto"/>
                <w:sz w:val="24"/>
              </w:rPr>
              <w:t>），非甲烷总烃、氯化氢、硫酸雾、沥青烟、苯并[a]芘排放浓度能满足《大气污染物综合排放标准》（GB16297-1996）表2二级排放限值严格50%</w:t>
            </w:r>
            <w:r>
              <w:rPr>
                <w:rFonts w:hint="eastAsia"/>
                <w:color w:val="auto"/>
                <w:sz w:val="24"/>
                <w:lang w:eastAsia="zh-CN"/>
              </w:rPr>
              <w:t>；</w:t>
            </w:r>
            <w:r>
              <w:rPr>
                <w:rFonts w:hint="eastAsia" w:ascii="Times New Roman" w:cs="Times New Roman"/>
                <w:color w:val="auto"/>
                <w:sz w:val="24"/>
              </w:rPr>
              <w:t>氨</w:t>
            </w:r>
            <w:r>
              <w:rPr>
                <w:rFonts w:hint="default" w:ascii="Times New Roman" w:cs="Times New Roman"/>
                <w:color w:val="auto"/>
                <w:sz w:val="24"/>
              </w:rPr>
              <w:t>排放能满足《恶臭污染物排放标准》（</w:t>
            </w:r>
            <w:r>
              <w:rPr>
                <w:rFonts w:hint="default" w:ascii="Times New Roman" w:hAnsi="Times New Roman" w:cs="Times New Roman"/>
                <w:color w:val="auto"/>
                <w:sz w:val="24"/>
              </w:rPr>
              <w:t>GB14554-93</w:t>
            </w:r>
            <w:r>
              <w:rPr>
                <w:rFonts w:hint="default" w:ascii="Times New Roman" w:cs="Times New Roman"/>
                <w:color w:val="auto"/>
                <w:sz w:val="24"/>
              </w:rPr>
              <w:t>）表</w:t>
            </w:r>
            <w:r>
              <w:rPr>
                <w:rFonts w:hint="default" w:ascii="Times New Roman" w:hAnsi="Times New Roman" w:cs="Times New Roman"/>
                <w:color w:val="auto"/>
                <w:sz w:val="24"/>
              </w:rPr>
              <w:t>2</w:t>
            </w:r>
            <w:r>
              <w:rPr>
                <w:rFonts w:hint="default" w:ascii="Times New Roman" w:cs="Times New Roman"/>
                <w:color w:val="auto"/>
                <w:sz w:val="24"/>
              </w:rPr>
              <w:t>中相关排放标准限值。</w:t>
            </w:r>
            <w:r>
              <w:rPr>
                <w:rFonts w:hint="default"/>
                <w:color w:val="auto"/>
                <w:sz w:val="24"/>
              </w:rPr>
              <w:t>为了避免非正常排放情况发生，污染环境，对废气处理设施配置一定量的易损备件及维护保养专用工具，应设专门技术人员对废气处理设施进行管理及维修。出现非正常排放时，应停止实验操作，尽快检修设备，待废气处理设施恢复正常后方可投入使用。</w:t>
            </w:r>
          </w:p>
          <w:p w14:paraId="638F603C">
            <w:pPr>
              <w:keepNext w:val="0"/>
              <w:keepLines w:val="0"/>
              <w:suppressLineNumbers w:val="0"/>
              <w:spacing w:before="0" w:beforeAutospacing="0" w:after="0" w:afterAutospacing="0" w:line="360" w:lineRule="auto"/>
              <w:ind w:left="0" w:right="0" w:firstLine="482" w:firstLineChars="200"/>
              <w:rPr>
                <w:rFonts w:hint="default"/>
                <w:b/>
                <w:color w:val="auto"/>
                <w:kern w:val="0"/>
                <w:sz w:val="24"/>
              </w:rPr>
            </w:pPr>
            <w:r>
              <w:rPr>
                <w:rFonts w:hint="default"/>
                <w:b/>
                <w:color w:val="auto"/>
                <w:kern w:val="0"/>
                <w:sz w:val="24"/>
              </w:rPr>
              <w:t>（3）监测计划</w:t>
            </w:r>
          </w:p>
          <w:p w14:paraId="10071A5C">
            <w:pPr>
              <w:keepNext w:val="0"/>
              <w:keepLines w:val="0"/>
              <w:widowControl/>
              <w:suppressLineNumbers w:val="0"/>
              <w:spacing w:before="0" w:beforeAutospacing="0" w:after="0" w:afterAutospacing="0" w:line="360" w:lineRule="auto"/>
              <w:ind w:left="0" w:right="0" w:firstLine="480" w:firstLineChars="200"/>
              <w:contextualSpacing/>
              <w:jc w:val="left"/>
              <w:rPr>
                <w:rFonts w:hint="default"/>
                <w:color w:val="auto"/>
                <w:sz w:val="24"/>
              </w:rPr>
            </w:pPr>
            <w:r>
              <w:rPr>
                <w:rFonts w:hint="default"/>
                <w:color w:val="auto"/>
                <w:sz w:val="24"/>
              </w:rPr>
              <w:t>根据《排污单位自行监测技术指南总则》（HJ819-2017）、《排污许可证申请与核发技术规范-总则》（HJ942-2018），结合项目情况，项目废气监测计划如下。</w:t>
            </w:r>
          </w:p>
          <w:p w14:paraId="0F6E6F0B">
            <w:pPr>
              <w:keepNext w:val="0"/>
              <w:keepLines w:val="0"/>
              <w:suppressLineNumbers w:val="0"/>
              <w:adjustRightInd w:val="0"/>
              <w:snapToGrid w:val="0"/>
              <w:spacing w:before="0" w:beforeAutospacing="0" w:after="0" w:afterAutospacing="0"/>
              <w:ind w:left="0" w:right="0" w:firstLine="422" w:firstLineChars="200"/>
              <w:jc w:val="center"/>
              <w:rPr>
                <w:rFonts w:hint="default"/>
                <w:b/>
                <w:bCs/>
                <w:color w:val="auto"/>
                <w:szCs w:val="21"/>
              </w:rPr>
            </w:pPr>
          </w:p>
          <w:p w14:paraId="34CAD4DD">
            <w:pPr>
              <w:keepNext w:val="0"/>
              <w:keepLines w:val="0"/>
              <w:suppressLineNumbers w:val="0"/>
              <w:adjustRightInd w:val="0"/>
              <w:snapToGrid w:val="0"/>
              <w:spacing w:before="0" w:beforeAutospacing="0" w:after="0" w:afterAutospacing="0"/>
              <w:ind w:left="0" w:right="0" w:firstLine="422" w:firstLineChars="200"/>
              <w:jc w:val="center"/>
              <w:rPr>
                <w:rFonts w:hint="default"/>
                <w:b/>
                <w:bCs/>
                <w:color w:val="auto"/>
                <w:szCs w:val="21"/>
              </w:rPr>
            </w:pPr>
            <w:r>
              <w:rPr>
                <w:rFonts w:hint="default"/>
                <w:b/>
                <w:bCs/>
                <w:color w:val="auto"/>
                <w:szCs w:val="21"/>
              </w:rPr>
              <w:t>表4-4   项目废气监测要求一览表</w:t>
            </w:r>
          </w:p>
          <w:tbl>
            <w:tblPr>
              <w:tblStyle w:val="17"/>
              <w:tblW w:w="4982"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2"/>
              <w:gridCol w:w="1311"/>
              <w:gridCol w:w="2254"/>
              <w:gridCol w:w="842"/>
              <w:gridCol w:w="3125"/>
            </w:tblGrid>
            <w:tr w14:paraId="0F93F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22" w:hRule="atLeast"/>
              </w:trPr>
              <w:tc>
                <w:tcPr>
                  <w:tcW w:w="420" w:type="pct"/>
                  <w:vAlign w:val="center"/>
                </w:tcPr>
                <w:p w14:paraId="19978E44">
                  <w:pPr>
                    <w:keepNext w:val="0"/>
                    <w:keepLines w:val="0"/>
                    <w:suppressLineNumbers w:val="0"/>
                    <w:spacing w:before="0" w:beforeAutospacing="0" w:after="0" w:afterAutospacing="0" w:line="240" w:lineRule="exact"/>
                    <w:ind w:left="0" w:right="0"/>
                    <w:contextualSpacing/>
                    <w:jc w:val="center"/>
                    <w:rPr>
                      <w:rFonts w:hint="default"/>
                      <w:b/>
                      <w:bCs/>
                      <w:color w:val="auto"/>
                    </w:rPr>
                  </w:pPr>
                  <w:r>
                    <w:rPr>
                      <w:rFonts w:hint="default"/>
                      <w:b/>
                      <w:bCs/>
                      <w:color w:val="auto"/>
                    </w:rPr>
                    <w:t>监测内容</w:t>
                  </w:r>
                </w:p>
              </w:tc>
              <w:tc>
                <w:tcPr>
                  <w:tcW w:w="796" w:type="pct"/>
                  <w:vAlign w:val="center"/>
                </w:tcPr>
                <w:p w14:paraId="11A75014">
                  <w:pPr>
                    <w:keepNext w:val="0"/>
                    <w:keepLines w:val="0"/>
                    <w:suppressLineNumbers w:val="0"/>
                    <w:spacing w:before="0" w:beforeAutospacing="0" w:after="0" w:afterAutospacing="0" w:line="240" w:lineRule="exact"/>
                    <w:ind w:left="0" w:right="0"/>
                    <w:contextualSpacing/>
                    <w:jc w:val="center"/>
                    <w:rPr>
                      <w:rFonts w:hint="default"/>
                      <w:b/>
                      <w:bCs/>
                      <w:color w:val="auto"/>
                    </w:rPr>
                  </w:pPr>
                  <w:r>
                    <w:rPr>
                      <w:rFonts w:hint="default"/>
                      <w:b/>
                      <w:bCs/>
                      <w:color w:val="auto"/>
                    </w:rPr>
                    <w:t>监测点位</w:t>
                  </w:r>
                </w:p>
              </w:tc>
              <w:tc>
                <w:tcPr>
                  <w:tcW w:w="1370" w:type="pct"/>
                  <w:vAlign w:val="center"/>
                </w:tcPr>
                <w:p w14:paraId="072A4880">
                  <w:pPr>
                    <w:keepNext w:val="0"/>
                    <w:keepLines w:val="0"/>
                    <w:suppressLineNumbers w:val="0"/>
                    <w:spacing w:before="0" w:beforeAutospacing="0" w:after="0" w:afterAutospacing="0" w:line="240" w:lineRule="exact"/>
                    <w:ind w:left="0" w:right="0"/>
                    <w:contextualSpacing/>
                    <w:jc w:val="center"/>
                    <w:rPr>
                      <w:rFonts w:hint="default"/>
                      <w:b/>
                      <w:bCs/>
                      <w:color w:val="auto"/>
                      <w:szCs w:val="21"/>
                    </w:rPr>
                  </w:pPr>
                  <w:r>
                    <w:rPr>
                      <w:rFonts w:hint="default"/>
                      <w:b/>
                      <w:bCs/>
                      <w:color w:val="auto"/>
                    </w:rPr>
                    <w:t>监测因子</w:t>
                  </w:r>
                </w:p>
              </w:tc>
              <w:tc>
                <w:tcPr>
                  <w:tcW w:w="511" w:type="pct"/>
                  <w:vAlign w:val="center"/>
                </w:tcPr>
                <w:p w14:paraId="1679C1C0">
                  <w:pPr>
                    <w:keepNext w:val="0"/>
                    <w:keepLines w:val="0"/>
                    <w:suppressLineNumbers w:val="0"/>
                    <w:spacing w:before="0" w:beforeAutospacing="0" w:after="0" w:afterAutospacing="0" w:line="240" w:lineRule="exact"/>
                    <w:ind w:left="0" w:right="0"/>
                    <w:contextualSpacing/>
                    <w:jc w:val="center"/>
                    <w:rPr>
                      <w:rFonts w:hint="default"/>
                      <w:b/>
                      <w:bCs/>
                      <w:color w:val="auto"/>
                      <w:szCs w:val="21"/>
                    </w:rPr>
                  </w:pPr>
                  <w:r>
                    <w:rPr>
                      <w:rFonts w:hint="default"/>
                      <w:b/>
                      <w:bCs/>
                      <w:color w:val="auto"/>
                    </w:rPr>
                    <w:t>监测频率</w:t>
                  </w:r>
                </w:p>
              </w:tc>
              <w:tc>
                <w:tcPr>
                  <w:tcW w:w="1900" w:type="pct"/>
                  <w:vAlign w:val="center"/>
                </w:tcPr>
                <w:p w14:paraId="50C5D0FB">
                  <w:pPr>
                    <w:keepNext w:val="0"/>
                    <w:keepLines w:val="0"/>
                    <w:suppressLineNumbers w:val="0"/>
                    <w:spacing w:before="0" w:beforeAutospacing="0" w:after="0" w:afterAutospacing="0" w:line="240" w:lineRule="exact"/>
                    <w:ind w:left="0" w:right="0"/>
                    <w:contextualSpacing/>
                    <w:jc w:val="center"/>
                    <w:rPr>
                      <w:rFonts w:hint="default"/>
                      <w:b/>
                      <w:bCs/>
                      <w:color w:val="auto"/>
                    </w:rPr>
                  </w:pPr>
                  <w:r>
                    <w:rPr>
                      <w:rFonts w:hint="default"/>
                      <w:b/>
                      <w:bCs/>
                      <w:color w:val="auto"/>
                    </w:rPr>
                    <w:t>执行标准</w:t>
                  </w:r>
                </w:p>
              </w:tc>
            </w:tr>
            <w:tr w14:paraId="20D35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2" w:hRule="atLeast"/>
              </w:trPr>
              <w:tc>
                <w:tcPr>
                  <w:tcW w:w="420" w:type="pct"/>
                  <w:vMerge w:val="restart"/>
                  <w:vAlign w:val="center"/>
                </w:tcPr>
                <w:p w14:paraId="44CB56E8">
                  <w:pPr>
                    <w:keepNext w:val="0"/>
                    <w:keepLines w:val="0"/>
                    <w:suppressLineNumbers w:val="0"/>
                    <w:spacing w:before="0" w:beforeAutospacing="0" w:after="0" w:afterAutospacing="0" w:line="240" w:lineRule="exact"/>
                    <w:ind w:left="0" w:right="0"/>
                    <w:contextualSpacing/>
                    <w:jc w:val="center"/>
                    <w:rPr>
                      <w:rFonts w:hint="default"/>
                      <w:bCs/>
                      <w:color w:val="auto"/>
                    </w:rPr>
                  </w:pPr>
                  <w:r>
                    <w:rPr>
                      <w:rFonts w:hint="default"/>
                      <w:bCs/>
                      <w:color w:val="auto"/>
                    </w:rPr>
                    <w:t>有组织废气</w:t>
                  </w:r>
                </w:p>
              </w:tc>
              <w:tc>
                <w:tcPr>
                  <w:tcW w:w="796" w:type="pct"/>
                  <w:vMerge w:val="restart"/>
                  <w:vAlign w:val="center"/>
                </w:tcPr>
                <w:p w14:paraId="1C031C40">
                  <w:pPr>
                    <w:keepNext w:val="0"/>
                    <w:keepLines w:val="0"/>
                    <w:suppressLineNumbers w:val="0"/>
                    <w:spacing w:before="0" w:beforeAutospacing="0" w:after="0" w:afterAutospacing="0" w:line="240" w:lineRule="exact"/>
                    <w:ind w:left="0" w:right="0"/>
                    <w:contextualSpacing/>
                    <w:jc w:val="center"/>
                    <w:rPr>
                      <w:rFonts w:hint="default"/>
                      <w:color w:val="auto"/>
                      <w:szCs w:val="21"/>
                    </w:rPr>
                  </w:pPr>
                  <w:r>
                    <w:rPr>
                      <w:rFonts w:hint="default"/>
                      <w:bCs/>
                      <w:color w:val="auto"/>
                      <w:szCs w:val="21"/>
                    </w:rPr>
                    <w:t>DA001排气口</w:t>
                  </w:r>
                </w:p>
              </w:tc>
              <w:tc>
                <w:tcPr>
                  <w:tcW w:w="1370" w:type="pct"/>
                  <w:vAlign w:val="center"/>
                </w:tcPr>
                <w:p w14:paraId="5F2EF03F">
                  <w:pPr>
                    <w:keepNext w:val="0"/>
                    <w:keepLines w:val="0"/>
                    <w:suppressLineNumbers w:val="0"/>
                    <w:spacing w:before="0" w:beforeAutospacing="0" w:after="0" w:afterAutospacing="0" w:line="240" w:lineRule="exact"/>
                    <w:ind w:left="0" w:right="0"/>
                    <w:contextualSpacing/>
                    <w:jc w:val="center"/>
                    <w:rPr>
                      <w:rFonts w:hint="default"/>
                      <w:color w:val="auto"/>
                      <w:kern w:val="0"/>
                    </w:rPr>
                  </w:pPr>
                  <w:r>
                    <w:rPr>
                      <w:rFonts w:hint="default"/>
                      <w:color w:val="auto"/>
                      <w:kern w:val="0"/>
                    </w:rPr>
                    <w:t>非甲烷总烃、氯化氢、硫酸雾</w:t>
                  </w:r>
                </w:p>
              </w:tc>
              <w:tc>
                <w:tcPr>
                  <w:tcW w:w="511" w:type="pct"/>
                  <w:vMerge w:val="restart"/>
                  <w:vAlign w:val="center"/>
                </w:tcPr>
                <w:p w14:paraId="6B52EC55">
                  <w:pPr>
                    <w:keepNext w:val="0"/>
                    <w:keepLines w:val="0"/>
                    <w:suppressLineNumbers w:val="0"/>
                    <w:spacing w:before="0" w:beforeAutospacing="0" w:after="0" w:afterAutospacing="0" w:line="240" w:lineRule="exact"/>
                    <w:ind w:left="0" w:right="0"/>
                    <w:contextualSpacing/>
                    <w:jc w:val="center"/>
                    <w:rPr>
                      <w:rFonts w:hint="default"/>
                      <w:b/>
                      <w:bCs/>
                      <w:color w:val="auto"/>
                      <w:szCs w:val="21"/>
                    </w:rPr>
                  </w:pPr>
                  <w:r>
                    <w:rPr>
                      <w:rFonts w:hint="default"/>
                      <w:color w:val="auto"/>
                      <w:highlight w:val="none"/>
                    </w:rPr>
                    <w:t>1次/年</w:t>
                  </w:r>
                </w:p>
              </w:tc>
              <w:tc>
                <w:tcPr>
                  <w:tcW w:w="1900" w:type="pct"/>
                  <w:vAlign w:val="center"/>
                </w:tcPr>
                <w:p w14:paraId="19DA4874">
                  <w:pPr>
                    <w:keepNext w:val="0"/>
                    <w:keepLines w:val="0"/>
                    <w:suppressLineNumbers w:val="0"/>
                    <w:spacing w:before="0" w:beforeAutospacing="0" w:after="0" w:afterAutospacing="0" w:line="240" w:lineRule="exact"/>
                    <w:ind w:left="0" w:right="0"/>
                    <w:contextualSpacing/>
                    <w:jc w:val="center"/>
                    <w:rPr>
                      <w:rFonts w:hint="default"/>
                      <w:color w:val="auto"/>
                    </w:rPr>
                  </w:pPr>
                  <w:r>
                    <w:rPr>
                      <w:rFonts w:hint="default"/>
                      <w:color w:val="auto"/>
                      <w:szCs w:val="21"/>
                    </w:rPr>
                    <w:t>《大气污染物综合排放标准》（GB 16297-1996）表2二级排放限值严格50%</w:t>
                  </w:r>
                </w:p>
              </w:tc>
            </w:tr>
            <w:tr w14:paraId="16288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1" w:hRule="atLeast"/>
              </w:trPr>
              <w:tc>
                <w:tcPr>
                  <w:tcW w:w="420" w:type="pct"/>
                  <w:vMerge w:val="continue"/>
                  <w:vAlign w:val="center"/>
                </w:tcPr>
                <w:p w14:paraId="54E26A59">
                  <w:pPr>
                    <w:keepNext w:val="0"/>
                    <w:keepLines w:val="0"/>
                    <w:suppressLineNumbers w:val="0"/>
                    <w:spacing w:before="0" w:beforeAutospacing="0" w:after="0" w:afterAutospacing="0" w:line="240" w:lineRule="exact"/>
                    <w:ind w:left="0" w:right="0"/>
                    <w:contextualSpacing/>
                    <w:jc w:val="center"/>
                    <w:rPr>
                      <w:rFonts w:hint="default"/>
                      <w:bCs/>
                      <w:color w:val="auto"/>
                    </w:rPr>
                  </w:pPr>
                </w:p>
              </w:tc>
              <w:tc>
                <w:tcPr>
                  <w:tcW w:w="796" w:type="pct"/>
                  <w:vMerge w:val="continue"/>
                  <w:vAlign w:val="center"/>
                </w:tcPr>
                <w:p w14:paraId="30AA5205">
                  <w:pPr>
                    <w:keepNext w:val="0"/>
                    <w:keepLines w:val="0"/>
                    <w:suppressLineNumbers w:val="0"/>
                    <w:spacing w:before="0" w:beforeAutospacing="0" w:after="0" w:afterAutospacing="0" w:line="240" w:lineRule="exact"/>
                    <w:ind w:left="0" w:right="0"/>
                    <w:contextualSpacing/>
                    <w:jc w:val="center"/>
                    <w:rPr>
                      <w:rFonts w:hint="default"/>
                      <w:bCs/>
                      <w:color w:val="auto"/>
                      <w:szCs w:val="21"/>
                    </w:rPr>
                  </w:pPr>
                </w:p>
              </w:tc>
              <w:tc>
                <w:tcPr>
                  <w:tcW w:w="1370" w:type="pct"/>
                  <w:vAlign w:val="center"/>
                </w:tcPr>
                <w:p w14:paraId="1E93B6AE">
                  <w:pPr>
                    <w:keepNext w:val="0"/>
                    <w:keepLines w:val="0"/>
                    <w:suppressLineNumbers w:val="0"/>
                    <w:spacing w:before="0" w:beforeAutospacing="0" w:after="0" w:afterAutospacing="0" w:line="240" w:lineRule="exact"/>
                    <w:ind w:left="0" w:right="0"/>
                    <w:contextualSpacing/>
                    <w:jc w:val="center"/>
                    <w:rPr>
                      <w:rFonts w:hint="default"/>
                      <w:color w:val="auto"/>
                      <w:kern w:val="0"/>
                    </w:rPr>
                  </w:pPr>
                  <w:r>
                    <w:rPr>
                      <w:rFonts w:hint="default" w:ascii="Times New Roman" w:hAnsi="Times New Roman" w:cs="Times New Roman"/>
                      <w:color w:val="auto"/>
                      <w:kern w:val="0"/>
                    </w:rPr>
                    <w:t>氨</w:t>
                  </w:r>
                </w:p>
              </w:tc>
              <w:tc>
                <w:tcPr>
                  <w:tcW w:w="511" w:type="pct"/>
                  <w:vMerge w:val="continue"/>
                  <w:vAlign w:val="center"/>
                </w:tcPr>
                <w:p w14:paraId="47607225">
                  <w:pPr>
                    <w:keepNext w:val="0"/>
                    <w:keepLines w:val="0"/>
                    <w:suppressLineNumbers w:val="0"/>
                    <w:spacing w:before="0" w:beforeAutospacing="0" w:after="0" w:afterAutospacing="0" w:line="240" w:lineRule="exact"/>
                    <w:ind w:left="0" w:right="0"/>
                    <w:contextualSpacing/>
                    <w:jc w:val="center"/>
                    <w:rPr>
                      <w:rFonts w:hint="default"/>
                      <w:color w:val="auto"/>
                    </w:rPr>
                  </w:pPr>
                </w:p>
              </w:tc>
              <w:tc>
                <w:tcPr>
                  <w:tcW w:w="1900" w:type="pct"/>
                  <w:vAlign w:val="center"/>
                </w:tcPr>
                <w:p w14:paraId="62C08DB7">
                  <w:pPr>
                    <w:keepNext w:val="0"/>
                    <w:keepLines w:val="0"/>
                    <w:suppressLineNumbers w:val="0"/>
                    <w:spacing w:before="0" w:beforeAutospacing="0" w:after="0" w:afterAutospacing="0" w:line="240" w:lineRule="exact"/>
                    <w:ind w:left="0" w:right="0"/>
                    <w:contextualSpacing/>
                    <w:jc w:val="center"/>
                    <w:rPr>
                      <w:rFonts w:hint="default"/>
                      <w:color w:val="auto"/>
                      <w:szCs w:val="21"/>
                    </w:rPr>
                  </w:pPr>
                  <w:r>
                    <w:rPr>
                      <w:rFonts w:hint="default" w:ascii="Times New Roman" w:hAnsi="Times New Roman" w:cs="Times New Roman"/>
                      <w:color w:val="auto"/>
                    </w:rPr>
                    <w:t>《恶臭污染物排放标准》（GB14554-93）表2相关排放标准限值</w:t>
                  </w:r>
                </w:p>
              </w:tc>
            </w:tr>
            <w:tr w14:paraId="2C7D8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22" w:hRule="atLeast"/>
              </w:trPr>
              <w:tc>
                <w:tcPr>
                  <w:tcW w:w="420" w:type="pct"/>
                  <w:vMerge w:val="continue"/>
                  <w:vAlign w:val="center"/>
                </w:tcPr>
                <w:p w14:paraId="7A799B49">
                  <w:pPr>
                    <w:keepNext w:val="0"/>
                    <w:keepLines w:val="0"/>
                    <w:suppressLineNumbers w:val="0"/>
                    <w:spacing w:before="0" w:beforeAutospacing="0" w:after="0" w:afterAutospacing="0" w:line="240" w:lineRule="exact"/>
                    <w:ind w:left="0" w:right="0"/>
                    <w:contextualSpacing/>
                    <w:jc w:val="center"/>
                    <w:rPr>
                      <w:rFonts w:hint="default"/>
                      <w:bCs/>
                      <w:color w:val="auto"/>
                    </w:rPr>
                  </w:pPr>
                </w:p>
              </w:tc>
              <w:tc>
                <w:tcPr>
                  <w:tcW w:w="796" w:type="pct"/>
                  <w:vAlign w:val="center"/>
                </w:tcPr>
                <w:p w14:paraId="31396E10">
                  <w:pPr>
                    <w:keepNext w:val="0"/>
                    <w:keepLines w:val="0"/>
                    <w:suppressLineNumbers w:val="0"/>
                    <w:spacing w:before="0" w:beforeAutospacing="0" w:after="0" w:afterAutospacing="0" w:line="240" w:lineRule="exact"/>
                    <w:ind w:left="0" w:right="0"/>
                    <w:contextualSpacing/>
                    <w:jc w:val="center"/>
                    <w:rPr>
                      <w:rFonts w:hint="default"/>
                      <w:bCs/>
                      <w:color w:val="auto"/>
                      <w:szCs w:val="21"/>
                    </w:rPr>
                  </w:pPr>
                  <w:r>
                    <w:rPr>
                      <w:rFonts w:hint="default"/>
                      <w:bCs/>
                      <w:color w:val="auto"/>
                      <w:szCs w:val="21"/>
                    </w:rPr>
                    <w:t>DA002排气口</w:t>
                  </w:r>
                </w:p>
              </w:tc>
              <w:tc>
                <w:tcPr>
                  <w:tcW w:w="1370" w:type="pct"/>
                  <w:vAlign w:val="center"/>
                </w:tcPr>
                <w:p w14:paraId="45CE548F">
                  <w:pPr>
                    <w:keepNext w:val="0"/>
                    <w:keepLines w:val="0"/>
                    <w:suppressLineNumbers w:val="0"/>
                    <w:spacing w:before="0" w:beforeAutospacing="0" w:after="0" w:afterAutospacing="0" w:line="240" w:lineRule="exact"/>
                    <w:ind w:left="0" w:right="0"/>
                    <w:contextualSpacing/>
                    <w:jc w:val="center"/>
                    <w:rPr>
                      <w:rFonts w:hint="default"/>
                      <w:color w:val="auto"/>
                      <w:kern w:val="0"/>
                    </w:rPr>
                  </w:pPr>
                  <w:r>
                    <w:rPr>
                      <w:rFonts w:hint="default"/>
                      <w:color w:val="auto"/>
                      <w:kern w:val="0"/>
                    </w:rPr>
                    <w:t>沥青烟、</w:t>
                  </w:r>
                  <w:r>
                    <w:rPr>
                      <w:rFonts w:hint="default" w:eastAsiaTheme="minorEastAsia"/>
                      <w:color w:val="auto"/>
                      <w:kern w:val="0"/>
                      <w:szCs w:val="21"/>
                    </w:rPr>
                    <w:t>苯并[a]芘</w:t>
                  </w:r>
                </w:p>
              </w:tc>
              <w:tc>
                <w:tcPr>
                  <w:tcW w:w="511" w:type="pct"/>
                  <w:vAlign w:val="center"/>
                </w:tcPr>
                <w:p w14:paraId="4C65DC1C">
                  <w:pPr>
                    <w:keepNext w:val="0"/>
                    <w:keepLines w:val="0"/>
                    <w:suppressLineNumbers w:val="0"/>
                    <w:spacing w:before="0" w:beforeAutospacing="0" w:after="0" w:afterAutospacing="0" w:line="240" w:lineRule="exact"/>
                    <w:ind w:left="0" w:right="0"/>
                    <w:contextualSpacing/>
                    <w:jc w:val="center"/>
                    <w:rPr>
                      <w:rFonts w:hint="default"/>
                      <w:color w:val="auto"/>
                    </w:rPr>
                  </w:pPr>
                  <w:r>
                    <w:rPr>
                      <w:rFonts w:hint="default"/>
                      <w:color w:val="auto"/>
                    </w:rPr>
                    <w:t>1次/年</w:t>
                  </w:r>
                </w:p>
              </w:tc>
              <w:tc>
                <w:tcPr>
                  <w:tcW w:w="1900" w:type="pct"/>
                  <w:vAlign w:val="center"/>
                </w:tcPr>
                <w:p w14:paraId="1BE8A667">
                  <w:pPr>
                    <w:keepNext w:val="0"/>
                    <w:keepLines w:val="0"/>
                    <w:suppressLineNumbers w:val="0"/>
                    <w:spacing w:before="0" w:beforeAutospacing="0" w:after="0" w:afterAutospacing="0" w:line="240" w:lineRule="exact"/>
                    <w:ind w:left="0" w:right="0"/>
                    <w:contextualSpacing/>
                    <w:jc w:val="center"/>
                    <w:rPr>
                      <w:rFonts w:hint="default"/>
                      <w:color w:val="auto"/>
                      <w:szCs w:val="21"/>
                    </w:rPr>
                  </w:pPr>
                  <w:r>
                    <w:rPr>
                      <w:rFonts w:hint="default"/>
                      <w:color w:val="auto"/>
                      <w:szCs w:val="21"/>
                    </w:rPr>
                    <w:t>《大气污染物综合排放标准》（GB 16297-1996）表2二级排放限值严格50%</w:t>
                  </w:r>
                </w:p>
              </w:tc>
            </w:tr>
            <w:tr w14:paraId="4BCAC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420" w:type="pct"/>
                  <w:vMerge w:val="restart"/>
                  <w:vAlign w:val="center"/>
                </w:tcPr>
                <w:p w14:paraId="4D8AE064">
                  <w:pPr>
                    <w:keepNext w:val="0"/>
                    <w:keepLines w:val="0"/>
                    <w:suppressLineNumbers w:val="0"/>
                    <w:spacing w:before="0" w:beforeAutospacing="0" w:after="0" w:afterAutospacing="0" w:line="240" w:lineRule="exact"/>
                    <w:ind w:left="0" w:right="0"/>
                    <w:contextualSpacing/>
                    <w:jc w:val="center"/>
                    <w:rPr>
                      <w:rFonts w:hint="default"/>
                      <w:bCs/>
                      <w:color w:val="auto"/>
                    </w:rPr>
                  </w:pPr>
                  <w:r>
                    <w:rPr>
                      <w:rFonts w:hint="default"/>
                      <w:bCs/>
                      <w:color w:val="auto"/>
                    </w:rPr>
                    <w:t>无组织废气</w:t>
                  </w:r>
                </w:p>
              </w:tc>
              <w:tc>
                <w:tcPr>
                  <w:tcW w:w="796" w:type="pct"/>
                  <w:vMerge w:val="restart"/>
                  <w:vAlign w:val="center"/>
                </w:tcPr>
                <w:p w14:paraId="5BADE691">
                  <w:pPr>
                    <w:keepNext w:val="0"/>
                    <w:keepLines w:val="0"/>
                    <w:suppressLineNumbers w:val="0"/>
                    <w:spacing w:before="0" w:beforeAutospacing="0" w:after="0" w:afterAutospacing="0" w:line="240" w:lineRule="exact"/>
                    <w:ind w:left="0" w:right="0"/>
                    <w:contextualSpacing/>
                    <w:jc w:val="center"/>
                    <w:rPr>
                      <w:rFonts w:hint="default"/>
                      <w:color w:val="auto"/>
                      <w:szCs w:val="21"/>
                    </w:rPr>
                  </w:pPr>
                  <w:r>
                    <w:rPr>
                      <w:rFonts w:hint="default"/>
                      <w:color w:val="auto"/>
                      <w:szCs w:val="21"/>
                    </w:rPr>
                    <w:t>厂界</w:t>
                  </w:r>
                  <w:r>
                    <w:rPr>
                      <w:rFonts w:hint="eastAsia"/>
                      <w:color w:val="auto"/>
                      <w:szCs w:val="21"/>
                    </w:rPr>
                    <w:t>上</w:t>
                  </w:r>
                  <w:r>
                    <w:rPr>
                      <w:rFonts w:hint="default"/>
                      <w:color w:val="auto"/>
                      <w:szCs w:val="21"/>
                    </w:rPr>
                    <w:t>风向</w:t>
                  </w:r>
                  <w:r>
                    <w:rPr>
                      <w:rFonts w:hint="eastAsia"/>
                      <w:color w:val="auto"/>
                      <w:szCs w:val="21"/>
                    </w:rPr>
                    <w:t>设置</w:t>
                  </w:r>
                  <w:r>
                    <w:rPr>
                      <w:rFonts w:hint="default"/>
                      <w:color w:val="auto"/>
                      <w:szCs w:val="21"/>
                    </w:rPr>
                    <w:t>1个</w:t>
                  </w:r>
                  <w:r>
                    <w:rPr>
                      <w:rFonts w:hint="eastAsia"/>
                      <w:color w:val="auto"/>
                      <w:szCs w:val="21"/>
                    </w:rPr>
                    <w:t>参照点，</w:t>
                  </w:r>
                  <w:r>
                    <w:rPr>
                      <w:rFonts w:hint="default"/>
                      <w:color w:val="auto"/>
                      <w:szCs w:val="21"/>
                    </w:rPr>
                    <w:t>下风向</w:t>
                  </w:r>
                  <w:r>
                    <w:rPr>
                      <w:rFonts w:hint="eastAsia"/>
                      <w:color w:val="auto"/>
                      <w:szCs w:val="21"/>
                    </w:rPr>
                    <w:t>设置3</w:t>
                  </w:r>
                  <w:r>
                    <w:rPr>
                      <w:rFonts w:hint="default"/>
                      <w:color w:val="auto"/>
                      <w:szCs w:val="21"/>
                    </w:rPr>
                    <w:t>个</w:t>
                  </w:r>
                  <w:r>
                    <w:rPr>
                      <w:rFonts w:hint="eastAsia"/>
                      <w:color w:val="auto"/>
                      <w:szCs w:val="21"/>
                    </w:rPr>
                    <w:t>监控点</w:t>
                  </w:r>
                </w:p>
              </w:tc>
              <w:tc>
                <w:tcPr>
                  <w:tcW w:w="1370" w:type="pct"/>
                  <w:vAlign w:val="center"/>
                </w:tcPr>
                <w:p w14:paraId="148B02C2">
                  <w:pPr>
                    <w:keepNext w:val="0"/>
                    <w:keepLines w:val="0"/>
                    <w:suppressLineNumbers w:val="0"/>
                    <w:spacing w:before="0" w:beforeAutospacing="0" w:after="0" w:afterAutospacing="0" w:line="240" w:lineRule="exact"/>
                    <w:ind w:left="0" w:right="0"/>
                    <w:contextualSpacing/>
                    <w:jc w:val="center"/>
                    <w:rPr>
                      <w:rFonts w:hint="default"/>
                      <w:color w:val="auto"/>
                      <w:kern w:val="0"/>
                    </w:rPr>
                  </w:pPr>
                  <w:r>
                    <w:rPr>
                      <w:rFonts w:hint="default"/>
                      <w:color w:val="auto"/>
                      <w:kern w:val="0"/>
                    </w:rPr>
                    <w:t>非甲烷总烃、氯化氢、硫酸雾、沥青烟、</w:t>
                  </w:r>
                  <w:r>
                    <w:rPr>
                      <w:rFonts w:hint="default" w:eastAsiaTheme="minorEastAsia"/>
                      <w:color w:val="auto"/>
                      <w:kern w:val="0"/>
                      <w:szCs w:val="21"/>
                    </w:rPr>
                    <w:t>苯并[a]芘</w:t>
                  </w:r>
                  <w:r>
                    <w:rPr>
                      <w:rFonts w:hint="default"/>
                      <w:color w:val="auto"/>
                      <w:kern w:val="0"/>
                    </w:rPr>
                    <w:t>、颗粒物</w:t>
                  </w:r>
                </w:p>
              </w:tc>
              <w:tc>
                <w:tcPr>
                  <w:tcW w:w="511" w:type="pct"/>
                  <w:vAlign w:val="center"/>
                </w:tcPr>
                <w:p w14:paraId="01374AB1">
                  <w:pPr>
                    <w:keepNext w:val="0"/>
                    <w:keepLines w:val="0"/>
                    <w:suppressLineNumbers w:val="0"/>
                    <w:spacing w:before="0" w:beforeAutospacing="0" w:after="0" w:afterAutospacing="0" w:line="240" w:lineRule="exact"/>
                    <w:ind w:left="0" w:right="0"/>
                    <w:contextualSpacing/>
                    <w:jc w:val="center"/>
                    <w:rPr>
                      <w:rFonts w:hint="default"/>
                      <w:color w:val="auto"/>
                    </w:rPr>
                  </w:pPr>
                  <w:r>
                    <w:rPr>
                      <w:rFonts w:hint="default"/>
                      <w:color w:val="auto"/>
                    </w:rPr>
                    <w:t>1次/年</w:t>
                  </w:r>
                </w:p>
              </w:tc>
              <w:tc>
                <w:tcPr>
                  <w:tcW w:w="1900" w:type="pct"/>
                  <w:vAlign w:val="center"/>
                </w:tcPr>
                <w:p w14:paraId="4442D077">
                  <w:pPr>
                    <w:keepNext w:val="0"/>
                    <w:keepLines w:val="0"/>
                    <w:suppressLineNumbers w:val="0"/>
                    <w:spacing w:before="0" w:beforeAutospacing="0" w:after="0" w:afterAutospacing="0" w:line="240" w:lineRule="exact"/>
                    <w:ind w:left="0" w:right="0"/>
                    <w:contextualSpacing/>
                    <w:jc w:val="center"/>
                    <w:rPr>
                      <w:rFonts w:hint="default"/>
                      <w:color w:val="auto"/>
                      <w:szCs w:val="21"/>
                    </w:rPr>
                  </w:pPr>
                  <w:r>
                    <w:rPr>
                      <w:rFonts w:hint="default"/>
                      <w:color w:val="auto"/>
                      <w:szCs w:val="21"/>
                    </w:rPr>
                    <w:t>《大气污染物综合排放标准》（GB 16297-1996）表2无组织排放监控浓度限值要求</w:t>
                  </w:r>
                </w:p>
              </w:tc>
            </w:tr>
            <w:tr w14:paraId="70A4F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420" w:type="pct"/>
                  <w:vMerge w:val="continue"/>
                  <w:vAlign w:val="center"/>
                </w:tcPr>
                <w:p w14:paraId="2EFE87B5">
                  <w:pPr>
                    <w:keepNext w:val="0"/>
                    <w:keepLines w:val="0"/>
                    <w:suppressLineNumbers w:val="0"/>
                    <w:spacing w:before="0" w:beforeAutospacing="0" w:after="0" w:afterAutospacing="0" w:line="240" w:lineRule="exact"/>
                    <w:ind w:left="0" w:right="0"/>
                    <w:contextualSpacing/>
                    <w:jc w:val="center"/>
                    <w:rPr>
                      <w:rFonts w:hint="default"/>
                      <w:bCs/>
                      <w:color w:val="auto"/>
                    </w:rPr>
                  </w:pPr>
                </w:p>
              </w:tc>
              <w:tc>
                <w:tcPr>
                  <w:tcW w:w="796" w:type="pct"/>
                  <w:vMerge w:val="continue"/>
                  <w:vAlign w:val="center"/>
                </w:tcPr>
                <w:p w14:paraId="23D01E6A">
                  <w:pPr>
                    <w:keepNext w:val="0"/>
                    <w:keepLines w:val="0"/>
                    <w:suppressLineNumbers w:val="0"/>
                    <w:spacing w:before="0" w:beforeAutospacing="0" w:after="0" w:afterAutospacing="0" w:line="240" w:lineRule="exact"/>
                    <w:ind w:left="0" w:right="0"/>
                    <w:contextualSpacing/>
                    <w:jc w:val="center"/>
                    <w:rPr>
                      <w:rFonts w:hint="default"/>
                      <w:color w:val="auto"/>
                      <w:szCs w:val="21"/>
                    </w:rPr>
                  </w:pPr>
                </w:p>
              </w:tc>
              <w:tc>
                <w:tcPr>
                  <w:tcW w:w="1370" w:type="pct"/>
                  <w:vAlign w:val="center"/>
                </w:tcPr>
                <w:p w14:paraId="125D4543">
                  <w:pPr>
                    <w:keepNext w:val="0"/>
                    <w:keepLines w:val="0"/>
                    <w:suppressLineNumbers w:val="0"/>
                    <w:spacing w:before="0" w:beforeAutospacing="0" w:after="0" w:afterAutospacing="0" w:line="240" w:lineRule="exact"/>
                    <w:ind w:left="0" w:right="0"/>
                    <w:contextualSpacing/>
                    <w:jc w:val="center"/>
                    <w:rPr>
                      <w:rFonts w:hint="default" w:eastAsia="宋体"/>
                      <w:color w:val="auto"/>
                      <w:kern w:val="0"/>
                      <w:lang w:val="en-US" w:eastAsia="zh-CN"/>
                    </w:rPr>
                  </w:pPr>
                  <w:r>
                    <w:rPr>
                      <w:rFonts w:hint="default" w:ascii="Times New Roman" w:hAnsi="Times New Roman" w:cs="Times New Roman"/>
                      <w:color w:val="auto"/>
                      <w:kern w:val="0"/>
                    </w:rPr>
                    <w:t>氨、</w:t>
                  </w:r>
                  <w:r>
                    <w:rPr>
                      <w:rFonts w:hint="eastAsia" w:cs="Times New Roman"/>
                      <w:color w:val="auto"/>
                      <w:kern w:val="0"/>
                      <w:lang w:val="en-US" w:eastAsia="zh-CN"/>
                    </w:rPr>
                    <w:t>臭气浓度</w:t>
                  </w:r>
                </w:p>
              </w:tc>
              <w:tc>
                <w:tcPr>
                  <w:tcW w:w="511" w:type="pct"/>
                  <w:vAlign w:val="center"/>
                </w:tcPr>
                <w:p w14:paraId="24BE0971">
                  <w:pPr>
                    <w:keepNext w:val="0"/>
                    <w:keepLines w:val="0"/>
                    <w:suppressLineNumbers w:val="0"/>
                    <w:spacing w:before="0" w:beforeAutospacing="0" w:after="0" w:afterAutospacing="0" w:line="240" w:lineRule="exact"/>
                    <w:ind w:left="0" w:right="0"/>
                    <w:contextualSpacing/>
                    <w:jc w:val="center"/>
                    <w:rPr>
                      <w:rFonts w:hint="default"/>
                      <w:color w:val="auto"/>
                    </w:rPr>
                  </w:pPr>
                  <w:r>
                    <w:rPr>
                      <w:rFonts w:hint="default" w:ascii="Times New Roman" w:hAnsi="Times New Roman" w:cs="Times New Roman"/>
                      <w:color w:val="auto"/>
                    </w:rPr>
                    <w:t>1次/年</w:t>
                  </w:r>
                </w:p>
              </w:tc>
              <w:tc>
                <w:tcPr>
                  <w:tcW w:w="1900" w:type="pct"/>
                  <w:vAlign w:val="center"/>
                </w:tcPr>
                <w:p w14:paraId="4868B612">
                  <w:pPr>
                    <w:keepNext w:val="0"/>
                    <w:keepLines w:val="0"/>
                    <w:suppressLineNumbers w:val="0"/>
                    <w:spacing w:before="0" w:beforeAutospacing="0" w:after="0" w:afterAutospacing="0" w:line="240" w:lineRule="exact"/>
                    <w:ind w:left="0" w:right="0"/>
                    <w:contextualSpacing/>
                    <w:jc w:val="center"/>
                    <w:rPr>
                      <w:rFonts w:hint="default"/>
                      <w:color w:val="auto"/>
                      <w:szCs w:val="21"/>
                    </w:rPr>
                  </w:pPr>
                  <w:r>
                    <w:rPr>
                      <w:rFonts w:hint="default" w:ascii="Times New Roman" w:hAnsi="Times New Roman" w:cs="Times New Roman"/>
                      <w:color w:val="auto"/>
                    </w:rPr>
                    <w:t>《恶臭污染物排放标准》（GB14554-93）表1相关排放标准限值</w:t>
                  </w:r>
                </w:p>
              </w:tc>
            </w:tr>
            <w:tr w14:paraId="477BA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420" w:type="pct"/>
                  <w:vMerge w:val="continue"/>
                  <w:vAlign w:val="center"/>
                </w:tcPr>
                <w:p w14:paraId="0B7B7466">
                  <w:pPr>
                    <w:keepNext w:val="0"/>
                    <w:keepLines w:val="0"/>
                    <w:suppressLineNumbers w:val="0"/>
                    <w:spacing w:before="0" w:beforeAutospacing="0" w:after="0" w:afterAutospacing="0" w:line="240" w:lineRule="exact"/>
                    <w:ind w:left="0" w:right="0"/>
                    <w:contextualSpacing/>
                    <w:jc w:val="center"/>
                    <w:rPr>
                      <w:rFonts w:hint="default"/>
                      <w:bCs/>
                      <w:color w:val="auto"/>
                    </w:rPr>
                  </w:pPr>
                </w:p>
              </w:tc>
              <w:tc>
                <w:tcPr>
                  <w:tcW w:w="796" w:type="pct"/>
                  <w:vAlign w:val="center"/>
                </w:tcPr>
                <w:p w14:paraId="1456A713">
                  <w:pPr>
                    <w:keepNext w:val="0"/>
                    <w:keepLines w:val="0"/>
                    <w:suppressLineNumbers w:val="0"/>
                    <w:spacing w:before="0" w:beforeAutospacing="0" w:after="0" w:afterAutospacing="0" w:line="240" w:lineRule="exact"/>
                    <w:ind w:left="0" w:right="0"/>
                    <w:contextualSpacing/>
                    <w:jc w:val="center"/>
                    <w:rPr>
                      <w:rFonts w:hint="default"/>
                      <w:color w:val="auto"/>
                      <w:szCs w:val="21"/>
                    </w:rPr>
                  </w:pPr>
                  <w:r>
                    <w:rPr>
                      <w:rFonts w:hint="default"/>
                      <w:color w:val="auto"/>
                      <w:szCs w:val="21"/>
                    </w:rPr>
                    <w:t>厂房外设置监控点1个</w:t>
                  </w:r>
                </w:p>
              </w:tc>
              <w:tc>
                <w:tcPr>
                  <w:tcW w:w="1370" w:type="pct"/>
                  <w:vAlign w:val="center"/>
                </w:tcPr>
                <w:p w14:paraId="247AF675">
                  <w:pPr>
                    <w:keepNext w:val="0"/>
                    <w:keepLines w:val="0"/>
                    <w:suppressLineNumbers w:val="0"/>
                    <w:spacing w:before="0" w:beforeAutospacing="0" w:after="0" w:afterAutospacing="0" w:line="240" w:lineRule="exact"/>
                    <w:ind w:left="0" w:right="0"/>
                    <w:contextualSpacing/>
                    <w:jc w:val="center"/>
                    <w:rPr>
                      <w:rFonts w:hint="default"/>
                      <w:color w:val="auto"/>
                      <w:kern w:val="0"/>
                    </w:rPr>
                  </w:pPr>
                  <w:r>
                    <w:rPr>
                      <w:rFonts w:hint="default"/>
                      <w:color w:val="auto"/>
                      <w:kern w:val="0"/>
                    </w:rPr>
                    <w:t>非甲烷总烃</w:t>
                  </w:r>
                </w:p>
              </w:tc>
              <w:tc>
                <w:tcPr>
                  <w:tcW w:w="511" w:type="pct"/>
                  <w:vAlign w:val="center"/>
                </w:tcPr>
                <w:p w14:paraId="27790877">
                  <w:pPr>
                    <w:keepNext w:val="0"/>
                    <w:keepLines w:val="0"/>
                    <w:suppressLineNumbers w:val="0"/>
                    <w:spacing w:before="0" w:beforeAutospacing="0" w:after="0" w:afterAutospacing="0" w:line="240" w:lineRule="exact"/>
                    <w:ind w:left="0" w:right="0"/>
                    <w:contextualSpacing/>
                    <w:jc w:val="center"/>
                    <w:rPr>
                      <w:rFonts w:hint="default"/>
                      <w:color w:val="auto"/>
                    </w:rPr>
                  </w:pPr>
                  <w:r>
                    <w:rPr>
                      <w:rFonts w:hint="default"/>
                      <w:color w:val="auto"/>
                    </w:rPr>
                    <w:t>1次/年</w:t>
                  </w:r>
                </w:p>
              </w:tc>
              <w:tc>
                <w:tcPr>
                  <w:tcW w:w="1900" w:type="pct"/>
                  <w:vAlign w:val="center"/>
                </w:tcPr>
                <w:p w14:paraId="1F67F792">
                  <w:pPr>
                    <w:keepNext w:val="0"/>
                    <w:keepLines w:val="0"/>
                    <w:suppressLineNumbers w:val="0"/>
                    <w:spacing w:before="0" w:beforeAutospacing="0" w:after="0" w:afterAutospacing="0" w:line="240" w:lineRule="exact"/>
                    <w:ind w:left="0" w:right="0"/>
                    <w:contextualSpacing/>
                    <w:jc w:val="center"/>
                    <w:rPr>
                      <w:rFonts w:hint="default"/>
                      <w:color w:val="auto"/>
                    </w:rPr>
                  </w:pPr>
                  <w:r>
                    <w:rPr>
                      <w:rFonts w:hint="default"/>
                      <w:color w:val="auto"/>
                    </w:rPr>
                    <w:t>《挥发性有机物无组织排放控制标准》（GB37822-2019）中无组织排放限值要求</w:t>
                  </w:r>
                </w:p>
              </w:tc>
            </w:tr>
          </w:tbl>
          <w:p w14:paraId="7F2A3368">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2.</w:t>
            </w:r>
            <w:r>
              <w:rPr>
                <w:rFonts w:hint="eastAsia"/>
                <w:b/>
                <w:bCs/>
                <w:color w:val="auto"/>
                <w:kern w:val="0"/>
                <w:sz w:val="24"/>
              </w:rPr>
              <w:t>废水环境影响和保护措施</w:t>
            </w:r>
          </w:p>
          <w:p w14:paraId="4DCD35B5">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2.1废水污染源核算</w:t>
            </w:r>
          </w:p>
          <w:p w14:paraId="5D949B32">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default" w:eastAsiaTheme="minorEastAsia"/>
                <w:color w:val="auto"/>
                <w:kern w:val="0"/>
                <w:sz w:val="24"/>
              </w:rPr>
              <w:t>项目运营期产生的废水主要为实验室废水、地面清洗水和员工生活污水</w:t>
            </w:r>
            <w:r>
              <w:rPr>
                <w:rFonts w:hint="eastAsia" w:eastAsiaTheme="minorEastAsia"/>
                <w:color w:val="auto"/>
                <w:kern w:val="0"/>
                <w:sz w:val="24"/>
                <w:lang w:val="en-US" w:eastAsia="zh-CN"/>
              </w:rPr>
              <w:t>等</w:t>
            </w:r>
            <w:r>
              <w:rPr>
                <w:rFonts w:hint="default" w:eastAsiaTheme="minorEastAsia"/>
                <w:color w:val="auto"/>
                <w:kern w:val="0"/>
                <w:sz w:val="24"/>
              </w:rPr>
              <w:t>。</w:t>
            </w:r>
            <w:r>
              <w:rPr>
                <w:rFonts w:hint="default"/>
                <w:color w:val="auto"/>
                <w:kern w:val="0"/>
                <w:sz w:val="24"/>
              </w:rPr>
              <w:t>具体用水及废水产生情况如下：</w:t>
            </w:r>
          </w:p>
          <w:p w14:paraId="3C849ADD">
            <w:pPr>
              <w:pStyle w:val="2"/>
              <w:keepNext w:val="0"/>
              <w:keepLines w:val="0"/>
              <w:suppressLineNumbers w:val="0"/>
              <w:spacing w:before="0" w:beforeAutospacing="0" w:afterAutospacing="0"/>
              <w:ind w:right="0"/>
              <w:rPr>
                <w:rFonts w:hint="default"/>
                <w:color w:val="auto"/>
                <w:kern w:val="0"/>
                <w:sz w:val="24"/>
              </w:rPr>
            </w:pPr>
          </w:p>
          <w:p w14:paraId="46BB28C2">
            <w:pPr>
              <w:pStyle w:val="4"/>
              <w:keepNext w:val="0"/>
              <w:keepLines w:val="0"/>
              <w:suppressLineNumbers w:val="0"/>
              <w:spacing w:beforeAutospacing="0" w:afterAutospacing="0"/>
              <w:ind w:left="0"/>
              <w:rPr>
                <w:rFonts w:hint="default"/>
                <w:color w:val="auto"/>
                <w:kern w:val="0"/>
                <w:sz w:val="24"/>
              </w:rPr>
            </w:pPr>
          </w:p>
          <w:p w14:paraId="4465B223">
            <w:pPr>
              <w:keepNext w:val="0"/>
              <w:keepLines w:val="0"/>
              <w:suppressLineNumbers w:val="0"/>
              <w:spacing w:before="0" w:beforeAutospacing="0" w:after="0" w:afterAutospacing="0"/>
              <w:ind w:left="0" w:right="0"/>
              <w:rPr>
                <w:rFonts w:hint="default"/>
                <w:color w:val="auto"/>
                <w:kern w:val="0"/>
                <w:sz w:val="24"/>
              </w:rPr>
            </w:pPr>
          </w:p>
          <w:p w14:paraId="7150BCF7">
            <w:pPr>
              <w:pStyle w:val="2"/>
              <w:keepNext w:val="0"/>
              <w:keepLines w:val="0"/>
              <w:suppressLineNumbers w:val="0"/>
              <w:spacing w:before="0" w:beforeAutospacing="0" w:afterAutospacing="0"/>
              <w:ind w:right="0"/>
              <w:rPr>
                <w:rFonts w:hint="default"/>
                <w:color w:val="auto"/>
                <w:kern w:val="0"/>
                <w:sz w:val="24"/>
              </w:rPr>
            </w:pPr>
          </w:p>
          <w:p w14:paraId="0C61024D">
            <w:pPr>
              <w:pStyle w:val="4"/>
              <w:keepNext w:val="0"/>
              <w:keepLines w:val="0"/>
              <w:suppressLineNumbers w:val="0"/>
              <w:spacing w:beforeAutospacing="0" w:afterAutospacing="0"/>
              <w:ind w:left="0"/>
              <w:rPr>
                <w:rFonts w:hint="default"/>
                <w:color w:val="auto"/>
                <w:kern w:val="0"/>
                <w:sz w:val="24"/>
              </w:rPr>
            </w:pPr>
          </w:p>
          <w:p w14:paraId="541FA2E5">
            <w:pPr>
              <w:keepNext w:val="0"/>
              <w:keepLines w:val="0"/>
              <w:suppressLineNumbers w:val="0"/>
              <w:spacing w:before="0" w:beforeAutospacing="0" w:after="0" w:afterAutospacing="0"/>
              <w:ind w:left="0" w:right="0"/>
              <w:rPr>
                <w:rFonts w:hint="default"/>
                <w:color w:val="auto"/>
                <w:kern w:val="0"/>
                <w:sz w:val="24"/>
              </w:rPr>
            </w:pPr>
          </w:p>
          <w:p w14:paraId="32BA751E">
            <w:pPr>
              <w:pStyle w:val="2"/>
              <w:keepNext w:val="0"/>
              <w:keepLines w:val="0"/>
              <w:suppressLineNumbers w:val="0"/>
              <w:spacing w:before="0" w:beforeAutospacing="0" w:afterAutospacing="0"/>
              <w:ind w:right="0"/>
              <w:rPr>
                <w:rFonts w:hint="default"/>
                <w:color w:val="auto"/>
                <w:kern w:val="0"/>
                <w:sz w:val="24"/>
              </w:rPr>
            </w:pPr>
          </w:p>
          <w:p w14:paraId="745854F0">
            <w:pPr>
              <w:pStyle w:val="4"/>
              <w:keepNext w:val="0"/>
              <w:keepLines w:val="0"/>
              <w:suppressLineNumbers w:val="0"/>
              <w:spacing w:beforeAutospacing="0" w:afterAutospacing="0"/>
              <w:ind w:left="0"/>
              <w:rPr>
                <w:rFonts w:hint="default"/>
                <w:color w:val="auto"/>
                <w:kern w:val="0"/>
                <w:sz w:val="24"/>
              </w:rPr>
            </w:pPr>
          </w:p>
          <w:p w14:paraId="4638D354">
            <w:pPr>
              <w:keepNext w:val="0"/>
              <w:keepLines w:val="0"/>
              <w:suppressLineNumbers w:val="0"/>
              <w:spacing w:before="0" w:beforeAutospacing="0" w:after="0" w:afterAutospacing="0"/>
              <w:ind w:left="0" w:right="0"/>
              <w:rPr>
                <w:rFonts w:hint="default"/>
                <w:color w:val="auto"/>
                <w:kern w:val="0"/>
                <w:sz w:val="24"/>
              </w:rPr>
            </w:pPr>
          </w:p>
          <w:p w14:paraId="6E915D04">
            <w:pPr>
              <w:pStyle w:val="2"/>
              <w:keepNext w:val="0"/>
              <w:keepLines w:val="0"/>
              <w:suppressLineNumbers w:val="0"/>
              <w:spacing w:before="0" w:beforeAutospacing="0" w:afterAutospacing="0"/>
              <w:ind w:right="0"/>
              <w:rPr>
                <w:rFonts w:hint="default"/>
                <w:color w:val="auto"/>
                <w:kern w:val="0"/>
                <w:sz w:val="24"/>
              </w:rPr>
            </w:pPr>
          </w:p>
          <w:p w14:paraId="48EC7B99">
            <w:pPr>
              <w:pStyle w:val="4"/>
              <w:keepNext w:val="0"/>
              <w:keepLines w:val="0"/>
              <w:suppressLineNumbers w:val="0"/>
              <w:spacing w:beforeAutospacing="0" w:afterAutospacing="0"/>
              <w:ind w:left="0"/>
              <w:rPr>
                <w:rFonts w:hint="default"/>
                <w:color w:val="auto"/>
                <w:kern w:val="0"/>
                <w:sz w:val="24"/>
              </w:rPr>
            </w:pPr>
          </w:p>
          <w:p w14:paraId="62A396BB">
            <w:pPr>
              <w:keepNext w:val="0"/>
              <w:keepLines w:val="0"/>
              <w:suppressLineNumbers w:val="0"/>
              <w:spacing w:before="0" w:beforeAutospacing="0" w:after="0" w:afterAutospacing="0"/>
              <w:ind w:left="0" w:right="0"/>
              <w:rPr>
                <w:rFonts w:hint="default"/>
                <w:color w:val="auto"/>
                <w:kern w:val="0"/>
                <w:sz w:val="24"/>
              </w:rPr>
            </w:pPr>
          </w:p>
          <w:p w14:paraId="7BBB5E6A">
            <w:pPr>
              <w:pStyle w:val="2"/>
              <w:keepNext w:val="0"/>
              <w:keepLines w:val="0"/>
              <w:suppressLineNumbers w:val="0"/>
              <w:spacing w:before="0" w:beforeAutospacing="0" w:afterAutospacing="0"/>
              <w:ind w:right="0"/>
              <w:rPr>
                <w:rFonts w:hint="default"/>
                <w:color w:val="auto"/>
                <w:kern w:val="0"/>
                <w:sz w:val="24"/>
              </w:rPr>
            </w:pPr>
          </w:p>
          <w:p w14:paraId="7FB92CB3">
            <w:pPr>
              <w:pStyle w:val="4"/>
              <w:keepNext w:val="0"/>
              <w:keepLines w:val="0"/>
              <w:suppressLineNumbers w:val="0"/>
              <w:spacing w:beforeAutospacing="0" w:afterAutospacing="0"/>
              <w:ind w:left="0"/>
              <w:rPr>
                <w:rFonts w:hint="default"/>
                <w:color w:val="auto"/>
                <w:kern w:val="0"/>
                <w:sz w:val="24"/>
              </w:rPr>
            </w:pPr>
          </w:p>
          <w:p w14:paraId="723631A5">
            <w:pPr>
              <w:keepNext w:val="0"/>
              <w:keepLines w:val="0"/>
              <w:suppressLineNumbers w:val="0"/>
              <w:spacing w:before="0" w:beforeAutospacing="0" w:after="0" w:afterAutospacing="0"/>
              <w:ind w:left="0" w:right="0"/>
              <w:rPr>
                <w:rFonts w:hint="default"/>
                <w:color w:val="auto"/>
                <w:kern w:val="0"/>
                <w:sz w:val="24"/>
              </w:rPr>
            </w:pPr>
          </w:p>
          <w:p w14:paraId="654FDEA7">
            <w:pPr>
              <w:pStyle w:val="2"/>
              <w:keepNext w:val="0"/>
              <w:keepLines w:val="0"/>
              <w:suppressLineNumbers w:val="0"/>
              <w:spacing w:before="0" w:beforeAutospacing="0" w:afterAutospacing="0"/>
              <w:ind w:right="0"/>
              <w:rPr>
                <w:rFonts w:hint="default"/>
                <w:color w:val="auto"/>
              </w:rPr>
            </w:pPr>
          </w:p>
        </w:tc>
      </w:tr>
    </w:tbl>
    <w:p w14:paraId="312A9DF5">
      <w:pPr>
        <w:adjustRightInd w:val="0"/>
        <w:snapToGrid w:val="0"/>
        <w:spacing w:line="360" w:lineRule="auto"/>
        <w:ind w:firstLine="480" w:firstLineChars="200"/>
        <w:rPr>
          <w:rFonts w:eastAsiaTheme="minorEastAsia"/>
          <w:color w:val="auto"/>
          <w:kern w:val="0"/>
          <w:sz w:val="24"/>
        </w:rPr>
        <w:sectPr>
          <w:pgSz w:w="11906" w:h="16838"/>
          <w:pgMar w:top="1701" w:right="1531" w:bottom="1701" w:left="1531" w:header="851" w:footer="851" w:gutter="0"/>
          <w:pgNumType w:fmt="decimal"/>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2888"/>
      </w:tblGrid>
      <w:tr w14:paraId="74B8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Pr>
          <w:p w14:paraId="27D09F5F">
            <w:pPr>
              <w:keepNext w:val="0"/>
              <w:keepLines w:val="0"/>
              <w:widowControl w:val="0"/>
              <w:suppressLineNumbers w:val="0"/>
              <w:adjustRightInd w:val="0"/>
              <w:snapToGrid w:val="0"/>
              <w:spacing w:before="0" w:beforeAutospacing="0" w:after="0" w:afterAutospacing="0"/>
              <w:ind w:left="0" w:right="0"/>
              <w:jc w:val="center"/>
              <w:rPr>
                <w:rFonts w:hint="default"/>
                <w:bCs/>
                <w:color w:val="auto"/>
                <w:sz w:val="24"/>
                <w:szCs w:val="24"/>
                <w:lang w:val="en-US"/>
              </w:rPr>
            </w:pPr>
            <w:r>
              <w:rPr>
                <w:rFonts w:hint="eastAsia" w:ascii="Times New Roman" w:hAnsi="Times New Roman" w:eastAsia="宋体" w:cs="宋体"/>
                <w:bCs/>
                <w:color w:val="auto"/>
                <w:kern w:val="2"/>
                <w:sz w:val="24"/>
                <w:szCs w:val="24"/>
                <w:lang w:val="en-US" w:eastAsia="zh-CN" w:bidi="ar"/>
              </w:rPr>
              <w:t>运营</w:t>
            </w:r>
          </w:p>
          <w:p w14:paraId="3FD01700">
            <w:pPr>
              <w:keepNext w:val="0"/>
              <w:keepLines w:val="0"/>
              <w:widowControl w:val="0"/>
              <w:suppressLineNumbers w:val="0"/>
              <w:adjustRightInd w:val="0"/>
              <w:snapToGrid w:val="0"/>
              <w:spacing w:before="0" w:beforeAutospacing="0" w:after="0" w:afterAutospacing="0"/>
              <w:ind w:left="0" w:right="0"/>
              <w:jc w:val="center"/>
              <w:rPr>
                <w:rFonts w:hint="default"/>
                <w:bCs/>
                <w:color w:val="auto"/>
                <w:sz w:val="24"/>
                <w:szCs w:val="24"/>
                <w:lang w:val="en-US"/>
              </w:rPr>
            </w:pPr>
            <w:r>
              <w:rPr>
                <w:rFonts w:hint="eastAsia" w:ascii="Times New Roman" w:hAnsi="Times New Roman" w:eastAsia="宋体" w:cs="宋体"/>
                <w:bCs/>
                <w:color w:val="auto"/>
                <w:kern w:val="2"/>
                <w:sz w:val="24"/>
                <w:szCs w:val="24"/>
                <w:lang w:val="en-US" w:eastAsia="zh-CN" w:bidi="ar"/>
              </w:rPr>
              <w:t>期环</w:t>
            </w:r>
          </w:p>
          <w:p w14:paraId="4869F7FB">
            <w:pPr>
              <w:keepNext w:val="0"/>
              <w:keepLines w:val="0"/>
              <w:widowControl w:val="0"/>
              <w:suppressLineNumbers w:val="0"/>
              <w:adjustRightInd w:val="0"/>
              <w:snapToGrid w:val="0"/>
              <w:spacing w:before="0" w:beforeAutospacing="0" w:after="0" w:afterAutospacing="0"/>
              <w:ind w:left="0" w:right="0"/>
              <w:jc w:val="center"/>
              <w:rPr>
                <w:rFonts w:hint="default"/>
                <w:bCs/>
                <w:color w:val="auto"/>
                <w:sz w:val="24"/>
                <w:szCs w:val="24"/>
                <w:lang w:val="en-US"/>
              </w:rPr>
            </w:pPr>
            <w:r>
              <w:rPr>
                <w:rFonts w:hint="eastAsia" w:ascii="Times New Roman" w:hAnsi="Times New Roman" w:eastAsia="宋体" w:cs="宋体"/>
                <w:bCs/>
                <w:color w:val="auto"/>
                <w:kern w:val="2"/>
                <w:sz w:val="24"/>
                <w:szCs w:val="24"/>
                <w:lang w:val="en-US" w:eastAsia="zh-CN" w:bidi="ar"/>
              </w:rPr>
              <w:t>境影</w:t>
            </w:r>
          </w:p>
          <w:p w14:paraId="12771251">
            <w:pPr>
              <w:pStyle w:val="15"/>
              <w:keepNext w:val="0"/>
              <w:keepLines w:val="0"/>
              <w:widowControl w:val="0"/>
              <w:suppressLineNumbers w:val="0"/>
              <w:spacing w:before="0" w:beforeAutospacing="0" w:after="0" w:afterAutospacing="0"/>
              <w:ind w:left="0" w:right="0"/>
              <w:jc w:val="left"/>
              <w:outlineLvl w:val="0"/>
              <w:rPr>
                <w:rFonts w:hint="default"/>
                <w:snapToGrid w:val="0"/>
                <w:color w:val="auto"/>
                <w:sz w:val="30"/>
                <w:szCs w:val="30"/>
                <w:lang w:val="en-US"/>
              </w:rPr>
            </w:pPr>
            <w:r>
              <w:rPr>
                <w:rFonts w:hint="eastAsia" w:ascii="Times New Roman" w:hAnsi="Times New Roman" w:eastAsia="宋体" w:cs="宋体"/>
                <w:bCs/>
                <w:color w:val="auto"/>
                <w:kern w:val="0"/>
                <w:sz w:val="24"/>
                <w:szCs w:val="20"/>
                <w:lang w:val="en-US" w:eastAsia="zh-CN" w:bidi="ar"/>
              </w:rPr>
              <w:t>响和保护措施</w:t>
            </w:r>
          </w:p>
          <w:p w14:paraId="3387F97D">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kern w:val="0"/>
                <w:sz w:val="24"/>
                <w:vertAlign w:val="baseline"/>
              </w:rPr>
            </w:pPr>
          </w:p>
        </w:tc>
        <w:tc>
          <w:tcPr>
            <w:tcW w:w="12888" w:type="dxa"/>
          </w:tcPr>
          <w:p w14:paraId="7B2B9483">
            <w:pPr>
              <w:keepNext w:val="0"/>
              <w:keepLines w:val="0"/>
              <w:widowControl w:val="0"/>
              <w:suppressLineNumbers w:val="0"/>
              <w:adjustRightInd w:val="0"/>
              <w:snapToGrid w:val="0"/>
              <w:spacing w:before="0" w:beforeAutospacing="0" w:after="0" w:afterAutospacing="0" w:line="240" w:lineRule="atLeast"/>
              <w:ind w:left="0" w:right="0"/>
              <w:jc w:val="center"/>
              <w:rPr>
                <w:rFonts w:hint="default"/>
                <w:bCs/>
                <w:color w:val="auto"/>
                <w:szCs w:val="21"/>
                <w:lang w:val="en-US"/>
              </w:rPr>
            </w:pPr>
            <w:r>
              <w:rPr>
                <w:rFonts w:hint="eastAsia" w:ascii="Times New Roman" w:hAnsi="Times New Roman" w:eastAsia="宋体" w:cs="宋体"/>
                <w:b/>
                <w:bCs/>
                <w:color w:val="auto"/>
                <w:kern w:val="2"/>
                <w:sz w:val="21"/>
                <w:szCs w:val="21"/>
                <w:lang w:val="en-US" w:eastAsia="zh-CN" w:bidi="ar"/>
              </w:rPr>
              <w:t>表</w:t>
            </w:r>
            <w:r>
              <w:rPr>
                <w:rFonts w:hint="default" w:ascii="Times New Roman" w:hAnsi="Times New Roman" w:eastAsia="宋体" w:cs="Times New Roman"/>
                <w:b/>
                <w:bCs/>
                <w:color w:val="auto"/>
                <w:kern w:val="2"/>
                <w:sz w:val="21"/>
                <w:szCs w:val="21"/>
                <w:lang w:val="en-US" w:eastAsia="zh-CN" w:bidi="ar"/>
              </w:rPr>
              <w:t>4-</w:t>
            </w:r>
            <w:r>
              <w:rPr>
                <w:rFonts w:hint="eastAsia" w:ascii="Times New Roman" w:hAnsi="Times New Roman" w:eastAsia="宋体" w:cs="Times New Roman"/>
                <w:b/>
                <w:bCs/>
                <w:color w:val="auto"/>
                <w:kern w:val="2"/>
                <w:sz w:val="21"/>
                <w:szCs w:val="21"/>
                <w:lang w:val="en-US" w:eastAsia="zh-CN" w:bidi="ar"/>
              </w:rPr>
              <w:t>5</w:t>
            </w:r>
            <w:r>
              <w:rPr>
                <w:rFonts w:hint="default" w:ascii="Times New Roman" w:hAnsi="Times New Roman" w:eastAsia="宋体" w:cs="Times New Roman"/>
                <w:b/>
                <w:bCs/>
                <w:color w:val="auto"/>
                <w:kern w:val="2"/>
                <w:sz w:val="21"/>
                <w:szCs w:val="21"/>
                <w:lang w:val="en-US" w:eastAsia="zh-CN" w:bidi="ar"/>
              </w:rPr>
              <w:t xml:space="preserve">   </w:t>
            </w:r>
            <w:r>
              <w:rPr>
                <w:rFonts w:hint="eastAsia" w:ascii="Times New Roman" w:hAnsi="Times New Roman" w:eastAsia="宋体" w:cs="宋体"/>
                <w:b/>
                <w:bCs/>
                <w:color w:val="auto"/>
                <w:kern w:val="2"/>
                <w:sz w:val="21"/>
                <w:szCs w:val="21"/>
                <w:lang w:val="en-US" w:eastAsia="zh-CN" w:bidi="ar"/>
              </w:rPr>
              <w:t>本项目废水污染源源强核算结果及相关参数一览表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76"/>
              <w:gridCol w:w="699"/>
              <w:gridCol w:w="709"/>
              <w:gridCol w:w="398"/>
              <w:gridCol w:w="993"/>
              <w:gridCol w:w="1069"/>
              <w:gridCol w:w="836"/>
              <w:gridCol w:w="576"/>
              <w:gridCol w:w="864"/>
              <w:gridCol w:w="775"/>
              <w:gridCol w:w="400"/>
              <w:gridCol w:w="398"/>
              <w:gridCol w:w="983"/>
              <w:gridCol w:w="709"/>
              <w:gridCol w:w="1069"/>
              <w:gridCol w:w="891"/>
              <w:gridCol w:w="717"/>
            </w:tblGrid>
            <w:tr w14:paraId="1C76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9" w:hRule="atLeast"/>
              </w:trPr>
              <w:tc>
                <w:tcPr>
                  <w:tcW w:w="20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631277">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0"/>
                      <w:sz w:val="18"/>
                      <w:szCs w:val="18"/>
                      <w:highlight w:val="none"/>
                      <w:lang w:val="en-US" w:eastAsia="zh-CN" w:bidi="ar"/>
                    </w:rPr>
                    <w:t>产排污环节</w:t>
                  </w:r>
                </w:p>
              </w:tc>
              <w:tc>
                <w:tcPr>
                  <w:tcW w:w="2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B74DC1">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0"/>
                      <w:sz w:val="18"/>
                      <w:szCs w:val="18"/>
                      <w:highlight w:val="none"/>
                      <w:lang w:val="en-US" w:eastAsia="zh-CN" w:bidi="ar"/>
                    </w:rPr>
                    <w:t>污染源</w:t>
                  </w:r>
                </w:p>
              </w:tc>
              <w:tc>
                <w:tcPr>
                  <w:tcW w:w="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88773C">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0"/>
                      <w:sz w:val="18"/>
                      <w:szCs w:val="18"/>
                      <w:highlight w:val="none"/>
                      <w:lang w:val="en-US" w:eastAsia="zh-CN" w:bidi="ar"/>
                    </w:rPr>
                    <w:t>污染物</w:t>
                  </w:r>
                </w:p>
              </w:tc>
              <w:tc>
                <w:tcPr>
                  <w:tcW w:w="132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52BBA956">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0"/>
                      <w:sz w:val="18"/>
                      <w:szCs w:val="18"/>
                      <w:highlight w:val="none"/>
                      <w:lang w:val="en-US" w:eastAsia="zh-CN" w:bidi="ar"/>
                    </w:rPr>
                    <w:t>污染物产生</w:t>
                  </w:r>
                </w:p>
              </w:tc>
              <w:tc>
                <w:tcPr>
                  <w:tcW w:w="99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54B9ACDE">
                  <w:pPr>
                    <w:keepNext w:val="0"/>
                    <w:keepLines w:val="0"/>
                    <w:widowControl w:val="0"/>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0"/>
                      <w:sz w:val="18"/>
                      <w:szCs w:val="18"/>
                      <w:highlight w:val="none"/>
                      <w:lang w:val="en-US" w:eastAsia="zh-CN" w:bidi="ar"/>
                    </w:rPr>
                    <w:t>治理</w:t>
                  </w:r>
                  <w:r>
                    <w:rPr>
                      <w:rFonts w:hint="eastAsia" w:ascii="Times New Roman" w:hAnsi="Times New Roman" w:eastAsia="宋体" w:cs="宋体"/>
                      <w:b/>
                      <w:bCs/>
                      <w:color w:val="auto"/>
                      <w:kern w:val="21"/>
                      <w:sz w:val="18"/>
                      <w:szCs w:val="18"/>
                      <w:highlight w:val="none"/>
                      <w:lang w:val="en-US" w:eastAsia="zh-CN" w:bidi="ar"/>
                    </w:rPr>
                    <w:t>措施</w:t>
                  </w:r>
                </w:p>
              </w:tc>
              <w:tc>
                <w:tcPr>
                  <w:tcW w:w="1613"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463840E">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0"/>
                      <w:sz w:val="18"/>
                      <w:szCs w:val="18"/>
                      <w:highlight w:val="none"/>
                      <w:lang w:val="en-US" w:eastAsia="zh-CN" w:bidi="ar"/>
                    </w:rPr>
                    <w:t>污染物排放</w:t>
                  </w:r>
                </w:p>
              </w:tc>
              <w:tc>
                <w:tcPr>
                  <w:tcW w:w="29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78792D">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0"/>
                      <w:sz w:val="18"/>
                      <w:szCs w:val="18"/>
                      <w:highlight w:val="none"/>
                      <w:lang w:val="en-US" w:eastAsia="zh-CN" w:bidi="ar"/>
                    </w:rPr>
                    <w:t>排放时间（</w:t>
                  </w:r>
                  <w:r>
                    <w:rPr>
                      <w:rFonts w:hint="default" w:ascii="Times New Roman" w:hAnsi="Times New Roman" w:eastAsia="宋体" w:cs="Times New Roman"/>
                      <w:b/>
                      <w:bCs/>
                      <w:color w:val="auto"/>
                      <w:kern w:val="0"/>
                      <w:sz w:val="18"/>
                      <w:szCs w:val="18"/>
                      <w:highlight w:val="none"/>
                      <w:lang w:val="en-US" w:eastAsia="zh-CN" w:bidi="ar"/>
                    </w:rPr>
                    <w:t>h</w:t>
                  </w:r>
                  <w:r>
                    <w:rPr>
                      <w:rFonts w:hint="eastAsia" w:ascii="Times New Roman" w:hAnsi="Times New Roman" w:eastAsia="宋体" w:cs="宋体"/>
                      <w:b/>
                      <w:bCs/>
                      <w:color w:val="auto"/>
                      <w:kern w:val="0"/>
                      <w:sz w:val="18"/>
                      <w:szCs w:val="18"/>
                      <w:highlight w:val="none"/>
                      <w:lang w:val="en-US" w:eastAsia="zh-CN" w:bidi="ar"/>
                    </w:rPr>
                    <w:t>）</w:t>
                  </w:r>
                </w:p>
              </w:tc>
            </w:tr>
            <w:tr w14:paraId="232F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2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413146">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BFE591">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87B484">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164" w:type="pct"/>
                  <w:tcBorders>
                    <w:top w:val="single" w:color="auto" w:sz="4" w:space="0"/>
                    <w:left w:val="single" w:color="auto" w:sz="4" w:space="0"/>
                    <w:bottom w:val="single" w:color="auto" w:sz="4" w:space="0"/>
                    <w:right w:val="single" w:color="auto" w:sz="4" w:space="0"/>
                  </w:tcBorders>
                  <w:shd w:val="clear" w:color="auto" w:fill="auto"/>
                  <w:vAlign w:val="center"/>
                </w:tcPr>
                <w:p w14:paraId="76937097">
                  <w:pPr>
                    <w:keepNext w:val="0"/>
                    <w:keepLines w:val="0"/>
                    <w:widowControl w:val="0"/>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0"/>
                      <w:sz w:val="18"/>
                      <w:szCs w:val="18"/>
                      <w:highlight w:val="none"/>
                      <w:lang w:val="en-US" w:eastAsia="zh-CN" w:bidi="ar"/>
                    </w:rPr>
                    <w:t>核算方法</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15F3DFBD">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21"/>
                      <w:sz w:val="18"/>
                      <w:szCs w:val="18"/>
                      <w:highlight w:val="none"/>
                      <w:lang w:val="en-US" w:eastAsia="zh-CN" w:bidi="ar"/>
                    </w:rPr>
                    <w:t>产生量（</w:t>
                  </w:r>
                  <w:r>
                    <w:rPr>
                      <w:rFonts w:hint="default" w:ascii="Times New Roman" w:hAnsi="Times New Roman" w:eastAsia="宋体" w:cs="Times New Roman"/>
                      <w:b/>
                      <w:bCs/>
                      <w:color w:val="auto"/>
                      <w:kern w:val="2"/>
                      <w:sz w:val="18"/>
                      <w:szCs w:val="18"/>
                      <w:highlight w:val="none"/>
                      <w:lang w:val="en-US" w:eastAsia="zh-CN" w:bidi="ar"/>
                    </w:rPr>
                    <w:t>m³</w:t>
                  </w:r>
                  <w:r>
                    <w:rPr>
                      <w:rFonts w:hint="default" w:ascii="Times New Roman" w:hAnsi="Times New Roman" w:eastAsia="宋体" w:cs="Times New Roman"/>
                      <w:color w:val="auto"/>
                      <w:kern w:val="2"/>
                      <w:sz w:val="18"/>
                      <w:szCs w:val="18"/>
                      <w:highlight w:val="none"/>
                      <w:lang w:val="en-US" w:eastAsia="zh-CN" w:bidi="ar"/>
                    </w:rPr>
                    <w:t>/</w:t>
                  </w:r>
                  <w:r>
                    <w:rPr>
                      <w:rFonts w:hint="default" w:ascii="Times New Roman" w:hAnsi="Times New Roman" w:eastAsia="宋体" w:cs="Times New Roman"/>
                      <w:b/>
                      <w:bCs w:val="0"/>
                      <w:color w:val="auto"/>
                      <w:kern w:val="2"/>
                      <w:sz w:val="18"/>
                      <w:szCs w:val="18"/>
                      <w:highlight w:val="none"/>
                      <w:lang w:val="en-US" w:eastAsia="zh-CN" w:bidi="ar"/>
                    </w:rPr>
                    <w:t>a</w:t>
                  </w:r>
                  <w:r>
                    <w:rPr>
                      <w:rFonts w:hint="eastAsia" w:ascii="Times New Roman" w:hAnsi="Times New Roman" w:eastAsia="宋体" w:cs="宋体"/>
                      <w:b/>
                      <w:bCs/>
                      <w:color w:val="auto"/>
                      <w:kern w:val="21"/>
                      <w:sz w:val="18"/>
                      <w:szCs w:val="18"/>
                      <w:highlight w:val="none"/>
                      <w:lang w:val="en-US" w:eastAsia="zh-CN" w:bidi="ar"/>
                    </w:rPr>
                    <w:t>）</w:t>
                  </w:r>
                </w:p>
                <w:p w14:paraId="6DC93635">
                  <w:pPr>
                    <w:keepNext w:val="0"/>
                    <w:keepLines w:val="0"/>
                    <w:widowControl/>
                    <w:suppressLineNumbers w:val="0"/>
                    <w:spacing w:before="0" w:beforeAutospacing="0" w:after="0" w:afterAutospacing="0" w:line="0" w:lineRule="atLeast"/>
                    <w:ind w:left="0" w:right="0"/>
                    <w:jc w:val="center"/>
                    <w:rPr>
                      <w:rFonts w:hint="default"/>
                      <w:b/>
                      <w:bCs/>
                      <w:color w:val="auto"/>
                      <w:sz w:val="18"/>
                      <w:szCs w:val="18"/>
                      <w:highlight w:val="none"/>
                      <w:lang w:val="en-US"/>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6BC40411">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产生浓度（</w:t>
                  </w:r>
                  <w:r>
                    <w:rPr>
                      <w:rFonts w:hint="default" w:ascii="Times New Roman" w:hAnsi="Times New Roman" w:eastAsia="宋体" w:cs="Times New Roman"/>
                      <w:b/>
                      <w:bCs w:val="0"/>
                      <w:color w:val="auto"/>
                      <w:kern w:val="2"/>
                      <w:sz w:val="18"/>
                      <w:szCs w:val="18"/>
                      <w:highlight w:val="none"/>
                      <w:lang w:val="en-US" w:eastAsia="zh-CN" w:bidi="ar"/>
                    </w:rPr>
                    <w:t>mg/L</w:t>
                  </w:r>
                  <w:r>
                    <w:rPr>
                      <w:rFonts w:hint="eastAsia" w:ascii="Times New Roman" w:hAnsi="Times New Roman" w:eastAsia="宋体" w:cs="宋体"/>
                      <w:b/>
                      <w:bCs/>
                      <w:color w:val="auto"/>
                      <w:kern w:val="2"/>
                      <w:sz w:val="18"/>
                      <w:szCs w:val="18"/>
                      <w:highlight w:val="none"/>
                      <w:lang w:val="en-US" w:eastAsia="zh-CN" w:bidi="ar"/>
                    </w:rPr>
                    <w:t>）</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03E1A8DB">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21"/>
                      <w:sz w:val="18"/>
                      <w:szCs w:val="18"/>
                      <w:highlight w:val="none"/>
                      <w:lang w:val="en-US" w:eastAsia="zh-CN" w:bidi="ar"/>
                    </w:rPr>
                    <w:t>产生量（</w:t>
                  </w:r>
                  <w:r>
                    <w:rPr>
                      <w:rFonts w:hint="default" w:ascii="Times New Roman" w:hAnsi="Times New Roman" w:eastAsia="宋体" w:cs="Times New Roman"/>
                      <w:b/>
                      <w:bCs/>
                      <w:color w:val="auto"/>
                      <w:kern w:val="2"/>
                      <w:sz w:val="18"/>
                      <w:szCs w:val="18"/>
                      <w:highlight w:val="none"/>
                      <w:lang w:val="en-US" w:eastAsia="zh-CN" w:bidi="ar"/>
                    </w:rPr>
                    <w:t>t</w:t>
                  </w:r>
                  <w:r>
                    <w:rPr>
                      <w:rFonts w:hint="default" w:ascii="Times New Roman" w:hAnsi="Times New Roman" w:eastAsia="宋体" w:cs="Times New Roman"/>
                      <w:b/>
                      <w:bCs w:val="0"/>
                      <w:color w:val="auto"/>
                      <w:kern w:val="2"/>
                      <w:sz w:val="18"/>
                      <w:szCs w:val="18"/>
                      <w:highlight w:val="none"/>
                      <w:lang w:val="en-US" w:eastAsia="zh-CN" w:bidi="ar"/>
                    </w:rPr>
                    <w:t>/a</w:t>
                  </w:r>
                  <w:r>
                    <w:rPr>
                      <w:rFonts w:hint="eastAsia" w:ascii="Times New Roman" w:hAnsi="Times New Roman" w:eastAsia="宋体" w:cs="宋体"/>
                      <w:b/>
                      <w:bCs/>
                      <w:color w:val="auto"/>
                      <w:kern w:val="21"/>
                      <w:sz w:val="18"/>
                      <w:szCs w:val="18"/>
                      <w:highlight w:val="none"/>
                      <w:lang w:val="en-US" w:eastAsia="zh-CN" w:bidi="ar"/>
                    </w:rPr>
                    <w:t>）</w:t>
                  </w:r>
                </w:p>
              </w:tc>
              <w:tc>
                <w:tcPr>
                  <w:tcW w:w="164" w:type="pct"/>
                  <w:tcBorders>
                    <w:top w:val="single" w:color="auto" w:sz="4" w:space="0"/>
                    <w:left w:val="single" w:color="auto" w:sz="4" w:space="0"/>
                    <w:bottom w:val="single" w:color="auto" w:sz="4" w:space="0"/>
                    <w:right w:val="single" w:color="auto" w:sz="4" w:space="0"/>
                  </w:tcBorders>
                  <w:shd w:val="clear" w:color="auto" w:fill="auto"/>
                  <w:vAlign w:val="center"/>
                </w:tcPr>
                <w:p w14:paraId="625DD482">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21"/>
                      <w:sz w:val="18"/>
                      <w:szCs w:val="18"/>
                      <w:highlight w:val="none"/>
                      <w:lang w:val="en-US" w:eastAsia="zh-CN" w:bidi="ar"/>
                    </w:rPr>
                    <w:t>治理工艺</w:t>
                  </w:r>
                </w:p>
              </w:tc>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14:paraId="36F66D0D">
                  <w:pPr>
                    <w:keepNext w:val="0"/>
                    <w:keepLines w:val="0"/>
                    <w:widowControl/>
                    <w:suppressLineNumbers w:val="0"/>
                    <w:spacing w:before="0" w:beforeAutospacing="0" w:after="0" w:afterAutospacing="0" w:line="0" w:lineRule="atLeast"/>
                    <w:ind w:left="0" w:right="0"/>
                    <w:jc w:val="center"/>
                    <w:rPr>
                      <w:rFonts w:hint="default"/>
                      <w:b/>
                      <w:bCs/>
                      <w:color w:val="auto"/>
                      <w:kern w:val="21"/>
                      <w:sz w:val="18"/>
                      <w:szCs w:val="18"/>
                      <w:highlight w:val="none"/>
                      <w:lang w:val="en-US"/>
                    </w:rPr>
                  </w:pPr>
                  <w:r>
                    <w:rPr>
                      <w:rFonts w:hint="eastAsia" w:ascii="Times New Roman" w:hAnsi="Times New Roman" w:eastAsia="宋体" w:cs="宋体"/>
                      <w:b/>
                      <w:bCs/>
                      <w:color w:val="auto"/>
                      <w:kern w:val="21"/>
                      <w:sz w:val="18"/>
                      <w:szCs w:val="18"/>
                      <w:highlight w:val="none"/>
                      <w:lang w:val="en-US" w:eastAsia="zh-CN" w:bidi="ar"/>
                    </w:rPr>
                    <w:t>处理</w:t>
                  </w:r>
                </w:p>
                <w:p w14:paraId="626A0C8C">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21"/>
                      <w:sz w:val="18"/>
                      <w:szCs w:val="18"/>
                      <w:highlight w:val="none"/>
                      <w:lang w:val="en-US" w:eastAsia="zh-CN" w:bidi="ar"/>
                    </w:rPr>
                    <w:t>能力</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582015DD">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21"/>
                      <w:sz w:val="18"/>
                      <w:szCs w:val="18"/>
                      <w:highlight w:val="none"/>
                      <w:lang w:val="en-US" w:eastAsia="zh-CN" w:bidi="ar"/>
                    </w:rPr>
                    <w:t>效率（</w:t>
                  </w:r>
                  <w:r>
                    <w:rPr>
                      <w:rFonts w:hint="default" w:ascii="Times New Roman" w:hAnsi="Times New Roman" w:eastAsia="宋体" w:cs="Times New Roman"/>
                      <w:bCs/>
                      <w:color w:val="auto"/>
                      <w:kern w:val="2"/>
                      <w:sz w:val="18"/>
                      <w:szCs w:val="18"/>
                      <w:highlight w:val="none"/>
                      <w:lang w:val="en-US" w:eastAsia="zh-CN" w:bidi="ar"/>
                    </w:rPr>
                    <w:t>%</w:t>
                  </w:r>
                  <w:r>
                    <w:rPr>
                      <w:rFonts w:hint="eastAsia" w:ascii="Times New Roman" w:hAnsi="Times New Roman" w:eastAsia="宋体" w:cs="宋体"/>
                      <w:b/>
                      <w:bCs/>
                      <w:color w:val="auto"/>
                      <w:kern w:val="21"/>
                      <w:sz w:val="18"/>
                      <w:szCs w:val="18"/>
                      <w:highlight w:val="none"/>
                      <w:lang w:val="en-US" w:eastAsia="zh-CN" w:bidi="ar"/>
                    </w:rPr>
                    <w:t>）</w:t>
                  </w:r>
                </w:p>
              </w:tc>
              <w:tc>
                <w:tcPr>
                  <w:tcW w:w="165" w:type="pct"/>
                  <w:tcBorders>
                    <w:top w:val="single" w:color="auto" w:sz="4" w:space="0"/>
                    <w:left w:val="single" w:color="auto" w:sz="4" w:space="0"/>
                    <w:bottom w:val="single" w:color="auto" w:sz="4" w:space="0"/>
                    <w:right w:val="single" w:color="auto" w:sz="4" w:space="0"/>
                  </w:tcBorders>
                  <w:shd w:val="clear" w:color="auto" w:fill="auto"/>
                  <w:vAlign w:val="center"/>
                </w:tcPr>
                <w:p w14:paraId="206DDA63">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0"/>
                      <w:sz w:val="18"/>
                      <w:szCs w:val="18"/>
                      <w:highlight w:val="none"/>
                      <w:lang w:val="en-US" w:eastAsia="zh-CN" w:bidi="ar"/>
                    </w:rPr>
                    <w:t>是否为可行技术</w:t>
                  </w:r>
                </w:p>
              </w:tc>
              <w:tc>
                <w:tcPr>
                  <w:tcW w:w="164" w:type="pct"/>
                  <w:tcBorders>
                    <w:top w:val="single" w:color="auto" w:sz="4" w:space="0"/>
                    <w:left w:val="single" w:color="auto" w:sz="4" w:space="0"/>
                    <w:bottom w:val="single" w:color="auto" w:sz="4" w:space="0"/>
                    <w:right w:val="single" w:color="auto" w:sz="4" w:space="0"/>
                  </w:tcBorders>
                  <w:shd w:val="clear" w:color="auto" w:fill="auto"/>
                  <w:vAlign w:val="center"/>
                </w:tcPr>
                <w:p w14:paraId="07FD8437">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0"/>
                      <w:sz w:val="18"/>
                      <w:szCs w:val="18"/>
                      <w:highlight w:val="none"/>
                      <w:lang w:val="en-US" w:eastAsia="zh-CN" w:bidi="ar"/>
                    </w:rPr>
                    <w:t>核算方法</w:t>
                  </w:r>
                </w:p>
              </w:tc>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14:paraId="377E7296">
                  <w:pPr>
                    <w:keepNext w:val="0"/>
                    <w:keepLines w:val="0"/>
                    <w:widowControl/>
                    <w:suppressLineNumbers w:val="0"/>
                    <w:spacing w:before="0" w:beforeAutospacing="0" w:after="0" w:afterAutospacing="0" w:line="0" w:lineRule="atLeast"/>
                    <w:ind w:left="0" w:right="0"/>
                    <w:jc w:val="center"/>
                    <w:rPr>
                      <w:rFonts w:hint="default"/>
                      <w:b/>
                      <w:bCs/>
                      <w:color w:val="auto"/>
                      <w:kern w:val="21"/>
                      <w:sz w:val="18"/>
                      <w:szCs w:val="18"/>
                      <w:highlight w:val="none"/>
                      <w:lang w:val="en-US"/>
                    </w:rPr>
                  </w:pPr>
                  <w:r>
                    <w:rPr>
                      <w:rFonts w:hint="eastAsia" w:ascii="Times New Roman" w:hAnsi="Times New Roman" w:eastAsia="宋体" w:cs="宋体"/>
                      <w:b/>
                      <w:bCs/>
                      <w:color w:val="auto"/>
                      <w:kern w:val="21"/>
                      <w:sz w:val="18"/>
                      <w:szCs w:val="18"/>
                      <w:highlight w:val="none"/>
                      <w:lang w:val="en-US" w:eastAsia="zh-CN" w:bidi="ar"/>
                    </w:rPr>
                    <w:t>废水排放</w:t>
                  </w:r>
                </w:p>
                <w:p w14:paraId="1676359C">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21"/>
                      <w:sz w:val="18"/>
                      <w:szCs w:val="18"/>
                      <w:highlight w:val="none"/>
                      <w:lang w:val="en-US" w:eastAsia="zh-CN" w:bidi="ar"/>
                    </w:rPr>
                    <w:t>量（</w:t>
                  </w:r>
                  <w:r>
                    <w:rPr>
                      <w:rFonts w:hint="default" w:ascii="Times New Roman" w:hAnsi="Times New Roman" w:eastAsia="宋体" w:cs="Times New Roman"/>
                      <w:b/>
                      <w:bCs/>
                      <w:color w:val="auto"/>
                      <w:kern w:val="2"/>
                      <w:sz w:val="18"/>
                      <w:szCs w:val="18"/>
                      <w:highlight w:val="none"/>
                      <w:lang w:val="en-US" w:eastAsia="zh-CN" w:bidi="ar"/>
                    </w:rPr>
                    <w:t>m³</w:t>
                  </w:r>
                  <w:r>
                    <w:rPr>
                      <w:rFonts w:hint="default" w:ascii="Times New Roman" w:hAnsi="Times New Roman" w:eastAsia="宋体" w:cs="Times New Roman"/>
                      <w:color w:val="auto"/>
                      <w:kern w:val="2"/>
                      <w:sz w:val="18"/>
                      <w:szCs w:val="18"/>
                      <w:highlight w:val="none"/>
                      <w:lang w:val="en-US" w:eastAsia="zh-CN" w:bidi="ar"/>
                    </w:rPr>
                    <w:t>/a</w:t>
                  </w:r>
                  <w:r>
                    <w:rPr>
                      <w:rFonts w:hint="eastAsia" w:ascii="Times New Roman" w:hAnsi="Times New Roman" w:eastAsia="宋体" w:cs="宋体"/>
                      <w:b/>
                      <w:bCs/>
                      <w:color w:val="auto"/>
                      <w:kern w:val="21"/>
                      <w:sz w:val="18"/>
                      <w:szCs w:val="18"/>
                      <w:highlight w:val="none"/>
                      <w:lang w:val="en-US" w:eastAsia="zh-CN" w:bidi="ar"/>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26838662">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0"/>
                      <w:sz w:val="18"/>
                      <w:szCs w:val="18"/>
                      <w:highlight w:val="none"/>
                      <w:lang w:val="en-US" w:eastAsia="zh-CN" w:bidi="ar"/>
                    </w:rPr>
                    <w:t>污染物</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4C342B73">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0"/>
                      <w:sz w:val="18"/>
                      <w:szCs w:val="18"/>
                      <w:highlight w:val="none"/>
                      <w:lang w:val="en-US" w:eastAsia="zh-CN" w:bidi="ar"/>
                    </w:rPr>
                    <w:t>排放浓度（</w:t>
                  </w:r>
                  <w:r>
                    <w:rPr>
                      <w:rFonts w:hint="default" w:ascii="Times New Roman" w:hAnsi="Times New Roman" w:eastAsia="宋体" w:cs="Times New Roman"/>
                      <w:b/>
                      <w:bCs/>
                      <w:color w:val="auto"/>
                      <w:kern w:val="0"/>
                      <w:sz w:val="18"/>
                      <w:szCs w:val="18"/>
                      <w:highlight w:val="none"/>
                      <w:lang w:val="en-US" w:eastAsia="zh-CN" w:bidi="ar"/>
                    </w:rPr>
                    <w:t>mg/L</w:t>
                  </w:r>
                  <w:r>
                    <w:rPr>
                      <w:rFonts w:hint="eastAsia" w:ascii="Times New Roman" w:hAnsi="Times New Roman" w:eastAsia="宋体" w:cs="宋体"/>
                      <w:b/>
                      <w:bCs/>
                      <w:color w:val="auto"/>
                      <w:kern w:val="0"/>
                      <w:sz w:val="18"/>
                      <w:szCs w:val="18"/>
                      <w:highlight w:val="none"/>
                      <w:lang w:val="en-US" w:eastAsia="zh-CN" w:bidi="ar"/>
                    </w:rPr>
                    <w:t>）</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3ED18216">
                  <w:pPr>
                    <w:keepNext w:val="0"/>
                    <w:keepLines w:val="0"/>
                    <w:widowControl/>
                    <w:suppressLineNumbers w:val="0"/>
                    <w:spacing w:before="0" w:beforeAutospacing="0" w:after="0" w:afterAutospacing="0" w:line="0" w:lineRule="atLeast"/>
                    <w:ind w:left="0" w:right="0"/>
                    <w:jc w:val="center"/>
                    <w:rPr>
                      <w:rFonts w:hint="default"/>
                      <w:b/>
                      <w:bCs/>
                      <w:color w:val="auto"/>
                      <w:kern w:val="0"/>
                      <w:sz w:val="18"/>
                      <w:szCs w:val="18"/>
                      <w:highlight w:val="none"/>
                      <w:lang w:val="en-US"/>
                    </w:rPr>
                  </w:pPr>
                  <w:r>
                    <w:rPr>
                      <w:rFonts w:hint="eastAsia" w:ascii="Times New Roman" w:hAnsi="Times New Roman" w:eastAsia="宋体" w:cs="宋体"/>
                      <w:b/>
                      <w:bCs/>
                      <w:color w:val="auto"/>
                      <w:kern w:val="0"/>
                      <w:sz w:val="18"/>
                      <w:szCs w:val="18"/>
                      <w:highlight w:val="none"/>
                      <w:lang w:val="en-US" w:eastAsia="zh-CN" w:bidi="ar"/>
                    </w:rPr>
                    <w:t>排放量（</w:t>
                  </w:r>
                  <w:r>
                    <w:rPr>
                      <w:rFonts w:hint="default" w:ascii="Times New Roman" w:hAnsi="Times New Roman" w:eastAsia="宋体" w:cs="Times New Roman"/>
                      <w:b/>
                      <w:bCs/>
                      <w:color w:val="auto"/>
                      <w:kern w:val="0"/>
                      <w:sz w:val="18"/>
                      <w:szCs w:val="18"/>
                      <w:highlight w:val="none"/>
                      <w:lang w:val="en-US" w:eastAsia="zh-CN" w:bidi="ar"/>
                    </w:rPr>
                    <w:t>t/a</w:t>
                  </w:r>
                  <w:r>
                    <w:rPr>
                      <w:rFonts w:hint="eastAsia" w:ascii="Times New Roman" w:hAnsi="Times New Roman" w:eastAsia="宋体" w:cs="宋体"/>
                      <w:b/>
                      <w:bCs/>
                      <w:color w:val="auto"/>
                      <w:kern w:val="0"/>
                      <w:sz w:val="18"/>
                      <w:szCs w:val="18"/>
                      <w:highlight w:val="none"/>
                      <w:lang w:val="en-US" w:eastAsia="zh-CN" w:bidi="ar"/>
                    </w:rPr>
                    <w:t>）</w:t>
                  </w:r>
                </w:p>
              </w:tc>
              <w:tc>
                <w:tcPr>
                  <w:tcW w:w="2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8DA83C">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r>
            <w:tr w14:paraId="3AE25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0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F7D4F2">
                  <w:pPr>
                    <w:keepNext w:val="0"/>
                    <w:keepLines w:val="0"/>
                    <w:widowControl w:val="0"/>
                    <w:suppressLineNumbers w:val="0"/>
                    <w:spacing w:before="0" w:beforeAutospacing="0" w:after="0" w:afterAutospacing="0" w:line="0" w:lineRule="atLeast"/>
                    <w:ind w:left="0" w:right="0"/>
                    <w:jc w:val="center"/>
                    <w:rPr>
                      <w:rFonts w:hint="default"/>
                      <w:color w:val="auto"/>
                      <w:kern w:val="21"/>
                      <w:sz w:val="18"/>
                      <w:szCs w:val="18"/>
                      <w:highlight w:val="none"/>
                      <w:lang w:val="en-US"/>
                    </w:rPr>
                  </w:pPr>
                  <w:r>
                    <w:rPr>
                      <w:rFonts w:hint="eastAsia" w:ascii="Times New Roman" w:hAnsi="Times New Roman" w:eastAsia="宋体" w:cs="宋体"/>
                      <w:color w:val="auto"/>
                      <w:kern w:val="21"/>
                      <w:sz w:val="18"/>
                      <w:szCs w:val="18"/>
                      <w:highlight w:val="none"/>
                      <w:lang w:val="en-US" w:eastAsia="zh-CN" w:bidi="ar"/>
                    </w:rPr>
                    <w:t>办公生活、地面清洁</w:t>
                  </w:r>
                </w:p>
              </w:tc>
              <w:tc>
                <w:tcPr>
                  <w:tcW w:w="2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EBBAEF">
                  <w:pPr>
                    <w:keepNext w:val="0"/>
                    <w:keepLines w:val="0"/>
                    <w:widowControl w:val="0"/>
                    <w:suppressLineNumbers w:val="0"/>
                    <w:spacing w:before="0" w:beforeAutospacing="0" w:after="0" w:afterAutospacing="0" w:line="0" w:lineRule="atLeast"/>
                    <w:ind w:left="0" w:right="0"/>
                    <w:jc w:val="center"/>
                    <w:rPr>
                      <w:rFonts w:hint="default"/>
                      <w:color w:val="auto"/>
                      <w:kern w:val="21"/>
                      <w:sz w:val="18"/>
                      <w:szCs w:val="18"/>
                      <w:highlight w:val="none"/>
                      <w:lang w:val="en-US"/>
                    </w:rPr>
                  </w:pPr>
                  <w:r>
                    <w:rPr>
                      <w:rFonts w:hint="eastAsia" w:ascii="Times New Roman" w:hAnsi="Times New Roman" w:eastAsia="宋体" w:cs="宋体"/>
                      <w:color w:val="auto"/>
                      <w:kern w:val="21"/>
                      <w:sz w:val="18"/>
                      <w:szCs w:val="18"/>
                      <w:highlight w:val="none"/>
                      <w:lang w:val="en-US" w:eastAsia="zh-CN" w:bidi="ar"/>
                    </w:rPr>
                    <w:t>办公生活区</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B634FA4">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bCs/>
                      <w:color w:val="auto"/>
                      <w:kern w:val="2"/>
                      <w:sz w:val="18"/>
                      <w:szCs w:val="18"/>
                      <w:highlight w:val="none"/>
                      <w:lang w:val="en-US" w:eastAsia="zh-CN" w:bidi="ar"/>
                    </w:rPr>
                    <w:t>COD</w:t>
                  </w:r>
                  <w:r>
                    <w:rPr>
                      <w:rFonts w:hint="eastAsia" w:ascii="Batang" w:hAnsi="Batang" w:eastAsia="Batang" w:cs="Batang"/>
                      <w:bCs/>
                      <w:strike w:val="0"/>
                      <w:dstrike w:val="0"/>
                      <w:color w:val="auto"/>
                      <w:spacing w:val="-4"/>
                      <w:w w:val="100"/>
                      <w:kern w:val="2"/>
                      <w:position w:val="0"/>
                      <w:sz w:val="18"/>
                      <w:szCs w:val="18"/>
                      <w:highlight w:val="none"/>
                      <w:u w:val="none"/>
                      <w:vertAlign w:val="subscript"/>
                      <w:lang w:val="zh-CN" w:eastAsia="zh-CN" w:bidi="ar"/>
                    </w:rPr>
                    <w:t>Cr</w:t>
                  </w:r>
                </w:p>
              </w:tc>
              <w:tc>
                <w:tcPr>
                  <w:tcW w:w="1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458B47">
                  <w:pPr>
                    <w:keepNext w:val="0"/>
                    <w:keepLines w:val="0"/>
                    <w:widowControl w:val="0"/>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宋体"/>
                      <w:color w:val="auto"/>
                      <w:kern w:val="0"/>
                      <w:sz w:val="18"/>
                      <w:szCs w:val="18"/>
                      <w:highlight w:val="none"/>
                      <w:lang w:val="en-US" w:eastAsia="zh-CN" w:bidi="ar"/>
                    </w:rPr>
                    <w:t>类比法</w:t>
                  </w:r>
                </w:p>
              </w:tc>
              <w:tc>
                <w:tcPr>
                  <w:tcW w:w="39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03738E">
                  <w:pPr>
                    <w:keepNext w:val="0"/>
                    <w:keepLines w:val="0"/>
                    <w:widowControl w:val="0"/>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bidi="ar"/>
                    </w:rPr>
                    <w:t>1132.32</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6EB943F9">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350</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1853361B">
                  <w:pPr>
                    <w:keepNext w:val="0"/>
                    <w:keepLines w:val="0"/>
                    <w:widowControl/>
                    <w:suppressLineNumbers w:val="0"/>
                    <w:spacing w:before="0" w:beforeAutospacing="0" w:after="0" w:afterAutospacing="0"/>
                    <w:ind w:left="0" w:right="0"/>
                    <w:jc w:val="center"/>
                    <w:rPr>
                      <w:rFonts w:hint="default"/>
                      <w:color w:val="auto"/>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bidi="ar"/>
                    </w:rPr>
                    <w:t>0.3963</w:t>
                  </w:r>
                </w:p>
              </w:tc>
              <w:tc>
                <w:tcPr>
                  <w:tcW w:w="1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D44FDB2">
                  <w:pPr>
                    <w:keepNext w:val="0"/>
                    <w:keepLines w:val="0"/>
                    <w:widowControl/>
                    <w:suppressLineNumbers w:val="0"/>
                    <w:spacing w:before="0" w:beforeAutospacing="0" w:after="0" w:afterAutospacing="0" w:line="0" w:lineRule="atLeast"/>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隔油池、化粪池</w:t>
                  </w:r>
                </w:p>
              </w:tc>
              <w:tc>
                <w:tcPr>
                  <w:tcW w:w="3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4E07BE">
                  <w:pPr>
                    <w:keepNext w:val="0"/>
                    <w:keepLines w:val="0"/>
                    <w:widowControl/>
                    <w:suppressLineNumbers w:val="0"/>
                    <w:spacing w:before="0" w:beforeAutospacing="0" w:after="0" w:afterAutospacing="0" w:line="0" w:lineRule="atLeast"/>
                    <w:ind w:left="0" w:right="0"/>
                    <w:jc w:val="center"/>
                    <w:rPr>
                      <w:rFonts w:hint="default"/>
                      <w:color w:val="auto"/>
                      <w:sz w:val="18"/>
                      <w:szCs w:val="18"/>
                      <w:highlight w:val="none"/>
                      <w:lang w:val="en-US"/>
                    </w:rPr>
                  </w:pPr>
                  <w:r>
                    <w:rPr>
                      <w:rFonts w:hint="eastAsia" w:ascii="Times New Roman" w:hAnsi="Times New Roman" w:eastAsia="宋体" w:cs="宋体"/>
                      <w:color w:val="auto"/>
                      <w:kern w:val="2"/>
                      <w:sz w:val="18"/>
                      <w:szCs w:val="18"/>
                      <w:highlight w:val="none"/>
                      <w:lang w:val="en-US" w:eastAsia="zh-CN" w:bidi="ar"/>
                    </w:rPr>
                    <w:t>隔油池容积不小于</w:t>
                  </w:r>
                  <w:r>
                    <w:rPr>
                      <w:rFonts w:hint="eastAsia" w:ascii="Times New Roman" w:hAnsi="Times New Roman" w:eastAsia="宋体" w:cs="Times New Roman"/>
                      <w:color w:val="auto"/>
                      <w:kern w:val="2"/>
                      <w:sz w:val="18"/>
                      <w:szCs w:val="18"/>
                      <w:highlight w:val="none"/>
                      <w:lang w:val="en-US" w:eastAsia="zh-CN" w:bidi="ar"/>
                    </w:rPr>
                    <w:t>1</w:t>
                  </w:r>
                  <w:r>
                    <w:rPr>
                      <w:rFonts w:hint="default" w:ascii="Times New Roman" w:hAnsi="Times New Roman" w:eastAsia="宋体" w:cs="Times New Roman"/>
                      <w:color w:val="auto"/>
                      <w:kern w:val="2"/>
                      <w:sz w:val="18"/>
                      <w:szCs w:val="18"/>
                      <w:highlight w:val="none"/>
                      <w:lang w:val="en-US" w:eastAsia="zh-CN" w:bidi="ar"/>
                    </w:rPr>
                    <w:t>m³</w:t>
                  </w:r>
                  <w:r>
                    <w:rPr>
                      <w:rFonts w:hint="eastAsia" w:ascii="Times New Roman" w:hAnsi="Times New Roman" w:eastAsia="宋体" w:cs="宋体"/>
                      <w:color w:val="auto"/>
                      <w:kern w:val="2"/>
                      <w:sz w:val="18"/>
                      <w:szCs w:val="18"/>
                      <w:highlight w:val="none"/>
                      <w:lang w:val="en-US" w:eastAsia="zh-CN" w:bidi="ar"/>
                    </w:rPr>
                    <w:t>；</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3C2B547F">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15</w:t>
                  </w:r>
                </w:p>
              </w:tc>
              <w:tc>
                <w:tcPr>
                  <w:tcW w:w="1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554B9D">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w:t>
                  </w:r>
                </w:p>
              </w:tc>
              <w:tc>
                <w:tcPr>
                  <w:tcW w:w="1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93D97B">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宋体"/>
                      <w:color w:val="auto"/>
                      <w:kern w:val="0"/>
                      <w:sz w:val="18"/>
                      <w:szCs w:val="18"/>
                      <w:highlight w:val="none"/>
                      <w:lang w:val="en-US" w:eastAsia="zh-CN" w:bidi="ar"/>
                    </w:rPr>
                    <w:t>类比法</w:t>
                  </w:r>
                </w:p>
              </w:tc>
              <w:tc>
                <w:tcPr>
                  <w:tcW w:w="39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C898A3">
                  <w:pPr>
                    <w:keepNext w:val="0"/>
                    <w:keepLines w:val="0"/>
                    <w:widowControl w:val="0"/>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bidi="ar"/>
                    </w:rPr>
                    <w:t>1132.32</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0974008">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bCs/>
                      <w:color w:val="auto"/>
                      <w:kern w:val="2"/>
                      <w:sz w:val="18"/>
                      <w:szCs w:val="18"/>
                      <w:highlight w:val="none"/>
                      <w:lang w:val="en-US" w:eastAsia="zh-CN" w:bidi="ar"/>
                    </w:rPr>
                    <w:t>COD</w:t>
                  </w:r>
                  <w:r>
                    <w:rPr>
                      <w:rFonts w:hint="eastAsia" w:ascii="Batang" w:hAnsi="Batang" w:eastAsia="Batang" w:cs="Batang"/>
                      <w:bCs/>
                      <w:strike w:val="0"/>
                      <w:dstrike w:val="0"/>
                      <w:color w:val="auto"/>
                      <w:spacing w:val="-4"/>
                      <w:w w:val="100"/>
                      <w:kern w:val="2"/>
                      <w:position w:val="0"/>
                      <w:sz w:val="18"/>
                      <w:szCs w:val="18"/>
                      <w:highlight w:val="none"/>
                      <w:u w:val="none"/>
                      <w:vertAlign w:val="subscript"/>
                      <w:lang w:val="zh-CN" w:eastAsia="zh-CN" w:bidi="ar"/>
                    </w:rPr>
                    <w:t>Cr</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56B5B338">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297.50</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79D9663B">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0.3369</w:t>
                  </w:r>
                </w:p>
              </w:tc>
              <w:tc>
                <w:tcPr>
                  <w:tcW w:w="29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21A61D">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bidi="ar"/>
                    </w:rPr>
                    <w:t>2400</w:t>
                  </w:r>
                </w:p>
              </w:tc>
            </w:tr>
            <w:tr w14:paraId="5DA4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 w:hRule="atLeast"/>
              </w:trPr>
              <w:tc>
                <w:tcPr>
                  <w:tcW w:w="2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714AAC">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73B6AF">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59BBEACF">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bCs/>
                      <w:color w:val="auto"/>
                      <w:kern w:val="2"/>
                      <w:sz w:val="18"/>
                      <w:szCs w:val="18"/>
                      <w:highlight w:val="none"/>
                      <w:lang w:val="en-US" w:eastAsia="zh-CN" w:bidi="ar"/>
                    </w:rPr>
                    <w:t>BOD</w:t>
                  </w:r>
                  <w:r>
                    <w:rPr>
                      <w:rFonts w:hint="eastAsia" w:ascii="Batang" w:hAnsi="Batang" w:eastAsia="Batang" w:cs="Batang"/>
                      <w:bCs/>
                      <w:strike w:val="0"/>
                      <w:dstrike w:val="0"/>
                      <w:color w:val="auto"/>
                      <w:spacing w:val="-4"/>
                      <w:w w:val="100"/>
                      <w:kern w:val="2"/>
                      <w:position w:val="0"/>
                      <w:sz w:val="18"/>
                      <w:szCs w:val="18"/>
                      <w:highlight w:val="none"/>
                      <w:u w:val="none"/>
                      <w:vertAlign w:val="subscript"/>
                      <w:lang w:val="zh-CN" w:eastAsia="zh-CN" w:bidi="ar"/>
                    </w:rPr>
                    <w:t>5</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468BF3">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BC85F2">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7E3EE919">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300</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3B16B028">
                  <w:pPr>
                    <w:keepNext w:val="0"/>
                    <w:keepLines w:val="0"/>
                    <w:widowControl/>
                    <w:suppressLineNumbers w:val="0"/>
                    <w:spacing w:before="0" w:beforeAutospacing="0" w:after="0" w:afterAutospacing="0"/>
                    <w:ind w:left="0" w:right="0"/>
                    <w:jc w:val="center"/>
                    <w:rPr>
                      <w:rFonts w:hint="default"/>
                      <w:color w:val="auto"/>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bidi="ar"/>
                    </w:rPr>
                    <w:t>0.3397</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EDDD1B">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0DEEB4">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4ADCE46E">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5</w:t>
                  </w:r>
                </w:p>
              </w:tc>
              <w:tc>
                <w:tcPr>
                  <w:tcW w:w="1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004A6F">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52B46A">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B0A39D">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20D5CDC">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bCs/>
                      <w:color w:val="auto"/>
                      <w:kern w:val="2"/>
                      <w:sz w:val="18"/>
                      <w:szCs w:val="18"/>
                      <w:highlight w:val="none"/>
                      <w:lang w:val="en-US" w:eastAsia="zh-CN" w:bidi="ar"/>
                    </w:rPr>
                    <w:t>BOD</w:t>
                  </w:r>
                  <w:r>
                    <w:rPr>
                      <w:rFonts w:hint="eastAsia" w:ascii="Batang" w:hAnsi="Batang" w:eastAsia="Batang" w:cs="Batang"/>
                      <w:bCs/>
                      <w:strike w:val="0"/>
                      <w:dstrike w:val="0"/>
                      <w:color w:val="auto"/>
                      <w:spacing w:val="-4"/>
                      <w:w w:val="100"/>
                      <w:kern w:val="2"/>
                      <w:position w:val="0"/>
                      <w:sz w:val="18"/>
                      <w:szCs w:val="18"/>
                      <w:highlight w:val="none"/>
                      <w:u w:val="none"/>
                      <w:vertAlign w:val="subscript"/>
                      <w:lang w:val="zh-CN" w:eastAsia="zh-CN" w:bidi="ar"/>
                    </w:rPr>
                    <w:t>5</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31C96B8E">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285</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3E2BAE4A">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0.3227</w:t>
                  </w:r>
                </w:p>
              </w:tc>
              <w:tc>
                <w:tcPr>
                  <w:tcW w:w="2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1C1A45">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r>
            <w:tr w14:paraId="514D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2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E7CCCE">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78CC85">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19076B97">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bCs/>
                      <w:color w:val="auto"/>
                      <w:kern w:val="2"/>
                      <w:sz w:val="18"/>
                      <w:szCs w:val="18"/>
                      <w:highlight w:val="none"/>
                      <w:lang w:val="en-US" w:eastAsia="zh-CN" w:bidi="ar"/>
                    </w:rPr>
                    <w:t>SS</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6E6B6A">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D74F45">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57D36A8D">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200</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494B8462">
                  <w:pPr>
                    <w:keepNext w:val="0"/>
                    <w:keepLines w:val="0"/>
                    <w:widowControl/>
                    <w:suppressLineNumbers w:val="0"/>
                    <w:spacing w:before="0" w:beforeAutospacing="0" w:after="0" w:afterAutospacing="0"/>
                    <w:ind w:left="0" w:right="0"/>
                    <w:jc w:val="center"/>
                    <w:rPr>
                      <w:rFonts w:hint="default"/>
                      <w:color w:val="auto"/>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bidi="ar"/>
                    </w:rPr>
                    <w:t>0.2265</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CA9900">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ACD629">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283FA955">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30</w:t>
                  </w:r>
                </w:p>
              </w:tc>
              <w:tc>
                <w:tcPr>
                  <w:tcW w:w="1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EB8022">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5A23C1">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220F49">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1735B3AB">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bCs/>
                      <w:color w:val="auto"/>
                      <w:kern w:val="2"/>
                      <w:sz w:val="18"/>
                      <w:szCs w:val="18"/>
                      <w:highlight w:val="none"/>
                      <w:lang w:val="en-US" w:eastAsia="zh-CN" w:bidi="ar"/>
                    </w:rPr>
                    <w:t>SS</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4DC9EC4E">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140</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6982D084">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0.1585</w:t>
                  </w:r>
                </w:p>
              </w:tc>
              <w:tc>
                <w:tcPr>
                  <w:tcW w:w="2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447E26">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r>
            <w:tr w14:paraId="5C78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2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268404">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D8EE0F">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508C3BA2">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宋体"/>
                      <w:bCs/>
                      <w:color w:val="auto"/>
                      <w:kern w:val="2"/>
                      <w:sz w:val="18"/>
                      <w:szCs w:val="18"/>
                      <w:highlight w:val="none"/>
                      <w:lang w:val="en-US" w:eastAsia="zh-CN" w:bidi="ar"/>
                    </w:rPr>
                    <w:t>氨氮</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5872CF">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EB4B21">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5A32B877">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35</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4E354E19">
                  <w:pPr>
                    <w:keepNext w:val="0"/>
                    <w:keepLines w:val="0"/>
                    <w:widowControl/>
                    <w:suppressLineNumbers w:val="0"/>
                    <w:spacing w:before="0" w:beforeAutospacing="0" w:after="0" w:afterAutospacing="0"/>
                    <w:ind w:left="0" w:right="0"/>
                    <w:jc w:val="center"/>
                    <w:rPr>
                      <w:rFonts w:hint="default"/>
                      <w:color w:val="auto"/>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bidi="ar"/>
                    </w:rPr>
                    <w:t>0.0396</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CB7C11">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B41A96">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4E1B68CE">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3</w:t>
                  </w:r>
                </w:p>
              </w:tc>
              <w:tc>
                <w:tcPr>
                  <w:tcW w:w="1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53EEA8">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B5FEED">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E318F5">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72BEA1A">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宋体"/>
                      <w:bCs/>
                      <w:color w:val="auto"/>
                      <w:kern w:val="2"/>
                      <w:sz w:val="18"/>
                      <w:szCs w:val="18"/>
                      <w:highlight w:val="none"/>
                      <w:lang w:val="en-US" w:eastAsia="zh-CN" w:bidi="ar"/>
                    </w:rPr>
                    <w:t>氨氮</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333A426B">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33.95</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7BB20CAE">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0.0384</w:t>
                  </w:r>
                </w:p>
              </w:tc>
              <w:tc>
                <w:tcPr>
                  <w:tcW w:w="2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3401DE">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r>
            <w:tr w14:paraId="3930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2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AFA929">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7EC779">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4E8AB409">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宋体"/>
                      <w:bCs/>
                      <w:color w:val="auto"/>
                      <w:kern w:val="2"/>
                      <w:sz w:val="18"/>
                      <w:szCs w:val="18"/>
                      <w:highlight w:val="none"/>
                      <w:lang w:val="en-US" w:eastAsia="zh-CN" w:bidi="ar"/>
                    </w:rPr>
                  </w:pPr>
                  <w:r>
                    <w:rPr>
                      <w:rFonts w:hint="eastAsia" w:ascii="Times New Roman" w:hAnsi="Times New Roman" w:eastAsia="宋体" w:cs="宋体"/>
                      <w:bCs/>
                      <w:color w:val="auto"/>
                      <w:kern w:val="2"/>
                      <w:sz w:val="18"/>
                      <w:szCs w:val="18"/>
                      <w:highlight w:val="none"/>
                      <w:lang w:val="en-US" w:eastAsia="zh-CN" w:bidi="ar"/>
                    </w:rPr>
                    <w:t>动植物油</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AACDBA">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1D11D0">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466210FE">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45</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12BC773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0.051</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167912">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E47D66">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750A2864">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60</w:t>
                  </w:r>
                </w:p>
              </w:tc>
              <w:tc>
                <w:tcPr>
                  <w:tcW w:w="1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47DBED">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617E78">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B3A103">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21905E67">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宋体"/>
                      <w:bCs/>
                      <w:color w:val="auto"/>
                      <w:kern w:val="2"/>
                      <w:sz w:val="18"/>
                      <w:szCs w:val="18"/>
                      <w:highlight w:val="none"/>
                      <w:lang w:val="en-US" w:eastAsia="zh-CN" w:bidi="ar"/>
                    </w:rPr>
                  </w:pPr>
                  <w:r>
                    <w:rPr>
                      <w:rFonts w:hint="eastAsia" w:ascii="Times New Roman" w:hAnsi="Times New Roman" w:eastAsia="宋体" w:cs="宋体"/>
                      <w:bCs/>
                      <w:color w:val="auto"/>
                      <w:kern w:val="2"/>
                      <w:sz w:val="18"/>
                      <w:szCs w:val="18"/>
                      <w:highlight w:val="none"/>
                      <w:lang w:val="en-US" w:eastAsia="zh-CN" w:bidi="ar"/>
                    </w:rPr>
                    <w:t>动植物油</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45B3914F">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18</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0F4B80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0.009</w:t>
                  </w:r>
                </w:p>
              </w:tc>
              <w:tc>
                <w:tcPr>
                  <w:tcW w:w="2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67C1C8">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r>
            <w:tr w14:paraId="7EF0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 w:hRule="atLeast"/>
              </w:trPr>
              <w:tc>
                <w:tcPr>
                  <w:tcW w:w="2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4FFB6F">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18FCB6">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0F6E60BF">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宋体"/>
                      <w:bCs/>
                      <w:color w:val="auto"/>
                      <w:kern w:val="2"/>
                      <w:sz w:val="18"/>
                      <w:szCs w:val="18"/>
                      <w:highlight w:val="none"/>
                      <w:lang w:val="en-US" w:eastAsia="zh-CN" w:bidi="ar"/>
                    </w:rPr>
                    <w:t>总磷</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ED91C4">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9C6C7B">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62A91941">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8</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2D08B3A2">
                  <w:pPr>
                    <w:keepNext w:val="0"/>
                    <w:keepLines w:val="0"/>
                    <w:widowControl/>
                    <w:suppressLineNumbers w:val="0"/>
                    <w:spacing w:before="0" w:beforeAutospacing="0" w:after="0" w:afterAutospacing="0"/>
                    <w:ind w:left="0" w:right="0"/>
                    <w:jc w:val="center"/>
                    <w:rPr>
                      <w:rFonts w:hint="default"/>
                      <w:color w:val="auto"/>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bidi="ar"/>
                    </w:rPr>
                    <w:t>0.009</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DCD870">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92AA5B">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4173F24D">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0</w:t>
                  </w:r>
                </w:p>
              </w:tc>
              <w:tc>
                <w:tcPr>
                  <w:tcW w:w="1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372222">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BFE85C">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3A225B">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5E9EE188">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宋体"/>
                      <w:bCs/>
                      <w:color w:val="auto"/>
                      <w:kern w:val="2"/>
                      <w:sz w:val="18"/>
                      <w:szCs w:val="18"/>
                      <w:highlight w:val="none"/>
                      <w:lang w:val="en-US" w:eastAsia="zh-CN" w:bidi="ar"/>
                    </w:rPr>
                    <w:t>总磷</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1C4C4745">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8</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49622CAC">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0.0204</w:t>
                  </w:r>
                </w:p>
              </w:tc>
              <w:tc>
                <w:tcPr>
                  <w:tcW w:w="2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A76FEC">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r>
            <w:tr w14:paraId="71CE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20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34A697">
                  <w:pPr>
                    <w:keepNext w:val="0"/>
                    <w:keepLines w:val="0"/>
                    <w:widowControl w:val="0"/>
                    <w:suppressLineNumbers w:val="0"/>
                    <w:spacing w:before="0" w:beforeAutospacing="0" w:after="0" w:afterAutospacing="0" w:line="0" w:lineRule="atLeast"/>
                    <w:ind w:left="0" w:right="0"/>
                    <w:jc w:val="center"/>
                    <w:rPr>
                      <w:rFonts w:hint="default"/>
                      <w:color w:val="auto"/>
                      <w:kern w:val="21"/>
                      <w:sz w:val="18"/>
                      <w:szCs w:val="18"/>
                      <w:highlight w:val="none"/>
                      <w:lang w:val="en-US"/>
                    </w:rPr>
                  </w:pPr>
                  <w:r>
                    <w:rPr>
                      <w:rFonts w:hint="eastAsia" w:ascii="Times New Roman" w:hAnsi="Times New Roman" w:eastAsia="宋体" w:cs="宋体"/>
                      <w:color w:val="auto"/>
                      <w:kern w:val="0"/>
                      <w:sz w:val="18"/>
                      <w:szCs w:val="18"/>
                      <w:highlight w:val="none"/>
                      <w:lang w:val="en-US" w:eastAsia="zh-CN" w:bidi="ar"/>
                    </w:rPr>
                    <w:t>实验过程</w:t>
                  </w:r>
                </w:p>
              </w:tc>
              <w:tc>
                <w:tcPr>
                  <w:tcW w:w="2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C63A0F">
                  <w:pPr>
                    <w:keepNext w:val="0"/>
                    <w:keepLines w:val="0"/>
                    <w:widowControl/>
                    <w:suppressLineNumbers w:val="0"/>
                    <w:spacing w:before="0" w:beforeAutospacing="0" w:after="0" w:afterAutospacing="0" w:line="0" w:lineRule="atLeast"/>
                    <w:ind w:left="0" w:right="0"/>
                    <w:jc w:val="center"/>
                    <w:rPr>
                      <w:rFonts w:hint="default"/>
                      <w:color w:val="auto"/>
                      <w:kern w:val="21"/>
                      <w:sz w:val="18"/>
                      <w:szCs w:val="18"/>
                      <w:highlight w:val="none"/>
                      <w:lang w:val="en-US"/>
                    </w:rPr>
                  </w:pPr>
                  <w:r>
                    <w:rPr>
                      <w:rFonts w:hint="eastAsia" w:ascii="Times New Roman" w:hAnsi="Times New Roman" w:eastAsia="宋体" w:cs="宋体"/>
                      <w:color w:val="auto"/>
                      <w:kern w:val="21"/>
                      <w:sz w:val="18"/>
                      <w:szCs w:val="18"/>
                      <w:highlight w:val="none"/>
                      <w:lang w:val="en-US" w:eastAsia="zh-CN" w:bidi="ar"/>
                    </w:rPr>
                    <w:t>实验器皿、实验仪器清洗、实验过程</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0F2DD90F">
                  <w:pPr>
                    <w:keepNext w:val="0"/>
                    <w:keepLines w:val="0"/>
                    <w:widowControl/>
                    <w:suppressLineNumbers w:val="0"/>
                    <w:spacing w:before="0" w:beforeAutospacing="0" w:after="0" w:afterAutospacing="0" w:line="0" w:lineRule="atLeast"/>
                    <w:ind w:left="0" w:right="0"/>
                    <w:jc w:val="center"/>
                    <w:rPr>
                      <w:rFonts w:hint="default"/>
                      <w:bCs/>
                      <w:color w:val="auto"/>
                      <w:sz w:val="18"/>
                      <w:szCs w:val="18"/>
                      <w:highlight w:val="none"/>
                      <w:lang w:val="en-US" w:bidi="ar"/>
                    </w:rPr>
                  </w:pPr>
                  <w:r>
                    <w:rPr>
                      <w:rFonts w:hint="default" w:ascii="Times New Roman" w:hAnsi="Times New Roman" w:eastAsia="宋体" w:cs="Times New Roman"/>
                      <w:bCs/>
                      <w:color w:val="auto"/>
                      <w:kern w:val="2"/>
                      <w:sz w:val="18"/>
                      <w:szCs w:val="18"/>
                      <w:highlight w:val="none"/>
                      <w:lang w:val="en-US" w:eastAsia="zh-CN" w:bidi="ar"/>
                    </w:rPr>
                    <w:t>COD</w:t>
                  </w:r>
                  <w:r>
                    <w:rPr>
                      <w:rFonts w:hint="eastAsia" w:ascii="Batang" w:hAnsi="Batang" w:eastAsia="Batang" w:cs="Batang"/>
                      <w:bCs/>
                      <w:strike w:val="0"/>
                      <w:dstrike w:val="0"/>
                      <w:color w:val="auto"/>
                      <w:spacing w:val="-4"/>
                      <w:w w:val="100"/>
                      <w:kern w:val="2"/>
                      <w:position w:val="0"/>
                      <w:sz w:val="18"/>
                      <w:szCs w:val="18"/>
                      <w:highlight w:val="none"/>
                      <w:u w:val="none"/>
                      <w:vertAlign w:val="subscript"/>
                      <w:lang w:val="zh-CN" w:eastAsia="zh-CN" w:bidi="ar"/>
                    </w:rPr>
                    <w:t>Cr</w:t>
                  </w:r>
                </w:p>
              </w:tc>
              <w:tc>
                <w:tcPr>
                  <w:tcW w:w="1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981FD5">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宋体"/>
                      <w:color w:val="auto"/>
                      <w:kern w:val="0"/>
                      <w:sz w:val="18"/>
                      <w:szCs w:val="18"/>
                      <w:highlight w:val="none"/>
                      <w:lang w:val="en-US" w:eastAsia="zh-CN" w:bidi="ar"/>
                    </w:rPr>
                    <w:t>类比法</w:t>
                  </w:r>
                </w:p>
              </w:tc>
              <w:tc>
                <w:tcPr>
                  <w:tcW w:w="39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D7F1C4">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cs="Times New Roman"/>
                      <w:i w:val="0"/>
                      <w:iCs w:val="0"/>
                      <w:color w:val="auto"/>
                      <w:kern w:val="0"/>
                      <w:sz w:val="18"/>
                      <w:szCs w:val="18"/>
                      <w:highlight w:val="none"/>
                      <w:u w:val="none"/>
                      <w:lang w:val="en-US" w:eastAsia="zh-CN" w:bidi="ar"/>
                    </w:rPr>
                    <w:t>183.9</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47462240">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cs="Times New Roman"/>
                      <w:color w:val="auto"/>
                      <w:kern w:val="0"/>
                      <w:sz w:val="18"/>
                      <w:szCs w:val="18"/>
                      <w:highlight w:val="none"/>
                      <w:lang w:val="en-US" w:eastAsia="zh-CN" w:bidi="ar"/>
                    </w:rPr>
                    <w:t>179.2</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48A30D57">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0.033</w:t>
                  </w:r>
                </w:p>
              </w:tc>
              <w:tc>
                <w:tcPr>
                  <w:tcW w:w="1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5657A3">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宋体"/>
                      <w:color w:val="auto"/>
                      <w:kern w:val="0"/>
                      <w:sz w:val="18"/>
                      <w:szCs w:val="18"/>
                      <w:highlight w:val="none"/>
                      <w:lang w:val="en-US" w:eastAsia="zh-CN" w:bidi="ar"/>
                    </w:rPr>
                    <w:t>废水中和桶、三级沉淀池</w:t>
                  </w:r>
                </w:p>
              </w:tc>
              <w:tc>
                <w:tcPr>
                  <w:tcW w:w="3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A03F89">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宋体"/>
                      <w:color w:val="auto"/>
                      <w:kern w:val="2"/>
                      <w:sz w:val="18"/>
                      <w:szCs w:val="18"/>
                      <w:highlight w:val="none"/>
                      <w:lang w:val="en-US" w:eastAsia="zh-CN" w:bidi="ar"/>
                    </w:rPr>
                    <w:t>三级沉淀池容积不小于</w:t>
                  </w:r>
                  <w:r>
                    <w:rPr>
                      <w:rFonts w:hint="eastAsia" w:ascii="Times New Roman" w:hAnsi="Times New Roman" w:eastAsia="宋体" w:cs="Times New Roman"/>
                      <w:color w:val="auto"/>
                      <w:kern w:val="2"/>
                      <w:sz w:val="18"/>
                      <w:szCs w:val="18"/>
                      <w:highlight w:val="none"/>
                      <w:lang w:val="en-US" w:eastAsia="zh-CN" w:bidi="ar"/>
                    </w:rPr>
                    <w:t>2</w:t>
                  </w:r>
                  <w:r>
                    <w:rPr>
                      <w:rFonts w:hint="default" w:ascii="Times New Roman" w:hAnsi="Times New Roman" w:eastAsia="宋体" w:cs="Times New Roman"/>
                      <w:color w:val="auto"/>
                      <w:kern w:val="2"/>
                      <w:sz w:val="18"/>
                      <w:szCs w:val="18"/>
                      <w:highlight w:val="none"/>
                      <w:lang w:val="en-US" w:eastAsia="zh-CN" w:bidi="ar"/>
                    </w:rPr>
                    <w:t>m³</w:t>
                  </w:r>
                  <w:r>
                    <w:rPr>
                      <w:rFonts w:hint="eastAsia" w:ascii="Times New Roman" w:hAnsi="Times New Roman" w:eastAsia="宋体" w:cs="宋体"/>
                      <w:color w:val="auto"/>
                      <w:kern w:val="2"/>
                      <w:sz w:val="18"/>
                      <w:szCs w:val="18"/>
                      <w:highlight w:val="none"/>
                      <w:lang w:val="en-US" w:eastAsia="zh-CN" w:bidi="ar"/>
                    </w:rPr>
                    <w:t>；</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2694F4EE">
                  <w:pPr>
                    <w:keepNext w:val="0"/>
                    <w:keepLines w:val="0"/>
                    <w:widowControl/>
                    <w:suppressLineNumbers w:val="0"/>
                    <w:spacing w:before="0" w:beforeAutospacing="0" w:after="0" w:afterAutospacing="0" w:line="0" w:lineRule="atLeast"/>
                    <w:ind w:left="0" w:right="0"/>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w:t>
                  </w:r>
                </w:p>
              </w:tc>
              <w:tc>
                <w:tcPr>
                  <w:tcW w:w="1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CE477F">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C67597">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B26E8C">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cs="Times New Roman"/>
                      <w:i w:val="0"/>
                      <w:iCs w:val="0"/>
                      <w:color w:val="auto"/>
                      <w:kern w:val="0"/>
                      <w:sz w:val="18"/>
                      <w:szCs w:val="18"/>
                      <w:highlight w:val="none"/>
                      <w:u w:val="none"/>
                      <w:lang w:val="en-US" w:eastAsia="zh-CN" w:bidi="ar"/>
                    </w:rPr>
                    <w:t>183.9</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F4CD559">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bCs/>
                      <w:color w:val="auto"/>
                      <w:kern w:val="2"/>
                      <w:sz w:val="18"/>
                      <w:szCs w:val="18"/>
                      <w:highlight w:val="none"/>
                      <w:lang w:val="en-US" w:eastAsia="zh-CN" w:bidi="ar"/>
                    </w:rPr>
                    <w:t>COD</w:t>
                  </w:r>
                  <w:r>
                    <w:rPr>
                      <w:rFonts w:hint="eastAsia" w:ascii="Batang" w:hAnsi="Batang" w:eastAsia="Batang" w:cs="Batang"/>
                      <w:bCs/>
                      <w:strike w:val="0"/>
                      <w:dstrike w:val="0"/>
                      <w:color w:val="auto"/>
                      <w:spacing w:val="-4"/>
                      <w:w w:val="100"/>
                      <w:kern w:val="2"/>
                      <w:position w:val="0"/>
                      <w:sz w:val="18"/>
                      <w:szCs w:val="18"/>
                      <w:highlight w:val="none"/>
                      <w:u w:val="none"/>
                      <w:vertAlign w:val="subscript"/>
                      <w:lang w:val="zh-CN" w:eastAsia="zh-CN" w:bidi="ar"/>
                    </w:rPr>
                    <w:t>Cr</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1745441A">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cs="Times New Roman"/>
                      <w:color w:val="auto"/>
                      <w:kern w:val="0"/>
                      <w:sz w:val="18"/>
                      <w:szCs w:val="18"/>
                      <w:highlight w:val="none"/>
                      <w:lang w:val="en-US" w:eastAsia="zh-CN" w:bidi="ar"/>
                    </w:rPr>
                    <w:t>64</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16254950">
                  <w:pPr>
                    <w:keepNext w:val="0"/>
                    <w:keepLines w:val="0"/>
                    <w:widowControl/>
                    <w:suppressLineNumbers w:val="0"/>
                    <w:spacing w:before="0" w:beforeAutospacing="0" w:after="0" w:afterAutospacing="0"/>
                    <w:ind w:left="0" w:right="0"/>
                    <w:jc w:val="center"/>
                    <w:rPr>
                      <w:rFonts w:hint="default"/>
                      <w:color w:val="auto"/>
                      <w:highlight w:val="none"/>
                      <w:lang w:val="en-US" w:eastAsia="zh-CN"/>
                    </w:rPr>
                  </w:pPr>
                  <w:r>
                    <w:rPr>
                      <w:rFonts w:hint="eastAsia"/>
                      <w:color w:val="auto"/>
                      <w:kern w:val="0"/>
                      <w:sz w:val="18"/>
                      <w:szCs w:val="18"/>
                      <w:highlight w:val="none"/>
                      <w:lang w:val="en-US" w:eastAsia="zh-CN"/>
                    </w:rPr>
                    <w:t>0.0118</w:t>
                  </w:r>
                </w:p>
              </w:tc>
              <w:tc>
                <w:tcPr>
                  <w:tcW w:w="2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AD23A0">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r>
            <w:tr w14:paraId="3530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2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97D40B">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BA5F70">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9B8B63E">
                  <w:pPr>
                    <w:keepNext w:val="0"/>
                    <w:keepLines w:val="0"/>
                    <w:widowControl/>
                    <w:suppressLineNumbers w:val="0"/>
                    <w:spacing w:before="0" w:beforeAutospacing="0" w:after="0" w:afterAutospacing="0" w:line="0" w:lineRule="atLeast"/>
                    <w:ind w:left="0" w:right="0"/>
                    <w:jc w:val="center"/>
                    <w:rPr>
                      <w:rFonts w:hint="default"/>
                      <w:bCs/>
                      <w:color w:val="auto"/>
                      <w:sz w:val="18"/>
                      <w:szCs w:val="18"/>
                      <w:highlight w:val="none"/>
                      <w:lang w:val="en-US" w:bidi="ar"/>
                    </w:rPr>
                  </w:pPr>
                  <w:r>
                    <w:rPr>
                      <w:rFonts w:hint="default" w:ascii="Times New Roman" w:hAnsi="Times New Roman" w:eastAsia="宋体" w:cs="Times New Roman"/>
                      <w:bCs/>
                      <w:color w:val="auto"/>
                      <w:kern w:val="2"/>
                      <w:sz w:val="18"/>
                      <w:szCs w:val="18"/>
                      <w:highlight w:val="none"/>
                      <w:lang w:val="en-US" w:eastAsia="zh-CN" w:bidi="ar"/>
                    </w:rPr>
                    <w:t>BOD</w:t>
                  </w:r>
                  <w:r>
                    <w:rPr>
                      <w:rFonts w:hint="eastAsia" w:ascii="Batang" w:hAnsi="Batang" w:eastAsia="Batang" w:cs="Batang"/>
                      <w:bCs/>
                      <w:strike w:val="0"/>
                      <w:dstrike w:val="0"/>
                      <w:color w:val="auto"/>
                      <w:spacing w:val="-4"/>
                      <w:w w:val="100"/>
                      <w:kern w:val="2"/>
                      <w:position w:val="0"/>
                      <w:sz w:val="18"/>
                      <w:szCs w:val="18"/>
                      <w:highlight w:val="none"/>
                      <w:u w:val="none"/>
                      <w:vertAlign w:val="subscript"/>
                      <w:lang w:val="zh-CN" w:eastAsia="zh-CN" w:bidi="ar"/>
                    </w:rPr>
                    <w:t>5</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415598">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627149">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7B9A8C3B">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cs="Times New Roman"/>
                      <w:color w:val="auto"/>
                      <w:kern w:val="0"/>
                      <w:sz w:val="18"/>
                      <w:szCs w:val="18"/>
                      <w:highlight w:val="none"/>
                      <w:lang w:val="en-US" w:eastAsia="zh-CN" w:bidi="ar"/>
                    </w:rPr>
                    <w:t>89.8</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6B7E4ADA">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0.0165</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704EB5">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A18458">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2CD7F5BF">
                  <w:pPr>
                    <w:keepNext w:val="0"/>
                    <w:keepLines w:val="0"/>
                    <w:widowControl/>
                    <w:suppressLineNumbers w:val="0"/>
                    <w:spacing w:before="0" w:beforeAutospacing="0" w:after="0" w:afterAutospacing="0" w:line="0" w:lineRule="atLeast"/>
                    <w:ind w:left="0" w:right="0"/>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w:t>
                  </w:r>
                </w:p>
              </w:tc>
              <w:tc>
                <w:tcPr>
                  <w:tcW w:w="1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A2788A">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0F85C7">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51A520">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40C74322">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bCs/>
                      <w:color w:val="auto"/>
                      <w:kern w:val="2"/>
                      <w:sz w:val="18"/>
                      <w:szCs w:val="18"/>
                      <w:highlight w:val="none"/>
                      <w:lang w:val="en-US" w:eastAsia="zh-CN" w:bidi="ar"/>
                    </w:rPr>
                    <w:t>BOD</w:t>
                  </w:r>
                  <w:r>
                    <w:rPr>
                      <w:rFonts w:hint="eastAsia" w:ascii="Batang" w:hAnsi="Batang" w:eastAsia="Batang" w:cs="Batang"/>
                      <w:bCs/>
                      <w:strike w:val="0"/>
                      <w:dstrike w:val="0"/>
                      <w:color w:val="auto"/>
                      <w:spacing w:val="-4"/>
                      <w:w w:val="100"/>
                      <w:kern w:val="2"/>
                      <w:position w:val="0"/>
                      <w:sz w:val="18"/>
                      <w:szCs w:val="18"/>
                      <w:highlight w:val="none"/>
                      <w:u w:val="none"/>
                      <w:vertAlign w:val="subscript"/>
                      <w:lang w:val="zh-CN" w:eastAsia="zh-CN" w:bidi="ar"/>
                    </w:rPr>
                    <w:t>5</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38959554">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cs="Times New Roman"/>
                      <w:color w:val="auto"/>
                      <w:kern w:val="0"/>
                      <w:sz w:val="18"/>
                      <w:szCs w:val="18"/>
                      <w:highlight w:val="none"/>
                      <w:lang w:val="en-US" w:eastAsia="zh-CN" w:bidi="ar"/>
                    </w:rPr>
                    <w:t>14.42</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697EAEEB">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0.0027</w:t>
                  </w:r>
                </w:p>
              </w:tc>
              <w:tc>
                <w:tcPr>
                  <w:tcW w:w="2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6DC8DC">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r>
            <w:tr w14:paraId="58B6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1" w:hRule="atLeast"/>
              </w:trPr>
              <w:tc>
                <w:tcPr>
                  <w:tcW w:w="2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647281">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D6139B">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C8D2432">
                  <w:pPr>
                    <w:keepNext w:val="0"/>
                    <w:keepLines w:val="0"/>
                    <w:widowControl/>
                    <w:suppressLineNumbers w:val="0"/>
                    <w:spacing w:before="0" w:beforeAutospacing="0" w:after="0" w:afterAutospacing="0" w:line="0" w:lineRule="atLeast"/>
                    <w:ind w:left="0" w:right="0"/>
                    <w:jc w:val="center"/>
                    <w:rPr>
                      <w:rFonts w:hint="default"/>
                      <w:bCs/>
                      <w:color w:val="auto"/>
                      <w:sz w:val="18"/>
                      <w:szCs w:val="18"/>
                      <w:highlight w:val="none"/>
                      <w:lang w:val="en-US" w:bidi="ar"/>
                    </w:rPr>
                  </w:pPr>
                  <w:r>
                    <w:rPr>
                      <w:rFonts w:hint="default" w:ascii="Times New Roman" w:hAnsi="Times New Roman" w:eastAsia="宋体" w:cs="Times New Roman"/>
                      <w:bCs/>
                      <w:color w:val="auto"/>
                      <w:kern w:val="2"/>
                      <w:sz w:val="18"/>
                      <w:szCs w:val="18"/>
                      <w:highlight w:val="none"/>
                      <w:lang w:val="en-US" w:eastAsia="zh-CN" w:bidi="ar"/>
                    </w:rPr>
                    <w:t>SS</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B14B39">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C104BA">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59D50068">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cs="Times New Roman"/>
                      <w:color w:val="auto"/>
                      <w:kern w:val="0"/>
                      <w:sz w:val="18"/>
                      <w:szCs w:val="18"/>
                      <w:highlight w:val="none"/>
                      <w:lang w:val="en-US" w:eastAsia="zh-CN" w:bidi="ar"/>
                    </w:rPr>
                    <w:t>209</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7F831CF2">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0.0384</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86D0C8">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4D28F4">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29A41A03">
                  <w:pPr>
                    <w:keepNext w:val="0"/>
                    <w:keepLines w:val="0"/>
                    <w:widowControl/>
                    <w:suppressLineNumbers w:val="0"/>
                    <w:spacing w:before="0" w:beforeAutospacing="0" w:after="0" w:afterAutospacing="0" w:line="0" w:lineRule="atLeast"/>
                    <w:ind w:left="0" w:right="0"/>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w:t>
                  </w:r>
                </w:p>
              </w:tc>
              <w:tc>
                <w:tcPr>
                  <w:tcW w:w="1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021AC5">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CB85F9">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AC5D2A">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B66EDB">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default" w:ascii="Times New Roman" w:hAnsi="Times New Roman" w:eastAsia="宋体" w:cs="Times New Roman"/>
                      <w:bCs/>
                      <w:color w:val="auto"/>
                      <w:kern w:val="2"/>
                      <w:sz w:val="18"/>
                      <w:szCs w:val="18"/>
                      <w:highlight w:val="none"/>
                      <w:lang w:val="en-US" w:eastAsia="zh-CN" w:bidi="ar"/>
                    </w:rPr>
                    <w:t>SS</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5B2823C4">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cs="Times New Roman"/>
                      <w:color w:val="auto"/>
                      <w:kern w:val="0"/>
                      <w:sz w:val="18"/>
                      <w:szCs w:val="18"/>
                      <w:highlight w:val="none"/>
                      <w:lang w:val="en-US" w:eastAsia="zh-CN" w:bidi="ar"/>
                    </w:rPr>
                    <w:t>106.3</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31AEA69B">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0.0195</w:t>
                  </w:r>
                </w:p>
              </w:tc>
              <w:tc>
                <w:tcPr>
                  <w:tcW w:w="2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E53B45">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r>
            <w:tr w14:paraId="6708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 w:hRule="atLeast"/>
              </w:trPr>
              <w:tc>
                <w:tcPr>
                  <w:tcW w:w="2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31FE63">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E4FAE1">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C8D9D94">
                  <w:pPr>
                    <w:keepNext w:val="0"/>
                    <w:keepLines w:val="0"/>
                    <w:widowControl/>
                    <w:suppressLineNumbers w:val="0"/>
                    <w:spacing w:before="0" w:beforeAutospacing="0" w:after="0" w:afterAutospacing="0" w:line="0" w:lineRule="atLeast"/>
                    <w:ind w:left="0" w:right="0"/>
                    <w:jc w:val="center"/>
                    <w:rPr>
                      <w:rFonts w:hint="default"/>
                      <w:bCs/>
                      <w:color w:val="auto"/>
                      <w:sz w:val="18"/>
                      <w:szCs w:val="18"/>
                      <w:highlight w:val="none"/>
                      <w:lang w:val="en-US" w:bidi="ar"/>
                    </w:rPr>
                  </w:pPr>
                  <w:r>
                    <w:rPr>
                      <w:rFonts w:hint="eastAsia" w:ascii="Times New Roman" w:hAnsi="Times New Roman" w:eastAsia="宋体" w:cs="宋体"/>
                      <w:bCs/>
                      <w:color w:val="auto"/>
                      <w:kern w:val="2"/>
                      <w:sz w:val="18"/>
                      <w:szCs w:val="18"/>
                      <w:highlight w:val="none"/>
                      <w:lang w:val="en-US" w:eastAsia="zh-CN" w:bidi="ar"/>
                    </w:rPr>
                    <w:t>氨氮</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D89E91">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23B86C">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57A87D97">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cs="Times New Roman"/>
                      <w:color w:val="auto"/>
                      <w:kern w:val="0"/>
                      <w:sz w:val="18"/>
                      <w:szCs w:val="18"/>
                      <w:highlight w:val="none"/>
                      <w:lang w:val="en-US" w:eastAsia="zh-CN" w:bidi="ar"/>
                    </w:rPr>
                    <w:t>19.42</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02A3E32B">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0.0036</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19C348">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9EE90F">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5CD70770">
                  <w:pPr>
                    <w:keepNext w:val="0"/>
                    <w:keepLines w:val="0"/>
                    <w:widowControl/>
                    <w:suppressLineNumbers w:val="0"/>
                    <w:spacing w:before="0" w:beforeAutospacing="0" w:after="0" w:afterAutospacing="0" w:line="0" w:lineRule="atLeast"/>
                    <w:ind w:left="0" w:right="0"/>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w:t>
                  </w:r>
                </w:p>
              </w:tc>
              <w:tc>
                <w:tcPr>
                  <w:tcW w:w="1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89F080">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027050">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2E8A41">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01A06CFC">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宋体"/>
                      <w:bCs/>
                      <w:color w:val="auto"/>
                      <w:kern w:val="2"/>
                      <w:sz w:val="18"/>
                      <w:szCs w:val="18"/>
                      <w:highlight w:val="none"/>
                      <w:lang w:val="en-US" w:eastAsia="zh-CN" w:bidi="ar"/>
                    </w:rPr>
                    <w:t>氨氮</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0499CE24">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cs="Times New Roman"/>
                      <w:color w:val="auto"/>
                      <w:kern w:val="0"/>
                      <w:sz w:val="18"/>
                      <w:szCs w:val="18"/>
                      <w:highlight w:val="none"/>
                      <w:lang w:val="en-US" w:eastAsia="zh-CN" w:bidi="ar"/>
                    </w:rPr>
                    <w:t>4.86</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4A03FCB1">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0.00089</w:t>
                  </w:r>
                </w:p>
              </w:tc>
              <w:tc>
                <w:tcPr>
                  <w:tcW w:w="2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F477DB">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r>
            <w:tr w14:paraId="3721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 w:hRule="atLeast"/>
              </w:trPr>
              <w:tc>
                <w:tcPr>
                  <w:tcW w:w="2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478FEB">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63BDE8">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0DAB602D">
                  <w:pPr>
                    <w:keepNext w:val="0"/>
                    <w:keepLines w:val="0"/>
                    <w:widowControl/>
                    <w:suppressLineNumbers w:val="0"/>
                    <w:spacing w:before="0" w:beforeAutospacing="0" w:after="0" w:afterAutospacing="0" w:line="0" w:lineRule="atLeast"/>
                    <w:ind w:left="0" w:right="0"/>
                    <w:jc w:val="center"/>
                    <w:rPr>
                      <w:rFonts w:hint="default"/>
                      <w:bCs/>
                      <w:color w:val="auto"/>
                      <w:sz w:val="18"/>
                      <w:szCs w:val="18"/>
                      <w:highlight w:val="none"/>
                      <w:lang w:val="en-US" w:bidi="ar"/>
                    </w:rPr>
                  </w:pPr>
                  <w:r>
                    <w:rPr>
                      <w:rFonts w:hint="eastAsia" w:ascii="Times New Roman" w:hAnsi="Times New Roman" w:eastAsia="宋体" w:cs="宋体"/>
                      <w:bCs/>
                      <w:color w:val="auto"/>
                      <w:kern w:val="2"/>
                      <w:sz w:val="18"/>
                      <w:szCs w:val="18"/>
                      <w:highlight w:val="none"/>
                      <w:lang w:val="en-US" w:eastAsia="zh-CN" w:bidi="ar"/>
                    </w:rPr>
                    <w:t>总磷</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902CA6">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ED7C56">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5BA47E5F">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cs="Times New Roman"/>
                      <w:color w:val="auto"/>
                      <w:kern w:val="0"/>
                      <w:sz w:val="18"/>
                      <w:szCs w:val="18"/>
                      <w:highlight w:val="none"/>
                      <w:lang w:val="en-US" w:eastAsia="zh-CN" w:bidi="ar"/>
                    </w:rPr>
                    <w:t>0.45</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3DD33EA8">
                  <w:pPr>
                    <w:keepNext w:val="0"/>
                    <w:keepLines w:val="0"/>
                    <w:widowControl/>
                    <w:suppressLineNumbers w:val="0"/>
                    <w:spacing w:before="0" w:beforeAutospacing="0" w:after="0" w:afterAutospacing="0"/>
                    <w:ind w:left="0" w:right="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0.0001</w:t>
                  </w: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B3645B">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9E8F7B">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5A586D04">
                  <w:pPr>
                    <w:keepNext w:val="0"/>
                    <w:keepLines w:val="0"/>
                    <w:widowControl/>
                    <w:suppressLineNumbers w:val="0"/>
                    <w:spacing w:before="0" w:beforeAutospacing="0" w:after="0" w:afterAutospacing="0" w:line="0" w:lineRule="atLeast"/>
                    <w:ind w:left="0" w:right="0"/>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w:t>
                  </w:r>
                </w:p>
              </w:tc>
              <w:tc>
                <w:tcPr>
                  <w:tcW w:w="1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EECEF6">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1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019FC1">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3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D4FE58">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003A6002">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ascii="Times New Roman" w:hAnsi="Times New Roman" w:eastAsia="宋体" w:cs="宋体"/>
                      <w:bCs/>
                      <w:color w:val="auto"/>
                      <w:kern w:val="2"/>
                      <w:sz w:val="18"/>
                      <w:szCs w:val="18"/>
                      <w:highlight w:val="none"/>
                      <w:lang w:val="en-US" w:eastAsia="zh-CN" w:bidi="ar"/>
                    </w:rPr>
                    <w:t>总磷</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16D44A65">
                  <w:pPr>
                    <w:keepNext w:val="0"/>
                    <w:keepLines w:val="0"/>
                    <w:widowControl/>
                    <w:suppressLineNumbers w:val="0"/>
                    <w:spacing w:before="0" w:beforeAutospacing="0" w:after="0" w:afterAutospacing="0" w:line="0" w:lineRule="atLeast"/>
                    <w:ind w:left="0" w:right="0"/>
                    <w:jc w:val="center"/>
                    <w:rPr>
                      <w:rFonts w:hint="default"/>
                      <w:color w:val="auto"/>
                      <w:kern w:val="0"/>
                      <w:sz w:val="18"/>
                      <w:szCs w:val="18"/>
                      <w:highlight w:val="none"/>
                      <w:lang w:val="en-US"/>
                    </w:rPr>
                  </w:pPr>
                  <w:r>
                    <w:rPr>
                      <w:rFonts w:hint="eastAsia" w:cs="Times New Roman"/>
                      <w:color w:val="auto"/>
                      <w:kern w:val="0"/>
                      <w:sz w:val="18"/>
                      <w:szCs w:val="18"/>
                      <w:highlight w:val="none"/>
                      <w:lang w:val="en-US" w:eastAsia="zh-CN" w:bidi="ar"/>
                    </w:rPr>
                    <w:t>0.03</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0F9EB2F2">
                  <w:pPr>
                    <w:keepNext w:val="0"/>
                    <w:keepLines w:val="0"/>
                    <w:widowControl/>
                    <w:suppressLineNumbers w:val="0"/>
                    <w:spacing w:before="0" w:beforeAutospacing="0" w:after="0" w:afterAutospacing="0"/>
                    <w:ind w:left="0" w:right="0"/>
                    <w:jc w:val="center"/>
                    <w:rPr>
                      <w:rFonts w:hint="default"/>
                      <w:color w:val="auto"/>
                      <w:highlight w:val="none"/>
                      <w:lang w:val="en-US" w:eastAsia="zh-CN"/>
                    </w:rPr>
                  </w:pPr>
                  <w:r>
                    <w:rPr>
                      <w:rFonts w:hint="eastAsia"/>
                      <w:color w:val="auto"/>
                      <w:kern w:val="0"/>
                      <w:sz w:val="18"/>
                      <w:szCs w:val="18"/>
                      <w:highlight w:val="none"/>
                      <w:lang w:val="en-US" w:eastAsia="zh-CN"/>
                    </w:rPr>
                    <w:t>0.000006</w:t>
                  </w:r>
                </w:p>
              </w:tc>
              <w:tc>
                <w:tcPr>
                  <w:tcW w:w="2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67AB19">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p>
              </w:tc>
            </w:tr>
          </w:tbl>
          <w:p w14:paraId="163EDCBC">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kern w:val="0"/>
                <w:sz w:val="24"/>
                <w:vertAlign w:val="baseline"/>
              </w:rPr>
            </w:pPr>
          </w:p>
        </w:tc>
      </w:tr>
    </w:tbl>
    <w:p w14:paraId="2348881F">
      <w:pPr>
        <w:adjustRightInd w:val="0"/>
        <w:snapToGrid w:val="0"/>
        <w:spacing w:line="360" w:lineRule="auto"/>
        <w:ind w:firstLine="480" w:firstLineChars="200"/>
        <w:rPr>
          <w:rFonts w:eastAsiaTheme="minorEastAsia"/>
          <w:color w:val="auto"/>
          <w:kern w:val="0"/>
          <w:sz w:val="24"/>
        </w:rPr>
        <w:sectPr>
          <w:pgSz w:w="16838" w:h="11906" w:orient="landscape"/>
          <w:pgMar w:top="1531" w:right="1701" w:bottom="1531" w:left="1701" w:header="851" w:footer="851" w:gutter="0"/>
          <w:pgNumType w:fmt="decimal"/>
          <w:cols w:space="720" w:num="1"/>
          <w:docGrid w:linePitch="312" w:charSpace="0"/>
        </w:sectPr>
      </w:pPr>
    </w:p>
    <w:tbl>
      <w:tblPr>
        <w:tblStyle w:val="18"/>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
        <w:gridCol w:w="8803"/>
      </w:tblGrid>
      <w:tr w14:paraId="1705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5" w:hRule="atLeast"/>
        </w:trPr>
        <w:tc>
          <w:tcPr>
            <w:tcW w:w="189" w:type="pct"/>
          </w:tcPr>
          <w:p w14:paraId="30D45C3C">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br w:type="page"/>
            </w:r>
            <w:r>
              <w:rPr>
                <w:rFonts w:hint="default"/>
                <w:bCs/>
                <w:color w:val="auto"/>
                <w:szCs w:val="21"/>
              </w:rPr>
              <w:br w:type="page"/>
            </w:r>
            <w:r>
              <w:rPr>
                <w:rFonts w:hint="default"/>
                <w:bCs/>
                <w:color w:val="auto"/>
                <w:szCs w:val="21"/>
              </w:rPr>
              <w:t>运营</w:t>
            </w:r>
          </w:p>
          <w:p w14:paraId="3A4EC710">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期环</w:t>
            </w:r>
          </w:p>
          <w:p w14:paraId="5D57BC31">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境影</w:t>
            </w:r>
          </w:p>
          <w:p w14:paraId="613DB00F">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响和</w:t>
            </w:r>
          </w:p>
          <w:p w14:paraId="795B0A81">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保护</w:t>
            </w:r>
          </w:p>
          <w:p w14:paraId="14A83B9A">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kern w:val="0"/>
                <w:sz w:val="24"/>
              </w:rPr>
            </w:pPr>
            <w:r>
              <w:rPr>
                <w:rFonts w:hint="default"/>
                <w:bCs/>
                <w:color w:val="auto"/>
                <w:szCs w:val="21"/>
              </w:rPr>
              <w:t>措施</w:t>
            </w:r>
          </w:p>
        </w:tc>
        <w:tc>
          <w:tcPr>
            <w:tcW w:w="4810" w:type="pct"/>
          </w:tcPr>
          <w:p w14:paraId="6205554C">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eastAsiaTheme="minorEastAsia"/>
                <w:b/>
                <w:color w:val="auto"/>
                <w:kern w:val="0"/>
                <w:sz w:val="24"/>
                <w:lang w:val="en-US" w:eastAsia="zh-CN"/>
              </w:rPr>
            </w:pPr>
            <w:r>
              <w:rPr>
                <w:rFonts w:hint="eastAsia" w:eastAsiaTheme="minorEastAsia"/>
                <w:b/>
                <w:color w:val="auto"/>
                <w:kern w:val="0"/>
                <w:sz w:val="24"/>
                <w:lang w:val="en-US" w:eastAsia="zh-CN"/>
              </w:rPr>
              <w:t>1、物理实验废水</w:t>
            </w:r>
          </w:p>
          <w:p w14:paraId="68D5C3E8">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color w:val="auto"/>
                <w:kern w:val="0"/>
                <w:sz w:val="24"/>
                <w:lang w:bidi="ar"/>
              </w:rPr>
            </w:pPr>
            <w:r>
              <w:rPr>
                <w:rFonts w:hint="default" w:eastAsiaTheme="minorEastAsia"/>
                <w:b/>
                <w:color w:val="auto"/>
                <w:kern w:val="0"/>
                <w:sz w:val="24"/>
              </w:rPr>
              <w:t>（1）</w:t>
            </w:r>
            <w:r>
              <w:rPr>
                <w:rFonts w:hint="default"/>
                <w:b/>
                <w:color w:val="auto"/>
                <w:kern w:val="0"/>
                <w:sz w:val="24"/>
                <w:lang w:bidi="ar"/>
              </w:rPr>
              <w:t>物理检测实验废水</w:t>
            </w:r>
          </w:p>
          <w:p w14:paraId="34B15AF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lang w:bidi="ar"/>
              </w:rPr>
            </w:pPr>
            <w:r>
              <w:rPr>
                <w:rFonts w:hint="default"/>
                <w:color w:val="auto"/>
                <w:kern w:val="0"/>
                <w:sz w:val="24"/>
                <w:lang w:bidi="ar"/>
              </w:rPr>
              <w:t>项目水泥、混凝土、砂浆等建筑材料在制样过程中涉及自来水搅合，用水量约为0.1m</w:t>
            </w:r>
            <w:r>
              <w:rPr>
                <w:rFonts w:hint="default"/>
                <w:color w:val="auto"/>
                <w:kern w:val="0"/>
                <w:sz w:val="24"/>
                <w:vertAlign w:val="superscript"/>
                <w:lang w:bidi="ar"/>
              </w:rPr>
              <w:t>3</w:t>
            </w:r>
            <w:r>
              <w:rPr>
                <w:rFonts w:hint="default"/>
                <w:color w:val="auto"/>
                <w:kern w:val="0"/>
                <w:sz w:val="24"/>
                <w:lang w:bidi="ar"/>
              </w:rPr>
              <w:t>/d（30m</w:t>
            </w:r>
            <w:r>
              <w:rPr>
                <w:rFonts w:hint="default"/>
                <w:color w:val="auto"/>
                <w:kern w:val="0"/>
                <w:sz w:val="24"/>
                <w:vertAlign w:val="superscript"/>
                <w:lang w:bidi="ar"/>
              </w:rPr>
              <w:t>3</w:t>
            </w:r>
            <w:r>
              <w:rPr>
                <w:rFonts w:hint="default"/>
                <w:color w:val="auto"/>
                <w:kern w:val="0"/>
                <w:sz w:val="24"/>
                <w:lang w:bidi="ar"/>
              </w:rPr>
              <w:t>/a）。搅拌完毕，静置定型，故此过程中无废水产生，废水主要来自于搅合设备清洗，参考同等规模同类型的企业，搅合设备清洗用水量约为0.2m</w:t>
            </w:r>
            <w:r>
              <w:rPr>
                <w:rFonts w:hint="default"/>
                <w:color w:val="auto"/>
                <w:kern w:val="0"/>
                <w:sz w:val="24"/>
                <w:vertAlign w:val="superscript"/>
                <w:lang w:bidi="ar"/>
              </w:rPr>
              <w:t>3</w:t>
            </w:r>
            <w:r>
              <w:rPr>
                <w:rFonts w:hint="default"/>
                <w:color w:val="auto"/>
                <w:kern w:val="0"/>
                <w:sz w:val="24"/>
                <w:lang w:bidi="ar"/>
              </w:rPr>
              <w:t>/d（60m</w:t>
            </w:r>
            <w:r>
              <w:rPr>
                <w:rFonts w:hint="default"/>
                <w:color w:val="auto"/>
                <w:kern w:val="0"/>
                <w:sz w:val="24"/>
                <w:vertAlign w:val="superscript"/>
                <w:lang w:bidi="ar"/>
              </w:rPr>
              <w:t>3</w:t>
            </w:r>
            <w:r>
              <w:rPr>
                <w:rFonts w:hint="default"/>
                <w:color w:val="auto"/>
                <w:kern w:val="0"/>
                <w:sz w:val="24"/>
                <w:lang w:bidi="ar"/>
              </w:rPr>
              <w:t>/a），产污系数按照0.8计，则项目物理实验搅合设备清洗废水产生量约为0.16m</w:t>
            </w:r>
            <w:r>
              <w:rPr>
                <w:rFonts w:hint="default"/>
                <w:color w:val="auto"/>
                <w:kern w:val="0"/>
                <w:sz w:val="24"/>
                <w:vertAlign w:val="superscript"/>
                <w:lang w:bidi="ar"/>
              </w:rPr>
              <w:t>3</w:t>
            </w:r>
            <w:r>
              <w:rPr>
                <w:rFonts w:hint="default"/>
                <w:color w:val="auto"/>
                <w:kern w:val="0"/>
                <w:sz w:val="24"/>
                <w:lang w:bidi="ar"/>
              </w:rPr>
              <w:t>/d（48m</w:t>
            </w:r>
            <w:r>
              <w:rPr>
                <w:rFonts w:hint="default"/>
                <w:color w:val="auto"/>
                <w:kern w:val="0"/>
                <w:sz w:val="24"/>
                <w:vertAlign w:val="superscript"/>
                <w:lang w:bidi="ar"/>
              </w:rPr>
              <w:t>3</w:t>
            </w:r>
            <w:r>
              <w:rPr>
                <w:rFonts w:hint="default"/>
                <w:color w:val="auto"/>
                <w:kern w:val="0"/>
                <w:sz w:val="24"/>
                <w:lang w:bidi="ar"/>
              </w:rPr>
              <w:t>/a）。</w:t>
            </w:r>
          </w:p>
          <w:p w14:paraId="10FEBD76">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kern w:val="0"/>
                <w:sz w:val="24"/>
                <w:lang w:bidi="ar"/>
              </w:rPr>
            </w:pPr>
            <w:r>
              <w:rPr>
                <w:rFonts w:hint="default"/>
                <w:b/>
                <w:bCs/>
                <w:color w:val="auto"/>
                <w:kern w:val="0"/>
                <w:sz w:val="24"/>
                <w:lang w:bidi="ar"/>
              </w:rPr>
              <w:t>（2）砂石冲洗废水</w:t>
            </w:r>
          </w:p>
          <w:p w14:paraId="4876060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lang w:bidi="ar"/>
              </w:rPr>
            </w:pPr>
            <w:r>
              <w:rPr>
                <w:rFonts w:hint="default"/>
                <w:color w:val="auto"/>
                <w:kern w:val="0"/>
                <w:sz w:val="24"/>
                <w:lang w:bidi="ar"/>
              </w:rPr>
              <w:t>项目土工室砂石泥块含量、含泥量的测定时需对原料进行清洗，根据业主提供资料，参照同等规模同类型的企业，砂石清洗用水量约为0.2m</w:t>
            </w:r>
            <w:r>
              <w:rPr>
                <w:rFonts w:hint="default"/>
                <w:color w:val="auto"/>
                <w:kern w:val="0"/>
                <w:sz w:val="24"/>
                <w:vertAlign w:val="superscript"/>
                <w:lang w:bidi="ar"/>
              </w:rPr>
              <w:t>3</w:t>
            </w:r>
            <w:r>
              <w:rPr>
                <w:rFonts w:hint="default"/>
                <w:color w:val="auto"/>
                <w:kern w:val="0"/>
                <w:sz w:val="24"/>
                <w:lang w:bidi="ar"/>
              </w:rPr>
              <w:t>/d（60m</w:t>
            </w:r>
            <w:r>
              <w:rPr>
                <w:rFonts w:hint="default"/>
                <w:color w:val="auto"/>
                <w:kern w:val="0"/>
                <w:sz w:val="24"/>
                <w:vertAlign w:val="superscript"/>
                <w:lang w:bidi="ar"/>
              </w:rPr>
              <w:t>3</w:t>
            </w:r>
            <w:r>
              <w:rPr>
                <w:rFonts w:hint="default"/>
                <w:color w:val="auto"/>
                <w:kern w:val="0"/>
                <w:sz w:val="24"/>
                <w:lang w:bidi="ar"/>
              </w:rPr>
              <w:t>/a），由于砂石清洗用水一次性使用，不回用，砂石清洗废水排污系数按0.8计，则项目砂石清洗废水排放量为0.16m</w:t>
            </w:r>
            <w:r>
              <w:rPr>
                <w:rFonts w:hint="default"/>
                <w:color w:val="auto"/>
                <w:kern w:val="0"/>
                <w:sz w:val="24"/>
                <w:vertAlign w:val="superscript"/>
                <w:lang w:bidi="ar"/>
              </w:rPr>
              <w:t>3</w:t>
            </w:r>
            <w:r>
              <w:rPr>
                <w:rFonts w:hint="default"/>
                <w:color w:val="auto"/>
                <w:kern w:val="0"/>
                <w:sz w:val="24"/>
                <w:lang w:bidi="ar"/>
              </w:rPr>
              <w:t>/d（48m</w:t>
            </w:r>
            <w:r>
              <w:rPr>
                <w:rFonts w:hint="default"/>
                <w:color w:val="auto"/>
                <w:kern w:val="0"/>
                <w:sz w:val="24"/>
                <w:vertAlign w:val="superscript"/>
                <w:lang w:bidi="ar"/>
              </w:rPr>
              <w:t>3</w:t>
            </w:r>
            <w:r>
              <w:rPr>
                <w:rFonts w:hint="default"/>
                <w:color w:val="auto"/>
                <w:kern w:val="0"/>
                <w:sz w:val="24"/>
                <w:lang w:bidi="ar"/>
              </w:rPr>
              <w:t>/a）。</w:t>
            </w:r>
          </w:p>
          <w:p w14:paraId="479F5854">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color w:val="auto"/>
                <w:kern w:val="0"/>
                <w:sz w:val="24"/>
                <w:lang w:val="en-US" w:eastAsia="zh-CN"/>
              </w:rPr>
            </w:pPr>
            <w:r>
              <w:rPr>
                <w:rFonts w:hint="eastAsia" w:eastAsiaTheme="minorEastAsia"/>
                <w:b/>
                <w:color w:val="auto"/>
                <w:kern w:val="0"/>
                <w:sz w:val="24"/>
                <w:lang w:val="en-US" w:eastAsia="zh-CN"/>
              </w:rPr>
              <w:t>2、化学实验废水</w:t>
            </w:r>
          </w:p>
          <w:p w14:paraId="0D1E8DF0">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color w:val="auto"/>
                <w:kern w:val="0"/>
                <w:sz w:val="24"/>
              </w:rPr>
            </w:pPr>
            <w:r>
              <w:rPr>
                <w:rFonts w:hint="default" w:eastAsiaTheme="minorEastAsia"/>
                <w:b/>
                <w:color w:val="auto"/>
                <w:kern w:val="0"/>
                <w:sz w:val="24"/>
              </w:rPr>
              <w:t>（</w:t>
            </w:r>
            <w:r>
              <w:rPr>
                <w:rFonts w:hint="eastAsia" w:eastAsiaTheme="minorEastAsia"/>
                <w:b/>
                <w:color w:val="auto"/>
                <w:kern w:val="0"/>
                <w:sz w:val="24"/>
                <w:lang w:val="en-US" w:eastAsia="zh-CN"/>
              </w:rPr>
              <w:t>1</w:t>
            </w:r>
            <w:r>
              <w:rPr>
                <w:rFonts w:hint="default" w:eastAsiaTheme="minorEastAsia"/>
                <w:b/>
                <w:color w:val="auto"/>
                <w:kern w:val="0"/>
                <w:sz w:val="24"/>
              </w:rPr>
              <w:t>）实验器皿清洗用水</w:t>
            </w:r>
          </w:p>
          <w:p w14:paraId="4A53B120">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color w:val="auto"/>
                <w:kern w:val="0"/>
                <w:sz w:val="24"/>
              </w:rPr>
            </w:pPr>
            <w:r>
              <w:rPr>
                <w:rFonts w:hint="eastAsia" w:ascii="宋体" w:hAnsi="宋体" w:cs="宋体"/>
                <w:b/>
                <w:color w:val="auto"/>
                <w:kern w:val="0"/>
                <w:sz w:val="24"/>
              </w:rPr>
              <w:t>①</w:t>
            </w:r>
            <w:r>
              <w:rPr>
                <w:rFonts w:hint="default" w:eastAsiaTheme="minorEastAsia"/>
                <w:b/>
                <w:color w:val="auto"/>
                <w:kern w:val="0"/>
                <w:sz w:val="24"/>
              </w:rPr>
              <w:t>实验器皿第一次、第二次清洗用水</w:t>
            </w:r>
          </w:p>
          <w:p w14:paraId="23CFD297">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实验器皿倒完溶液后，需要进行清洗。接触强酸、强碱及有机化学试剂等的器皿先采用少量新鲜水进行第一、二次清洗，该部分废水作为危险废物处理。实验器皿第一、二次清洗用水量约为0.02m³/d，6m³/a；废水产生量按用水量的</w:t>
            </w:r>
            <w:r>
              <w:rPr>
                <w:rFonts w:hint="eastAsia"/>
                <w:color w:val="auto"/>
                <w:sz w:val="24"/>
                <w:lang w:val="en-US" w:eastAsia="zh-CN"/>
              </w:rPr>
              <w:t>9</w:t>
            </w:r>
            <w:r>
              <w:rPr>
                <w:rFonts w:hint="default"/>
                <w:color w:val="auto"/>
                <w:sz w:val="24"/>
              </w:rPr>
              <w:t>0%计，则废水产生量约为0.01</w:t>
            </w:r>
            <w:r>
              <w:rPr>
                <w:rFonts w:hint="eastAsia"/>
                <w:color w:val="auto"/>
                <w:sz w:val="24"/>
                <w:lang w:val="en-US" w:eastAsia="zh-CN"/>
              </w:rPr>
              <w:t>8</w:t>
            </w:r>
            <w:r>
              <w:rPr>
                <w:rFonts w:hint="default"/>
                <w:color w:val="auto"/>
                <w:sz w:val="24"/>
              </w:rPr>
              <w:t>m³/d，</w:t>
            </w:r>
            <w:r>
              <w:rPr>
                <w:rFonts w:hint="eastAsia"/>
                <w:color w:val="auto"/>
                <w:sz w:val="24"/>
                <w:lang w:val="en-US" w:eastAsia="zh-CN"/>
              </w:rPr>
              <w:t>5.4</w:t>
            </w:r>
            <w:r>
              <w:rPr>
                <w:rFonts w:hint="default"/>
                <w:color w:val="auto"/>
                <w:sz w:val="24"/>
              </w:rPr>
              <w:t>m³/a；此部分废水视为危废，不排入市政管网，使用废液桶分类收集后暂存于危废暂存间，委托有资质的单位定期进行清运处理。</w:t>
            </w:r>
          </w:p>
          <w:p w14:paraId="1B6493FA">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color w:val="auto"/>
                <w:kern w:val="0"/>
                <w:sz w:val="24"/>
              </w:rPr>
            </w:pPr>
            <w:r>
              <w:rPr>
                <w:rFonts w:hint="eastAsia" w:ascii="宋体" w:hAnsi="宋体" w:cs="宋体"/>
                <w:b/>
                <w:color w:val="auto"/>
                <w:kern w:val="0"/>
                <w:sz w:val="24"/>
              </w:rPr>
              <w:t>②</w:t>
            </w:r>
            <w:r>
              <w:rPr>
                <w:rFonts w:hint="default" w:eastAsiaTheme="minorEastAsia"/>
                <w:b/>
                <w:color w:val="auto"/>
                <w:kern w:val="0"/>
                <w:sz w:val="24"/>
              </w:rPr>
              <w:t>实验器皿第三次及以后清洗用水</w:t>
            </w:r>
          </w:p>
          <w:p w14:paraId="2C7A87F5">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实验室器皿第3次及以后清洗产生的废水为低浓度清洗废水，可不作为危废处理。根据建设方提供的资料，实验室清洗用水量约为0.15m³/d，45m³/a，废水量按用水量</w:t>
            </w:r>
            <w:r>
              <w:rPr>
                <w:rFonts w:hint="eastAsia" w:eastAsiaTheme="minorEastAsia"/>
                <w:color w:val="auto"/>
                <w:kern w:val="0"/>
                <w:sz w:val="24"/>
                <w:lang w:val="en-US" w:eastAsia="zh-CN"/>
              </w:rPr>
              <w:t>9</w:t>
            </w:r>
            <w:r>
              <w:rPr>
                <w:rFonts w:hint="default" w:eastAsiaTheme="minorEastAsia"/>
                <w:color w:val="auto"/>
                <w:kern w:val="0"/>
                <w:sz w:val="24"/>
              </w:rPr>
              <w:t>0%计，则废水产生量约为0.1</w:t>
            </w:r>
            <w:r>
              <w:rPr>
                <w:rFonts w:hint="eastAsia" w:eastAsiaTheme="minorEastAsia"/>
                <w:color w:val="auto"/>
                <w:kern w:val="0"/>
                <w:sz w:val="24"/>
                <w:lang w:val="en-US" w:eastAsia="zh-CN"/>
              </w:rPr>
              <w:t>35</w:t>
            </w:r>
            <w:r>
              <w:rPr>
                <w:rFonts w:hint="default" w:eastAsiaTheme="minorEastAsia"/>
                <w:color w:val="auto"/>
                <w:kern w:val="0"/>
                <w:sz w:val="24"/>
              </w:rPr>
              <w:t>m³/d，</w:t>
            </w:r>
            <w:r>
              <w:rPr>
                <w:rFonts w:hint="eastAsia" w:eastAsiaTheme="minorEastAsia"/>
                <w:color w:val="auto"/>
                <w:kern w:val="0"/>
                <w:sz w:val="24"/>
                <w:lang w:val="en-US" w:eastAsia="zh-CN"/>
              </w:rPr>
              <w:t>40.5</w:t>
            </w:r>
            <w:r>
              <w:rPr>
                <w:rFonts w:hint="default" w:eastAsiaTheme="minorEastAsia"/>
                <w:color w:val="auto"/>
                <w:kern w:val="0"/>
                <w:sz w:val="24"/>
              </w:rPr>
              <w:t>m³/a。此部分废水</w:t>
            </w:r>
            <w:r>
              <w:rPr>
                <w:rFonts w:hint="eastAsia" w:eastAsiaTheme="minorEastAsia"/>
                <w:color w:val="auto"/>
                <w:kern w:val="0"/>
                <w:sz w:val="24"/>
                <w:lang w:val="en-US" w:eastAsia="zh-CN"/>
              </w:rPr>
              <w:t>经废水中和收集桶</w:t>
            </w:r>
            <w:r>
              <w:rPr>
                <w:rFonts w:hint="default" w:eastAsiaTheme="minorEastAsia"/>
                <w:color w:val="auto"/>
                <w:kern w:val="0"/>
                <w:sz w:val="24"/>
              </w:rPr>
              <w:t>预处理后，再</w:t>
            </w:r>
            <w:r>
              <w:rPr>
                <w:rFonts w:hint="eastAsia" w:eastAsiaTheme="minorEastAsia"/>
                <w:color w:val="auto"/>
                <w:kern w:val="0"/>
                <w:sz w:val="24"/>
                <w:lang w:val="en-US" w:eastAsia="zh-CN"/>
              </w:rPr>
              <w:t>进入三级沉淀池处理后排入</w:t>
            </w:r>
            <w:r>
              <w:rPr>
                <w:rFonts w:hint="default" w:eastAsiaTheme="minorEastAsia"/>
                <w:color w:val="auto"/>
                <w:kern w:val="0"/>
                <w:sz w:val="24"/>
              </w:rPr>
              <w:t>龙泉路市政污水管网，最终进入昆明第五水质净化厂。</w:t>
            </w:r>
          </w:p>
          <w:p w14:paraId="547445B4">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cs="宋体"/>
                <w:b/>
                <w:color w:val="auto"/>
                <w:kern w:val="0"/>
                <w:sz w:val="24"/>
              </w:rPr>
            </w:pPr>
          </w:p>
          <w:p w14:paraId="6694A95D">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color w:val="auto"/>
                <w:kern w:val="0"/>
                <w:sz w:val="24"/>
              </w:rPr>
            </w:pPr>
            <w:r>
              <w:rPr>
                <w:rFonts w:hint="eastAsia" w:ascii="宋体" w:hAnsi="宋体" w:cs="宋体"/>
                <w:b/>
                <w:color w:val="auto"/>
                <w:kern w:val="0"/>
                <w:sz w:val="24"/>
              </w:rPr>
              <w:t>③</w:t>
            </w:r>
            <w:r>
              <w:rPr>
                <w:rFonts w:hint="default" w:eastAsiaTheme="minorEastAsia"/>
                <w:b/>
                <w:color w:val="auto"/>
                <w:kern w:val="0"/>
                <w:sz w:val="24"/>
              </w:rPr>
              <w:t>实验器具润洗用水</w:t>
            </w:r>
          </w:p>
          <w:p w14:paraId="6A8EB44C">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项目实验室部分实验器具使用前需使用纯水润洗，根据建设方提供的资料，润洗实验器具纯水用量为0.1m³/d，30m³/a，废水产生量按</w:t>
            </w:r>
            <w:r>
              <w:rPr>
                <w:rFonts w:hint="eastAsia" w:eastAsiaTheme="minorEastAsia"/>
                <w:color w:val="auto"/>
                <w:kern w:val="0"/>
                <w:sz w:val="24"/>
                <w:lang w:val="en-US" w:eastAsia="zh-CN"/>
              </w:rPr>
              <w:t>9</w:t>
            </w:r>
            <w:r>
              <w:rPr>
                <w:rFonts w:hint="default" w:eastAsiaTheme="minorEastAsia"/>
                <w:color w:val="auto"/>
                <w:kern w:val="0"/>
                <w:sz w:val="24"/>
              </w:rPr>
              <w:t>0%计，则废水产生量约为0.0</w:t>
            </w:r>
            <w:r>
              <w:rPr>
                <w:rFonts w:hint="eastAsia" w:eastAsiaTheme="minorEastAsia"/>
                <w:color w:val="auto"/>
                <w:kern w:val="0"/>
                <w:sz w:val="24"/>
                <w:lang w:val="en-US" w:eastAsia="zh-CN"/>
              </w:rPr>
              <w:t>9</w:t>
            </w:r>
            <w:r>
              <w:rPr>
                <w:rFonts w:hint="default" w:eastAsiaTheme="minorEastAsia"/>
                <w:color w:val="auto"/>
                <w:kern w:val="0"/>
                <w:sz w:val="24"/>
              </w:rPr>
              <w:t>m³/d，2</w:t>
            </w:r>
            <w:r>
              <w:rPr>
                <w:rFonts w:hint="eastAsia" w:eastAsiaTheme="minorEastAsia"/>
                <w:color w:val="auto"/>
                <w:kern w:val="0"/>
                <w:sz w:val="24"/>
                <w:lang w:val="en-US" w:eastAsia="zh-CN"/>
              </w:rPr>
              <w:t>7</w:t>
            </w:r>
            <w:r>
              <w:rPr>
                <w:rFonts w:hint="default" w:eastAsiaTheme="minorEastAsia"/>
                <w:color w:val="auto"/>
                <w:kern w:val="0"/>
                <w:sz w:val="24"/>
              </w:rPr>
              <w:t>m</w:t>
            </w:r>
            <w:r>
              <w:rPr>
                <w:rFonts w:hint="default"/>
                <w:color w:val="auto"/>
                <w:kern w:val="0"/>
                <w:sz w:val="24"/>
              </w:rPr>
              <w:t>³</w:t>
            </w:r>
            <w:r>
              <w:rPr>
                <w:rFonts w:hint="default" w:eastAsiaTheme="minorEastAsia"/>
                <w:color w:val="auto"/>
                <w:kern w:val="0"/>
                <w:sz w:val="24"/>
              </w:rPr>
              <w:t>/a。此部分</w:t>
            </w:r>
            <w:r>
              <w:rPr>
                <w:rFonts w:hint="eastAsia" w:eastAsiaTheme="minorEastAsia"/>
                <w:color w:val="auto"/>
                <w:kern w:val="0"/>
                <w:sz w:val="24"/>
                <w:lang w:val="en-US" w:eastAsia="zh-CN"/>
              </w:rPr>
              <w:t>废水中和收集桶</w:t>
            </w:r>
            <w:r>
              <w:rPr>
                <w:rFonts w:hint="default" w:eastAsiaTheme="minorEastAsia"/>
                <w:color w:val="auto"/>
                <w:kern w:val="0"/>
                <w:sz w:val="24"/>
              </w:rPr>
              <w:t>预处理后，再</w:t>
            </w:r>
            <w:r>
              <w:rPr>
                <w:rFonts w:hint="eastAsia" w:eastAsiaTheme="minorEastAsia"/>
                <w:color w:val="auto"/>
                <w:kern w:val="0"/>
                <w:sz w:val="24"/>
                <w:lang w:val="en-US" w:eastAsia="zh-CN"/>
              </w:rPr>
              <w:t>进入三级沉淀池处理后排入</w:t>
            </w:r>
            <w:r>
              <w:rPr>
                <w:rFonts w:hint="default" w:eastAsiaTheme="minorEastAsia"/>
                <w:color w:val="auto"/>
                <w:kern w:val="0"/>
                <w:sz w:val="24"/>
              </w:rPr>
              <w:t>龙泉路市政污水管网，最终进入昆明第五水质净化厂。</w:t>
            </w:r>
          </w:p>
          <w:p w14:paraId="39201D72">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color w:val="auto"/>
                <w:kern w:val="0"/>
                <w:sz w:val="24"/>
              </w:rPr>
            </w:pPr>
            <w:r>
              <w:rPr>
                <w:rFonts w:hint="default" w:eastAsiaTheme="minorEastAsia"/>
                <w:b/>
                <w:color w:val="auto"/>
                <w:kern w:val="0"/>
                <w:sz w:val="24"/>
              </w:rPr>
              <w:t>（</w:t>
            </w:r>
            <w:r>
              <w:rPr>
                <w:rFonts w:hint="eastAsia" w:eastAsiaTheme="minorEastAsia"/>
                <w:b/>
                <w:color w:val="auto"/>
                <w:kern w:val="0"/>
                <w:sz w:val="24"/>
                <w:lang w:val="en-US" w:eastAsia="zh-CN"/>
              </w:rPr>
              <w:t>2</w:t>
            </w:r>
            <w:r>
              <w:rPr>
                <w:rFonts w:hint="default" w:eastAsiaTheme="minorEastAsia"/>
                <w:b/>
                <w:color w:val="auto"/>
                <w:kern w:val="0"/>
                <w:sz w:val="24"/>
              </w:rPr>
              <w:t>）实验试剂配制用水</w:t>
            </w:r>
          </w:p>
          <w:p w14:paraId="4AD3A1DF">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eastAsia" w:eastAsiaTheme="minorEastAsia"/>
                <w:color w:val="auto"/>
                <w:kern w:val="0"/>
                <w:sz w:val="24"/>
                <w:lang w:val="en-US" w:eastAsia="zh-CN"/>
              </w:rPr>
              <w:t>本</w:t>
            </w:r>
            <w:r>
              <w:rPr>
                <w:rFonts w:hint="default" w:eastAsiaTheme="minorEastAsia"/>
                <w:color w:val="auto"/>
                <w:kern w:val="0"/>
                <w:sz w:val="24"/>
              </w:rPr>
              <w:t>项目实验室部分试剂配制使用纯水。根据建设单位提供资料，实验试剂配制纯水用量约为0.05m</w:t>
            </w:r>
            <w:r>
              <w:rPr>
                <w:rFonts w:hint="default"/>
                <w:color w:val="auto"/>
                <w:kern w:val="0"/>
                <w:sz w:val="24"/>
              </w:rPr>
              <w:t>³</w:t>
            </w:r>
            <w:r>
              <w:rPr>
                <w:rFonts w:hint="default" w:eastAsiaTheme="minorEastAsia"/>
                <w:color w:val="auto"/>
                <w:kern w:val="0"/>
                <w:sz w:val="24"/>
              </w:rPr>
              <w:t>/d、15m</w:t>
            </w:r>
            <w:r>
              <w:rPr>
                <w:rFonts w:hint="default"/>
                <w:color w:val="auto"/>
                <w:kern w:val="0"/>
                <w:sz w:val="24"/>
              </w:rPr>
              <w:t>³</w:t>
            </w:r>
            <w:r>
              <w:rPr>
                <w:rFonts w:hint="default" w:eastAsiaTheme="minorEastAsia"/>
                <w:color w:val="auto"/>
                <w:kern w:val="0"/>
                <w:sz w:val="24"/>
              </w:rPr>
              <w:t>/a。实验试剂配制纯水全部进入实验废液中，根据《国家危险废物名录》（2021年版），实验废液属于危险废物（废物类别 HW49，900-047-49），经专用废液桶收集实验废液后，委托有资质单位定期清运处置。</w:t>
            </w:r>
          </w:p>
          <w:p w14:paraId="0910D617">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color w:val="auto"/>
                <w:kern w:val="0"/>
                <w:sz w:val="24"/>
              </w:rPr>
            </w:pPr>
            <w:r>
              <w:rPr>
                <w:rFonts w:hint="default" w:eastAsiaTheme="minorEastAsia"/>
                <w:b/>
                <w:color w:val="auto"/>
                <w:kern w:val="0"/>
                <w:sz w:val="24"/>
              </w:rPr>
              <w:t>（</w:t>
            </w:r>
            <w:r>
              <w:rPr>
                <w:rFonts w:hint="eastAsia" w:eastAsiaTheme="minorEastAsia"/>
                <w:b/>
                <w:color w:val="auto"/>
                <w:kern w:val="0"/>
                <w:sz w:val="24"/>
                <w:lang w:val="en-US" w:eastAsia="zh-CN"/>
              </w:rPr>
              <w:t>3</w:t>
            </w:r>
            <w:r>
              <w:rPr>
                <w:rFonts w:hint="default" w:eastAsiaTheme="minorEastAsia"/>
                <w:b/>
                <w:color w:val="auto"/>
                <w:kern w:val="0"/>
                <w:sz w:val="24"/>
              </w:rPr>
              <w:t>）喷淋</w:t>
            </w:r>
            <w:r>
              <w:rPr>
                <w:rFonts w:hint="eastAsia" w:eastAsiaTheme="minorEastAsia"/>
                <w:b/>
                <w:color w:val="auto"/>
                <w:kern w:val="0"/>
                <w:sz w:val="24"/>
                <w:lang w:val="en-US" w:eastAsia="zh-CN"/>
              </w:rPr>
              <w:t>设施</w:t>
            </w:r>
            <w:r>
              <w:rPr>
                <w:rFonts w:hint="default" w:eastAsiaTheme="minorEastAsia"/>
                <w:b/>
                <w:color w:val="auto"/>
                <w:kern w:val="0"/>
                <w:sz w:val="24"/>
              </w:rPr>
              <w:t>用水</w:t>
            </w:r>
          </w:p>
          <w:p w14:paraId="749BC3E0">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highlight w:val="none"/>
              </w:rPr>
            </w:pPr>
            <w:r>
              <w:rPr>
                <w:rFonts w:hint="eastAsia" w:eastAsiaTheme="minorEastAsia"/>
                <w:color w:val="auto"/>
                <w:kern w:val="0"/>
                <w:sz w:val="24"/>
                <w:highlight w:val="none"/>
                <w:lang w:val="en-US" w:eastAsia="zh-CN"/>
              </w:rPr>
              <w:t>本项目</w:t>
            </w:r>
            <w:r>
              <w:rPr>
                <w:rFonts w:hint="default" w:eastAsiaTheme="minorEastAsia"/>
                <w:color w:val="auto"/>
                <w:kern w:val="0"/>
                <w:sz w:val="24"/>
                <w:highlight w:val="none"/>
              </w:rPr>
              <w:t>化学实验室新增1套喷淋</w:t>
            </w:r>
            <w:r>
              <w:rPr>
                <w:rFonts w:hint="eastAsia" w:eastAsiaTheme="minorEastAsia"/>
                <w:color w:val="auto"/>
                <w:kern w:val="0"/>
                <w:sz w:val="24"/>
                <w:highlight w:val="none"/>
                <w:lang w:val="en-US" w:eastAsia="zh-CN"/>
              </w:rPr>
              <w:t>设施</w:t>
            </w:r>
            <w:r>
              <w:rPr>
                <w:rFonts w:hint="default" w:eastAsiaTheme="minorEastAsia"/>
                <w:color w:val="auto"/>
                <w:kern w:val="0"/>
                <w:sz w:val="24"/>
                <w:highlight w:val="none"/>
              </w:rPr>
              <w:t>用于处理实验过程产生的</w:t>
            </w:r>
            <w:r>
              <w:rPr>
                <w:rFonts w:hint="eastAsia" w:eastAsiaTheme="minorEastAsia"/>
                <w:color w:val="auto"/>
                <w:kern w:val="0"/>
                <w:sz w:val="24"/>
                <w:highlight w:val="none"/>
                <w:lang w:val="en-US" w:eastAsia="zh-CN"/>
              </w:rPr>
              <w:t>无机</w:t>
            </w:r>
            <w:r>
              <w:rPr>
                <w:rFonts w:hint="default" w:eastAsiaTheme="minorEastAsia"/>
                <w:color w:val="auto"/>
                <w:kern w:val="0"/>
                <w:sz w:val="24"/>
                <w:highlight w:val="none"/>
              </w:rPr>
              <w:t>废气，喷淋</w:t>
            </w:r>
            <w:r>
              <w:rPr>
                <w:rFonts w:hint="eastAsia" w:eastAsiaTheme="minorEastAsia"/>
                <w:color w:val="auto"/>
                <w:kern w:val="0"/>
                <w:sz w:val="24"/>
                <w:highlight w:val="none"/>
                <w:lang w:val="en-US" w:eastAsia="zh-CN"/>
              </w:rPr>
              <w:t>设施</w:t>
            </w:r>
            <w:r>
              <w:rPr>
                <w:rFonts w:hint="default" w:eastAsiaTheme="minorEastAsia"/>
                <w:color w:val="auto"/>
                <w:kern w:val="0"/>
                <w:sz w:val="24"/>
                <w:highlight w:val="none"/>
              </w:rPr>
              <w:t>原液主要为碱性，吸收酸性废气中和，喷淋</w:t>
            </w:r>
            <w:r>
              <w:rPr>
                <w:rFonts w:hint="eastAsia" w:eastAsiaTheme="minorEastAsia"/>
                <w:color w:val="auto"/>
                <w:kern w:val="0"/>
                <w:sz w:val="24"/>
                <w:highlight w:val="none"/>
                <w:lang w:val="en-US" w:eastAsia="zh-CN"/>
              </w:rPr>
              <w:t>设施</w:t>
            </w:r>
            <w:r>
              <w:rPr>
                <w:rFonts w:hint="default" w:eastAsiaTheme="minorEastAsia"/>
                <w:color w:val="auto"/>
                <w:kern w:val="0"/>
                <w:sz w:val="24"/>
                <w:highlight w:val="none"/>
              </w:rPr>
              <w:t>用水均可循环使用，根据损耗及吸收液饱和</w:t>
            </w:r>
            <w:r>
              <w:rPr>
                <w:rFonts w:hint="eastAsia" w:eastAsiaTheme="minorEastAsia"/>
                <w:color w:val="auto"/>
                <w:kern w:val="0"/>
                <w:sz w:val="24"/>
                <w:highlight w:val="none"/>
                <w:lang w:val="en-US" w:eastAsia="zh-CN"/>
              </w:rPr>
              <w:t>以及</w:t>
            </w:r>
            <w:r>
              <w:rPr>
                <w:rFonts w:hint="default" w:eastAsiaTheme="minorEastAsia"/>
                <w:color w:val="auto"/>
                <w:kern w:val="0"/>
                <w:sz w:val="24"/>
                <w:highlight w:val="none"/>
              </w:rPr>
              <w:t>排水情况定期补充喷淋用水。根据建设方提供的资料，喷淋用水平均每天损耗约5L（1.4m</w:t>
            </w:r>
            <w:r>
              <w:rPr>
                <w:rFonts w:hint="default"/>
                <w:color w:val="auto"/>
                <w:kern w:val="0"/>
                <w:sz w:val="24"/>
                <w:highlight w:val="none"/>
              </w:rPr>
              <w:t>³</w:t>
            </w:r>
            <w:r>
              <w:rPr>
                <w:rFonts w:hint="default" w:eastAsiaTheme="minorEastAsia"/>
                <w:color w:val="auto"/>
                <w:kern w:val="0"/>
                <w:sz w:val="24"/>
                <w:highlight w:val="none"/>
              </w:rPr>
              <w:t>/a），另外喷淋废水考虑吸收液饱和情况平均每天排水4L（1.12m</w:t>
            </w:r>
            <w:r>
              <w:rPr>
                <w:rFonts w:hint="default"/>
                <w:color w:val="auto"/>
                <w:kern w:val="0"/>
                <w:sz w:val="24"/>
                <w:highlight w:val="none"/>
              </w:rPr>
              <w:t>³</w:t>
            </w:r>
            <w:r>
              <w:rPr>
                <w:rFonts w:hint="default" w:eastAsiaTheme="minorEastAsia"/>
                <w:color w:val="auto"/>
                <w:kern w:val="0"/>
                <w:sz w:val="24"/>
                <w:highlight w:val="none"/>
              </w:rPr>
              <w:t>/a）</w:t>
            </w:r>
            <w:r>
              <w:rPr>
                <w:rFonts w:hint="default"/>
                <w:color w:val="auto"/>
                <w:kern w:val="0"/>
                <w:sz w:val="24"/>
                <w:highlight w:val="none"/>
              </w:rPr>
              <w:t>，则喷淋用水补充量约0.009</w:t>
            </w:r>
            <w:r>
              <w:rPr>
                <w:rFonts w:hint="default" w:eastAsiaTheme="minorEastAsia"/>
                <w:color w:val="auto"/>
                <w:kern w:val="0"/>
                <w:sz w:val="24"/>
                <w:highlight w:val="none"/>
              </w:rPr>
              <w:t>m</w:t>
            </w:r>
            <w:r>
              <w:rPr>
                <w:rFonts w:hint="default"/>
                <w:color w:val="auto"/>
                <w:kern w:val="0"/>
                <w:sz w:val="24"/>
                <w:highlight w:val="none"/>
              </w:rPr>
              <w:t>³</w:t>
            </w:r>
            <w:r>
              <w:rPr>
                <w:rFonts w:hint="default" w:eastAsiaTheme="minorEastAsia"/>
                <w:color w:val="auto"/>
                <w:kern w:val="0"/>
                <w:sz w:val="24"/>
                <w:highlight w:val="none"/>
              </w:rPr>
              <w:t>/d</w:t>
            </w:r>
            <w:r>
              <w:rPr>
                <w:rFonts w:hint="default"/>
                <w:color w:val="auto"/>
                <w:kern w:val="0"/>
                <w:sz w:val="24"/>
                <w:highlight w:val="none"/>
              </w:rPr>
              <w:t>，2.52</w:t>
            </w:r>
            <w:r>
              <w:rPr>
                <w:rFonts w:hint="default" w:eastAsiaTheme="minorEastAsia"/>
                <w:color w:val="auto"/>
                <w:kern w:val="0"/>
                <w:sz w:val="24"/>
                <w:highlight w:val="none"/>
              </w:rPr>
              <w:t>m</w:t>
            </w:r>
            <w:r>
              <w:rPr>
                <w:rFonts w:hint="default"/>
                <w:color w:val="auto"/>
                <w:kern w:val="0"/>
                <w:sz w:val="24"/>
                <w:highlight w:val="none"/>
              </w:rPr>
              <w:t>³</w:t>
            </w:r>
            <w:r>
              <w:rPr>
                <w:rFonts w:hint="default" w:eastAsiaTheme="minorEastAsia"/>
                <w:color w:val="auto"/>
                <w:kern w:val="0"/>
                <w:sz w:val="24"/>
                <w:highlight w:val="none"/>
              </w:rPr>
              <w:t>/a。喷淋塔废水</w:t>
            </w:r>
            <w:r>
              <w:rPr>
                <w:rFonts w:hint="eastAsia" w:eastAsiaTheme="minorEastAsia"/>
                <w:color w:val="auto"/>
                <w:kern w:val="0"/>
                <w:sz w:val="24"/>
                <w:highlight w:val="none"/>
                <w:lang w:val="en-US" w:eastAsia="zh-CN"/>
              </w:rPr>
              <w:t>的</w:t>
            </w:r>
            <w:r>
              <w:rPr>
                <w:rFonts w:hint="default" w:eastAsiaTheme="minorEastAsia"/>
                <w:color w:val="auto"/>
                <w:kern w:val="0"/>
                <w:sz w:val="24"/>
                <w:highlight w:val="none"/>
              </w:rPr>
              <w:t>产生量约为</w:t>
            </w:r>
            <w:r>
              <w:rPr>
                <w:rFonts w:hint="eastAsia" w:eastAsiaTheme="minorEastAsia"/>
                <w:color w:val="auto"/>
                <w:kern w:val="0"/>
                <w:sz w:val="24"/>
                <w:highlight w:val="none"/>
                <w:lang w:val="en-US" w:eastAsia="zh-CN"/>
              </w:rPr>
              <w:t>0.004</w:t>
            </w:r>
            <w:r>
              <w:rPr>
                <w:rFonts w:hint="default" w:eastAsiaTheme="minorEastAsia"/>
                <w:color w:val="auto"/>
                <w:kern w:val="0"/>
                <w:sz w:val="24"/>
                <w:highlight w:val="none"/>
              </w:rPr>
              <w:t>m³/d，</w:t>
            </w:r>
            <w:r>
              <w:rPr>
                <w:rFonts w:hint="eastAsia" w:eastAsiaTheme="minorEastAsia"/>
                <w:color w:val="auto"/>
                <w:kern w:val="0"/>
                <w:sz w:val="24"/>
                <w:highlight w:val="none"/>
                <w:lang w:val="en-US" w:eastAsia="zh-CN"/>
              </w:rPr>
              <w:t>1.2</w:t>
            </w:r>
            <w:r>
              <w:rPr>
                <w:rFonts w:hint="default" w:eastAsiaTheme="minorEastAsia"/>
                <w:color w:val="auto"/>
                <w:kern w:val="0"/>
                <w:sz w:val="24"/>
                <w:highlight w:val="none"/>
              </w:rPr>
              <w:t>m</w:t>
            </w:r>
            <w:r>
              <w:rPr>
                <w:rFonts w:hint="default"/>
                <w:color w:val="auto"/>
                <w:kern w:val="0"/>
                <w:sz w:val="24"/>
                <w:highlight w:val="none"/>
              </w:rPr>
              <w:t>³</w:t>
            </w:r>
            <w:r>
              <w:rPr>
                <w:rFonts w:hint="default" w:eastAsiaTheme="minorEastAsia"/>
                <w:color w:val="auto"/>
                <w:kern w:val="0"/>
                <w:sz w:val="24"/>
                <w:highlight w:val="none"/>
              </w:rPr>
              <w:t>/a。</w:t>
            </w:r>
            <w:r>
              <w:rPr>
                <w:rFonts w:hint="eastAsia" w:eastAsiaTheme="minorEastAsia"/>
                <w:color w:val="auto"/>
                <w:kern w:val="0"/>
                <w:sz w:val="24"/>
                <w:highlight w:val="none"/>
                <w:lang w:val="en-US" w:eastAsia="zh-CN"/>
              </w:rPr>
              <w:t>该部分废水</w:t>
            </w:r>
            <w:r>
              <w:rPr>
                <w:rFonts w:hint="default" w:eastAsiaTheme="minorEastAsia"/>
                <w:color w:val="auto"/>
                <w:kern w:val="0"/>
                <w:sz w:val="24"/>
                <w:highlight w:val="none"/>
              </w:rPr>
              <w:t>主要含酸碱，此部分废水</w:t>
            </w:r>
            <w:r>
              <w:rPr>
                <w:rFonts w:hint="eastAsia" w:eastAsiaTheme="minorEastAsia"/>
                <w:color w:val="auto"/>
                <w:kern w:val="0"/>
                <w:sz w:val="24"/>
                <w:highlight w:val="none"/>
                <w:lang w:val="en-US" w:eastAsia="zh-CN"/>
              </w:rPr>
              <w:t>经预处理设施</w:t>
            </w:r>
            <w:r>
              <w:rPr>
                <w:rFonts w:hint="default" w:eastAsiaTheme="minorEastAsia"/>
                <w:color w:val="auto"/>
                <w:kern w:val="0"/>
                <w:sz w:val="24"/>
                <w:highlight w:val="none"/>
              </w:rPr>
              <w:t>预处理后，再</w:t>
            </w:r>
            <w:r>
              <w:rPr>
                <w:rFonts w:hint="eastAsia" w:eastAsiaTheme="minorEastAsia"/>
                <w:color w:val="auto"/>
                <w:kern w:val="0"/>
                <w:sz w:val="24"/>
                <w:highlight w:val="none"/>
                <w:lang w:val="en-US" w:eastAsia="zh-CN"/>
              </w:rPr>
              <w:t>进入三级沉淀池处理后排入</w:t>
            </w:r>
            <w:r>
              <w:rPr>
                <w:rFonts w:hint="default" w:eastAsiaTheme="minorEastAsia"/>
                <w:color w:val="auto"/>
                <w:kern w:val="0"/>
                <w:sz w:val="24"/>
                <w:highlight w:val="none"/>
              </w:rPr>
              <w:t>龙泉路市政污水管网，最终进入昆明第五水质净化厂。</w:t>
            </w:r>
          </w:p>
          <w:p w14:paraId="4B970D0A">
            <w:pPr>
              <w:keepNext w:val="0"/>
              <w:keepLines w:val="0"/>
              <w:suppressLineNumbers w:val="0"/>
              <w:spacing w:before="0" w:beforeAutospacing="0" w:after="0" w:afterAutospacing="0" w:line="360" w:lineRule="auto"/>
              <w:ind w:left="0" w:right="0" w:firstLine="482" w:firstLineChars="200"/>
              <w:outlineLvl w:val="0"/>
              <w:rPr>
                <w:rFonts w:hint="eastAsia" w:eastAsia="宋体"/>
                <w:b/>
                <w:bCs/>
                <w:color w:val="auto"/>
                <w:sz w:val="24"/>
                <w:lang w:eastAsia="zh-CN"/>
              </w:rPr>
            </w:pPr>
            <w:r>
              <w:rPr>
                <w:rFonts w:hint="eastAsia"/>
                <w:b/>
                <w:bCs/>
                <w:color w:val="auto"/>
                <w:sz w:val="24"/>
                <w:lang w:val="en-US" w:eastAsia="zh-CN"/>
              </w:rPr>
              <w:t>3、</w:t>
            </w:r>
            <w:r>
              <w:rPr>
                <w:rFonts w:hint="default"/>
                <w:b/>
                <w:bCs/>
                <w:color w:val="auto"/>
                <w:sz w:val="24"/>
              </w:rPr>
              <w:t>纯水制备</w:t>
            </w:r>
            <w:r>
              <w:rPr>
                <w:rFonts w:hint="eastAsia"/>
                <w:b/>
                <w:bCs/>
                <w:color w:val="auto"/>
                <w:sz w:val="24"/>
                <w:lang w:val="en-US" w:eastAsia="zh-CN"/>
              </w:rPr>
              <w:t>废水</w:t>
            </w:r>
          </w:p>
          <w:p w14:paraId="7CAE0E7F">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highlight w:val="none"/>
              </w:rPr>
            </w:pPr>
            <w:r>
              <w:rPr>
                <w:rFonts w:hint="default"/>
                <w:color w:val="auto"/>
                <w:sz w:val="24"/>
              </w:rPr>
              <w:t>项目实验用纯水由项目配置的超纯水机统一制备供给，根据建设单位介绍，纯水主要用于样品检验过程（溶液配置、稀释等）及实验器皿、仪器的最后冲洗步骤，参考类似项目情况，达最大订单实验能力时，本项目实验室纯水用量约为0.15m</w:t>
            </w:r>
            <w:r>
              <w:rPr>
                <w:rFonts w:hint="default"/>
                <w:color w:val="auto"/>
                <w:sz w:val="24"/>
                <w:vertAlign w:val="superscript"/>
              </w:rPr>
              <w:t>3</w:t>
            </w:r>
            <w:r>
              <w:rPr>
                <w:rFonts w:hint="default"/>
                <w:color w:val="auto"/>
                <w:sz w:val="24"/>
              </w:rPr>
              <w:t>/d，45m³/a，纯水机制备效率为70%，则项目需要0.214m³/d，64.2m³/a的新鲜水用于纯水制备，其余30%为纯水制备废水，废水产生量约为0.064m³/d，19.2m³/a。此部分废水除硬度较大外，污染因子主要为SS，废水水质浓度为SS：150mg/L，水质较好，经排水管道直接排入项目区</w:t>
            </w:r>
            <w:r>
              <w:rPr>
                <w:rFonts w:hint="eastAsia"/>
                <w:color w:val="auto"/>
                <w:sz w:val="24"/>
                <w:lang w:val="en-US" w:eastAsia="zh-CN"/>
              </w:rPr>
              <w:t>三级</w:t>
            </w:r>
            <w:r>
              <w:rPr>
                <w:rFonts w:hint="default"/>
                <w:color w:val="auto"/>
                <w:sz w:val="24"/>
              </w:rPr>
              <w:t>沉淀池</w:t>
            </w:r>
            <w:r>
              <w:rPr>
                <w:rFonts w:hint="eastAsia" w:eastAsiaTheme="minorEastAsia"/>
                <w:color w:val="auto"/>
                <w:kern w:val="0"/>
                <w:sz w:val="24"/>
                <w:highlight w:val="none"/>
                <w:lang w:val="en-US" w:eastAsia="zh-CN"/>
              </w:rPr>
              <w:t>处理后排入</w:t>
            </w:r>
            <w:r>
              <w:rPr>
                <w:rFonts w:hint="default" w:eastAsiaTheme="minorEastAsia"/>
                <w:color w:val="auto"/>
                <w:kern w:val="0"/>
                <w:sz w:val="24"/>
                <w:highlight w:val="none"/>
              </w:rPr>
              <w:t>龙泉路市政污水管网，最终进入昆明第五水质净化厂。</w:t>
            </w:r>
          </w:p>
          <w:p w14:paraId="0618D5E3">
            <w:pPr>
              <w:keepNext w:val="0"/>
              <w:keepLines w:val="0"/>
              <w:suppressLineNumbers w:val="0"/>
              <w:wordWrap w:val="0"/>
              <w:topLinePunct/>
              <w:adjustRightInd w:val="0"/>
              <w:spacing w:before="0" w:beforeAutospacing="0" w:after="0" w:afterAutospacing="0" w:line="360" w:lineRule="auto"/>
              <w:ind w:left="0" w:right="0" w:firstLine="482" w:firstLineChars="200"/>
              <w:jc w:val="left"/>
              <w:textAlignment w:val="baseline"/>
              <w:rPr>
                <w:rFonts w:hint="eastAsia"/>
                <w:b/>
                <w:bCs/>
                <w:color w:val="auto"/>
                <w:sz w:val="24"/>
                <w:lang w:val="en-US" w:eastAsia="zh-CN"/>
              </w:rPr>
            </w:pPr>
          </w:p>
          <w:p w14:paraId="117AB2FB">
            <w:pPr>
              <w:keepNext w:val="0"/>
              <w:keepLines w:val="0"/>
              <w:suppressLineNumbers w:val="0"/>
              <w:wordWrap w:val="0"/>
              <w:topLinePunct/>
              <w:adjustRightInd w:val="0"/>
              <w:spacing w:before="0" w:beforeAutospacing="0" w:after="0" w:afterAutospacing="0" w:line="360" w:lineRule="auto"/>
              <w:ind w:left="0" w:right="0" w:firstLine="482" w:firstLineChars="200"/>
              <w:jc w:val="left"/>
              <w:textAlignment w:val="baseline"/>
              <w:rPr>
                <w:rFonts w:hint="default" w:eastAsia="Times New Roman"/>
                <w:b/>
                <w:bCs/>
                <w:color w:val="auto"/>
                <w:sz w:val="24"/>
              </w:rPr>
            </w:pPr>
            <w:r>
              <w:rPr>
                <w:rFonts w:hint="eastAsia"/>
                <w:b/>
                <w:bCs/>
                <w:color w:val="auto"/>
                <w:sz w:val="24"/>
                <w:lang w:val="en-US" w:eastAsia="zh-CN"/>
              </w:rPr>
              <w:t>4、</w:t>
            </w:r>
            <w:r>
              <w:rPr>
                <w:rFonts w:hint="default"/>
                <w:b/>
                <w:bCs/>
                <w:color w:val="auto"/>
                <w:sz w:val="24"/>
              </w:rPr>
              <w:t>地面</w:t>
            </w:r>
            <w:r>
              <w:rPr>
                <w:rFonts w:hint="eastAsia"/>
                <w:b/>
                <w:bCs/>
                <w:color w:val="auto"/>
                <w:sz w:val="24"/>
                <w:lang w:val="en-US" w:eastAsia="zh-CN"/>
              </w:rPr>
              <w:t>清洁</w:t>
            </w:r>
            <w:r>
              <w:rPr>
                <w:rFonts w:hint="default"/>
                <w:b/>
                <w:bCs/>
                <w:color w:val="auto"/>
                <w:sz w:val="24"/>
              </w:rPr>
              <w:t>废水</w:t>
            </w:r>
          </w:p>
          <w:p w14:paraId="037BDA7C">
            <w:pPr>
              <w:keepNext w:val="0"/>
              <w:keepLines w:val="0"/>
              <w:suppressLineNumbers w:val="0"/>
              <w:spacing w:before="0" w:beforeAutospacing="0" w:after="0" w:afterAutospacing="0" w:line="360" w:lineRule="auto"/>
              <w:ind w:left="0" w:right="0" w:firstLine="480" w:firstLineChars="200"/>
              <w:outlineLvl w:val="0"/>
              <w:rPr>
                <w:rFonts w:hint="default"/>
                <w:color w:val="auto"/>
                <w:szCs w:val="21"/>
              </w:rPr>
            </w:pPr>
            <w:r>
              <w:rPr>
                <w:rFonts w:hint="default"/>
                <w:color w:val="auto"/>
                <w:sz w:val="24"/>
              </w:rPr>
              <w:t>项目总建筑面积</w:t>
            </w:r>
            <w:r>
              <w:rPr>
                <w:rFonts w:hint="eastAsia"/>
                <w:color w:val="auto"/>
                <w:sz w:val="24"/>
                <w:lang w:val="en-US" w:eastAsia="zh-CN"/>
              </w:rPr>
              <w:t>24</w:t>
            </w:r>
            <w:r>
              <w:rPr>
                <w:rFonts w:hint="default"/>
                <w:color w:val="auto"/>
                <w:sz w:val="24"/>
              </w:rPr>
              <w:t>22.04m</w:t>
            </w:r>
            <w:r>
              <w:rPr>
                <w:rFonts w:hint="default"/>
                <w:color w:val="auto"/>
                <w:sz w:val="24"/>
                <w:vertAlign w:val="superscript"/>
              </w:rPr>
              <w:t>2</w:t>
            </w:r>
            <w:r>
              <w:rPr>
                <w:rFonts w:hint="default"/>
                <w:color w:val="auto"/>
                <w:sz w:val="24"/>
              </w:rPr>
              <w:t>，需要清洁的地面面积按总建筑面积的60%计，则需清洁地面面积为</w:t>
            </w:r>
            <w:r>
              <w:rPr>
                <w:rFonts w:hint="eastAsia"/>
                <w:color w:val="auto"/>
                <w:sz w:val="24"/>
                <w:lang w:val="en-US" w:eastAsia="zh-CN"/>
              </w:rPr>
              <w:t>1453.224</w:t>
            </w:r>
            <w:r>
              <w:rPr>
                <w:rFonts w:hint="default"/>
                <w:color w:val="auto"/>
                <w:sz w:val="24"/>
              </w:rPr>
              <w:t>m</w:t>
            </w:r>
            <w:r>
              <w:rPr>
                <w:rFonts w:hint="default"/>
                <w:color w:val="auto"/>
                <w:sz w:val="24"/>
                <w:vertAlign w:val="superscript"/>
              </w:rPr>
              <w:t>2</w:t>
            </w:r>
            <w:r>
              <w:rPr>
                <w:rFonts w:hint="default"/>
                <w:color w:val="auto"/>
                <w:sz w:val="24"/>
              </w:rPr>
              <w:t>，主要使用拖把拖洗，不进行冲洗，清洁用水按0.15L/m</w:t>
            </w:r>
            <w:r>
              <w:rPr>
                <w:rFonts w:hint="default"/>
                <w:color w:val="auto"/>
                <w:sz w:val="24"/>
                <w:vertAlign w:val="superscript"/>
              </w:rPr>
              <w:t>2</w:t>
            </w:r>
            <w:r>
              <w:rPr>
                <w:rFonts w:hint="default"/>
                <w:color w:val="auto"/>
                <w:sz w:val="24"/>
              </w:rPr>
              <w:t>·d计，则地面清洁用水量为0.</w:t>
            </w:r>
            <w:r>
              <w:rPr>
                <w:rFonts w:hint="eastAsia"/>
                <w:color w:val="auto"/>
                <w:sz w:val="24"/>
                <w:lang w:val="en-US" w:eastAsia="zh-CN"/>
              </w:rPr>
              <w:t>218</w:t>
            </w:r>
            <w:r>
              <w:rPr>
                <w:rFonts w:hint="default"/>
                <w:color w:val="auto"/>
                <w:sz w:val="24"/>
              </w:rPr>
              <w:t>m</w:t>
            </w:r>
            <w:r>
              <w:rPr>
                <w:rFonts w:hint="default"/>
                <w:color w:val="auto"/>
                <w:sz w:val="24"/>
                <w:vertAlign w:val="superscript"/>
              </w:rPr>
              <w:t>3</w:t>
            </w:r>
            <w:r>
              <w:rPr>
                <w:rFonts w:hint="default"/>
                <w:color w:val="auto"/>
                <w:sz w:val="24"/>
              </w:rPr>
              <w:t>/d（</w:t>
            </w:r>
            <w:r>
              <w:rPr>
                <w:rFonts w:hint="eastAsia"/>
                <w:color w:val="auto"/>
                <w:sz w:val="24"/>
                <w:lang w:val="en-US" w:eastAsia="zh-CN"/>
              </w:rPr>
              <w:t>65.4</w:t>
            </w:r>
            <w:r>
              <w:rPr>
                <w:rFonts w:hint="default"/>
                <w:color w:val="auto"/>
                <w:sz w:val="24"/>
              </w:rPr>
              <w:t>m</w:t>
            </w:r>
            <w:r>
              <w:rPr>
                <w:rFonts w:hint="default"/>
                <w:color w:val="auto"/>
                <w:sz w:val="24"/>
                <w:vertAlign w:val="superscript"/>
              </w:rPr>
              <w:t>3</w:t>
            </w:r>
            <w:r>
              <w:rPr>
                <w:rFonts w:hint="default"/>
                <w:color w:val="auto"/>
                <w:sz w:val="24"/>
              </w:rPr>
              <w:t>/a），废水排放系数取0.8，则产生的地面清洁废水量为0.</w:t>
            </w:r>
            <w:r>
              <w:rPr>
                <w:rFonts w:hint="eastAsia"/>
                <w:color w:val="auto"/>
                <w:sz w:val="24"/>
                <w:lang w:val="en-US" w:eastAsia="zh-CN"/>
              </w:rPr>
              <w:t>1744</w:t>
            </w:r>
            <w:r>
              <w:rPr>
                <w:rFonts w:hint="default"/>
                <w:color w:val="auto"/>
                <w:sz w:val="24"/>
              </w:rPr>
              <w:t>m</w:t>
            </w:r>
            <w:r>
              <w:rPr>
                <w:rFonts w:hint="default"/>
                <w:color w:val="auto"/>
                <w:sz w:val="24"/>
                <w:vertAlign w:val="superscript"/>
              </w:rPr>
              <w:t>3</w:t>
            </w:r>
            <w:r>
              <w:rPr>
                <w:rFonts w:hint="default"/>
                <w:color w:val="auto"/>
                <w:sz w:val="24"/>
              </w:rPr>
              <w:t>/d（</w:t>
            </w:r>
            <w:r>
              <w:rPr>
                <w:rFonts w:hint="eastAsia"/>
                <w:color w:val="auto"/>
                <w:sz w:val="24"/>
                <w:lang w:val="en-US" w:eastAsia="zh-CN"/>
              </w:rPr>
              <w:t>52.32</w:t>
            </w:r>
            <w:r>
              <w:rPr>
                <w:rFonts w:hint="default"/>
                <w:color w:val="auto"/>
                <w:sz w:val="24"/>
              </w:rPr>
              <w:t>m</w:t>
            </w:r>
            <w:r>
              <w:rPr>
                <w:rFonts w:hint="default"/>
                <w:color w:val="auto"/>
                <w:sz w:val="24"/>
                <w:vertAlign w:val="superscript"/>
              </w:rPr>
              <w:t>3</w:t>
            </w:r>
            <w:r>
              <w:rPr>
                <w:rFonts w:hint="default"/>
                <w:color w:val="auto"/>
                <w:sz w:val="24"/>
              </w:rPr>
              <w:t>/a），地面清洁废水水质浓度为SS300mg/L。</w:t>
            </w:r>
          </w:p>
          <w:p w14:paraId="3C53D62D">
            <w:pPr>
              <w:keepNext w:val="0"/>
              <w:keepLines w:val="0"/>
              <w:suppressLineNumbers w:val="0"/>
              <w:wordWrap w:val="0"/>
              <w:topLinePunct/>
              <w:adjustRightInd w:val="0"/>
              <w:spacing w:before="0" w:beforeAutospacing="0" w:after="0" w:afterAutospacing="0" w:line="360" w:lineRule="auto"/>
              <w:ind w:left="0" w:right="0" w:firstLine="482" w:firstLineChars="200"/>
              <w:jc w:val="left"/>
              <w:textAlignment w:val="baseline"/>
              <w:rPr>
                <w:rFonts w:hint="default"/>
                <w:b/>
                <w:bCs/>
                <w:color w:val="auto"/>
                <w:sz w:val="24"/>
              </w:rPr>
            </w:pPr>
            <w:r>
              <w:rPr>
                <w:rFonts w:hint="eastAsia"/>
                <w:b/>
                <w:bCs/>
                <w:color w:val="auto"/>
                <w:sz w:val="24"/>
                <w:lang w:val="en-US" w:eastAsia="zh-CN"/>
              </w:rPr>
              <w:t>5、</w:t>
            </w:r>
            <w:r>
              <w:rPr>
                <w:rFonts w:hint="default"/>
                <w:b/>
                <w:bCs/>
                <w:color w:val="auto"/>
                <w:sz w:val="24"/>
              </w:rPr>
              <w:t>生活用水</w:t>
            </w:r>
          </w:p>
          <w:p w14:paraId="144F6C7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lang w:bidi="ar"/>
              </w:rPr>
            </w:pPr>
            <w:r>
              <w:rPr>
                <w:rFonts w:hint="eastAsia"/>
                <w:color w:val="auto"/>
                <w:kern w:val="0"/>
                <w:sz w:val="24"/>
                <w:lang w:val="en-US" w:eastAsia="zh-CN" w:bidi="ar"/>
              </w:rPr>
              <w:t>本</w:t>
            </w:r>
            <w:r>
              <w:rPr>
                <w:rFonts w:hint="default"/>
                <w:color w:val="auto"/>
                <w:kern w:val="0"/>
                <w:sz w:val="24"/>
                <w:lang w:bidi="ar"/>
              </w:rPr>
              <w:t>项目</w:t>
            </w:r>
            <w:r>
              <w:rPr>
                <w:rFonts w:hint="eastAsia"/>
                <w:color w:val="auto"/>
                <w:kern w:val="0"/>
                <w:sz w:val="24"/>
                <w:lang w:val="en-US" w:eastAsia="zh-CN" w:bidi="ar"/>
              </w:rPr>
              <w:t>生活废水主要是员工的办公和冲厕废水，食堂废水。项目建成后预计有员工</w:t>
            </w:r>
            <w:r>
              <w:rPr>
                <w:rFonts w:hint="default"/>
                <w:color w:val="auto"/>
                <w:kern w:val="0"/>
                <w:sz w:val="24"/>
                <w:lang w:bidi="ar"/>
              </w:rPr>
              <w:t>45人，其中20人为实验室人员，25人为现场检测人员</w:t>
            </w:r>
            <w:r>
              <w:rPr>
                <w:rFonts w:hint="eastAsia"/>
                <w:color w:val="auto"/>
                <w:kern w:val="0"/>
                <w:sz w:val="24"/>
                <w:lang w:eastAsia="zh-CN" w:bidi="ar"/>
              </w:rPr>
              <w:t>（</w:t>
            </w:r>
            <w:r>
              <w:rPr>
                <w:rFonts w:hint="eastAsia"/>
                <w:color w:val="auto"/>
                <w:kern w:val="0"/>
                <w:sz w:val="24"/>
                <w:lang w:val="en-US" w:eastAsia="zh-CN" w:bidi="ar"/>
              </w:rPr>
              <w:t>不在项目区内办公</w:t>
            </w:r>
            <w:r>
              <w:rPr>
                <w:rFonts w:hint="eastAsia"/>
                <w:color w:val="auto"/>
                <w:kern w:val="0"/>
                <w:sz w:val="24"/>
                <w:lang w:eastAsia="zh-CN" w:bidi="ar"/>
              </w:rPr>
              <w:t>）</w:t>
            </w:r>
            <w:r>
              <w:rPr>
                <w:rFonts w:hint="default"/>
                <w:color w:val="auto"/>
                <w:kern w:val="0"/>
                <w:sz w:val="24"/>
                <w:lang w:bidi="ar"/>
              </w:rPr>
              <w:t>。另有云南秀川水利水电勘察设计有限公司70人与本项目共用一栋办公楼和食堂</w:t>
            </w:r>
            <w:r>
              <w:rPr>
                <w:rFonts w:hint="eastAsia"/>
                <w:color w:val="auto"/>
                <w:kern w:val="0"/>
                <w:sz w:val="24"/>
                <w:lang w:val="en-US" w:eastAsia="zh-CN" w:bidi="ar"/>
              </w:rPr>
              <w:t>就餐</w:t>
            </w:r>
            <w:r>
              <w:rPr>
                <w:rFonts w:hint="default"/>
                <w:color w:val="auto"/>
                <w:kern w:val="0"/>
                <w:sz w:val="24"/>
                <w:lang w:bidi="ar"/>
              </w:rPr>
              <w:t>，生活废水纳入本项目管理。</w:t>
            </w:r>
            <w:r>
              <w:rPr>
                <w:rFonts w:hint="eastAsia"/>
                <w:color w:val="auto"/>
                <w:kern w:val="0"/>
                <w:sz w:val="24"/>
                <w:lang w:val="en-US" w:eastAsia="zh-CN" w:bidi="ar"/>
              </w:rPr>
              <w:t>本</w:t>
            </w:r>
            <w:r>
              <w:rPr>
                <w:rFonts w:hint="default"/>
                <w:color w:val="auto"/>
                <w:kern w:val="0"/>
                <w:sz w:val="24"/>
                <w:lang w:bidi="ar"/>
              </w:rPr>
              <w:t>项目共有90人在</w:t>
            </w:r>
            <w:r>
              <w:rPr>
                <w:rFonts w:hint="eastAsia"/>
                <w:color w:val="auto"/>
                <w:kern w:val="0"/>
                <w:sz w:val="24"/>
                <w:lang w:val="en-US" w:eastAsia="zh-CN" w:bidi="ar"/>
              </w:rPr>
              <w:t>食堂</w:t>
            </w:r>
            <w:r>
              <w:rPr>
                <w:rFonts w:hint="default"/>
                <w:color w:val="auto"/>
                <w:kern w:val="0"/>
                <w:sz w:val="24"/>
                <w:lang w:bidi="ar"/>
              </w:rPr>
              <w:t>用餐。</w:t>
            </w:r>
          </w:p>
          <w:p w14:paraId="263EC93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lang w:bidi="ar"/>
              </w:rPr>
            </w:pPr>
            <w:r>
              <w:rPr>
                <w:rFonts w:hint="default"/>
                <w:color w:val="auto"/>
                <w:kern w:val="0"/>
                <w:sz w:val="24"/>
                <w:lang w:bidi="ar"/>
              </w:rPr>
              <w:t>根据《云南省地方标准用水定额》（DB53/T168-2019），</w:t>
            </w:r>
            <w:r>
              <w:rPr>
                <w:rFonts w:hint="eastAsia"/>
                <w:color w:val="auto"/>
                <w:kern w:val="0"/>
                <w:sz w:val="24"/>
                <w:lang w:val="en-US" w:eastAsia="zh-CN" w:bidi="ar"/>
              </w:rPr>
              <w:t>项目属于办公楼-有食堂用水，其</w:t>
            </w:r>
            <w:r>
              <w:rPr>
                <w:rFonts w:hint="default"/>
                <w:color w:val="auto"/>
                <w:kern w:val="0"/>
                <w:sz w:val="24"/>
                <w:lang w:bidi="ar"/>
              </w:rPr>
              <w:t>用水量按</w:t>
            </w:r>
            <w:r>
              <w:rPr>
                <w:rFonts w:hint="eastAsia"/>
                <w:color w:val="auto"/>
                <w:kern w:val="0"/>
                <w:sz w:val="24"/>
                <w:lang w:val="en-US" w:eastAsia="zh-CN" w:bidi="ar"/>
              </w:rPr>
              <w:t>50</w:t>
            </w:r>
            <w:r>
              <w:rPr>
                <w:rFonts w:hint="default"/>
                <w:color w:val="auto"/>
                <w:kern w:val="0"/>
                <w:sz w:val="24"/>
                <w:lang w:bidi="ar"/>
              </w:rPr>
              <w:t>L/（人·d）计，其中食堂用水为20L/（人·d），则员工生活用水量</w:t>
            </w:r>
            <w:r>
              <w:rPr>
                <w:rFonts w:hint="eastAsia"/>
                <w:color w:val="auto"/>
                <w:kern w:val="0"/>
                <w:sz w:val="24"/>
                <w:lang w:val="en-US" w:eastAsia="zh-CN" w:bidi="ar"/>
              </w:rPr>
              <w:t>4.5</w:t>
            </w:r>
            <w:r>
              <w:rPr>
                <w:rFonts w:hint="default"/>
                <w:color w:val="auto"/>
                <w:kern w:val="0"/>
                <w:sz w:val="24"/>
                <w:lang w:bidi="ar"/>
              </w:rPr>
              <w:t>m</w:t>
            </w:r>
            <w:r>
              <w:rPr>
                <w:rFonts w:hint="default"/>
                <w:color w:val="auto"/>
                <w:kern w:val="0"/>
                <w:sz w:val="24"/>
                <w:vertAlign w:val="superscript"/>
                <w:lang w:bidi="ar"/>
              </w:rPr>
              <w:t>3</w:t>
            </w:r>
            <w:r>
              <w:rPr>
                <w:rFonts w:hint="default"/>
                <w:color w:val="auto"/>
                <w:kern w:val="0"/>
                <w:sz w:val="24"/>
                <w:lang w:bidi="ar"/>
              </w:rPr>
              <w:t>/d（</w:t>
            </w:r>
            <w:r>
              <w:rPr>
                <w:rFonts w:hint="eastAsia"/>
                <w:color w:val="auto"/>
                <w:kern w:val="0"/>
                <w:sz w:val="24"/>
                <w:lang w:val="en-US" w:eastAsia="zh-CN" w:bidi="ar"/>
              </w:rPr>
              <w:t>1350</w:t>
            </w:r>
            <w:r>
              <w:rPr>
                <w:rFonts w:hint="default"/>
                <w:color w:val="auto"/>
                <w:kern w:val="0"/>
                <w:sz w:val="24"/>
                <w:lang w:bidi="ar"/>
              </w:rPr>
              <w:t>m</w:t>
            </w:r>
            <w:r>
              <w:rPr>
                <w:rFonts w:hint="default"/>
                <w:color w:val="auto"/>
                <w:kern w:val="0"/>
                <w:sz w:val="24"/>
                <w:vertAlign w:val="superscript"/>
                <w:lang w:bidi="ar"/>
              </w:rPr>
              <w:t>3</w:t>
            </w:r>
            <w:r>
              <w:rPr>
                <w:rFonts w:hint="default"/>
                <w:color w:val="auto"/>
                <w:kern w:val="0"/>
                <w:sz w:val="24"/>
                <w:lang w:bidi="ar"/>
              </w:rPr>
              <w:t>/a），其中食堂用水量为</w:t>
            </w:r>
            <w:r>
              <w:rPr>
                <w:rFonts w:hint="eastAsia"/>
                <w:color w:val="auto"/>
                <w:kern w:val="0"/>
                <w:sz w:val="24"/>
                <w:lang w:val="en-US" w:eastAsia="zh-CN" w:bidi="ar"/>
              </w:rPr>
              <w:t>0.9</w:t>
            </w:r>
            <w:r>
              <w:rPr>
                <w:rFonts w:hint="default"/>
                <w:color w:val="auto"/>
                <w:kern w:val="0"/>
                <w:sz w:val="24"/>
                <w:lang w:bidi="ar"/>
              </w:rPr>
              <w:t>m</w:t>
            </w:r>
            <w:r>
              <w:rPr>
                <w:rFonts w:hint="default"/>
                <w:color w:val="auto"/>
                <w:kern w:val="0"/>
                <w:sz w:val="24"/>
                <w:vertAlign w:val="superscript"/>
                <w:lang w:bidi="ar"/>
              </w:rPr>
              <w:t>3</w:t>
            </w:r>
            <w:r>
              <w:rPr>
                <w:rFonts w:hint="default"/>
                <w:color w:val="auto"/>
                <w:kern w:val="0"/>
                <w:sz w:val="24"/>
                <w:lang w:bidi="ar"/>
              </w:rPr>
              <w:t>/d（</w:t>
            </w:r>
            <w:r>
              <w:rPr>
                <w:rFonts w:hint="eastAsia"/>
                <w:color w:val="auto"/>
                <w:kern w:val="0"/>
                <w:sz w:val="24"/>
                <w:lang w:val="en-US" w:eastAsia="zh-CN" w:bidi="ar"/>
              </w:rPr>
              <w:t>270</w:t>
            </w:r>
            <w:r>
              <w:rPr>
                <w:rFonts w:hint="default"/>
                <w:color w:val="auto"/>
                <w:kern w:val="0"/>
                <w:sz w:val="24"/>
                <w:lang w:bidi="ar"/>
              </w:rPr>
              <w:t>m</w:t>
            </w:r>
            <w:r>
              <w:rPr>
                <w:rFonts w:hint="default"/>
                <w:color w:val="auto"/>
                <w:kern w:val="0"/>
                <w:sz w:val="24"/>
                <w:vertAlign w:val="superscript"/>
                <w:lang w:bidi="ar"/>
              </w:rPr>
              <w:t>3</w:t>
            </w:r>
            <w:r>
              <w:rPr>
                <w:rFonts w:hint="default"/>
                <w:color w:val="auto"/>
                <w:kern w:val="0"/>
                <w:sz w:val="24"/>
                <w:lang w:bidi="ar"/>
              </w:rPr>
              <w:t>/a），废水按用水量的80%计，则员工生活</w:t>
            </w:r>
            <w:r>
              <w:rPr>
                <w:rFonts w:hint="eastAsia"/>
                <w:color w:val="auto"/>
                <w:kern w:val="0"/>
                <w:sz w:val="24"/>
                <w:lang w:val="en-US" w:eastAsia="zh-CN" w:bidi="ar"/>
              </w:rPr>
              <w:t>废</w:t>
            </w:r>
            <w:r>
              <w:rPr>
                <w:rFonts w:hint="default"/>
                <w:color w:val="auto"/>
                <w:kern w:val="0"/>
                <w:sz w:val="24"/>
                <w:lang w:bidi="ar"/>
              </w:rPr>
              <w:t>水量约为</w:t>
            </w:r>
            <w:r>
              <w:rPr>
                <w:rFonts w:hint="eastAsia"/>
                <w:color w:val="auto"/>
                <w:kern w:val="0"/>
                <w:sz w:val="24"/>
                <w:lang w:val="en-US" w:eastAsia="zh-CN" w:bidi="ar"/>
              </w:rPr>
              <w:t>3.6</w:t>
            </w:r>
            <w:r>
              <w:rPr>
                <w:rFonts w:hint="default"/>
                <w:color w:val="auto"/>
                <w:kern w:val="0"/>
                <w:sz w:val="24"/>
                <w:lang w:bidi="ar"/>
              </w:rPr>
              <w:t>m</w:t>
            </w:r>
            <w:r>
              <w:rPr>
                <w:rFonts w:hint="default"/>
                <w:color w:val="auto"/>
                <w:kern w:val="0"/>
                <w:sz w:val="24"/>
                <w:vertAlign w:val="superscript"/>
                <w:lang w:bidi="ar"/>
              </w:rPr>
              <w:t>3</w:t>
            </w:r>
            <w:r>
              <w:rPr>
                <w:rFonts w:hint="default"/>
                <w:color w:val="auto"/>
                <w:kern w:val="0"/>
                <w:sz w:val="24"/>
                <w:lang w:bidi="ar"/>
              </w:rPr>
              <w:t>/d（</w:t>
            </w:r>
            <w:r>
              <w:rPr>
                <w:rFonts w:hint="eastAsia"/>
                <w:color w:val="auto"/>
                <w:kern w:val="0"/>
                <w:sz w:val="24"/>
                <w:lang w:val="en-US" w:eastAsia="zh-CN" w:bidi="ar"/>
              </w:rPr>
              <w:t>1080</w:t>
            </w:r>
            <w:r>
              <w:rPr>
                <w:rFonts w:hint="default"/>
                <w:color w:val="auto"/>
                <w:kern w:val="0"/>
                <w:sz w:val="24"/>
                <w:lang w:bidi="ar"/>
              </w:rPr>
              <w:t>m</w:t>
            </w:r>
            <w:r>
              <w:rPr>
                <w:rFonts w:hint="default"/>
                <w:color w:val="auto"/>
                <w:kern w:val="0"/>
                <w:sz w:val="24"/>
                <w:vertAlign w:val="superscript"/>
                <w:lang w:bidi="ar"/>
              </w:rPr>
              <w:t>3</w:t>
            </w:r>
            <w:r>
              <w:rPr>
                <w:rFonts w:hint="default"/>
                <w:color w:val="auto"/>
                <w:kern w:val="0"/>
                <w:sz w:val="24"/>
                <w:lang w:bidi="ar"/>
              </w:rPr>
              <w:t>/a），其中食堂废水量为</w:t>
            </w:r>
            <w:r>
              <w:rPr>
                <w:rFonts w:hint="eastAsia"/>
                <w:color w:val="auto"/>
                <w:kern w:val="0"/>
                <w:sz w:val="24"/>
                <w:lang w:val="en-US" w:eastAsia="zh-CN" w:bidi="ar"/>
              </w:rPr>
              <w:t>0.72</w:t>
            </w:r>
            <w:r>
              <w:rPr>
                <w:rFonts w:hint="default"/>
                <w:color w:val="auto"/>
                <w:kern w:val="0"/>
                <w:sz w:val="24"/>
                <w:lang w:bidi="ar"/>
              </w:rPr>
              <w:t>m</w:t>
            </w:r>
            <w:r>
              <w:rPr>
                <w:rFonts w:hint="default"/>
                <w:color w:val="auto"/>
                <w:kern w:val="0"/>
                <w:sz w:val="24"/>
                <w:vertAlign w:val="superscript"/>
                <w:lang w:bidi="ar"/>
              </w:rPr>
              <w:t>3</w:t>
            </w:r>
            <w:r>
              <w:rPr>
                <w:rFonts w:hint="default"/>
                <w:color w:val="auto"/>
                <w:kern w:val="0"/>
                <w:sz w:val="24"/>
                <w:lang w:bidi="ar"/>
              </w:rPr>
              <w:t>/d（</w:t>
            </w:r>
            <w:r>
              <w:rPr>
                <w:rFonts w:hint="eastAsia"/>
                <w:color w:val="auto"/>
                <w:kern w:val="0"/>
                <w:sz w:val="24"/>
                <w:lang w:val="en-US" w:eastAsia="zh-CN" w:bidi="ar"/>
              </w:rPr>
              <w:t>216</w:t>
            </w:r>
            <w:r>
              <w:rPr>
                <w:rFonts w:hint="default"/>
                <w:color w:val="auto"/>
                <w:kern w:val="0"/>
                <w:sz w:val="24"/>
                <w:lang w:bidi="ar"/>
              </w:rPr>
              <w:t>m</w:t>
            </w:r>
            <w:r>
              <w:rPr>
                <w:rFonts w:hint="default"/>
                <w:color w:val="auto"/>
                <w:kern w:val="0"/>
                <w:sz w:val="24"/>
                <w:vertAlign w:val="superscript"/>
                <w:lang w:bidi="ar"/>
              </w:rPr>
              <w:t>3</w:t>
            </w:r>
            <w:r>
              <w:rPr>
                <w:rFonts w:hint="default"/>
                <w:color w:val="auto"/>
                <w:kern w:val="0"/>
                <w:sz w:val="24"/>
                <w:lang w:bidi="ar"/>
              </w:rPr>
              <w:t>/a）。生活污水中污染物浓度约为COD350mg/L、BOD250mg/L、SS200mg/L、氨氮30mg/L、动植物油25mg/L、磷酸盐8mg/L。</w:t>
            </w:r>
          </w:p>
          <w:p w14:paraId="65F53177">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表4-</w:t>
            </w:r>
            <w:r>
              <w:rPr>
                <w:rFonts w:hint="eastAsia"/>
                <w:b/>
                <w:color w:val="auto"/>
                <w:szCs w:val="21"/>
                <w:lang w:val="en-US" w:eastAsia="zh-CN"/>
              </w:rPr>
              <w:t>6</w:t>
            </w:r>
            <w:r>
              <w:rPr>
                <w:rFonts w:hint="default"/>
                <w:b/>
                <w:color w:val="auto"/>
                <w:szCs w:val="21"/>
              </w:rPr>
              <w:t xml:space="preserve">     本项目用排水情况一览表</w:t>
            </w:r>
          </w:p>
          <w:tbl>
            <w:tblPr>
              <w:tblStyle w:val="17"/>
              <w:tblW w:w="4993"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402"/>
              <w:gridCol w:w="1301"/>
              <w:gridCol w:w="761"/>
              <w:gridCol w:w="926"/>
              <w:gridCol w:w="734"/>
              <w:gridCol w:w="707"/>
              <w:gridCol w:w="871"/>
              <w:gridCol w:w="911"/>
              <w:gridCol w:w="1947"/>
            </w:tblGrid>
            <w:tr w14:paraId="6369C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19" w:hRule="atLeast"/>
              </w:trPr>
              <w:tc>
                <w:tcPr>
                  <w:tcW w:w="994" w:type="pct"/>
                  <w:gridSpan w:val="2"/>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52BD3B69">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用水类别</w:t>
                  </w:r>
                </w:p>
              </w:tc>
              <w:tc>
                <w:tcPr>
                  <w:tcW w:w="985"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6FD87DD6">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eastAsia" w:ascii="Times New Roman" w:hAnsi="Times New Roman" w:eastAsia="宋体" w:cs="宋体"/>
                      <w:b/>
                      <w:bCs w:val="0"/>
                      <w:color w:val="auto"/>
                      <w:kern w:val="2"/>
                      <w:sz w:val="21"/>
                      <w:szCs w:val="21"/>
                      <w:lang w:val="en-US" w:eastAsia="zh-CN" w:bidi="ar"/>
                    </w:rPr>
                    <w:t>新鲜用水量</w:t>
                  </w:r>
                </w:p>
              </w:tc>
              <w:tc>
                <w:tcPr>
                  <w:tcW w:w="841"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4A667D6F">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eastAsia" w:ascii="Times New Roman" w:hAnsi="Times New Roman" w:eastAsia="宋体" w:cs="宋体"/>
                      <w:b/>
                      <w:bCs w:val="0"/>
                      <w:color w:val="auto"/>
                      <w:kern w:val="2"/>
                      <w:sz w:val="21"/>
                      <w:szCs w:val="21"/>
                      <w:lang w:val="en-US" w:eastAsia="zh-CN" w:bidi="ar"/>
                    </w:rPr>
                    <w:t>纯水用量</w:t>
                  </w:r>
                </w:p>
              </w:tc>
              <w:tc>
                <w:tcPr>
                  <w:tcW w:w="104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6B75D0AC">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污水量</w:t>
                  </w:r>
                </w:p>
              </w:tc>
              <w:tc>
                <w:tcPr>
                  <w:tcW w:w="1137"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50DA0680">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备注</w:t>
                  </w:r>
                </w:p>
              </w:tc>
            </w:tr>
            <w:tr w14:paraId="54ADB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19" w:hRule="atLeast"/>
              </w:trPr>
              <w:tc>
                <w:tcPr>
                  <w:tcW w:w="994" w:type="pct"/>
                  <w:gridSpan w:val="2"/>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17C527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4EAA1F9B">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default" w:ascii="Times New Roman" w:hAnsi="Times New Roman" w:eastAsia="宋体" w:cs="Times New Roman"/>
                      <w:b/>
                      <w:bCs w:val="0"/>
                      <w:color w:val="auto"/>
                      <w:kern w:val="2"/>
                      <w:sz w:val="21"/>
                      <w:szCs w:val="21"/>
                      <w:lang w:val="en-US" w:eastAsia="zh-CN" w:bidi="ar"/>
                    </w:rPr>
                    <w:t>m³/d</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11DB4B9D">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default" w:ascii="Times New Roman" w:hAnsi="Times New Roman" w:eastAsia="宋体" w:cs="Times New Roman"/>
                      <w:b/>
                      <w:bCs w:val="0"/>
                      <w:color w:val="auto"/>
                      <w:kern w:val="2"/>
                      <w:sz w:val="21"/>
                      <w:szCs w:val="21"/>
                      <w:lang w:val="en-US" w:eastAsia="zh-CN" w:bidi="ar"/>
                    </w:rPr>
                    <w:t>m³/a</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7D1C5FA6">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default" w:ascii="Times New Roman" w:hAnsi="Times New Roman" w:eastAsia="宋体" w:cs="Times New Roman"/>
                      <w:b/>
                      <w:bCs w:val="0"/>
                      <w:color w:val="auto"/>
                      <w:kern w:val="2"/>
                      <w:sz w:val="21"/>
                      <w:szCs w:val="21"/>
                      <w:lang w:val="en-US" w:eastAsia="zh-CN" w:bidi="ar"/>
                    </w:rPr>
                    <w:t>m³/d</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49D48E39">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default" w:ascii="Times New Roman" w:hAnsi="Times New Roman" w:eastAsia="宋体" w:cs="Times New Roman"/>
                      <w:b/>
                      <w:bCs w:val="0"/>
                      <w:color w:val="auto"/>
                      <w:kern w:val="2"/>
                      <w:sz w:val="21"/>
                      <w:szCs w:val="21"/>
                      <w:lang w:val="en-US" w:eastAsia="zh-CN" w:bidi="ar"/>
                    </w:rPr>
                    <w:t>m³/a</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10B0B2DC">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default" w:ascii="Times New Roman" w:hAnsi="Times New Roman" w:eastAsia="宋体" w:cs="Times New Roman"/>
                      <w:b/>
                      <w:bCs w:val="0"/>
                      <w:color w:val="auto"/>
                      <w:kern w:val="2"/>
                      <w:sz w:val="21"/>
                      <w:szCs w:val="21"/>
                      <w:lang w:val="en-US" w:eastAsia="zh-CN" w:bidi="ar"/>
                    </w:rPr>
                    <w:t>m³/d</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24E70BAD">
                  <w:pPr>
                    <w:keepNext w:val="0"/>
                    <w:keepLines w:val="0"/>
                    <w:widowControl w:val="0"/>
                    <w:suppressLineNumbers w:val="0"/>
                    <w:spacing w:before="0" w:beforeAutospacing="0" w:after="0" w:afterAutospacing="0"/>
                    <w:ind w:left="0" w:right="0"/>
                    <w:jc w:val="center"/>
                    <w:rPr>
                      <w:rFonts w:hint="default" w:cs="宋体"/>
                      <w:b/>
                      <w:bCs w:val="0"/>
                      <w:color w:val="auto"/>
                      <w:szCs w:val="21"/>
                      <w:lang w:val="en-US" w:bidi="ar"/>
                    </w:rPr>
                  </w:pPr>
                  <w:r>
                    <w:rPr>
                      <w:rFonts w:hint="default" w:ascii="Times New Roman" w:hAnsi="Times New Roman" w:eastAsia="宋体" w:cs="Times New Roman"/>
                      <w:b/>
                      <w:bCs w:val="0"/>
                      <w:color w:val="auto"/>
                      <w:kern w:val="2"/>
                      <w:sz w:val="21"/>
                      <w:szCs w:val="21"/>
                      <w:lang w:val="en-US" w:eastAsia="zh-CN" w:bidi="ar"/>
                    </w:rPr>
                    <w:t>m³/a</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2E04FA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01CFA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34"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311B2818">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办公生活区</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04723926">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食堂废水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08C51F04">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0.9</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5F292CD4">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270</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1F32E1E9">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4C1DE550">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0F905D15">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0.72</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0099D52B">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216</w:t>
                  </w:r>
                </w:p>
              </w:tc>
              <w:tc>
                <w:tcPr>
                  <w:tcW w:w="1137"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41BFE08B">
                  <w:pPr>
                    <w:keepNext w:val="0"/>
                    <w:keepLines w:val="0"/>
                    <w:widowControl w:val="0"/>
                    <w:suppressLineNumbers w:val="0"/>
                    <w:spacing w:before="0" w:beforeAutospacing="0" w:after="0" w:afterAutospacing="0"/>
                    <w:ind w:left="0" w:right="0"/>
                    <w:jc w:val="both"/>
                    <w:rPr>
                      <w:rFonts w:hint="default"/>
                      <w:color w:val="auto"/>
                      <w:szCs w:val="21"/>
                      <w:lang w:val="en-US"/>
                    </w:rPr>
                  </w:pPr>
                  <w:r>
                    <w:rPr>
                      <w:rFonts w:hint="eastAsia" w:ascii="Times New Roman" w:hAnsi="Times New Roman" w:eastAsia="宋体" w:cs="宋体"/>
                      <w:color w:val="auto"/>
                      <w:kern w:val="2"/>
                      <w:sz w:val="21"/>
                      <w:szCs w:val="21"/>
                      <w:lang w:val="en-US" w:eastAsia="zh-CN" w:bidi="ar"/>
                    </w:rPr>
                    <w:t>本项目食堂废水经隔油池处理后与其他生活废水、地面清洁水进入办公楼依托化粪池处理</w:t>
                  </w:r>
                  <w:r>
                    <w:rPr>
                      <w:rFonts w:hint="eastAsia" w:cs="宋体"/>
                      <w:color w:val="auto"/>
                      <w:kern w:val="2"/>
                      <w:sz w:val="21"/>
                      <w:szCs w:val="21"/>
                      <w:lang w:val="en-US" w:eastAsia="zh-CN" w:bidi="ar"/>
                    </w:rPr>
                    <w:t>达标后排入市政污水管网，最终进入昆明第五水质净化厂处理</w:t>
                  </w:r>
                  <w:r>
                    <w:rPr>
                      <w:rFonts w:hint="eastAsia" w:ascii="Times New Roman" w:hAnsi="Times New Roman" w:eastAsia="宋体" w:cs="宋体"/>
                      <w:color w:val="auto"/>
                      <w:kern w:val="2"/>
                      <w:sz w:val="21"/>
                      <w:szCs w:val="21"/>
                      <w:lang w:val="en-US" w:eastAsia="zh-CN" w:bidi="ar"/>
                    </w:rPr>
                    <w:t>。</w:t>
                  </w:r>
                </w:p>
              </w:tc>
            </w:tr>
            <w:tr w14:paraId="49990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7"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A4241A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2402C21B">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办公生活废水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617816AC">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3.6</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024D5D42">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1080</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7675959A">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44D4D924">
                  <w:pPr>
                    <w:keepNext w:val="0"/>
                    <w:keepLines w:val="0"/>
                    <w:widowControl w:val="0"/>
                    <w:suppressLineNumbers w:val="0"/>
                    <w:spacing w:before="0" w:beforeAutospacing="0" w:after="0" w:afterAutospacing="0"/>
                    <w:ind w:left="0" w:right="0"/>
                    <w:jc w:val="center"/>
                    <w:rPr>
                      <w:rFonts w:hint="default"/>
                      <w:color w:val="auto"/>
                      <w:szCs w:val="21"/>
                      <w:lang w:val="en-US" w:bidi="ar"/>
                    </w:rPr>
                  </w:pPr>
                  <w:r>
                    <w:rPr>
                      <w:rFonts w:hint="default" w:ascii="Times New Roman" w:hAnsi="Times New Roman" w:eastAsia="宋体" w:cs="Times New Roman"/>
                      <w:color w:val="auto"/>
                      <w:kern w:val="2"/>
                      <w:sz w:val="21"/>
                      <w:szCs w:val="21"/>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2E618429">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2.88</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3BD4721D">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864</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B049D7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24A95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PrEx>
              <w:trPr>
                <w:trHeight w:val="454"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3F16B6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65F0F6D0">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2"/>
                      <w:sz w:val="21"/>
                      <w:szCs w:val="24"/>
                      <w:lang w:val="en-US" w:eastAsia="zh-CN" w:bidi="ar"/>
                    </w:rPr>
                    <w:t>地面清洁水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2112A5A9">
                  <w:pPr>
                    <w:keepNext w:val="0"/>
                    <w:keepLines w:val="0"/>
                    <w:widowControl w:val="0"/>
                    <w:suppressLineNumbers w:val="0"/>
                    <w:spacing w:before="0" w:beforeAutospacing="0" w:after="0" w:afterAutospacing="0"/>
                    <w:ind w:left="0" w:right="0"/>
                    <w:jc w:val="center"/>
                    <w:rPr>
                      <w:rFonts w:hint="default"/>
                      <w:color w:val="auto"/>
                      <w:lang w:val="en-US" w:bidi="ar"/>
                    </w:rPr>
                  </w:pPr>
                  <w:r>
                    <w:rPr>
                      <w:rFonts w:hint="default" w:ascii="Times New Roman" w:hAnsi="Times New Roman" w:eastAsia="宋体" w:cs="Times New Roman"/>
                      <w:color w:val="auto"/>
                      <w:kern w:val="2"/>
                      <w:sz w:val="21"/>
                      <w:szCs w:val="24"/>
                      <w:lang w:val="en-US" w:eastAsia="zh-CN" w:bidi="ar"/>
                    </w:rPr>
                    <w:t>0.218</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67DA9882">
                  <w:pPr>
                    <w:keepNext w:val="0"/>
                    <w:keepLines w:val="0"/>
                    <w:widowControl w:val="0"/>
                    <w:suppressLineNumbers w:val="0"/>
                    <w:spacing w:before="0" w:beforeAutospacing="0" w:after="0" w:afterAutospacing="0"/>
                    <w:ind w:left="0" w:right="0"/>
                    <w:jc w:val="center"/>
                    <w:rPr>
                      <w:rFonts w:hint="default"/>
                      <w:color w:val="auto"/>
                      <w:lang w:val="en-US" w:bidi="ar"/>
                    </w:rPr>
                  </w:pPr>
                  <w:r>
                    <w:rPr>
                      <w:rFonts w:hint="default" w:ascii="Times New Roman" w:hAnsi="Times New Roman" w:eastAsia="宋体" w:cs="Times New Roman"/>
                      <w:color w:val="auto"/>
                      <w:kern w:val="2"/>
                      <w:sz w:val="21"/>
                      <w:szCs w:val="24"/>
                      <w:lang w:val="en-US" w:eastAsia="zh-CN" w:bidi="ar"/>
                    </w:rPr>
                    <w:t>65.4</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583F926A">
                  <w:pPr>
                    <w:keepNext w:val="0"/>
                    <w:keepLines w:val="0"/>
                    <w:widowControl w:val="0"/>
                    <w:suppressLineNumbers w:val="0"/>
                    <w:spacing w:before="0" w:beforeAutospacing="0" w:after="0" w:afterAutospacing="0"/>
                    <w:ind w:left="0" w:right="0"/>
                    <w:jc w:val="center"/>
                    <w:rPr>
                      <w:rFonts w:hint="default"/>
                      <w:color w:val="auto"/>
                      <w:lang w:val="en-US" w:bidi="ar"/>
                    </w:rPr>
                  </w:pPr>
                  <w:r>
                    <w:rPr>
                      <w:rFonts w:hint="default" w:ascii="Times New Roman" w:hAnsi="Times New Roman" w:eastAsia="宋体" w:cs="Times New Roman"/>
                      <w:color w:val="auto"/>
                      <w:kern w:val="2"/>
                      <w:sz w:val="21"/>
                      <w:szCs w:val="24"/>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1ACDF146">
                  <w:pPr>
                    <w:keepNext w:val="0"/>
                    <w:keepLines w:val="0"/>
                    <w:widowControl w:val="0"/>
                    <w:suppressLineNumbers w:val="0"/>
                    <w:spacing w:before="0" w:beforeAutospacing="0" w:after="0" w:afterAutospacing="0"/>
                    <w:ind w:left="0" w:right="0"/>
                    <w:jc w:val="center"/>
                    <w:rPr>
                      <w:rFonts w:hint="default"/>
                      <w:color w:val="auto"/>
                      <w:lang w:val="en-US" w:bidi="ar"/>
                    </w:rPr>
                  </w:pPr>
                  <w:r>
                    <w:rPr>
                      <w:rFonts w:hint="default" w:ascii="Times New Roman" w:hAnsi="Times New Roman" w:eastAsia="宋体" w:cs="Times New Roman"/>
                      <w:color w:val="auto"/>
                      <w:kern w:val="2"/>
                      <w:sz w:val="21"/>
                      <w:szCs w:val="24"/>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0A69AD52">
                  <w:pPr>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Times New Roman"/>
                      <w:color w:val="auto"/>
                      <w:kern w:val="2"/>
                      <w:sz w:val="21"/>
                      <w:szCs w:val="24"/>
                      <w:lang w:val="en-US" w:eastAsia="zh-CN" w:bidi="ar"/>
                    </w:rPr>
                    <w:t>0.1744</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49D33F5E">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52.32</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62262BF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2E161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758DCDE4">
                  <w:pPr>
                    <w:keepNext w:val="0"/>
                    <w:keepLines w:val="0"/>
                    <w:widowControl w:val="0"/>
                    <w:suppressLineNumbers w:val="0"/>
                    <w:spacing w:before="0" w:beforeAutospacing="0" w:after="0" w:afterAutospacing="0"/>
                    <w:ind w:left="0" w:right="0"/>
                    <w:jc w:val="center"/>
                    <w:rPr>
                      <w:rFonts w:hint="default"/>
                      <w:b/>
                      <w:bCs/>
                      <w:color w:val="auto"/>
                      <w:szCs w:val="21"/>
                      <w:lang w:val="en-US"/>
                    </w:rPr>
                  </w:pPr>
                  <w:r>
                    <w:rPr>
                      <w:rFonts w:hint="eastAsia" w:ascii="Times New Roman" w:hAnsi="Times New Roman" w:eastAsia="宋体" w:cs="宋体"/>
                      <w:b/>
                      <w:bCs/>
                      <w:color w:val="auto"/>
                      <w:kern w:val="2"/>
                      <w:sz w:val="21"/>
                      <w:szCs w:val="21"/>
                      <w:lang w:val="en-US" w:eastAsia="zh-CN" w:bidi="ar"/>
                    </w:rPr>
                    <w:t>合计</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3F00A63E">
                  <w:pPr>
                    <w:keepNext w:val="0"/>
                    <w:keepLines w:val="0"/>
                    <w:widowControl/>
                    <w:suppressLineNumbers w:val="0"/>
                    <w:spacing w:before="0" w:beforeAutospacing="0" w:after="0" w:afterAutospacing="0"/>
                    <w:ind w:left="0" w:right="0"/>
                    <w:jc w:val="center"/>
                    <w:textAlignment w:val="center"/>
                    <w:rPr>
                      <w:rFonts w:hint="default"/>
                      <w:b/>
                      <w:bCs/>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4.718</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313468DD">
                  <w:pPr>
                    <w:keepNext w:val="0"/>
                    <w:keepLines w:val="0"/>
                    <w:widowControl/>
                    <w:suppressLineNumbers w:val="0"/>
                    <w:spacing w:before="0" w:beforeAutospacing="0" w:after="0" w:afterAutospacing="0"/>
                    <w:ind w:left="0" w:right="0"/>
                    <w:jc w:val="center"/>
                    <w:textAlignment w:val="center"/>
                    <w:rPr>
                      <w:rFonts w:hint="default"/>
                      <w:b/>
                      <w:bCs/>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1415.4</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732A1EDE">
                  <w:pPr>
                    <w:keepNext w:val="0"/>
                    <w:keepLines w:val="0"/>
                    <w:widowControl/>
                    <w:suppressLineNumbers w:val="0"/>
                    <w:spacing w:before="0" w:beforeAutospacing="0" w:after="0" w:afterAutospacing="0"/>
                    <w:ind w:left="0" w:right="0"/>
                    <w:jc w:val="center"/>
                    <w:textAlignment w:val="center"/>
                    <w:rPr>
                      <w:rFonts w:hint="default"/>
                      <w:b/>
                      <w:bCs/>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12FE1445">
                  <w:pPr>
                    <w:keepNext w:val="0"/>
                    <w:keepLines w:val="0"/>
                    <w:widowControl/>
                    <w:suppressLineNumbers w:val="0"/>
                    <w:spacing w:before="0" w:beforeAutospacing="0" w:after="0" w:afterAutospacing="0"/>
                    <w:ind w:left="0" w:right="0"/>
                    <w:jc w:val="center"/>
                    <w:textAlignment w:val="center"/>
                    <w:rPr>
                      <w:rFonts w:hint="default"/>
                      <w:b/>
                      <w:bCs/>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287A52B0">
                  <w:pPr>
                    <w:keepNext w:val="0"/>
                    <w:keepLines w:val="0"/>
                    <w:widowControl/>
                    <w:suppressLineNumbers w:val="0"/>
                    <w:spacing w:before="0" w:beforeAutospacing="0" w:after="0" w:afterAutospacing="0"/>
                    <w:ind w:left="0" w:right="0"/>
                    <w:jc w:val="center"/>
                    <w:textAlignment w:val="center"/>
                    <w:rPr>
                      <w:rFonts w:hint="default"/>
                      <w:b/>
                      <w:bCs/>
                      <w:color w:val="auto"/>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3.7744</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48806238">
                  <w:pPr>
                    <w:keepNext w:val="0"/>
                    <w:keepLines w:val="0"/>
                    <w:widowControl/>
                    <w:suppressLineNumbers w:val="0"/>
                    <w:spacing w:before="0" w:beforeAutospacing="0" w:after="0" w:afterAutospacing="0"/>
                    <w:ind w:left="0" w:right="0"/>
                    <w:jc w:val="center"/>
                    <w:textAlignment w:val="center"/>
                    <w:rPr>
                      <w:rFonts w:hint="default"/>
                      <w:b/>
                      <w:bCs/>
                      <w:color w:val="auto"/>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1132.32</w:t>
                  </w:r>
                </w:p>
              </w:tc>
              <w:tc>
                <w:tcPr>
                  <w:tcW w:w="1137" w:type="pct"/>
                  <w:tcBorders>
                    <w:top w:val="single" w:color="auto" w:sz="6" w:space="0"/>
                    <w:left w:val="single" w:color="auto" w:sz="6" w:space="0"/>
                    <w:bottom w:val="single" w:color="auto" w:sz="6" w:space="0"/>
                    <w:right w:val="single" w:color="auto" w:sz="6" w:space="0"/>
                  </w:tcBorders>
                  <w:shd w:val="clear" w:color="auto" w:fill="auto"/>
                  <w:vAlign w:val="center"/>
                </w:tcPr>
                <w:p w14:paraId="44582A55">
                  <w:pPr>
                    <w:keepNext w:val="0"/>
                    <w:keepLines w:val="0"/>
                    <w:widowControl w:val="0"/>
                    <w:suppressLineNumbers w:val="0"/>
                    <w:spacing w:before="0" w:beforeAutospacing="0" w:after="0" w:afterAutospacing="0"/>
                    <w:ind w:left="0" w:right="0"/>
                    <w:jc w:val="center"/>
                    <w:rPr>
                      <w:rFonts w:hint="default"/>
                      <w:b/>
                      <w:bCs/>
                      <w:color w:val="auto"/>
                      <w:szCs w:val="21"/>
                      <w:lang w:val="en-US"/>
                    </w:rPr>
                  </w:pPr>
                  <w:r>
                    <w:rPr>
                      <w:rFonts w:hint="default" w:ascii="Times New Roman" w:hAnsi="Times New Roman" w:eastAsia="宋体" w:cs="Times New Roman"/>
                      <w:b/>
                      <w:bCs/>
                      <w:color w:val="auto"/>
                      <w:kern w:val="2"/>
                      <w:sz w:val="21"/>
                      <w:szCs w:val="21"/>
                      <w:lang w:val="en-US" w:eastAsia="zh-CN" w:bidi="ar"/>
                    </w:rPr>
                    <w:t>/</w:t>
                  </w:r>
                </w:p>
              </w:tc>
            </w:tr>
            <w:tr w14:paraId="2B678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34"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0BBD0F3C">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实验区</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4F2DF052">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物理实验室废水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3D341EE5">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0.2</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683D143E">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417084DE">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4231D5BE">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54BC101F">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59762D75">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48</w:t>
                  </w:r>
                </w:p>
              </w:tc>
              <w:tc>
                <w:tcPr>
                  <w:tcW w:w="1137"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3A7A1835">
                  <w:pPr>
                    <w:pStyle w:val="67"/>
                    <w:keepNext w:val="0"/>
                    <w:keepLines w:val="0"/>
                    <w:widowControl/>
                    <w:suppressLineNumbers w:val="0"/>
                    <w:rPr>
                      <w:color w:val="auto"/>
                      <w:lang w:val="en-US"/>
                    </w:rPr>
                  </w:pPr>
                  <w:r>
                    <w:rPr>
                      <w:rFonts w:hint="eastAsia" w:ascii="Times New Roman" w:hAnsi="Times New Roman" w:eastAsia="宋体" w:cs="宋体"/>
                      <w:color w:val="auto"/>
                    </w:rPr>
                    <w:t>本项目物理实验废水和纯水制备废水进入实验楼配套的三级沉淀池处理。</w:t>
                  </w:r>
                </w:p>
              </w:tc>
            </w:tr>
            <w:tr w14:paraId="2557D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B72B40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4C57CF8F">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砂石冲洗废水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5FB4833C">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0.2</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005F42B0">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0B38577A">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11E0DD97">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45D61E36">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0C06C339">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48</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B8AE0A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67727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A44877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0ED84D29">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宋体" w:hAnsi="宋体" w:eastAsia="宋体" w:cs="宋体"/>
                      <w:color w:val="auto"/>
                      <w:kern w:val="2"/>
                      <w:sz w:val="21"/>
                      <w:szCs w:val="24"/>
                      <w:lang w:val="en-US" w:eastAsia="zh-CN" w:bidi="ar"/>
                    </w:rPr>
                    <w:t>纯水制备废水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50B489DF">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0.214</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62BBF5F0">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64.2</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7E9C1426">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5D28AD61">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48AC7B5E">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0.064</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079ED890">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4281F5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49A1E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AA204C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45E92A9C">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宋体" w:hAnsi="宋体" w:eastAsia="宋体" w:cs="宋体"/>
                      <w:color w:val="auto"/>
                      <w:kern w:val="2"/>
                      <w:sz w:val="21"/>
                      <w:szCs w:val="24"/>
                      <w:lang w:val="en-US" w:eastAsia="zh-CN" w:bidi="ar"/>
                    </w:rPr>
                    <w:t>化学实验试剂配制用水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090CEA74">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0AE9CA44">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0829D9C4">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014BDE03">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3AB85446">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Style w:val="71"/>
                      <w:rFonts w:eastAsia="宋体"/>
                      <w:color w:val="auto"/>
                      <w:lang w:val="en-US" w:eastAsia="zh-CN" w:bidi="ar"/>
                    </w:rPr>
                    <w:t>0.05</w:t>
                  </w:r>
                  <w:r>
                    <w:rPr>
                      <w:rStyle w:val="72"/>
                      <w:color w:val="auto"/>
                      <w:lang w:val="en-US" w:eastAsia="zh-CN" w:bidi="ar"/>
                    </w:rPr>
                    <w:t>（危废）</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6BDC1513">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Style w:val="71"/>
                      <w:rFonts w:eastAsia="宋体"/>
                      <w:color w:val="auto"/>
                      <w:lang w:val="en-US" w:eastAsia="zh-CN" w:bidi="ar"/>
                    </w:rPr>
                    <w:t>15</w:t>
                  </w:r>
                  <w:r>
                    <w:rPr>
                      <w:rStyle w:val="72"/>
                      <w:color w:val="auto"/>
                      <w:lang w:val="en-US" w:eastAsia="zh-CN" w:bidi="ar"/>
                    </w:rPr>
                    <w:t>（危废）</w:t>
                  </w:r>
                </w:p>
              </w:tc>
              <w:tc>
                <w:tcPr>
                  <w:tcW w:w="1137" w:type="pct"/>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719D0291">
                  <w:pPr>
                    <w:keepNext w:val="0"/>
                    <w:keepLines w:val="0"/>
                    <w:widowControl w:val="0"/>
                    <w:suppressLineNumbers w:val="0"/>
                    <w:spacing w:before="0" w:beforeAutospacing="0" w:after="0" w:afterAutospacing="0"/>
                    <w:ind w:left="0" w:right="0"/>
                    <w:jc w:val="both"/>
                    <w:rPr>
                      <w:rFonts w:hint="default"/>
                      <w:color w:val="auto"/>
                      <w:szCs w:val="21"/>
                      <w:lang w:val="en-US"/>
                    </w:rPr>
                  </w:pPr>
                  <w:r>
                    <w:rPr>
                      <w:rFonts w:hint="eastAsia" w:ascii="Times New Roman" w:hAnsi="Times New Roman" w:eastAsia="宋体" w:cs="宋体"/>
                      <w:color w:val="auto"/>
                      <w:kern w:val="2"/>
                      <w:sz w:val="21"/>
                      <w:szCs w:val="21"/>
                      <w:lang w:val="en-US" w:eastAsia="zh-CN" w:bidi="ar"/>
                    </w:rPr>
                    <w:t>本项目实验试剂配制废水和第一二次器皿清洁废水作危废处理。其余实验废水和喷淋设施废水经</w:t>
                  </w:r>
                  <w:r>
                    <w:rPr>
                      <w:rFonts w:hint="eastAsia" w:cs="宋体"/>
                      <w:color w:val="auto"/>
                      <w:kern w:val="2"/>
                      <w:sz w:val="21"/>
                      <w:szCs w:val="21"/>
                      <w:lang w:val="en-US" w:eastAsia="zh-CN" w:bidi="ar"/>
                    </w:rPr>
                    <w:t>废水中和收集桶</w:t>
                  </w:r>
                  <w:r>
                    <w:rPr>
                      <w:rFonts w:hint="eastAsia" w:ascii="Times New Roman" w:hAnsi="Times New Roman" w:eastAsia="宋体" w:cs="宋体"/>
                      <w:color w:val="auto"/>
                      <w:kern w:val="2"/>
                      <w:sz w:val="21"/>
                      <w:szCs w:val="21"/>
                      <w:lang w:val="en-US" w:eastAsia="zh-CN" w:bidi="ar"/>
                    </w:rPr>
                    <w:t>中和处理后排入实验楼配套三级沉淀池处理</w:t>
                  </w:r>
                  <w:r>
                    <w:rPr>
                      <w:rFonts w:hint="eastAsia" w:cs="宋体"/>
                      <w:color w:val="auto"/>
                      <w:kern w:val="2"/>
                      <w:sz w:val="21"/>
                      <w:szCs w:val="21"/>
                      <w:lang w:val="en-US" w:eastAsia="zh-CN" w:bidi="ar"/>
                    </w:rPr>
                    <w:t>达标后排入市政污水管网，最终进入昆明第五水质净化厂处理</w:t>
                  </w:r>
                  <w:r>
                    <w:rPr>
                      <w:rFonts w:hint="eastAsia" w:ascii="Times New Roman" w:hAnsi="Times New Roman" w:eastAsia="宋体" w:cs="宋体"/>
                      <w:color w:val="auto"/>
                      <w:kern w:val="2"/>
                      <w:sz w:val="21"/>
                      <w:szCs w:val="21"/>
                      <w:lang w:val="en-US" w:eastAsia="zh-CN" w:bidi="ar"/>
                    </w:rPr>
                    <w:t>。</w:t>
                  </w:r>
                </w:p>
              </w:tc>
            </w:tr>
            <w:tr w14:paraId="0F612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3"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2B4870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073B1F5D">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宋体" w:hAnsi="宋体" w:eastAsia="宋体" w:cs="宋体"/>
                      <w:color w:val="auto"/>
                      <w:kern w:val="2"/>
                      <w:sz w:val="21"/>
                      <w:szCs w:val="24"/>
                      <w:lang w:val="en-US" w:eastAsia="zh-CN" w:bidi="ar"/>
                    </w:rPr>
                    <w:t>实验器具润洗用水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6756E614">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427319F7">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795C94CD">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6B9368D6">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1B0AF9BC">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673B5372">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9CEC0F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6131A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13F7B9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54B84C28">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lang w:val="en-US"/>
                    </w:rPr>
                  </w:pPr>
                  <w:r>
                    <w:rPr>
                      <w:rFonts w:hint="eastAsia" w:ascii="宋体" w:hAnsi="宋体" w:eastAsia="宋体" w:cs="宋体"/>
                      <w:color w:val="auto"/>
                      <w:kern w:val="2"/>
                      <w:sz w:val="21"/>
                      <w:szCs w:val="24"/>
                      <w:lang w:val="en-US" w:eastAsia="zh-CN" w:bidi="ar"/>
                    </w:rPr>
                    <w:t>第一、二次实验器皿清洗废水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42F60417">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0431AE5C">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383E78BB">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7FCFF996">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71FEF899">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Style w:val="71"/>
                      <w:rFonts w:eastAsia="宋体"/>
                      <w:color w:val="auto"/>
                      <w:lang w:val="en-US" w:eastAsia="zh-CN" w:bidi="ar"/>
                    </w:rPr>
                    <w:t>0.018</w:t>
                  </w:r>
                  <w:r>
                    <w:rPr>
                      <w:rStyle w:val="72"/>
                      <w:color w:val="auto"/>
                      <w:lang w:val="en-US" w:eastAsia="zh-CN" w:bidi="ar"/>
                    </w:rPr>
                    <w:t>（危废）</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1FDCF237">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Style w:val="71"/>
                      <w:rFonts w:eastAsia="宋体"/>
                      <w:color w:val="auto"/>
                      <w:lang w:val="en-US" w:eastAsia="zh-CN" w:bidi="ar"/>
                    </w:rPr>
                    <w:t>5.4</w:t>
                  </w:r>
                  <w:r>
                    <w:rPr>
                      <w:rStyle w:val="72"/>
                      <w:color w:val="auto"/>
                      <w:lang w:val="en-US" w:eastAsia="zh-CN" w:bidi="ar"/>
                    </w:rPr>
                    <w:t>（危废）</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7594D9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3BAEC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D0ACFE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2B4D5065">
                  <w:pPr>
                    <w:keepNext w:val="0"/>
                    <w:keepLines w:val="0"/>
                    <w:widowControl w:val="0"/>
                    <w:suppressLineNumbers w:val="0"/>
                    <w:spacing w:before="0" w:beforeAutospacing="0" w:after="0" w:afterAutospacing="0"/>
                    <w:ind w:left="0" w:right="0"/>
                    <w:jc w:val="center"/>
                    <w:rPr>
                      <w:rFonts w:hint="default" w:cs="宋体"/>
                      <w:color w:val="auto"/>
                      <w:szCs w:val="21"/>
                      <w:lang w:val="en-US" w:bidi="ar"/>
                    </w:rPr>
                  </w:pPr>
                  <w:r>
                    <w:rPr>
                      <w:rFonts w:hint="eastAsia" w:ascii="宋体" w:hAnsi="宋体" w:eastAsia="宋体" w:cs="宋体"/>
                      <w:color w:val="auto"/>
                      <w:kern w:val="2"/>
                      <w:sz w:val="21"/>
                      <w:szCs w:val="24"/>
                      <w:lang w:val="en-US" w:eastAsia="zh-CN" w:bidi="ar"/>
                    </w:rPr>
                    <w:t>第三次及以后</w:t>
                  </w:r>
                  <w:r>
                    <w:rPr>
                      <w:rFonts w:hint="eastAsia" w:ascii="Times New Roman" w:hAnsi="Times New Roman" w:eastAsia="宋体" w:cs="宋体"/>
                      <w:color w:val="auto"/>
                      <w:kern w:val="2"/>
                      <w:sz w:val="21"/>
                      <w:szCs w:val="21"/>
                      <w:lang w:val="en-US" w:eastAsia="zh-CN" w:bidi="ar"/>
                    </w:rPr>
                    <w:t>实验器皿清洗废水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4AB8BBF3">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61A57EA8">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6CCF1C26">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534BB1D5">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04499CEB">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0.135</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635AD3DA">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40.5</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7F76D1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56B4D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34"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E8EC46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14:paraId="2409739D">
                  <w:pPr>
                    <w:keepNext w:val="0"/>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宋体" w:hAnsi="宋体" w:eastAsia="宋体" w:cs="宋体"/>
                      <w:color w:val="auto"/>
                      <w:kern w:val="2"/>
                      <w:sz w:val="21"/>
                      <w:szCs w:val="24"/>
                      <w:lang w:val="en-US" w:eastAsia="zh-CN" w:bidi="ar"/>
                    </w:rPr>
                    <w:t>喷淋废水</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53F3A4F0">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0.009</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3E913E5D">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2.52</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117ECBB1">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268D1098">
                  <w:pPr>
                    <w:keepNext w:val="0"/>
                    <w:keepLines w:val="0"/>
                    <w:widowControl/>
                    <w:suppressLineNumbers w:val="0"/>
                    <w:spacing w:before="0" w:beforeAutospacing="0" w:after="0" w:afterAutospacing="0"/>
                    <w:ind w:left="0" w:right="0"/>
                    <w:jc w:val="center"/>
                    <w:textAlignment w:val="center"/>
                    <w:rPr>
                      <w:rFonts w:hint="default"/>
                      <w:color w:val="auto"/>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3401A4E2">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71B73C51">
                  <w:pPr>
                    <w:keepNext w:val="0"/>
                    <w:keepLines w:val="0"/>
                    <w:widowControl/>
                    <w:suppressLineNumbers w:val="0"/>
                    <w:spacing w:before="0" w:beforeAutospacing="0" w:after="0" w:afterAutospacing="0"/>
                    <w:ind w:left="0" w:right="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137" w:type="pct"/>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C5883B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0A47F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994"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111D013F">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合计</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39BC88E5">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0.793</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36F0A5C7">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237.72</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46571ADA">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0.15</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4842C7D7">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45</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469E0FFA">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0.613</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42C7C71E">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183.9</w:t>
                  </w:r>
                </w:p>
              </w:tc>
              <w:tc>
                <w:tcPr>
                  <w:tcW w:w="1137" w:type="pct"/>
                  <w:tcBorders>
                    <w:top w:val="single" w:color="auto" w:sz="6" w:space="0"/>
                    <w:left w:val="single" w:color="auto" w:sz="6" w:space="0"/>
                    <w:bottom w:val="single" w:color="auto" w:sz="6" w:space="0"/>
                    <w:right w:val="single" w:color="auto" w:sz="6" w:space="0"/>
                  </w:tcBorders>
                  <w:shd w:val="clear" w:color="auto" w:fill="auto"/>
                  <w:vAlign w:val="center"/>
                </w:tcPr>
                <w:p w14:paraId="68BC58DF">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w:t>
                  </w:r>
                </w:p>
              </w:tc>
            </w:tr>
            <w:tr w14:paraId="5AB4F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44F1875B">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总计</w:t>
                  </w:r>
                </w:p>
              </w:tc>
              <w:tc>
                <w:tcPr>
                  <w:tcW w:w="444" w:type="pct"/>
                  <w:tcBorders>
                    <w:top w:val="single" w:color="auto" w:sz="6" w:space="0"/>
                    <w:left w:val="single" w:color="auto" w:sz="6" w:space="0"/>
                    <w:bottom w:val="single" w:color="auto" w:sz="6" w:space="0"/>
                    <w:right w:val="single" w:color="auto" w:sz="6" w:space="0"/>
                  </w:tcBorders>
                  <w:shd w:val="clear" w:color="auto" w:fill="auto"/>
                  <w:vAlign w:val="center"/>
                </w:tcPr>
                <w:p w14:paraId="7B85BDDB">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5.511</w:t>
                  </w:r>
                </w:p>
              </w:tc>
              <w:tc>
                <w:tcPr>
                  <w:tcW w:w="540" w:type="pct"/>
                  <w:tcBorders>
                    <w:top w:val="single" w:color="auto" w:sz="6" w:space="0"/>
                    <w:left w:val="single" w:color="auto" w:sz="6" w:space="0"/>
                    <w:bottom w:val="single" w:color="auto" w:sz="6" w:space="0"/>
                    <w:right w:val="single" w:color="auto" w:sz="6" w:space="0"/>
                  </w:tcBorders>
                  <w:shd w:val="clear" w:color="auto" w:fill="auto"/>
                  <w:vAlign w:val="center"/>
                </w:tcPr>
                <w:p w14:paraId="7D005102">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1653.12</w:t>
                  </w:r>
                </w:p>
              </w:tc>
              <w:tc>
                <w:tcPr>
                  <w:tcW w:w="428" w:type="pct"/>
                  <w:tcBorders>
                    <w:top w:val="single" w:color="auto" w:sz="6" w:space="0"/>
                    <w:left w:val="single" w:color="auto" w:sz="6" w:space="0"/>
                    <w:bottom w:val="single" w:color="auto" w:sz="6" w:space="0"/>
                    <w:right w:val="single" w:color="auto" w:sz="6" w:space="0"/>
                  </w:tcBorders>
                  <w:shd w:val="clear" w:color="auto" w:fill="auto"/>
                  <w:vAlign w:val="center"/>
                </w:tcPr>
                <w:p w14:paraId="0D458622">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0.15</w:t>
                  </w:r>
                </w:p>
              </w:tc>
              <w:tc>
                <w:tcPr>
                  <w:tcW w:w="413" w:type="pct"/>
                  <w:tcBorders>
                    <w:top w:val="single" w:color="auto" w:sz="6" w:space="0"/>
                    <w:left w:val="single" w:color="auto" w:sz="6" w:space="0"/>
                    <w:bottom w:val="single" w:color="auto" w:sz="6" w:space="0"/>
                    <w:right w:val="single" w:color="auto" w:sz="6" w:space="0"/>
                  </w:tcBorders>
                  <w:shd w:val="clear" w:color="auto" w:fill="auto"/>
                  <w:vAlign w:val="center"/>
                </w:tcPr>
                <w:p w14:paraId="78730EF9">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bidi="ar"/>
                    </w:rPr>
                  </w:pPr>
                  <w:r>
                    <w:rPr>
                      <w:rFonts w:hint="default" w:ascii="Times New Roman" w:hAnsi="Times New Roman" w:eastAsia="宋体" w:cs="Times New Roman"/>
                      <w:b/>
                      <w:bCs/>
                      <w:i w:val="0"/>
                      <w:iCs w:val="0"/>
                      <w:color w:val="auto"/>
                      <w:kern w:val="0"/>
                      <w:sz w:val="21"/>
                      <w:szCs w:val="21"/>
                      <w:u w:val="none"/>
                      <w:lang w:val="en-US" w:eastAsia="zh-CN" w:bidi="ar"/>
                    </w:rPr>
                    <w:t>45</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14:paraId="5BF858B3">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4.3874</w:t>
                  </w:r>
                </w:p>
              </w:tc>
              <w:tc>
                <w:tcPr>
                  <w:tcW w:w="531" w:type="pct"/>
                  <w:tcBorders>
                    <w:top w:val="single" w:color="auto" w:sz="6" w:space="0"/>
                    <w:left w:val="single" w:color="auto" w:sz="6" w:space="0"/>
                    <w:bottom w:val="single" w:color="auto" w:sz="6" w:space="0"/>
                    <w:right w:val="single" w:color="auto" w:sz="6" w:space="0"/>
                  </w:tcBorders>
                  <w:shd w:val="clear" w:color="auto" w:fill="auto"/>
                  <w:vAlign w:val="center"/>
                </w:tcPr>
                <w:p w14:paraId="3D9F82D5">
                  <w:pPr>
                    <w:keepNext w:val="0"/>
                    <w:keepLines w:val="0"/>
                    <w:widowControl/>
                    <w:suppressLineNumbers w:val="0"/>
                    <w:spacing w:before="0" w:beforeAutospacing="0" w:after="0" w:afterAutospacing="0"/>
                    <w:ind w:left="0" w:right="0"/>
                    <w:jc w:val="center"/>
                    <w:textAlignment w:val="center"/>
                    <w:rPr>
                      <w:rFonts w:hint="default"/>
                      <w:b/>
                      <w:bCs w:val="0"/>
                      <w:color w:val="auto"/>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1316.22</w:t>
                  </w:r>
                </w:p>
              </w:tc>
              <w:tc>
                <w:tcPr>
                  <w:tcW w:w="1137" w:type="pct"/>
                  <w:tcBorders>
                    <w:top w:val="single" w:color="auto" w:sz="6" w:space="0"/>
                    <w:left w:val="single" w:color="auto" w:sz="6" w:space="0"/>
                    <w:bottom w:val="single" w:color="auto" w:sz="6" w:space="0"/>
                    <w:right w:val="single" w:color="auto" w:sz="6" w:space="0"/>
                  </w:tcBorders>
                  <w:shd w:val="clear" w:color="auto" w:fill="auto"/>
                  <w:vAlign w:val="center"/>
                </w:tcPr>
                <w:p w14:paraId="1C55DCDA">
                  <w:pPr>
                    <w:keepNext w:val="0"/>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w:t>
                  </w:r>
                </w:p>
              </w:tc>
            </w:tr>
          </w:tbl>
          <w:p w14:paraId="76F7154A">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color w:val="auto"/>
                <w:sz w:val="24"/>
                <w:lang w:val="en-US" w:eastAsia="zh-CN"/>
              </w:rPr>
              <w:t>本项目</w:t>
            </w:r>
            <w:r>
              <w:rPr>
                <w:rFonts w:hint="default"/>
                <w:color w:val="auto"/>
                <w:sz w:val="24"/>
              </w:rPr>
              <w:t>员工办公生活废水和地面清洁废水为一般生活废水，排入项目区化粪池处理。参考GB50014-2006室外排水设计规范 (2016 年版)中城镇污水设计水质，生活污水水质浓度按CODcr：350mg/L、BOD</w:t>
            </w:r>
            <w:r>
              <w:rPr>
                <w:rFonts w:hint="default"/>
                <w:color w:val="auto"/>
                <w:sz w:val="24"/>
                <w:vertAlign w:val="subscript"/>
              </w:rPr>
              <w:t>5</w:t>
            </w:r>
            <w:r>
              <w:rPr>
                <w:rFonts w:hint="default"/>
                <w:color w:val="auto"/>
                <w:sz w:val="24"/>
              </w:rPr>
              <w:t>：300mg/L、NH</w:t>
            </w:r>
            <w:r>
              <w:rPr>
                <w:rFonts w:hint="default"/>
                <w:color w:val="auto"/>
                <w:sz w:val="24"/>
                <w:vertAlign w:val="subscript"/>
              </w:rPr>
              <w:t>3</w:t>
            </w:r>
            <w:r>
              <w:rPr>
                <w:rFonts w:hint="default"/>
                <w:color w:val="auto"/>
                <w:sz w:val="24"/>
              </w:rPr>
              <w:t>-N：35mg/L、SS：200mg/L、TP：8mg/L 、</w:t>
            </w:r>
            <w:r>
              <w:rPr>
                <w:rFonts w:hint="default"/>
                <w:color w:val="auto"/>
                <w:kern w:val="0"/>
                <w:sz w:val="24"/>
                <w:lang w:bidi="ar"/>
              </w:rPr>
              <w:t>动植物油：45mg/L</w:t>
            </w:r>
            <w:r>
              <w:rPr>
                <w:rFonts w:hint="default"/>
                <w:color w:val="auto"/>
                <w:sz w:val="24"/>
              </w:rPr>
              <w:t>计算。</w:t>
            </w:r>
          </w:p>
          <w:p w14:paraId="2FEFA73E">
            <w:pPr>
              <w:keepNext w:val="0"/>
              <w:keepLines w:val="0"/>
              <w:suppressLineNumbers w:val="0"/>
              <w:spacing w:before="0" w:beforeAutospacing="0" w:after="0" w:afterAutospacing="0" w:line="360" w:lineRule="auto"/>
              <w:ind w:left="0" w:right="0" w:firstLine="480" w:firstLineChars="200"/>
              <w:rPr>
                <w:rFonts w:hint="eastAsia" w:eastAsia="宋体"/>
                <w:color w:val="auto"/>
                <w:sz w:val="24"/>
                <w:lang w:val="en-US" w:eastAsia="zh-CN"/>
              </w:rPr>
            </w:pPr>
            <w:r>
              <w:rPr>
                <w:rFonts w:hint="eastAsia"/>
                <w:color w:val="auto"/>
                <w:sz w:val="24"/>
                <w:lang w:val="en-US" w:eastAsia="zh-CN"/>
              </w:rPr>
              <w:t>项目</w:t>
            </w:r>
            <w:r>
              <w:rPr>
                <w:rFonts w:hint="default"/>
                <w:color w:val="auto"/>
                <w:sz w:val="24"/>
              </w:rPr>
              <w:t>实验室器皿第一、二次清洗废水，实验试剂配制废液作为危废处理，其余实验室器皿第</w:t>
            </w:r>
            <w:r>
              <w:rPr>
                <w:rFonts w:hint="eastAsia"/>
                <w:color w:val="auto"/>
                <w:sz w:val="24"/>
                <w:lang w:val="en-US" w:eastAsia="zh-CN"/>
              </w:rPr>
              <w:t>三</w:t>
            </w:r>
            <w:r>
              <w:rPr>
                <w:rFonts w:hint="default"/>
                <w:color w:val="auto"/>
                <w:sz w:val="24"/>
              </w:rPr>
              <w:t>次</w:t>
            </w:r>
            <w:r>
              <w:rPr>
                <w:rFonts w:hint="eastAsia"/>
                <w:color w:val="auto"/>
                <w:sz w:val="24"/>
                <w:lang w:val="en-US" w:eastAsia="zh-CN"/>
              </w:rPr>
              <w:t>及以后</w:t>
            </w:r>
            <w:r>
              <w:rPr>
                <w:rFonts w:hint="default"/>
                <w:color w:val="auto"/>
                <w:sz w:val="24"/>
              </w:rPr>
              <w:t>清洗废水、</w:t>
            </w:r>
            <w:r>
              <w:rPr>
                <w:rFonts w:hint="eastAsia"/>
                <w:color w:val="auto"/>
                <w:sz w:val="24"/>
                <w:lang w:val="en-US" w:eastAsia="zh-CN"/>
              </w:rPr>
              <w:t>实验器具润洗用水</w:t>
            </w:r>
            <w:r>
              <w:rPr>
                <w:rFonts w:hint="eastAsia" w:ascii="宋体" w:hAnsi="宋体" w:cs="宋体"/>
                <w:color w:val="auto"/>
                <w:kern w:val="2"/>
                <w:sz w:val="21"/>
                <w:szCs w:val="24"/>
                <w:lang w:val="en-US" w:eastAsia="zh-CN" w:bidi="ar"/>
              </w:rPr>
              <w:t>、</w:t>
            </w:r>
            <w:r>
              <w:rPr>
                <w:rFonts w:hint="default"/>
                <w:color w:val="auto"/>
                <w:sz w:val="24"/>
              </w:rPr>
              <w:t>物理实验过程</w:t>
            </w:r>
            <w:r>
              <w:rPr>
                <w:rFonts w:hint="eastAsia"/>
                <w:color w:val="auto"/>
                <w:sz w:val="24"/>
                <w:lang w:val="en-US" w:eastAsia="zh-CN"/>
              </w:rPr>
              <w:t>废水、</w:t>
            </w:r>
            <w:r>
              <w:rPr>
                <w:rFonts w:hint="default"/>
                <w:color w:val="auto"/>
                <w:sz w:val="24"/>
              </w:rPr>
              <w:t>喷淋</w:t>
            </w:r>
            <w:r>
              <w:rPr>
                <w:rFonts w:hint="eastAsia"/>
                <w:color w:val="auto"/>
                <w:sz w:val="24"/>
                <w:lang w:val="en-US" w:eastAsia="zh-CN"/>
              </w:rPr>
              <w:t>设施</w:t>
            </w:r>
            <w:r>
              <w:rPr>
                <w:rFonts w:hint="default"/>
                <w:color w:val="auto"/>
                <w:sz w:val="24"/>
              </w:rPr>
              <w:t>废水</w:t>
            </w:r>
            <w:r>
              <w:rPr>
                <w:rFonts w:hint="eastAsia"/>
                <w:color w:val="auto"/>
                <w:sz w:val="24"/>
                <w:lang w:eastAsia="zh-CN"/>
              </w:rPr>
              <w:t>、</w:t>
            </w:r>
            <w:r>
              <w:rPr>
                <w:rFonts w:hint="eastAsia"/>
                <w:color w:val="auto"/>
                <w:sz w:val="24"/>
                <w:lang w:val="en-US" w:eastAsia="zh-CN"/>
              </w:rPr>
              <w:t>纯水制备废水</w:t>
            </w:r>
            <w:r>
              <w:rPr>
                <w:rFonts w:hint="default"/>
                <w:color w:val="auto"/>
                <w:sz w:val="24"/>
              </w:rPr>
              <w:t>，主要污染物为pH、CODcr、BOD</w:t>
            </w:r>
            <w:r>
              <w:rPr>
                <w:rFonts w:hint="default"/>
                <w:color w:val="auto"/>
                <w:sz w:val="24"/>
                <w:vertAlign w:val="subscript"/>
              </w:rPr>
              <w:t>5</w:t>
            </w:r>
            <w:r>
              <w:rPr>
                <w:rFonts w:hint="default"/>
                <w:color w:val="auto"/>
                <w:sz w:val="24"/>
              </w:rPr>
              <w:t>、SS、NH</w:t>
            </w:r>
            <w:r>
              <w:rPr>
                <w:rFonts w:hint="default"/>
                <w:color w:val="auto"/>
                <w:sz w:val="24"/>
                <w:vertAlign w:val="subscript"/>
              </w:rPr>
              <w:t>3</w:t>
            </w:r>
            <w:r>
              <w:rPr>
                <w:rFonts w:hint="default"/>
                <w:color w:val="auto"/>
                <w:sz w:val="24"/>
              </w:rPr>
              <w:t>-N、TP，</w:t>
            </w:r>
            <w:r>
              <w:rPr>
                <w:rFonts w:hint="eastAsia"/>
                <w:color w:val="auto"/>
                <w:sz w:val="24"/>
                <w:highlight w:val="none"/>
                <w:lang w:val="en-US" w:eastAsia="zh-CN"/>
              </w:rPr>
              <w:t>本</w:t>
            </w:r>
            <w:r>
              <w:rPr>
                <w:rFonts w:hint="default"/>
                <w:color w:val="auto"/>
                <w:sz w:val="24"/>
                <w:highlight w:val="none"/>
              </w:rPr>
              <w:t>项目和中大检测</w:t>
            </w:r>
            <w:r>
              <w:rPr>
                <w:rFonts w:hint="eastAsia"/>
                <w:color w:val="auto"/>
                <w:sz w:val="24"/>
                <w:highlight w:val="none"/>
                <w:lang w:eastAsia="zh-CN"/>
              </w:rPr>
              <w:t>（</w:t>
            </w:r>
            <w:r>
              <w:rPr>
                <w:rFonts w:hint="default"/>
                <w:color w:val="auto"/>
                <w:sz w:val="24"/>
                <w:highlight w:val="none"/>
              </w:rPr>
              <w:t>湖南</w:t>
            </w:r>
            <w:r>
              <w:rPr>
                <w:rFonts w:hint="eastAsia"/>
                <w:color w:val="auto"/>
                <w:sz w:val="24"/>
                <w:highlight w:val="none"/>
                <w:lang w:eastAsia="zh-CN"/>
              </w:rPr>
              <w:t>）</w:t>
            </w:r>
            <w:r>
              <w:rPr>
                <w:rFonts w:hint="default"/>
                <w:color w:val="auto"/>
                <w:sz w:val="24"/>
                <w:highlight w:val="none"/>
              </w:rPr>
              <w:t>股份有限公司安宁分公司《公路水运材料检测中心建设项目》</w:t>
            </w:r>
            <w:r>
              <w:rPr>
                <w:rFonts w:hint="eastAsia"/>
                <w:color w:val="auto"/>
                <w:sz w:val="24"/>
                <w:highlight w:val="none"/>
                <w:lang w:val="en-US" w:eastAsia="zh-CN"/>
              </w:rPr>
              <w:t>属于同类型项目</w:t>
            </w:r>
            <w:r>
              <w:rPr>
                <w:rFonts w:hint="default"/>
                <w:color w:val="auto"/>
                <w:sz w:val="24"/>
                <w:highlight w:val="none"/>
              </w:rPr>
              <w:t>，</w:t>
            </w:r>
            <w:r>
              <w:rPr>
                <w:rFonts w:hint="eastAsia"/>
                <w:color w:val="auto"/>
                <w:sz w:val="24"/>
                <w:highlight w:val="none"/>
                <w:lang w:val="en-US" w:eastAsia="zh-CN"/>
              </w:rPr>
              <w:t>该项目为工程类检测项目，运营期所用的原辅材料与本项目相似，</w:t>
            </w:r>
            <w:r>
              <w:rPr>
                <w:rFonts w:hint="default"/>
                <w:color w:val="auto"/>
                <w:sz w:val="24"/>
                <w:highlight w:val="none"/>
              </w:rPr>
              <w:t>项目生产废水都是经三级沉淀池处理后最终进入市政管网。中大检测</w:t>
            </w:r>
            <w:r>
              <w:rPr>
                <w:rFonts w:hint="eastAsia"/>
                <w:color w:val="auto"/>
                <w:sz w:val="24"/>
                <w:highlight w:val="none"/>
                <w:lang w:eastAsia="zh-CN"/>
              </w:rPr>
              <w:t>（</w:t>
            </w:r>
            <w:r>
              <w:rPr>
                <w:rFonts w:hint="default"/>
                <w:color w:val="auto"/>
                <w:sz w:val="24"/>
                <w:highlight w:val="none"/>
              </w:rPr>
              <w:t>湖南</w:t>
            </w:r>
            <w:r>
              <w:rPr>
                <w:rFonts w:hint="eastAsia"/>
                <w:color w:val="auto"/>
                <w:sz w:val="24"/>
                <w:highlight w:val="none"/>
                <w:lang w:eastAsia="zh-CN"/>
              </w:rPr>
              <w:t>）</w:t>
            </w:r>
            <w:r>
              <w:rPr>
                <w:rFonts w:hint="default"/>
                <w:color w:val="auto"/>
                <w:sz w:val="24"/>
                <w:highlight w:val="none"/>
              </w:rPr>
              <w:t>股份有限公司安宁分公司公路水运材料检测中心建设项目</w:t>
            </w:r>
            <w:r>
              <w:rPr>
                <w:rFonts w:hint="eastAsia"/>
                <w:color w:val="auto"/>
                <w:sz w:val="24"/>
                <w:highlight w:val="none"/>
                <w:lang w:val="en-US" w:eastAsia="zh-CN"/>
              </w:rPr>
              <w:t>于2020年11月</w:t>
            </w:r>
            <w:r>
              <w:rPr>
                <w:rFonts w:hint="default"/>
                <w:color w:val="auto"/>
                <w:sz w:val="24"/>
                <w:highlight w:val="none"/>
              </w:rPr>
              <w:t>10日取得了昆明市生态环境局安宁分局</w:t>
            </w:r>
            <w:r>
              <w:rPr>
                <w:rFonts w:hint="eastAsia"/>
                <w:color w:val="auto"/>
                <w:sz w:val="24"/>
                <w:highlight w:val="none"/>
                <w:lang w:val="en-US" w:eastAsia="zh-CN"/>
              </w:rPr>
              <w:t>关于</w:t>
            </w:r>
            <w:r>
              <w:rPr>
                <w:rFonts w:hint="default"/>
                <w:color w:val="auto"/>
                <w:sz w:val="24"/>
                <w:highlight w:val="none"/>
              </w:rPr>
              <w:t>《中大检测</w:t>
            </w:r>
            <w:r>
              <w:rPr>
                <w:rFonts w:hint="eastAsia"/>
                <w:color w:val="auto"/>
                <w:sz w:val="24"/>
                <w:highlight w:val="none"/>
                <w:lang w:eastAsia="zh-CN"/>
              </w:rPr>
              <w:t>（</w:t>
            </w:r>
            <w:r>
              <w:rPr>
                <w:rFonts w:hint="default"/>
                <w:color w:val="auto"/>
                <w:sz w:val="24"/>
                <w:highlight w:val="none"/>
              </w:rPr>
              <w:t>湖南</w:t>
            </w:r>
            <w:r>
              <w:rPr>
                <w:rFonts w:hint="eastAsia"/>
                <w:color w:val="auto"/>
                <w:sz w:val="24"/>
                <w:highlight w:val="none"/>
                <w:lang w:eastAsia="zh-CN"/>
              </w:rPr>
              <w:t>）</w:t>
            </w:r>
            <w:r>
              <w:rPr>
                <w:rFonts w:hint="default"/>
                <w:color w:val="auto"/>
                <w:sz w:val="24"/>
                <w:highlight w:val="none"/>
              </w:rPr>
              <w:t>股份有限公司安宁分公司公路水运材料检测中心建设项目环境影响报告表》的批复</w:t>
            </w:r>
            <w:r>
              <w:rPr>
                <w:rFonts w:hint="eastAsia"/>
                <w:color w:val="auto"/>
                <w:sz w:val="24"/>
                <w:highlight w:val="none"/>
                <w:lang w:eastAsia="zh-CN"/>
              </w:rPr>
              <w:t>（</w:t>
            </w:r>
            <w:r>
              <w:rPr>
                <w:rFonts w:hint="default"/>
                <w:color w:val="auto"/>
                <w:sz w:val="24"/>
                <w:highlight w:val="none"/>
              </w:rPr>
              <w:t>安生环复</w:t>
            </w:r>
            <w:r>
              <w:rPr>
                <w:rFonts w:hint="eastAsia"/>
                <w:color w:val="auto"/>
                <w:sz w:val="24"/>
                <w:highlight w:val="none"/>
                <w:lang w:eastAsia="zh-CN"/>
              </w:rPr>
              <w:t>【</w:t>
            </w:r>
            <w:r>
              <w:rPr>
                <w:rFonts w:hint="default"/>
                <w:color w:val="auto"/>
                <w:sz w:val="24"/>
                <w:highlight w:val="none"/>
              </w:rPr>
              <w:t>2020</w:t>
            </w:r>
            <w:r>
              <w:rPr>
                <w:rFonts w:hint="eastAsia"/>
                <w:color w:val="auto"/>
                <w:sz w:val="24"/>
                <w:highlight w:val="none"/>
                <w:lang w:eastAsia="zh-CN"/>
              </w:rPr>
              <w:t>】</w:t>
            </w:r>
            <w:r>
              <w:rPr>
                <w:rFonts w:hint="default"/>
                <w:color w:val="auto"/>
                <w:sz w:val="24"/>
                <w:highlight w:val="none"/>
              </w:rPr>
              <w:t>110号</w:t>
            </w:r>
            <w:r>
              <w:rPr>
                <w:rFonts w:hint="eastAsia"/>
                <w:color w:val="auto"/>
                <w:sz w:val="24"/>
                <w:highlight w:val="none"/>
                <w:lang w:eastAsia="zh-CN"/>
              </w:rPr>
              <w:t>）），</w:t>
            </w:r>
            <w:r>
              <w:rPr>
                <w:rFonts w:hint="eastAsia"/>
                <w:color w:val="auto"/>
                <w:sz w:val="24"/>
                <w:highlight w:val="none"/>
                <w:lang w:val="en-US" w:eastAsia="zh-CN"/>
              </w:rPr>
              <w:t>于</w:t>
            </w:r>
            <w:r>
              <w:rPr>
                <w:rFonts w:hint="default"/>
                <w:color w:val="auto"/>
                <w:sz w:val="24"/>
                <w:highlight w:val="none"/>
              </w:rPr>
              <w:t>2020年4月开工建设，2021年2月全面竣工，并于2021年8月25日完成</w:t>
            </w:r>
            <w:r>
              <w:rPr>
                <w:rFonts w:hint="eastAsia"/>
                <w:color w:val="auto"/>
                <w:sz w:val="24"/>
                <w:highlight w:val="none"/>
                <w:lang w:val="en-US" w:eastAsia="zh-CN"/>
              </w:rPr>
              <w:t>竣工</w:t>
            </w:r>
            <w:r>
              <w:rPr>
                <w:rFonts w:hint="default"/>
                <w:color w:val="auto"/>
                <w:sz w:val="24"/>
                <w:highlight w:val="none"/>
              </w:rPr>
              <w:t>环境保护验收备案。故本项目废水污染物产生浓度和</w:t>
            </w:r>
            <w:r>
              <w:rPr>
                <w:rFonts w:hint="eastAsia"/>
                <w:color w:val="auto"/>
                <w:sz w:val="24"/>
                <w:highlight w:val="none"/>
                <w:lang w:val="en-US" w:eastAsia="zh-CN"/>
              </w:rPr>
              <w:t>排放浓度均</w:t>
            </w:r>
            <w:r>
              <w:rPr>
                <w:rFonts w:hint="default"/>
                <w:color w:val="auto"/>
                <w:sz w:val="24"/>
                <w:highlight w:val="none"/>
              </w:rPr>
              <w:t>参照中大检测</w:t>
            </w:r>
            <w:r>
              <w:rPr>
                <w:rFonts w:hint="eastAsia"/>
                <w:color w:val="auto"/>
                <w:sz w:val="24"/>
                <w:highlight w:val="none"/>
                <w:lang w:eastAsia="zh-CN"/>
              </w:rPr>
              <w:t>（</w:t>
            </w:r>
            <w:r>
              <w:rPr>
                <w:rFonts w:hint="default"/>
                <w:color w:val="auto"/>
                <w:sz w:val="24"/>
                <w:highlight w:val="none"/>
              </w:rPr>
              <w:t>湖南</w:t>
            </w:r>
            <w:r>
              <w:rPr>
                <w:rFonts w:hint="eastAsia"/>
                <w:color w:val="auto"/>
                <w:sz w:val="24"/>
                <w:highlight w:val="none"/>
                <w:lang w:eastAsia="zh-CN"/>
              </w:rPr>
              <w:t>）</w:t>
            </w:r>
            <w:r>
              <w:rPr>
                <w:rFonts w:hint="default"/>
                <w:color w:val="auto"/>
                <w:sz w:val="24"/>
                <w:highlight w:val="none"/>
              </w:rPr>
              <w:t>股份有限公司安宁分公司《公路水运材料检测中心建设项目验收监测报告》</w:t>
            </w:r>
            <w:r>
              <w:rPr>
                <w:rFonts w:hint="eastAsia"/>
                <w:color w:val="auto"/>
                <w:sz w:val="24"/>
                <w:highlight w:val="none"/>
                <w:lang w:val="en-US" w:eastAsia="zh-CN"/>
              </w:rPr>
              <w:t>中的数据。</w:t>
            </w:r>
            <w:r>
              <w:rPr>
                <w:rFonts w:hint="default"/>
                <w:color w:val="auto"/>
                <w:sz w:val="24"/>
              </w:rPr>
              <w:t>废水</w:t>
            </w:r>
            <w:r>
              <w:rPr>
                <w:rFonts w:hint="eastAsia"/>
                <w:color w:val="auto"/>
                <w:sz w:val="24"/>
                <w:lang w:val="en-US" w:eastAsia="zh-CN"/>
              </w:rPr>
              <w:t>产生</w:t>
            </w:r>
            <w:r>
              <w:rPr>
                <w:rFonts w:hint="default"/>
                <w:color w:val="auto"/>
                <w:sz w:val="24"/>
              </w:rPr>
              <w:t>浓度为CODcr</w:t>
            </w:r>
            <w:r>
              <w:rPr>
                <w:rFonts w:hint="eastAsia"/>
                <w:color w:val="auto"/>
                <w:sz w:val="24"/>
                <w:lang w:val="en-US" w:eastAsia="zh-CN"/>
              </w:rPr>
              <w:t>179.2</w:t>
            </w:r>
            <w:r>
              <w:rPr>
                <w:rFonts w:hint="default"/>
                <w:color w:val="auto"/>
                <w:sz w:val="24"/>
              </w:rPr>
              <w:t>mg/L、BOD</w:t>
            </w:r>
            <w:r>
              <w:rPr>
                <w:rFonts w:hint="default"/>
                <w:color w:val="auto"/>
                <w:sz w:val="24"/>
                <w:vertAlign w:val="subscript"/>
              </w:rPr>
              <w:t>5</w:t>
            </w:r>
            <w:r>
              <w:rPr>
                <w:rFonts w:hint="eastAsia"/>
                <w:color w:val="auto"/>
                <w:sz w:val="24"/>
                <w:lang w:val="en-US" w:eastAsia="zh-CN"/>
              </w:rPr>
              <w:t>89.8</w:t>
            </w:r>
            <w:r>
              <w:rPr>
                <w:rFonts w:hint="default"/>
                <w:color w:val="auto"/>
                <w:sz w:val="24"/>
              </w:rPr>
              <w:t>mg/L、SS</w:t>
            </w:r>
            <w:r>
              <w:rPr>
                <w:rFonts w:hint="eastAsia"/>
                <w:color w:val="auto"/>
                <w:sz w:val="24"/>
                <w:lang w:val="en-US" w:eastAsia="zh-CN"/>
              </w:rPr>
              <w:t>209</w:t>
            </w:r>
            <w:r>
              <w:rPr>
                <w:rFonts w:hint="default"/>
                <w:color w:val="auto"/>
                <w:sz w:val="24"/>
              </w:rPr>
              <w:t>mg/L、氨氮</w:t>
            </w:r>
            <w:r>
              <w:rPr>
                <w:rFonts w:hint="eastAsia"/>
                <w:color w:val="auto"/>
                <w:sz w:val="24"/>
                <w:lang w:val="en-US" w:eastAsia="zh-CN"/>
              </w:rPr>
              <w:t>19.42</w:t>
            </w:r>
            <w:r>
              <w:rPr>
                <w:rFonts w:hint="default"/>
                <w:color w:val="auto"/>
                <w:sz w:val="24"/>
              </w:rPr>
              <w:t>mg/L、总磷</w:t>
            </w:r>
            <w:r>
              <w:rPr>
                <w:rFonts w:hint="eastAsia"/>
                <w:color w:val="auto"/>
                <w:sz w:val="24"/>
                <w:lang w:val="en-US" w:eastAsia="zh-CN"/>
              </w:rPr>
              <w:t>0.048</w:t>
            </w:r>
            <w:r>
              <w:rPr>
                <w:rFonts w:hint="default"/>
                <w:color w:val="auto"/>
                <w:sz w:val="24"/>
              </w:rPr>
              <w:t>mg/L</w:t>
            </w:r>
            <w:r>
              <w:rPr>
                <w:rFonts w:hint="eastAsia"/>
                <w:color w:val="auto"/>
                <w:sz w:val="24"/>
                <w:lang w:eastAsia="zh-CN"/>
              </w:rPr>
              <w:t>，</w:t>
            </w:r>
            <w:r>
              <w:rPr>
                <w:rFonts w:hint="default"/>
                <w:color w:val="auto"/>
                <w:sz w:val="24"/>
              </w:rPr>
              <w:t>废水</w:t>
            </w:r>
            <w:r>
              <w:rPr>
                <w:rFonts w:hint="eastAsia"/>
                <w:color w:val="auto"/>
                <w:sz w:val="24"/>
                <w:lang w:val="en-US" w:eastAsia="zh-CN"/>
              </w:rPr>
              <w:t>排放</w:t>
            </w:r>
            <w:r>
              <w:rPr>
                <w:rFonts w:hint="default"/>
                <w:color w:val="auto"/>
                <w:sz w:val="24"/>
              </w:rPr>
              <w:t>浓度为CODcr</w:t>
            </w:r>
            <w:r>
              <w:rPr>
                <w:rFonts w:hint="eastAsia"/>
                <w:color w:val="auto"/>
                <w:sz w:val="24"/>
                <w:lang w:val="en-US" w:eastAsia="zh-CN"/>
              </w:rPr>
              <w:t>64</w:t>
            </w:r>
            <w:r>
              <w:rPr>
                <w:rFonts w:hint="default"/>
                <w:color w:val="auto"/>
                <w:sz w:val="24"/>
              </w:rPr>
              <w:t>mg/L、BOD</w:t>
            </w:r>
            <w:r>
              <w:rPr>
                <w:rFonts w:hint="default"/>
                <w:color w:val="auto"/>
                <w:sz w:val="24"/>
                <w:vertAlign w:val="subscript"/>
              </w:rPr>
              <w:t>5</w:t>
            </w:r>
            <w:r>
              <w:rPr>
                <w:rFonts w:hint="eastAsia"/>
                <w:color w:val="auto"/>
                <w:sz w:val="24"/>
                <w:lang w:val="en-US" w:eastAsia="zh-CN"/>
              </w:rPr>
              <w:t>14.42</w:t>
            </w:r>
            <w:r>
              <w:rPr>
                <w:rFonts w:hint="default"/>
                <w:color w:val="auto"/>
                <w:sz w:val="24"/>
              </w:rPr>
              <w:t>mg/L、SS</w:t>
            </w:r>
            <w:r>
              <w:rPr>
                <w:rFonts w:hint="eastAsia"/>
                <w:color w:val="auto"/>
                <w:sz w:val="24"/>
                <w:lang w:val="en-US" w:eastAsia="zh-CN"/>
              </w:rPr>
              <w:t>106.3</w:t>
            </w:r>
            <w:r>
              <w:rPr>
                <w:rFonts w:hint="default"/>
                <w:color w:val="auto"/>
                <w:sz w:val="24"/>
              </w:rPr>
              <w:t>mg/L、氨氮</w:t>
            </w:r>
            <w:r>
              <w:rPr>
                <w:rFonts w:hint="eastAsia"/>
                <w:color w:val="auto"/>
                <w:sz w:val="24"/>
                <w:lang w:val="en-US" w:eastAsia="zh-CN"/>
              </w:rPr>
              <w:t>4.86</w:t>
            </w:r>
            <w:r>
              <w:rPr>
                <w:rFonts w:hint="default"/>
                <w:color w:val="auto"/>
                <w:sz w:val="24"/>
              </w:rPr>
              <w:t>mg/L、总磷</w:t>
            </w:r>
            <w:r>
              <w:rPr>
                <w:rFonts w:hint="eastAsia"/>
                <w:color w:val="auto"/>
                <w:sz w:val="24"/>
                <w:lang w:val="en-US" w:eastAsia="zh-CN"/>
              </w:rPr>
              <w:t>0.03</w:t>
            </w:r>
            <w:r>
              <w:rPr>
                <w:rFonts w:hint="default"/>
                <w:color w:val="auto"/>
                <w:sz w:val="24"/>
              </w:rPr>
              <w:t>mg/L</w:t>
            </w:r>
            <w:r>
              <w:rPr>
                <w:rFonts w:hint="eastAsia"/>
                <w:color w:val="auto"/>
                <w:sz w:val="24"/>
                <w:lang w:eastAsia="zh-CN"/>
              </w:rPr>
              <w:t>。</w:t>
            </w:r>
          </w:p>
          <w:p w14:paraId="57BEBE6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本项目新建一个</w:t>
            </w:r>
            <w:r>
              <w:rPr>
                <w:rFonts w:hint="eastAsia"/>
                <w:color w:val="auto"/>
                <w:sz w:val="24"/>
                <w:lang w:val="en-US" w:eastAsia="zh-CN"/>
              </w:rPr>
              <w:t>三级</w:t>
            </w:r>
            <w:r>
              <w:rPr>
                <w:rFonts w:hint="default"/>
                <w:color w:val="auto"/>
                <w:sz w:val="24"/>
              </w:rPr>
              <w:t>沉淀池处理实验</w:t>
            </w:r>
            <w:r>
              <w:rPr>
                <w:rFonts w:hint="eastAsia"/>
                <w:color w:val="auto"/>
                <w:sz w:val="24"/>
                <w:lang w:val="en-US" w:eastAsia="zh-CN"/>
              </w:rPr>
              <w:t>楼</w:t>
            </w:r>
            <w:r>
              <w:rPr>
                <w:rFonts w:hint="default"/>
                <w:color w:val="auto"/>
                <w:sz w:val="24"/>
              </w:rPr>
              <w:t>产生的废水，主要为实验器皿第三次及以后清洗废水、物理实验过程</w:t>
            </w:r>
            <w:r>
              <w:rPr>
                <w:rFonts w:hint="eastAsia"/>
                <w:color w:val="auto"/>
                <w:sz w:val="24"/>
                <w:lang w:val="en-US" w:eastAsia="zh-CN"/>
              </w:rPr>
              <w:t>废水、</w:t>
            </w:r>
            <w:r>
              <w:rPr>
                <w:rFonts w:hint="default"/>
                <w:color w:val="auto"/>
                <w:sz w:val="24"/>
              </w:rPr>
              <w:t>纯水设备产生的废水和喷淋</w:t>
            </w:r>
            <w:r>
              <w:rPr>
                <w:rFonts w:hint="eastAsia"/>
                <w:color w:val="auto"/>
                <w:sz w:val="24"/>
                <w:lang w:val="en-US" w:eastAsia="zh-CN"/>
              </w:rPr>
              <w:t>设施</w:t>
            </w:r>
            <w:r>
              <w:rPr>
                <w:rFonts w:hint="default"/>
                <w:color w:val="auto"/>
                <w:sz w:val="24"/>
              </w:rPr>
              <w:t>废水，经</w:t>
            </w:r>
            <w:r>
              <w:rPr>
                <w:rFonts w:hint="eastAsia"/>
                <w:color w:val="auto"/>
                <w:sz w:val="24"/>
                <w:lang w:val="en-US" w:eastAsia="zh-CN"/>
              </w:rPr>
              <w:t>实验废水经中和预处理后通过</w:t>
            </w:r>
            <w:r>
              <w:rPr>
                <w:rFonts w:hint="default"/>
                <w:color w:val="auto"/>
                <w:sz w:val="24"/>
              </w:rPr>
              <w:t>自建</w:t>
            </w:r>
            <w:r>
              <w:rPr>
                <w:rFonts w:hint="eastAsia"/>
                <w:color w:val="auto"/>
                <w:sz w:val="24"/>
                <w:lang w:val="en-US" w:eastAsia="zh-CN"/>
              </w:rPr>
              <w:t>三级</w:t>
            </w:r>
            <w:r>
              <w:rPr>
                <w:rFonts w:hint="default"/>
                <w:color w:val="auto"/>
                <w:sz w:val="24"/>
              </w:rPr>
              <w:t>沉淀池进行处理达《污水排入城镇下水道水质标准》（GB/T31962-2015）表1中A等级标准要求后，由已有污水管网排入龙泉路市政污水管网，最终进入昆明市</w:t>
            </w:r>
            <w:r>
              <w:rPr>
                <w:rFonts w:hint="eastAsia"/>
                <w:color w:val="auto"/>
                <w:sz w:val="24"/>
                <w:lang w:eastAsia="zh-CN"/>
              </w:rPr>
              <w:t>第五水质净化厂处理</w:t>
            </w:r>
            <w:r>
              <w:rPr>
                <w:rFonts w:hint="default"/>
                <w:color w:val="auto"/>
                <w:sz w:val="24"/>
              </w:rPr>
              <w:t>。</w:t>
            </w:r>
          </w:p>
          <w:p w14:paraId="51514D98">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eastAsia" w:ascii="Times New Roman" w:hAnsi="Times New Roman" w:eastAsia="宋体" w:cs="Times New Roman"/>
                <w:color w:val="auto"/>
                <w:kern w:val="2"/>
                <w:sz w:val="24"/>
                <w:szCs w:val="24"/>
                <w:lang w:val="en-US" w:eastAsia="zh-CN" w:bidi="ar"/>
              </w:rPr>
              <w:t>项目内食堂废水通过隔油池处理后与其他生活废水进入办公楼依托化粪池处理，</w:t>
            </w:r>
            <w:r>
              <w:rPr>
                <w:rFonts w:hint="eastAsia" w:ascii="Times New Roman" w:hAnsi="Times New Roman" w:eastAsia="宋体" w:cs="Times New Roman"/>
                <w:color w:val="auto"/>
                <w:sz w:val="24"/>
                <w:szCs w:val="24"/>
                <w:lang w:val="en-US" w:eastAsia="zh-CN" w:bidi="ar"/>
              </w:rPr>
              <w:t>隔油池对动植物油的去除效率为60</w:t>
            </w:r>
            <w:r>
              <w:rPr>
                <w:rFonts w:hint="default" w:ascii="Times New Roman" w:hAnsi="Times New Roman" w:eastAsia="宋体" w:cs="Times New Roman"/>
                <w:color w:val="auto"/>
                <w:sz w:val="24"/>
                <w:szCs w:val="24"/>
                <w:lang w:val="en-US" w:eastAsia="zh-CN" w:bidi="ar"/>
              </w:rPr>
              <w:t>%</w:t>
            </w:r>
            <w:r>
              <w:rPr>
                <w:rFonts w:hint="eastAsia" w:ascii="Times New Roman" w:hAnsi="Times New Roman" w:eastAsia="宋体" w:cs="Times New Roman"/>
                <w:color w:val="auto"/>
                <w:sz w:val="21"/>
                <w:szCs w:val="24"/>
                <w:lang w:val="en-US" w:eastAsia="zh-CN" w:bidi="ar"/>
              </w:rPr>
              <w:t>，</w:t>
            </w:r>
            <w:r>
              <w:rPr>
                <w:rFonts w:hint="default"/>
                <w:color w:val="auto"/>
                <w:sz w:val="24"/>
              </w:rPr>
              <w:t>化粪池的处理效率依据《常用污水处理设备及去除率》确定分别为为：CODcr：15%、BOD</w:t>
            </w:r>
            <w:r>
              <w:rPr>
                <w:rFonts w:hint="default"/>
                <w:color w:val="auto"/>
                <w:sz w:val="24"/>
                <w:vertAlign w:val="subscript"/>
              </w:rPr>
              <w:t>5</w:t>
            </w:r>
            <w:r>
              <w:rPr>
                <w:rFonts w:hint="default"/>
                <w:color w:val="auto"/>
                <w:sz w:val="24"/>
              </w:rPr>
              <w:t>：5%，SS：30%，氨氮：3%，总磷0%。</w:t>
            </w:r>
            <w:r>
              <w:rPr>
                <w:rFonts w:hint="default"/>
                <w:color w:val="auto"/>
                <w:kern w:val="0"/>
                <w:sz w:val="24"/>
              </w:rPr>
              <w:t>则项目废水污染物产排情况见下表。</w:t>
            </w:r>
          </w:p>
          <w:p w14:paraId="549B04B4">
            <w:pPr>
              <w:keepNext/>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表4-</w:t>
            </w:r>
            <w:r>
              <w:rPr>
                <w:rFonts w:hint="eastAsia"/>
                <w:b/>
                <w:color w:val="auto"/>
                <w:szCs w:val="21"/>
                <w:lang w:val="en-US" w:eastAsia="zh-CN"/>
              </w:rPr>
              <w:t>7</w:t>
            </w:r>
            <w:r>
              <w:rPr>
                <w:rFonts w:hint="default"/>
                <w:b/>
                <w:color w:val="auto"/>
                <w:szCs w:val="21"/>
              </w:rPr>
              <w:t xml:space="preserve">   本项目生活废水污染物浓度情况表</w:t>
            </w:r>
          </w:p>
          <w:tbl>
            <w:tblPr>
              <w:tblStyle w:val="17"/>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9"/>
              <w:gridCol w:w="740"/>
              <w:gridCol w:w="1295"/>
              <w:gridCol w:w="1059"/>
              <w:gridCol w:w="930"/>
              <w:gridCol w:w="792"/>
              <w:gridCol w:w="837"/>
              <w:gridCol w:w="808"/>
              <w:gridCol w:w="751"/>
              <w:gridCol w:w="749"/>
            </w:tblGrid>
            <w:tr w14:paraId="0227D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42" w:type="pct"/>
                  <w:gridSpan w:val="3"/>
                  <w:vAlign w:val="center"/>
                </w:tcPr>
                <w:p w14:paraId="66D63BCE">
                  <w:pPr>
                    <w:keepNext w:val="0"/>
                    <w:keepLines w:val="0"/>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szCs w:val="21"/>
                    </w:rPr>
                    <w:t>名称</w:t>
                  </w:r>
                </w:p>
              </w:tc>
              <w:tc>
                <w:tcPr>
                  <w:tcW w:w="618" w:type="pct"/>
                  <w:vAlign w:val="center"/>
                </w:tcPr>
                <w:p w14:paraId="3FE06BCF">
                  <w:pPr>
                    <w:keepNext w:val="0"/>
                    <w:keepLines w:val="0"/>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szCs w:val="21"/>
                    </w:rPr>
                    <w:t>水量（t/a）</w:t>
                  </w:r>
                </w:p>
              </w:tc>
              <w:tc>
                <w:tcPr>
                  <w:tcW w:w="542" w:type="pct"/>
                  <w:vAlign w:val="center"/>
                </w:tcPr>
                <w:p w14:paraId="5F62F191">
                  <w:pPr>
                    <w:keepNext w:val="0"/>
                    <w:keepLines w:val="0"/>
                    <w:widowControl/>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kern w:val="0"/>
                      <w:szCs w:val="21"/>
                    </w:rPr>
                    <w:t>CODcr</w:t>
                  </w:r>
                </w:p>
              </w:tc>
              <w:tc>
                <w:tcPr>
                  <w:tcW w:w="462" w:type="pct"/>
                  <w:vAlign w:val="center"/>
                </w:tcPr>
                <w:p w14:paraId="7F9ADBCD">
                  <w:pPr>
                    <w:keepNext w:val="0"/>
                    <w:keepLines w:val="0"/>
                    <w:widowControl/>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kern w:val="0"/>
                      <w:szCs w:val="21"/>
                    </w:rPr>
                    <w:t>BOD</w:t>
                  </w:r>
                  <w:r>
                    <w:rPr>
                      <w:rFonts w:hint="default"/>
                      <w:b/>
                      <w:bCs/>
                      <w:color w:val="auto"/>
                      <w:kern w:val="0"/>
                      <w:szCs w:val="21"/>
                      <w:vertAlign w:val="subscript"/>
                    </w:rPr>
                    <w:t>5</w:t>
                  </w:r>
                </w:p>
              </w:tc>
              <w:tc>
                <w:tcPr>
                  <w:tcW w:w="488" w:type="pct"/>
                  <w:vAlign w:val="center"/>
                </w:tcPr>
                <w:p w14:paraId="274260C8">
                  <w:pPr>
                    <w:keepNext w:val="0"/>
                    <w:keepLines w:val="0"/>
                    <w:widowControl/>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kern w:val="0"/>
                      <w:szCs w:val="21"/>
                    </w:rPr>
                    <w:t>SS</w:t>
                  </w:r>
                </w:p>
              </w:tc>
              <w:tc>
                <w:tcPr>
                  <w:tcW w:w="471" w:type="pct"/>
                  <w:vAlign w:val="center"/>
                </w:tcPr>
                <w:p w14:paraId="5CB74809">
                  <w:pPr>
                    <w:keepNext w:val="0"/>
                    <w:keepLines w:val="0"/>
                    <w:widowControl/>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kern w:val="0"/>
                      <w:szCs w:val="21"/>
                    </w:rPr>
                    <w:t>氨氮</w:t>
                  </w:r>
                </w:p>
              </w:tc>
              <w:tc>
                <w:tcPr>
                  <w:tcW w:w="438" w:type="pct"/>
                  <w:vAlign w:val="center"/>
                </w:tcPr>
                <w:p w14:paraId="2DE3302A">
                  <w:pPr>
                    <w:keepNext w:val="0"/>
                    <w:keepLines w:val="0"/>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szCs w:val="21"/>
                    </w:rPr>
                    <w:t>总磷</w:t>
                  </w:r>
                </w:p>
              </w:tc>
              <w:tc>
                <w:tcPr>
                  <w:tcW w:w="437" w:type="pct"/>
                </w:tcPr>
                <w:p w14:paraId="1BFB8B8E">
                  <w:pPr>
                    <w:keepNext w:val="0"/>
                    <w:keepLines w:val="0"/>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szCs w:val="21"/>
                    </w:rPr>
                    <w:t>动植物油</w:t>
                  </w:r>
                </w:p>
              </w:tc>
            </w:tr>
            <w:tr w14:paraId="69052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55" w:type="pct"/>
                  <w:vMerge w:val="restart"/>
                  <w:vAlign w:val="center"/>
                </w:tcPr>
                <w:p w14:paraId="3C71A339">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处理前</w:t>
                  </w:r>
                </w:p>
              </w:tc>
              <w:tc>
                <w:tcPr>
                  <w:tcW w:w="431" w:type="pct"/>
                  <w:vMerge w:val="restart"/>
                  <w:vAlign w:val="center"/>
                </w:tcPr>
                <w:p w14:paraId="57DD7AA2">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生活废水</w:t>
                  </w:r>
                </w:p>
              </w:tc>
              <w:tc>
                <w:tcPr>
                  <w:tcW w:w="755" w:type="pct"/>
                  <w:vAlign w:val="center"/>
                </w:tcPr>
                <w:p w14:paraId="4F09BEB7">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污染物产生浓度（mg/L）</w:t>
                  </w:r>
                </w:p>
              </w:tc>
              <w:tc>
                <w:tcPr>
                  <w:tcW w:w="618" w:type="pct"/>
                  <w:vAlign w:val="center"/>
                </w:tcPr>
                <w:p w14:paraId="6E2F343A">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w:t>
                  </w:r>
                </w:p>
              </w:tc>
              <w:tc>
                <w:tcPr>
                  <w:tcW w:w="542" w:type="pct"/>
                  <w:vAlign w:val="center"/>
                </w:tcPr>
                <w:p w14:paraId="75C39A14">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350</w:t>
                  </w:r>
                </w:p>
              </w:tc>
              <w:tc>
                <w:tcPr>
                  <w:tcW w:w="462" w:type="pct"/>
                  <w:vAlign w:val="center"/>
                </w:tcPr>
                <w:p w14:paraId="4C9206A1">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300</w:t>
                  </w:r>
                </w:p>
              </w:tc>
              <w:tc>
                <w:tcPr>
                  <w:tcW w:w="488" w:type="pct"/>
                  <w:vAlign w:val="center"/>
                </w:tcPr>
                <w:p w14:paraId="1893984F">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200</w:t>
                  </w:r>
                </w:p>
              </w:tc>
              <w:tc>
                <w:tcPr>
                  <w:tcW w:w="471" w:type="pct"/>
                  <w:vAlign w:val="center"/>
                </w:tcPr>
                <w:p w14:paraId="554FE19F">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35</w:t>
                  </w:r>
                </w:p>
              </w:tc>
              <w:tc>
                <w:tcPr>
                  <w:tcW w:w="438" w:type="pct"/>
                  <w:vAlign w:val="center"/>
                </w:tcPr>
                <w:p w14:paraId="56830C7B">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8</w:t>
                  </w:r>
                </w:p>
              </w:tc>
              <w:tc>
                <w:tcPr>
                  <w:tcW w:w="437" w:type="pct"/>
                  <w:vAlign w:val="center"/>
                </w:tcPr>
                <w:p w14:paraId="3C940509">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45</w:t>
                  </w:r>
                </w:p>
              </w:tc>
            </w:tr>
            <w:tr w14:paraId="7B7D2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55" w:type="pct"/>
                  <w:vMerge w:val="continue"/>
                  <w:vAlign w:val="center"/>
                </w:tcPr>
                <w:p w14:paraId="6DF96BA4">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p>
              </w:tc>
              <w:tc>
                <w:tcPr>
                  <w:tcW w:w="431" w:type="pct"/>
                  <w:vMerge w:val="continue"/>
                  <w:vAlign w:val="center"/>
                </w:tcPr>
                <w:p w14:paraId="4D5E8FA8">
                  <w:pPr>
                    <w:keepNext w:val="0"/>
                    <w:keepLines w:val="0"/>
                    <w:widowControl/>
                    <w:suppressLineNumbers w:val="0"/>
                    <w:spacing w:before="0" w:beforeAutospacing="0" w:after="0" w:afterAutospacing="0" w:line="240" w:lineRule="atLeast"/>
                    <w:ind w:left="0" w:right="0"/>
                    <w:jc w:val="center"/>
                    <w:rPr>
                      <w:rFonts w:hint="default"/>
                      <w:color w:val="auto"/>
                      <w:szCs w:val="21"/>
                    </w:rPr>
                  </w:pPr>
                </w:p>
              </w:tc>
              <w:tc>
                <w:tcPr>
                  <w:tcW w:w="755" w:type="pct"/>
                  <w:vAlign w:val="center"/>
                </w:tcPr>
                <w:p w14:paraId="12049430">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年产生量（t/a）</w:t>
                  </w:r>
                </w:p>
              </w:tc>
              <w:tc>
                <w:tcPr>
                  <w:tcW w:w="618" w:type="pct"/>
                  <w:vAlign w:val="center"/>
                </w:tcPr>
                <w:p w14:paraId="47136813">
                  <w:pPr>
                    <w:keepNext w:val="0"/>
                    <w:keepLines w:val="0"/>
                    <w:suppressLineNumbers w:val="0"/>
                    <w:spacing w:before="0" w:beforeAutospacing="0" w:after="0" w:afterAutospacing="0" w:line="240" w:lineRule="atLeast"/>
                    <w:ind w:left="0" w:right="0"/>
                    <w:jc w:val="center"/>
                    <w:rPr>
                      <w:rFonts w:hint="default" w:eastAsia="宋体"/>
                      <w:color w:val="auto"/>
                      <w:szCs w:val="21"/>
                      <w:lang w:val="en-US" w:eastAsia="zh-CN"/>
                    </w:rPr>
                  </w:pPr>
                  <w:r>
                    <w:rPr>
                      <w:rFonts w:hint="eastAsia"/>
                      <w:color w:val="auto"/>
                      <w:szCs w:val="21"/>
                      <w:lang w:val="en-US" w:eastAsia="zh-CN"/>
                    </w:rPr>
                    <w:t>1132.32</w:t>
                  </w:r>
                </w:p>
              </w:tc>
              <w:tc>
                <w:tcPr>
                  <w:tcW w:w="542" w:type="pct"/>
                  <w:vAlign w:val="center"/>
                </w:tcPr>
                <w:p w14:paraId="36EFBE61">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0.3963 </w:t>
                  </w:r>
                </w:p>
              </w:tc>
              <w:tc>
                <w:tcPr>
                  <w:tcW w:w="462" w:type="pct"/>
                  <w:vAlign w:val="center"/>
                </w:tcPr>
                <w:p w14:paraId="5237794C">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0.3397 </w:t>
                  </w:r>
                </w:p>
              </w:tc>
              <w:tc>
                <w:tcPr>
                  <w:tcW w:w="488" w:type="pct"/>
                  <w:vAlign w:val="center"/>
                </w:tcPr>
                <w:p w14:paraId="230DFE86">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0.2265 </w:t>
                  </w:r>
                </w:p>
              </w:tc>
              <w:tc>
                <w:tcPr>
                  <w:tcW w:w="471" w:type="pct"/>
                  <w:vAlign w:val="center"/>
                </w:tcPr>
                <w:p w14:paraId="5AC6B8D3">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0.0396 </w:t>
                  </w:r>
                </w:p>
              </w:tc>
              <w:tc>
                <w:tcPr>
                  <w:tcW w:w="438" w:type="pct"/>
                  <w:vAlign w:val="center"/>
                </w:tcPr>
                <w:p w14:paraId="0BE47EE7">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0.009</w:t>
                  </w:r>
                </w:p>
              </w:tc>
              <w:tc>
                <w:tcPr>
                  <w:tcW w:w="437" w:type="pct"/>
                  <w:vAlign w:val="center"/>
                </w:tcPr>
                <w:p w14:paraId="27F441EE">
                  <w:pPr>
                    <w:keepNext w:val="0"/>
                    <w:keepLines w:val="0"/>
                    <w:widowControl/>
                    <w:suppressLineNumbers w:val="0"/>
                    <w:spacing w:before="0" w:beforeAutospacing="0" w:after="0" w:afterAutospacing="0"/>
                    <w:ind w:left="0" w:right="0"/>
                    <w:jc w:val="both"/>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0.051 </w:t>
                  </w:r>
                </w:p>
              </w:tc>
            </w:tr>
            <w:tr w14:paraId="79C12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42" w:type="pct"/>
                  <w:gridSpan w:val="3"/>
                  <w:vAlign w:val="center"/>
                </w:tcPr>
                <w:p w14:paraId="18FCACCE">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处理措施</w:t>
                  </w:r>
                </w:p>
              </w:tc>
              <w:tc>
                <w:tcPr>
                  <w:tcW w:w="3457" w:type="pct"/>
                  <w:gridSpan w:val="7"/>
                  <w:vAlign w:val="center"/>
                </w:tcPr>
                <w:p w14:paraId="0ABFC0E8">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化粪池、隔油池</w:t>
                  </w:r>
                </w:p>
              </w:tc>
            </w:tr>
            <w:tr w14:paraId="49D55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42" w:type="pct"/>
                  <w:gridSpan w:val="3"/>
                  <w:vAlign w:val="center"/>
                </w:tcPr>
                <w:p w14:paraId="212DD3EA">
                  <w:pPr>
                    <w:keepNext w:val="0"/>
                    <w:keepLines w:val="0"/>
                    <w:widowControl/>
                    <w:suppressLineNumbers w:val="0"/>
                    <w:spacing w:before="0" w:beforeAutospacing="0" w:after="0" w:afterAutospacing="0" w:line="240" w:lineRule="atLeast"/>
                    <w:ind w:left="0" w:right="0"/>
                    <w:jc w:val="center"/>
                    <w:rPr>
                      <w:rFonts w:hint="default"/>
                      <w:color w:val="auto"/>
                      <w:szCs w:val="21"/>
                    </w:rPr>
                  </w:pPr>
                  <w:r>
                    <w:rPr>
                      <w:rFonts w:hint="default"/>
                      <w:color w:val="auto"/>
                      <w:kern w:val="0"/>
                      <w:szCs w:val="21"/>
                    </w:rPr>
                    <w:t>去除效率（%）</w:t>
                  </w:r>
                </w:p>
              </w:tc>
              <w:tc>
                <w:tcPr>
                  <w:tcW w:w="618" w:type="pct"/>
                  <w:vAlign w:val="center"/>
                </w:tcPr>
                <w:p w14:paraId="39F0D312">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w:t>
                  </w:r>
                </w:p>
              </w:tc>
              <w:tc>
                <w:tcPr>
                  <w:tcW w:w="542" w:type="pct"/>
                  <w:vAlign w:val="center"/>
                </w:tcPr>
                <w:p w14:paraId="455FA84F">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15%</w:t>
                  </w:r>
                </w:p>
              </w:tc>
              <w:tc>
                <w:tcPr>
                  <w:tcW w:w="462" w:type="pct"/>
                  <w:vAlign w:val="center"/>
                </w:tcPr>
                <w:p w14:paraId="1C087765">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5%</w:t>
                  </w:r>
                </w:p>
              </w:tc>
              <w:tc>
                <w:tcPr>
                  <w:tcW w:w="488" w:type="pct"/>
                  <w:vAlign w:val="center"/>
                </w:tcPr>
                <w:p w14:paraId="368A9A88">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30%</w:t>
                  </w:r>
                </w:p>
              </w:tc>
              <w:tc>
                <w:tcPr>
                  <w:tcW w:w="471" w:type="pct"/>
                  <w:vAlign w:val="center"/>
                </w:tcPr>
                <w:p w14:paraId="198438BF">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3%</w:t>
                  </w:r>
                </w:p>
              </w:tc>
              <w:tc>
                <w:tcPr>
                  <w:tcW w:w="438" w:type="pct"/>
                  <w:vAlign w:val="center"/>
                </w:tcPr>
                <w:p w14:paraId="4ECAAA1D">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0%</w:t>
                  </w:r>
                </w:p>
              </w:tc>
              <w:tc>
                <w:tcPr>
                  <w:tcW w:w="437" w:type="pct"/>
                </w:tcPr>
                <w:p w14:paraId="6086A875">
                  <w:pPr>
                    <w:keepNext w:val="0"/>
                    <w:keepLines w:val="0"/>
                    <w:suppressLineNumbers w:val="0"/>
                    <w:spacing w:before="0" w:beforeAutospacing="0" w:after="0" w:afterAutospacing="0" w:line="240" w:lineRule="atLeast"/>
                    <w:ind w:left="0" w:right="0"/>
                    <w:jc w:val="center"/>
                    <w:rPr>
                      <w:rFonts w:hint="default" w:eastAsia="宋体"/>
                      <w:color w:val="auto"/>
                      <w:szCs w:val="21"/>
                      <w:lang w:val="en-US" w:eastAsia="zh-CN"/>
                    </w:rPr>
                  </w:pPr>
                  <w:r>
                    <w:rPr>
                      <w:rFonts w:hint="eastAsia"/>
                      <w:color w:val="auto"/>
                      <w:szCs w:val="21"/>
                      <w:lang w:val="en-US" w:eastAsia="zh-CN"/>
                    </w:rPr>
                    <w:t>60%</w:t>
                  </w:r>
                </w:p>
              </w:tc>
            </w:tr>
            <w:tr w14:paraId="43F81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55" w:type="pct"/>
                  <w:vMerge w:val="restart"/>
                  <w:vAlign w:val="center"/>
                </w:tcPr>
                <w:p w14:paraId="76BB4E9B">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处理后</w:t>
                  </w:r>
                </w:p>
              </w:tc>
              <w:tc>
                <w:tcPr>
                  <w:tcW w:w="1187" w:type="pct"/>
                  <w:gridSpan w:val="2"/>
                  <w:vAlign w:val="center"/>
                </w:tcPr>
                <w:p w14:paraId="113D6769">
                  <w:pPr>
                    <w:keepNext w:val="0"/>
                    <w:keepLines w:val="0"/>
                    <w:widowControl/>
                    <w:suppressLineNumbers w:val="0"/>
                    <w:spacing w:before="0" w:beforeAutospacing="0" w:after="0" w:afterAutospacing="0" w:line="240" w:lineRule="atLeast"/>
                    <w:ind w:left="0" w:right="0"/>
                    <w:jc w:val="center"/>
                    <w:rPr>
                      <w:rFonts w:hint="default"/>
                      <w:color w:val="auto"/>
                      <w:szCs w:val="21"/>
                    </w:rPr>
                  </w:pPr>
                  <w:r>
                    <w:rPr>
                      <w:rFonts w:hint="default"/>
                      <w:color w:val="auto"/>
                      <w:kern w:val="0"/>
                      <w:szCs w:val="21"/>
                    </w:rPr>
                    <w:t>污染物排放浓度（mg/L）</w:t>
                  </w:r>
                </w:p>
              </w:tc>
              <w:tc>
                <w:tcPr>
                  <w:tcW w:w="618" w:type="pct"/>
                  <w:vAlign w:val="center"/>
                </w:tcPr>
                <w:p w14:paraId="6FBF79D1">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 xml:space="preserve"> /</w:t>
                  </w:r>
                </w:p>
              </w:tc>
              <w:tc>
                <w:tcPr>
                  <w:tcW w:w="542" w:type="pct"/>
                  <w:vAlign w:val="center"/>
                </w:tcPr>
                <w:p w14:paraId="6109472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297.50</w:t>
                  </w:r>
                </w:p>
              </w:tc>
              <w:tc>
                <w:tcPr>
                  <w:tcW w:w="462" w:type="pct"/>
                  <w:vAlign w:val="center"/>
                </w:tcPr>
                <w:p w14:paraId="7C6EE16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285</w:t>
                  </w:r>
                </w:p>
              </w:tc>
              <w:tc>
                <w:tcPr>
                  <w:tcW w:w="488" w:type="pct"/>
                  <w:vAlign w:val="center"/>
                </w:tcPr>
                <w:p w14:paraId="33AE2FA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140</w:t>
                  </w:r>
                </w:p>
              </w:tc>
              <w:tc>
                <w:tcPr>
                  <w:tcW w:w="471" w:type="pct"/>
                  <w:vAlign w:val="center"/>
                </w:tcPr>
                <w:p w14:paraId="6F6A001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33.95</w:t>
                  </w:r>
                </w:p>
              </w:tc>
              <w:tc>
                <w:tcPr>
                  <w:tcW w:w="438" w:type="pct"/>
                  <w:vAlign w:val="center"/>
                </w:tcPr>
                <w:p w14:paraId="50B66D6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8</w:t>
                  </w:r>
                </w:p>
              </w:tc>
              <w:tc>
                <w:tcPr>
                  <w:tcW w:w="437" w:type="pct"/>
                  <w:vAlign w:val="center"/>
                </w:tcPr>
                <w:p w14:paraId="4121485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18</w:t>
                  </w:r>
                </w:p>
              </w:tc>
            </w:tr>
            <w:tr w14:paraId="5D76A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55" w:type="pct"/>
                  <w:vMerge w:val="continue"/>
                  <w:vAlign w:val="center"/>
                </w:tcPr>
                <w:p w14:paraId="50EB501D">
                  <w:pPr>
                    <w:keepNext w:val="0"/>
                    <w:keepLines w:val="0"/>
                    <w:suppressLineNumbers w:val="0"/>
                    <w:spacing w:before="0" w:beforeAutospacing="0" w:after="0" w:afterAutospacing="0" w:line="240" w:lineRule="atLeast"/>
                    <w:ind w:left="0" w:right="0"/>
                    <w:jc w:val="center"/>
                    <w:rPr>
                      <w:rFonts w:hint="default"/>
                      <w:color w:val="auto"/>
                      <w:szCs w:val="21"/>
                    </w:rPr>
                  </w:pPr>
                </w:p>
              </w:tc>
              <w:tc>
                <w:tcPr>
                  <w:tcW w:w="1187" w:type="pct"/>
                  <w:gridSpan w:val="2"/>
                  <w:vAlign w:val="center"/>
                </w:tcPr>
                <w:p w14:paraId="30F7365A">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年排放量（t/a）</w:t>
                  </w:r>
                </w:p>
              </w:tc>
              <w:tc>
                <w:tcPr>
                  <w:tcW w:w="618" w:type="pct"/>
                  <w:vAlign w:val="center"/>
                </w:tcPr>
                <w:p w14:paraId="6562E985">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lang w:val="en-US" w:eastAsia="zh-CN"/>
                    </w:rPr>
                    <w:t>1132.32</w:t>
                  </w:r>
                </w:p>
              </w:tc>
              <w:tc>
                <w:tcPr>
                  <w:tcW w:w="542" w:type="pct"/>
                  <w:vAlign w:val="center"/>
                </w:tcPr>
                <w:p w14:paraId="790AA8C7">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0.3369 </w:t>
                  </w:r>
                </w:p>
              </w:tc>
              <w:tc>
                <w:tcPr>
                  <w:tcW w:w="462" w:type="pct"/>
                  <w:vAlign w:val="center"/>
                </w:tcPr>
                <w:p w14:paraId="3F6E52B2">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0.3227 </w:t>
                  </w:r>
                </w:p>
              </w:tc>
              <w:tc>
                <w:tcPr>
                  <w:tcW w:w="488" w:type="pct"/>
                  <w:vAlign w:val="center"/>
                </w:tcPr>
                <w:p w14:paraId="235BD655">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0.1585 </w:t>
                  </w:r>
                </w:p>
              </w:tc>
              <w:tc>
                <w:tcPr>
                  <w:tcW w:w="471" w:type="pct"/>
                  <w:vAlign w:val="center"/>
                </w:tcPr>
                <w:p w14:paraId="5F02F83B">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0.0384 </w:t>
                  </w:r>
                </w:p>
              </w:tc>
              <w:tc>
                <w:tcPr>
                  <w:tcW w:w="438" w:type="pct"/>
                  <w:vAlign w:val="center"/>
                </w:tcPr>
                <w:p w14:paraId="347FC36D">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0.009</w:t>
                  </w:r>
                </w:p>
              </w:tc>
              <w:tc>
                <w:tcPr>
                  <w:tcW w:w="437" w:type="pct"/>
                  <w:vAlign w:val="center"/>
                </w:tcPr>
                <w:p w14:paraId="5804B124">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0.0204 </w:t>
                  </w:r>
                </w:p>
              </w:tc>
            </w:tr>
            <w:tr w14:paraId="0509F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42" w:type="pct"/>
                  <w:gridSpan w:val="3"/>
                  <w:vAlign w:val="center"/>
                </w:tcPr>
                <w:p w14:paraId="6B3044DD">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削减量（t/a）</w:t>
                  </w:r>
                </w:p>
              </w:tc>
              <w:tc>
                <w:tcPr>
                  <w:tcW w:w="618" w:type="pct"/>
                  <w:vAlign w:val="center"/>
                </w:tcPr>
                <w:p w14:paraId="4CB888EF">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w:t>
                  </w:r>
                </w:p>
              </w:tc>
              <w:tc>
                <w:tcPr>
                  <w:tcW w:w="542" w:type="pct"/>
                  <w:vAlign w:val="center"/>
                </w:tcPr>
                <w:p w14:paraId="3E85BA66">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0.0594 </w:t>
                  </w:r>
                </w:p>
              </w:tc>
              <w:tc>
                <w:tcPr>
                  <w:tcW w:w="462" w:type="pct"/>
                  <w:vAlign w:val="center"/>
                </w:tcPr>
                <w:p w14:paraId="13ADC046">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0.0170 </w:t>
                  </w:r>
                </w:p>
              </w:tc>
              <w:tc>
                <w:tcPr>
                  <w:tcW w:w="488" w:type="pct"/>
                  <w:vAlign w:val="center"/>
                </w:tcPr>
                <w:p w14:paraId="07CB0412">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0.0679 </w:t>
                  </w:r>
                </w:p>
              </w:tc>
              <w:tc>
                <w:tcPr>
                  <w:tcW w:w="471" w:type="pct"/>
                  <w:vAlign w:val="center"/>
                </w:tcPr>
                <w:p w14:paraId="04F4266E">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0.0012 </w:t>
                  </w:r>
                </w:p>
              </w:tc>
              <w:tc>
                <w:tcPr>
                  <w:tcW w:w="438" w:type="pct"/>
                  <w:vAlign w:val="center"/>
                </w:tcPr>
                <w:p w14:paraId="064525DE">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437" w:type="pct"/>
                  <w:vAlign w:val="center"/>
                </w:tcPr>
                <w:p w14:paraId="460726F0">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0.03</w:t>
                  </w:r>
                  <w:r>
                    <w:rPr>
                      <w:rFonts w:hint="eastAsia" w:cs="Times New Roman"/>
                      <w:i w:val="0"/>
                      <w:iCs w:val="0"/>
                      <w:color w:val="auto"/>
                      <w:kern w:val="0"/>
                      <w:sz w:val="21"/>
                      <w:szCs w:val="21"/>
                      <w:u w:val="none"/>
                      <w:lang w:val="en-US" w:eastAsia="zh-CN" w:bidi="ar"/>
                    </w:rPr>
                    <w:t>1</w:t>
                  </w:r>
                </w:p>
              </w:tc>
            </w:tr>
            <w:tr w14:paraId="4EC5A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42" w:type="pct"/>
                  <w:gridSpan w:val="3"/>
                  <w:vAlign w:val="center"/>
                </w:tcPr>
                <w:p w14:paraId="5929F663">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排放执行标准（mg/L）</w:t>
                  </w:r>
                </w:p>
              </w:tc>
              <w:tc>
                <w:tcPr>
                  <w:tcW w:w="618" w:type="pct"/>
                  <w:vAlign w:val="center"/>
                </w:tcPr>
                <w:p w14:paraId="4E2CE703">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w:t>
                  </w:r>
                </w:p>
              </w:tc>
              <w:tc>
                <w:tcPr>
                  <w:tcW w:w="542" w:type="pct"/>
                  <w:vAlign w:val="center"/>
                </w:tcPr>
                <w:p w14:paraId="303ABED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500</w:t>
                  </w:r>
                </w:p>
              </w:tc>
              <w:tc>
                <w:tcPr>
                  <w:tcW w:w="462" w:type="pct"/>
                  <w:vAlign w:val="center"/>
                </w:tcPr>
                <w:p w14:paraId="69C4D58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350</w:t>
                  </w:r>
                </w:p>
              </w:tc>
              <w:tc>
                <w:tcPr>
                  <w:tcW w:w="488" w:type="pct"/>
                  <w:vAlign w:val="center"/>
                </w:tcPr>
                <w:p w14:paraId="0199F0A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400</w:t>
                  </w:r>
                </w:p>
              </w:tc>
              <w:tc>
                <w:tcPr>
                  <w:tcW w:w="471" w:type="pct"/>
                  <w:vAlign w:val="center"/>
                </w:tcPr>
                <w:p w14:paraId="0425F93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45</w:t>
                  </w:r>
                </w:p>
              </w:tc>
              <w:tc>
                <w:tcPr>
                  <w:tcW w:w="438" w:type="pct"/>
                  <w:vAlign w:val="center"/>
                </w:tcPr>
                <w:p w14:paraId="001AB1C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8</w:t>
                  </w:r>
                </w:p>
              </w:tc>
              <w:tc>
                <w:tcPr>
                  <w:tcW w:w="437" w:type="pct"/>
                  <w:vAlign w:val="center"/>
                </w:tcPr>
                <w:p w14:paraId="1F13249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100</w:t>
                  </w:r>
                </w:p>
              </w:tc>
            </w:tr>
            <w:tr w14:paraId="79504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42" w:type="pct"/>
                  <w:gridSpan w:val="3"/>
                  <w:vAlign w:val="center"/>
                </w:tcPr>
                <w:p w14:paraId="1C802E0B">
                  <w:pPr>
                    <w:keepNext w:val="0"/>
                    <w:keepLines w:val="0"/>
                    <w:widowControl/>
                    <w:suppressLineNumbers w:val="0"/>
                    <w:spacing w:before="0" w:beforeAutospacing="0" w:after="0" w:afterAutospacing="0" w:line="240" w:lineRule="atLeast"/>
                    <w:ind w:left="0" w:right="0"/>
                    <w:jc w:val="center"/>
                    <w:rPr>
                      <w:rFonts w:hint="default"/>
                      <w:b/>
                      <w:color w:val="auto"/>
                      <w:kern w:val="0"/>
                      <w:szCs w:val="21"/>
                    </w:rPr>
                  </w:pPr>
                  <w:r>
                    <w:rPr>
                      <w:rFonts w:hint="default"/>
                      <w:b/>
                      <w:color w:val="auto"/>
                      <w:kern w:val="0"/>
                      <w:szCs w:val="21"/>
                    </w:rPr>
                    <w:t>达标情况</w:t>
                  </w:r>
                </w:p>
              </w:tc>
              <w:tc>
                <w:tcPr>
                  <w:tcW w:w="618" w:type="pct"/>
                  <w:vAlign w:val="center"/>
                </w:tcPr>
                <w:p w14:paraId="55BDEAAD">
                  <w:pPr>
                    <w:keepNext w:val="0"/>
                    <w:keepLines w:val="0"/>
                    <w:suppressLineNumbers w:val="0"/>
                    <w:spacing w:before="0" w:beforeAutospacing="0" w:after="0" w:afterAutospacing="0" w:line="240" w:lineRule="atLeast"/>
                    <w:ind w:left="0" w:right="0"/>
                    <w:jc w:val="center"/>
                    <w:rPr>
                      <w:rFonts w:hint="default"/>
                      <w:b/>
                      <w:color w:val="auto"/>
                      <w:szCs w:val="21"/>
                    </w:rPr>
                  </w:pPr>
                  <w:r>
                    <w:rPr>
                      <w:rFonts w:hint="default"/>
                      <w:b/>
                      <w:color w:val="auto"/>
                      <w:szCs w:val="21"/>
                    </w:rPr>
                    <w:t>/</w:t>
                  </w:r>
                </w:p>
              </w:tc>
              <w:tc>
                <w:tcPr>
                  <w:tcW w:w="542" w:type="pct"/>
                  <w:vAlign w:val="center"/>
                </w:tcPr>
                <w:p w14:paraId="27FEF5CE">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kern w:val="0"/>
                      <w:szCs w:val="21"/>
                    </w:rPr>
                    <w:t>达标</w:t>
                  </w:r>
                </w:p>
              </w:tc>
              <w:tc>
                <w:tcPr>
                  <w:tcW w:w="462" w:type="pct"/>
                  <w:vAlign w:val="center"/>
                </w:tcPr>
                <w:p w14:paraId="353D8901">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kern w:val="0"/>
                      <w:szCs w:val="21"/>
                    </w:rPr>
                    <w:t>达标</w:t>
                  </w:r>
                </w:p>
              </w:tc>
              <w:tc>
                <w:tcPr>
                  <w:tcW w:w="488" w:type="pct"/>
                  <w:vAlign w:val="center"/>
                </w:tcPr>
                <w:p w14:paraId="699A0824">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kern w:val="0"/>
                      <w:szCs w:val="21"/>
                    </w:rPr>
                    <w:t>达标</w:t>
                  </w:r>
                </w:p>
              </w:tc>
              <w:tc>
                <w:tcPr>
                  <w:tcW w:w="471" w:type="pct"/>
                  <w:vAlign w:val="center"/>
                </w:tcPr>
                <w:p w14:paraId="5E5D4C32">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kern w:val="0"/>
                      <w:szCs w:val="21"/>
                    </w:rPr>
                    <w:t>达标</w:t>
                  </w:r>
                </w:p>
              </w:tc>
              <w:tc>
                <w:tcPr>
                  <w:tcW w:w="438" w:type="pct"/>
                  <w:vAlign w:val="center"/>
                </w:tcPr>
                <w:p w14:paraId="510633D3">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kern w:val="0"/>
                      <w:szCs w:val="21"/>
                    </w:rPr>
                    <w:t>达标</w:t>
                  </w:r>
                </w:p>
              </w:tc>
              <w:tc>
                <w:tcPr>
                  <w:tcW w:w="437" w:type="pct"/>
                  <w:vAlign w:val="center"/>
                </w:tcPr>
                <w:p w14:paraId="11A27463">
                  <w:pPr>
                    <w:keepNext w:val="0"/>
                    <w:keepLines w:val="0"/>
                    <w:suppressLineNumbers w:val="0"/>
                    <w:spacing w:before="0" w:beforeAutospacing="0" w:after="0" w:afterAutospacing="0"/>
                    <w:ind w:left="0" w:right="0"/>
                    <w:jc w:val="center"/>
                    <w:rPr>
                      <w:rFonts w:hint="default"/>
                      <w:b/>
                      <w:color w:val="auto"/>
                      <w:kern w:val="0"/>
                      <w:szCs w:val="21"/>
                    </w:rPr>
                  </w:pPr>
                  <w:r>
                    <w:rPr>
                      <w:rFonts w:hint="default"/>
                      <w:b/>
                      <w:color w:val="auto"/>
                      <w:kern w:val="0"/>
                      <w:szCs w:val="21"/>
                    </w:rPr>
                    <w:t>达标</w:t>
                  </w:r>
                </w:p>
              </w:tc>
            </w:tr>
          </w:tbl>
          <w:p w14:paraId="55CBB137">
            <w:pPr>
              <w:keepNext/>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表4-</w:t>
            </w:r>
            <w:r>
              <w:rPr>
                <w:rFonts w:hint="eastAsia"/>
                <w:b/>
                <w:color w:val="auto"/>
                <w:szCs w:val="21"/>
                <w:lang w:val="en-US" w:eastAsia="zh-CN"/>
              </w:rPr>
              <w:t>8</w:t>
            </w:r>
            <w:r>
              <w:rPr>
                <w:rFonts w:hint="default"/>
                <w:b/>
                <w:color w:val="auto"/>
                <w:szCs w:val="21"/>
              </w:rPr>
              <w:t xml:space="preserve">   本项目实验废水污染物浓度情况表</w:t>
            </w:r>
          </w:p>
          <w:tbl>
            <w:tblPr>
              <w:tblStyle w:val="17"/>
              <w:tblW w:w="498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0"/>
              <w:gridCol w:w="809"/>
              <w:gridCol w:w="1410"/>
              <w:gridCol w:w="1159"/>
              <w:gridCol w:w="1130"/>
              <w:gridCol w:w="840"/>
              <w:gridCol w:w="821"/>
              <w:gridCol w:w="889"/>
              <w:gridCol w:w="821"/>
            </w:tblGrid>
            <w:tr w14:paraId="571EE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90" w:type="pct"/>
                  <w:gridSpan w:val="3"/>
                  <w:vAlign w:val="center"/>
                </w:tcPr>
                <w:p w14:paraId="177FDB9E">
                  <w:pPr>
                    <w:keepNext w:val="0"/>
                    <w:keepLines w:val="0"/>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szCs w:val="21"/>
                    </w:rPr>
                    <w:t>名称</w:t>
                  </w:r>
                </w:p>
              </w:tc>
              <w:tc>
                <w:tcPr>
                  <w:tcW w:w="677" w:type="pct"/>
                  <w:vAlign w:val="center"/>
                </w:tcPr>
                <w:p w14:paraId="120D1486">
                  <w:pPr>
                    <w:keepNext w:val="0"/>
                    <w:keepLines w:val="0"/>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szCs w:val="21"/>
                    </w:rPr>
                    <w:t>水量（t/a）</w:t>
                  </w:r>
                </w:p>
              </w:tc>
              <w:tc>
                <w:tcPr>
                  <w:tcW w:w="660" w:type="pct"/>
                  <w:vAlign w:val="center"/>
                </w:tcPr>
                <w:p w14:paraId="4091A587">
                  <w:pPr>
                    <w:keepNext w:val="0"/>
                    <w:keepLines w:val="0"/>
                    <w:widowControl/>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kern w:val="0"/>
                      <w:szCs w:val="21"/>
                    </w:rPr>
                    <w:t>CODcr</w:t>
                  </w:r>
                </w:p>
              </w:tc>
              <w:tc>
                <w:tcPr>
                  <w:tcW w:w="491" w:type="pct"/>
                  <w:vAlign w:val="center"/>
                </w:tcPr>
                <w:p w14:paraId="7D302389">
                  <w:pPr>
                    <w:keepNext w:val="0"/>
                    <w:keepLines w:val="0"/>
                    <w:widowControl/>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kern w:val="0"/>
                      <w:szCs w:val="21"/>
                    </w:rPr>
                    <w:t>BOD</w:t>
                  </w:r>
                  <w:r>
                    <w:rPr>
                      <w:rFonts w:hint="default"/>
                      <w:b/>
                      <w:bCs/>
                      <w:color w:val="auto"/>
                      <w:kern w:val="0"/>
                      <w:szCs w:val="21"/>
                      <w:vertAlign w:val="subscript"/>
                    </w:rPr>
                    <w:t>5</w:t>
                  </w:r>
                </w:p>
              </w:tc>
              <w:tc>
                <w:tcPr>
                  <w:tcW w:w="480" w:type="pct"/>
                  <w:vAlign w:val="center"/>
                </w:tcPr>
                <w:p w14:paraId="39C96F77">
                  <w:pPr>
                    <w:keepNext w:val="0"/>
                    <w:keepLines w:val="0"/>
                    <w:widowControl/>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kern w:val="0"/>
                      <w:szCs w:val="21"/>
                    </w:rPr>
                    <w:t>SS</w:t>
                  </w:r>
                </w:p>
              </w:tc>
              <w:tc>
                <w:tcPr>
                  <w:tcW w:w="519" w:type="pct"/>
                  <w:vAlign w:val="center"/>
                </w:tcPr>
                <w:p w14:paraId="5956434D">
                  <w:pPr>
                    <w:keepNext w:val="0"/>
                    <w:keepLines w:val="0"/>
                    <w:widowControl/>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kern w:val="0"/>
                      <w:szCs w:val="21"/>
                    </w:rPr>
                    <w:t>氨氮</w:t>
                  </w:r>
                </w:p>
              </w:tc>
              <w:tc>
                <w:tcPr>
                  <w:tcW w:w="480" w:type="pct"/>
                  <w:vAlign w:val="center"/>
                </w:tcPr>
                <w:p w14:paraId="5DA82C0E">
                  <w:pPr>
                    <w:keepNext w:val="0"/>
                    <w:keepLines w:val="0"/>
                    <w:suppressLineNumbers w:val="0"/>
                    <w:spacing w:before="0" w:beforeAutospacing="0" w:after="0" w:afterAutospacing="0" w:line="240" w:lineRule="atLeast"/>
                    <w:ind w:left="0" w:right="0"/>
                    <w:jc w:val="center"/>
                    <w:rPr>
                      <w:rFonts w:hint="default"/>
                      <w:b/>
                      <w:bCs/>
                      <w:color w:val="auto"/>
                      <w:szCs w:val="21"/>
                    </w:rPr>
                  </w:pPr>
                  <w:r>
                    <w:rPr>
                      <w:rFonts w:hint="default"/>
                      <w:b/>
                      <w:bCs/>
                      <w:color w:val="auto"/>
                      <w:szCs w:val="21"/>
                    </w:rPr>
                    <w:t>总磷</w:t>
                  </w:r>
                </w:p>
              </w:tc>
            </w:tr>
            <w:tr w14:paraId="274B0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vMerge w:val="restart"/>
                  <w:vAlign w:val="center"/>
                </w:tcPr>
                <w:p w14:paraId="27E71C50">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处理前</w:t>
                  </w:r>
                </w:p>
              </w:tc>
              <w:tc>
                <w:tcPr>
                  <w:tcW w:w="473" w:type="pct"/>
                  <w:vMerge w:val="restart"/>
                  <w:vAlign w:val="center"/>
                </w:tcPr>
                <w:p w14:paraId="0C7B3B8A">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szCs w:val="21"/>
                    </w:rPr>
                    <w:t>实验废水</w:t>
                  </w:r>
                </w:p>
              </w:tc>
              <w:tc>
                <w:tcPr>
                  <w:tcW w:w="824" w:type="pct"/>
                  <w:vAlign w:val="center"/>
                </w:tcPr>
                <w:p w14:paraId="12604839">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污染物产生浓度（mg/L）</w:t>
                  </w:r>
                </w:p>
              </w:tc>
              <w:tc>
                <w:tcPr>
                  <w:tcW w:w="1162" w:type="dxa"/>
                  <w:vAlign w:val="center"/>
                </w:tcPr>
                <w:p w14:paraId="5B35F378">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133" w:type="dxa"/>
                  <w:vAlign w:val="center"/>
                </w:tcPr>
                <w:p w14:paraId="45DCB626">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179.2</w:t>
                  </w:r>
                </w:p>
              </w:tc>
              <w:tc>
                <w:tcPr>
                  <w:tcW w:w="842" w:type="dxa"/>
                  <w:vAlign w:val="center"/>
                </w:tcPr>
                <w:p w14:paraId="7F6A7849">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89.8</w:t>
                  </w:r>
                </w:p>
              </w:tc>
              <w:tc>
                <w:tcPr>
                  <w:tcW w:w="823" w:type="dxa"/>
                  <w:vAlign w:val="center"/>
                </w:tcPr>
                <w:p w14:paraId="183C3D25">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209</w:t>
                  </w:r>
                </w:p>
              </w:tc>
              <w:tc>
                <w:tcPr>
                  <w:tcW w:w="891" w:type="dxa"/>
                  <w:vAlign w:val="center"/>
                </w:tcPr>
                <w:p w14:paraId="42DE88D7">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19.42</w:t>
                  </w:r>
                </w:p>
              </w:tc>
              <w:tc>
                <w:tcPr>
                  <w:tcW w:w="823" w:type="dxa"/>
                  <w:vAlign w:val="center"/>
                </w:tcPr>
                <w:p w14:paraId="4029199C">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0.45</w:t>
                  </w:r>
                </w:p>
              </w:tc>
            </w:tr>
            <w:tr w14:paraId="671AC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vMerge w:val="continue"/>
                  <w:vAlign w:val="center"/>
                </w:tcPr>
                <w:p w14:paraId="320E022A">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p>
              </w:tc>
              <w:tc>
                <w:tcPr>
                  <w:tcW w:w="473" w:type="pct"/>
                  <w:vMerge w:val="continue"/>
                  <w:vAlign w:val="center"/>
                </w:tcPr>
                <w:p w14:paraId="4041608A">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p>
              </w:tc>
              <w:tc>
                <w:tcPr>
                  <w:tcW w:w="824" w:type="pct"/>
                  <w:vAlign w:val="center"/>
                </w:tcPr>
                <w:p w14:paraId="490AA39F">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年产生量（t/a）</w:t>
                  </w:r>
                </w:p>
              </w:tc>
              <w:tc>
                <w:tcPr>
                  <w:tcW w:w="1162" w:type="dxa"/>
                  <w:vAlign w:val="center"/>
                </w:tcPr>
                <w:p w14:paraId="456E40DA">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183.9</w:t>
                  </w:r>
                </w:p>
              </w:tc>
              <w:tc>
                <w:tcPr>
                  <w:tcW w:w="1133" w:type="dxa"/>
                  <w:vAlign w:val="center"/>
                </w:tcPr>
                <w:p w14:paraId="3D72353A">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0.033 </w:t>
                  </w:r>
                </w:p>
              </w:tc>
              <w:tc>
                <w:tcPr>
                  <w:tcW w:w="842" w:type="dxa"/>
                  <w:vAlign w:val="center"/>
                </w:tcPr>
                <w:p w14:paraId="6A8CEE4A">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0.0165 </w:t>
                  </w:r>
                </w:p>
              </w:tc>
              <w:tc>
                <w:tcPr>
                  <w:tcW w:w="823" w:type="dxa"/>
                  <w:vAlign w:val="center"/>
                </w:tcPr>
                <w:p w14:paraId="4B46C200">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0.0384 </w:t>
                  </w:r>
                </w:p>
              </w:tc>
              <w:tc>
                <w:tcPr>
                  <w:tcW w:w="891" w:type="dxa"/>
                  <w:vAlign w:val="center"/>
                </w:tcPr>
                <w:p w14:paraId="5ACA5B81">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0.0036 </w:t>
                  </w:r>
                </w:p>
              </w:tc>
              <w:tc>
                <w:tcPr>
                  <w:tcW w:w="823" w:type="dxa"/>
                  <w:vAlign w:val="center"/>
                </w:tcPr>
                <w:p w14:paraId="3492B990">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14:paraId="5615F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vMerge w:val="restart"/>
                  <w:vAlign w:val="center"/>
                </w:tcPr>
                <w:p w14:paraId="78BAFEB2">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处理后</w:t>
                  </w:r>
                </w:p>
              </w:tc>
              <w:tc>
                <w:tcPr>
                  <w:tcW w:w="1297" w:type="pct"/>
                  <w:gridSpan w:val="2"/>
                  <w:vAlign w:val="center"/>
                </w:tcPr>
                <w:p w14:paraId="6503DA41">
                  <w:pPr>
                    <w:keepNext w:val="0"/>
                    <w:keepLines w:val="0"/>
                    <w:widowControl/>
                    <w:suppressLineNumbers w:val="0"/>
                    <w:spacing w:before="0" w:beforeAutospacing="0" w:after="0" w:afterAutospacing="0" w:line="240" w:lineRule="atLeast"/>
                    <w:ind w:left="0" w:right="0"/>
                    <w:jc w:val="center"/>
                    <w:rPr>
                      <w:rFonts w:hint="default"/>
                      <w:color w:val="auto"/>
                      <w:szCs w:val="21"/>
                    </w:rPr>
                  </w:pPr>
                  <w:r>
                    <w:rPr>
                      <w:rFonts w:hint="default"/>
                      <w:color w:val="auto"/>
                      <w:kern w:val="0"/>
                      <w:szCs w:val="21"/>
                    </w:rPr>
                    <w:t>污染物排放浓度（mg/L）</w:t>
                  </w:r>
                </w:p>
              </w:tc>
              <w:tc>
                <w:tcPr>
                  <w:tcW w:w="1162" w:type="dxa"/>
                  <w:vAlign w:val="center"/>
                </w:tcPr>
                <w:p w14:paraId="7322AADC">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133" w:type="dxa"/>
                  <w:vAlign w:val="center"/>
                </w:tcPr>
                <w:p w14:paraId="19A77866">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64</w:t>
                  </w:r>
                </w:p>
              </w:tc>
              <w:tc>
                <w:tcPr>
                  <w:tcW w:w="842" w:type="dxa"/>
                  <w:vAlign w:val="center"/>
                </w:tcPr>
                <w:p w14:paraId="7CD2241F">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14.42</w:t>
                  </w:r>
                </w:p>
              </w:tc>
              <w:tc>
                <w:tcPr>
                  <w:tcW w:w="823" w:type="dxa"/>
                  <w:vAlign w:val="center"/>
                </w:tcPr>
                <w:p w14:paraId="7618CE59">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106.3</w:t>
                  </w:r>
                </w:p>
              </w:tc>
              <w:tc>
                <w:tcPr>
                  <w:tcW w:w="891" w:type="dxa"/>
                  <w:vAlign w:val="center"/>
                </w:tcPr>
                <w:p w14:paraId="341106B9">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4.86</w:t>
                  </w:r>
                </w:p>
              </w:tc>
              <w:tc>
                <w:tcPr>
                  <w:tcW w:w="823" w:type="dxa"/>
                  <w:vAlign w:val="center"/>
                </w:tcPr>
                <w:p w14:paraId="5B4D046C">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w:t>
                  </w:r>
                </w:p>
              </w:tc>
            </w:tr>
            <w:tr w14:paraId="666AF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2" w:type="pct"/>
                  <w:vMerge w:val="continue"/>
                  <w:vAlign w:val="center"/>
                </w:tcPr>
                <w:p w14:paraId="7DF9EED8">
                  <w:pPr>
                    <w:keepNext w:val="0"/>
                    <w:keepLines w:val="0"/>
                    <w:suppressLineNumbers w:val="0"/>
                    <w:spacing w:before="0" w:beforeAutospacing="0" w:after="0" w:afterAutospacing="0" w:line="240" w:lineRule="atLeast"/>
                    <w:ind w:left="0" w:right="0"/>
                    <w:jc w:val="center"/>
                    <w:rPr>
                      <w:rFonts w:hint="default"/>
                      <w:color w:val="auto"/>
                      <w:szCs w:val="21"/>
                    </w:rPr>
                  </w:pPr>
                </w:p>
              </w:tc>
              <w:tc>
                <w:tcPr>
                  <w:tcW w:w="1297" w:type="pct"/>
                  <w:gridSpan w:val="2"/>
                  <w:vAlign w:val="center"/>
                </w:tcPr>
                <w:p w14:paraId="703F71F3">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年排放量（t/a）</w:t>
                  </w:r>
                </w:p>
              </w:tc>
              <w:tc>
                <w:tcPr>
                  <w:tcW w:w="1162" w:type="dxa"/>
                  <w:vAlign w:val="center"/>
                </w:tcPr>
                <w:p w14:paraId="69589994">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183.9</w:t>
                  </w:r>
                </w:p>
              </w:tc>
              <w:tc>
                <w:tcPr>
                  <w:tcW w:w="1133" w:type="dxa"/>
                  <w:vAlign w:val="center"/>
                </w:tcPr>
                <w:p w14:paraId="641373ED">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0.0118 </w:t>
                  </w:r>
                </w:p>
              </w:tc>
              <w:tc>
                <w:tcPr>
                  <w:tcW w:w="842" w:type="dxa"/>
                  <w:vAlign w:val="center"/>
                </w:tcPr>
                <w:p w14:paraId="2EA41D72">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0.0027 </w:t>
                  </w:r>
                </w:p>
              </w:tc>
              <w:tc>
                <w:tcPr>
                  <w:tcW w:w="823" w:type="dxa"/>
                  <w:vAlign w:val="center"/>
                </w:tcPr>
                <w:p w14:paraId="618B60B7">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0.0195 </w:t>
                  </w:r>
                </w:p>
              </w:tc>
              <w:tc>
                <w:tcPr>
                  <w:tcW w:w="891" w:type="dxa"/>
                  <w:vAlign w:val="center"/>
                </w:tcPr>
                <w:p w14:paraId="2F2C8EDE">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0.00089 </w:t>
                  </w:r>
                </w:p>
              </w:tc>
              <w:tc>
                <w:tcPr>
                  <w:tcW w:w="823" w:type="dxa"/>
                  <w:vAlign w:val="center"/>
                </w:tcPr>
                <w:p w14:paraId="7BB328CC">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0.000006 </w:t>
                  </w:r>
                </w:p>
              </w:tc>
            </w:tr>
            <w:tr w14:paraId="0D15E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90" w:type="pct"/>
                  <w:gridSpan w:val="3"/>
                  <w:vAlign w:val="center"/>
                </w:tcPr>
                <w:p w14:paraId="06C74DD2">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削减量（t/a）</w:t>
                  </w:r>
                </w:p>
              </w:tc>
              <w:tc>
                <w:tcPr>
                  <w:tcW w:w="1162" w:type="dxa"/>
                  <w:vAlign w:val="center"/>
                </w:tcPr>
                <w:p w14:paraId="633BA8FD">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133" w:type="dxa"/>
                  <w:vAlign w:val="center"/>
                </w:tcPr>
                <w:p w14:paraId="49C1E458">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0.0212 </w:t>
                  </w:r>
                </w:p>
              </w:tc>
              <w:tc>
                <w:tcPr>
                  <w:tcW w:w="842" w:type="dxa"/>
                  <w:vAlign w:val="center"/>
                </w:tcPr>
                <w:p w14:paraId="4BB78A76">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0.0139 </w:t>
                  </w:r>
                </w:p>
              </w:tc>
              <w:tc>
                <w:tcPr>
                  <w:tcW w:w="823" w:type="dxa"/>
                  <w:vAlign w:val="center"/>
                </w:tcPr>
                <w:p w14:paraId="1B913C3E">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0.0189 </w:t>
                  </w:r>
                </w:p>
              </w:tc>
              <w:tc>
                <w:tcPr>
                  <w:tcW w:w="891" w:type="dxa"/>
                  <w:vAlign w:val="center"/>
                </w:tcPr>
                <w:p w14:paraId="52058E7A">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0.0027 </w:t>
                  </w:r>
                </w:p>
              </w:tc>
              <w:tc>
                <w:tcPr>
                  <w:tcW w:w="823" w:type="dxa"/>
                  <w:vAlign w:val="center"/>
                </w:tcPr>
                <w:p w14:paraId="734D51CC">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0.000077238</w:t>
                  </w:r>
                </w:p>
              </w:tc>
            </w:tr>
            <w:tr w14:paraId="14761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90" w:type="pct"/>
                  <w:gridSpan w:val="3"/>
                  <w:vAlign w:val="center"/>
                </w:tcPr>
                <w:p w14:paraId="09ABBE66">
                  <w:pPr>
                    <w:keepNext w:val="0"/>
                    <w:keepLines w:val="0"/>
                    <w:widowControl/>
                    <w:suppressLineNumbers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排放执行标准（mg/L）</w:t>
                  </w:r>
                </w:p>
              </w:tc>
              <w:tc>
                <w:tcPr>
                  <w:tcW w:w="677" w:type="pct"/>
                  <w:vAlign w:val="center"/>
                </w:tcPr>
                <w:p w14:paraId="210D5B1A">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color w:val="auto"/>
                      <w:szCs w:val="21"/>
                    </w:rPr>
                    <w:t>/</w:t>
                  </w:r>
                </w:p>
              </w:tc>
              <w:tc>
                <w:tcPr>
                  <w:tcW w:w="660" w:type="pct"/>
                  <w:vAlign w:val="center"/>
                </w:tcPr>
                <w:p w14:paraId="34BCCC7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500</w:t>
                  </w:r>
                </w:p>
              </w:tc>
              <w:tc>
                <w:tcPr>
                  <w:tcW w:w="491" w:type="pct"/>
                  <w:vAlign w:val="center"/>
                </w:tcPr>
                <w:p w14:paraId="7DCCCD9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350</w:t>
                  </w:r>
                </w:p>
              </w:tc>
              <w:tc>
                <w:tcPr>
                  <w:tcW w:w="480" w:type="pct"/>
                  <w:vAlign w:val="center"/>
                </w:tcPr>
                <w:p w14:paraId="19A9BCA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400</w:t>
                  </w:r>
                </w:p>
              </w:tc>
              <w:tc>
                <w:tcPr>
                  <w:tcW w:w="519" w:type="pct"/>
                  <w:vAlign w:val="center"/>
                </w:tcPr>
                <w:p w14:paraId="1A4474CF">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45</w:t>
                  </w:r>
                </w:p>
              </w:tc>
              <w:tc>
                <w:tcPr>
                  <w:tcW w:w="480" w:type="pct"/>
                  <w:vAlign w:val="center"/>
                </w:tcPr>
                <w:p w14:paraId="4BB01F7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8</w:t>
                  </w:r>
                </w:p>
              </w:tc>
            </w:tr>
            <w:tr w14:paraId="3C5E1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90" w:type="pct"/>
                  <w:gridSpan w:val="3"/>
                  <w:vAlign w:val="center"/>
                </w:tcPr>
                <w:p w14:paraId="1A846E1B">
                  <w:pPr>
                    <w:keepNext w:val="0"/>
                    <w:keepLines w:val="0"/>
                    <w:widowControl/>
                    <w:suppressLineNumbers w:val="0"/>
                    <w:spacing w:before="0" w:beforeAutospacing="0" w:after="0" w:afterAutospacing="0" w:line="240" w:lineRule="atLeast"/>
                    <w:ind w:left="0" w:right="0"/>
                    <w:jc w:val="center"/>
                    <w:rPr>
                      <w:rFonts w:hint="default"/>
                      <w:b/>
                      <w:color w:val="auto"/>
                      <w:kern w:val="0"/>
                      <w:szCs w:val="21"/>
                    </w:rPr>
                  </w:pPr>
                  <w:r>
                    <w:rPr>
                      <w:rFonts w:hint="default"/>
                      <w:b/>
                      <w:color w:val="auto"/>
                      <w:kern w:val="0"/>
                      <w:szCs w:val="21"/>
                    </w:rPr>
                    <w:t>达标情况</w:t>
                  </w:r>
                </w:p>
              </w:tc>
              <w:tc>
                <w:tcPr>
                  <w:tcW w:w="677" w:type="pct"/>
                  <w:vAlign w:val="center"/>
                </w:tcPr>
                <w:p w14:paraId="4DA21ACF">
                  <w:pPr>
                    <w:keepNext w:val="0"/>
                    <w:keepLines w:val="0"/>
                    <w:suppressLineNumbers w:val="0"/>
                    <w:spacing w:before="0" w:beforeAutospacing="0" w:after="0" w:afterAutospacing="0" w:line="240" w:lineRule="atLeast"/>
                    <w:ind w:left="0" w:right="0"/>
                    <w:jc w:val="center"/>
                    <w:rPr>
                      <w:rFonts w:hint="default"/>
                      <w:b/>
                      <w:color w:val="auto"/>
                      <w:szCs w:val="21"/>
                    </w:rPr>
                  </w:pPr>
                  <w:r>
                    <w:rPr>
                      <w:rFonts w:hint="default"/>
                      <w:b/>
                      <w:color w:val="auto"/>
                      <w:szCs w:val="21"/>
                    </w:rPr>
                    <w:t>/</w:t>
                  </w:r>
                </w:p>
              </w:tc>
              <w:tc>
                <w:tcPr>
                  <w:tcW w:w="660" w:type="pct"/>
                  <w:vAlign w:val="center"/>
                </w:tcPr>
                <w:p w14:paraId="73D788E6">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kern w:val="0"/>
                      <w:szCs w:val="21"/>
                    </w:rPr>
                    <w:t>达标</w:t>
                  </w:r>
                </w:p>
              </w:tc>
              <w:tc>
                <w:tcPr>
                  <w:tcW w:w="491" w:type="pct"/>
                  <w:vAlign w:val="center"/>
                </w:tcPr>
                <w:p w14:paraId="6397F1C8">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kern w:val="0"/>
                      <w:szCs w:val="21"/>
                    </w:rPr>
                    <w:t>达标</w:t>
                  </w:r>
                </w:p>
              </w:tc>
              <w:tc>
                <w:tcPr>
                  <w:tcW w:w="480" w:type="pct"/>
                  <w:vAlign w:val="center"/>
                </w:tcPr>
                <w:p w14:paraId="1368DD83">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kern w:val="0"/>
                      <w:szCs w:val="21"/>
                    </w:rPr>
                    <w:t>达标</w:t>
                  </w:r>
                </w:p>
              </w:tc>
              <w:tc>
                <w:tcPr>
                  <w:tcW w:w="519" w:type="pct"/>
                  <w:vAlign w:val="center"/>
                </w:tcPr>
                <w:p w14:paraId="7B04E26D">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kern w:val="0"/>
                      <w:szCs w:val="21"/>
                    </w:rPr>
                    <w:t>达标</w:t>
                  </w:r>
                </w:p>
              </w:tc>
              <w:tc>
                <w:tcPr>
                  <w:tcW w:w="480" w:type="pct"/>
                  <w:vAlign w:val="center"/>
                </w:tcPr>
                <w:p w14:paraId="3A2AD1FE">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kern w:val="0"/>
                      <w:szCs w:val="21"/>
                    </w:rPr>
                    <w:t>达标</w:t>
                  </w:r>
                </w:p>
              </w:tc>
            </w:tr>
          </w:tbl>
          <w:p w14:paraId="47AAA2A6">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综上所述，项目食堂废水经隔油池处理后与其他生活废水和地面清洁水依托项目区化粪处理，实验</w:t>
            </w:r>
            <w:r>
              <w:rPr>
                <w:rFonts w:hint="eastAsia"/>
                <w:color w:val="auto"/>
                <w:sz w:val="24"/>
                <w:lang w:val="en-US" w:eastAsia="zh-CN"/>
              </w:rPr>
              <w:t>楼废水</w:t>
            </w:r>
            <w:r>
              <w:rPr>
                <w:rFonts w:hint="default"/>
                <w:color w:val="auto"/>
                <w:sz w:val="24"/>
              </w:rPr>
              <w:t>经</w:t>
            </w:r>
            <w:r>
              <w:rPr>
                <w:rFonts w:hint="eastAsia"/>
                <w:color w:val="auto"/>
                <w:sz w:val="24"/>
                <w:lang w:val="en-US" w:eastAsia="zh-CN"/>
              </w:rPr>
              <w:t>三级</w:t>
            </w:r>
            <w:r>
              <w:rPr>
                <w:rFonts w:hint="default"/>
                <w:color w:val="auto"/>
                <w:sz w:val="24"/>
              </w:rPr>
              <w:t>沉淀池处理后，废水排放均能达到《污水排入城镇下水道水质标准》（GB/T31962-2015）表1中A等级标准要求。因此，本项目废水排放总量为项目实验废水和生活污水的产生量，即本项目废水排放总量为</w:t>
            </w:r>
            <w:r>
              <w:rPr>
                <w:rFonts w:hint="eastAsia"/>
                <w:color w:val="auto"/>
                <w:sz w:val="24"/>
                <w:lang w:val="en-US" w:eastAsia="zh-CN"/>
              </w:rPr>
              <w:t>1316.22</w:t>
            </w:r>
            <w:r>
              <w:rPr>
                <w:rFonts w:hint="default"/>
                <w:color w:val="auto"/>
                <w:sz w:val="24"/>
              </w:rPr>
              <w:t xml:space="preserve">t/a，水污染物排放量为CODcr </w:t>
            </w:r>
            <w:r>
              <w:rPr>
                <w:rFonts w:hint="eastAsia"/>
                <w:color w:val="auto"/>
                <w:sz w:val="24"/>
                <w:lang w:val="en-US" w:eastAsia="zh-CN"/>
              </w:rPr>
              <w:t>0.3486</w:t>
            </w:r>
            <w:r>
              <w:rPr>
                <w:rFonts w:hint="default"/>
                <w:color w:val="auto"/>
                <w:sz w:val="24"/>
              </w:rPr>
              <w:t>t/a，BOD</w:t>
            </w:r>
            <w:r>
              <w:rPr>
                <w:rFonts w:hint="default"/>
                <w:color w:val="auto"/>
                <w:sz w:val="24"/>
                <w:vertAlign w:val="subscript"/>
              </w:rPr>
              <w:t>5</w:t>
            </w:r>
            <w:r>
              <w:rPr>
                <w:rFonts w:hint="eastAsia"/>
                <w:color w:val="auto"/>
                <w:sz w:val="24"/>
                <w:lang w:val="en-US" w:eastAsia="zh-CN"/>
              </w:rPr>
              <w:t>0.3254</w:t>
            </w:r>
            <w:r>
              <w:rPr>
                <w:rFonts w:hint="default"/>
                <w:color w:val="auto"/>
                <w:sz w:val="24"/>
              </w:rPr>
              <w:t>t/a，SS</w:t>
            </w:r>
            <w:r>
              <w:rPr>
                <w:rFonts w:hint="eastAsia"/>
                <w:color w:val="auto"/>
                <w:sz w:val="24"/>
                <w:lang w:val="en-US" w:eastAsia="zh-CN"/>
              </w:rPr>
              <w:t>0.1781</w:t>
            </w:r>
            <w:r>
              <w:rPr>
                <w:rFonts w:hint="default"/>
                <w:color w:val="auto"/>
                <w:sz w:val="24"/>
              </w:rPr>
              <w:t>t/a，氨氮0.</w:t>
            </w:r>
            <w:r>
              <w:rPr>
                <w:rFonts w:hint="eastAsia"/>
                <w:color w:val="auto"/>
                <w:sz w:val="24"/>
                <w:lang w:val="en-US" w:eastAsia="zh-CN"/>
              </w:rPr>
              <w:t>0393</w:t>
            </w:r>
            <w:r>
              <w:rPr>
                <w:rFonts w:hint="default"/>
                <w:color w:val="auto"/>
                <w:sz w:val="24"/>
              </w:rPr>
              <w:t>t/a，总磷 0.00</w:t>
            </w:r>
            <w:r>
              <w:rPr>
                <w:rFonts w:hint="eastAsia"/>
                <w:color w:val="auto"/>
                <w:sz w:val="24"/>
                <w:lang w:val="en-US" w:eastAsia="zh-CN"/>
              </w:rPr>
              <w:t>91</w:t>
            </w:r>
            <w:r>
              <w:rPr>
                <w:rFonts w:hint="default"/>
                <w:color w:val="auto"/>
                <w:sz w:val="24"/>
              </w:rPr>
              <w:t>t/a，动植物油0.0</w:t>
            </w:r>
            <w:r>
              <w:rPr>
                <w:rFonts w:hint="eastAsia"/>
                <w:color w:val="auto"/>
                <w:sz w:val="24"/>
                <w:lang w:val="en-US" w:eastAsia="zh-CN"/>
              </w:rPr>
              <w:t>204</w:t>
            </w:r>
            <w:r>
              <w:rPr>
                <w:rFonts w:hint="default"/>
                <w:color w:val="auto"/>
                <w:sz w:val="24"/>
              </w:rPr>
              <w:t xml:space="preserve"> t/a。</w:t>
            </w:r>
          </w:p>
          <w:p w14:paraId="702150EB">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eastAsia="宋体"/>
                <w:b/>
                <w:color w:val="auto"/>
                <w:kern w:val="0"/>
                <w:sz w:val="24"/>
                <w:lang w:val="en-US" w:eastAsia="zh-CN"/>
              </w:rPr>
            </w:pPr>
            <w:r>
              <w:rPr>
                <w:rFonts w:hint="default"/>
                <w:b/>
                <w:color w:val="auto"/>
                <w:kern w:val="0"/>
                <w:sz w:val="24"/>
              </w:rPr>
              <w:t>2.2 废水</w:t>
            </w:r>
            <w:r>
              <w:rPr>
                <w:rFonts w:hint="eastAsia"/>
                <w:b/>
                <w:color w:val="auto"/>
                <w:kern w:val="0"/>
                <w:sz w:val="24"/>
                <w:lang w:val="en-US" w:eastAsia="zh-CN"/>
              </w:rPr>
              <w:t>处理措施可行性</w:t>
            </w:r>
          </w:p>
          <w:p w14:paraId="49180BD6">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本项目属于检测服务行业，暂无该行业的排污许可证申请与合法技术</w:t>
            </w:r>
            <w:r>
              <w:rPr>
                <w:rFonts w:hint="eastAsia"/>
                <w:color w:val="auto"/>
                <w:sz w:val="24"/>
                <w:lang w:val="en-US" w:eastAsia="zh-CN"/>
              </w:rPr>
              <w:t>规范</w:t>
            </w:r>
            <w:r>
              <w:rPr>
                <w:rFonts w:hint="default"/>
                <w:color w:val="auto"/>
                <w:sz w:val="24"/>
              </w:rPr>
              <w:t>和污染防治可行技术指南，本项目根据《排污许可证申请与核发技术规范 总则》（HJ942-2018）中可行技术要求对废水污染治理设施的可行性作简要分析，本项目废水为间接排放，从处理能力、处理工艺、出水水质等方面及污水处理厂的可行性进行判定分析。</w:t>
            </w:r>
          </w:p>
          <w:p w14:paraId="465DFF18">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color w:val="auto"/>
                <w:kern w:val="0"/>
                <w:sz w:val="24"/>
              </w:rPr>
            </w:pPr>
            <w:r>
              <w:rPr>
                <w:rFonts w:hint="default" w:eastAsiaTheme="minorEastAsia"/>
                <w:b/>
                <w:color w:val="auto"/>
                <w:kern w:val="0"/>
                <w:sz w:val="24"/>
              </w:rPr>
              <w:t>（1）废水排放方式</w:t>
            </w:r>
          </w:p>
          <w:p w14:paraId="164C8F3E">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项目运营期产生的废水主要为生活污水</w:t>
            </w:r>
            <w:r>
              <w:rPr>
                <w:rFonts w:hint="eastAsia"/>
                <w:color w:val="auto"/>
                <w:sz w:val="24"/>
                <w:lang w:val="en-US" w:eastAsia="zh-CN"/>
              </w:rPr>
              <w:t>和实验废水</w:t>
            </w:r>
            <w:r>
              <w:rPr>
                <w:rFonts w:hint="default"/>
                <w:color w:val="auto"/>
                <w:sz w:val="24"/>
              </w:rPr>
              <w:t>，本项目建设完成后运营期年废水产生量约为</w:t>
            </w:r>
            <w:r>
              <w:rPr>
                <w:rFonts w:hint="eastAsia"/>
                <w:color w:val="auto"/>
                <w:sz w:val="24"/>
                <w:lang w:val="en-US" w:eastAsia="zh-CN"/>
              </w:rPr>
              <w:t>1316.22</w:t>
            </w:r>
            <w:r>
              <w:rPr>
                <w:rFonts w:hint="default"/>
                <w:color w:val="auto"/>
                <w:sz w:val="24"/>
              </w:rPr>
              <w:t>m³/a，废水产生量较少。实验器皿第一、二次清洗废水，实验过程中含有机、酸碱、重金属等溶剂的废液作为危废处理；实验器皿第三次及以后清洗废水，实验过程中一般实验废水、纯水制备废水、喷淋</w:t>
            </w:r>
            <w:r>
              <w:rPr>
                <w:rFonts w:hint="eastAsia"/>
                <w:color w:val="auto"/>
                <w:sz w:val="24"/>
                <w:lang w:val="en-US" w:eastAsia="zh-CN"/>
              </w:rPr>
              <w:t>设施</w:t>
            </w:r>
            <w:r>
              <w:rPr>
                <w:rFonts w:hint="default"/>
                <w:color w:val="auto"/>
                <w:sz w:val="24"/>
              </w:rPr>
              <w:t>废水经</w:t>
            </w:r>
            <w:r>
              <w:rPr>
                <w:rFonts w:hint="eastAsia"/>
                <w:color w:val="auto"/>
                <w:sz w:val="24"/>
                <w:lang w:val="en-US" w:eastAsia="zh-CN"/>
              </w:rPr>
              <w:t>三级</w:t>
            </w:r>
            <w:r>
              <w:rPr>
                <w:rFonts w:hint="default"/>
                <w:color w:val="auto"/>
                <w:sz w:val="24"/>
              </w:rPr>
              <w:t>沉淀池处理达《污水排入城镇下水道水质标准（GB/T31962-2015）表1中A等级标准要求后，由污水管网排入龙泉路市政污水管网，最终进入昆明市</w:t>
            </w:r>
            <w:r>
              <w:rPr>
                <w:rFonts w:hint="eastAsia"/>
                <w:color w:val="auto"/>
                <w:sz w:val="24"/>
                <w:lang w:eastAsia="zh-CN"/>
              </w:rPr>
              <w:t>第五水质净化厂处理</w:t>
            </w:r>
            <w:r>
              <w:rPr>
                <w:rFonts w:hint="default"/>
                <w:color w:val="auto"/>
                <w:sz w:val="24"/>
              </w:rPr>
              <w:t>。食堂废水经隔油池处理后与生活污水、地面清洁水一起进项目区已有的化粪池处理达《污水排入城镇下水道水质标准（GB/T31962-2015）表1中A等级标准要求后，由污水管网排入龙泉路市政污水管网，最终进入昆明市</w:t>
            </w:r>
            <w:r>
              <w:rPr>
                <w:rFonts w:hint="eastAsia"/>
                <w:color w:val="auto"/>
                <w:sz w:val="24"/>
                <w:lang w:eastAsia="zh-CN"/>
              </w:rPr>
              <w:t>第五水质净化厂处理</w:t>
            </w:r>
            <w:r>
              <w:rPr>
                <w:rFonts w:hint="default"/>
                <w:color w:val="auto"/>
                <w:sz w:val="24"/>
              </w:rPr>
              <w:t>。</w:t>
            </w:r>
          </w:p>
          <w:p w14:paraId="7A9A6D50">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b/>
                <w:color w:val="auto"/>
                <w:sz w:val="24"/>
                <w:lang w:val="en-GB"/>
              </w:rPr>
            </w:pPr>
            <w:r>
              <w:rPr>
                <w:rFonts w:hint="default"/>
                <w:b/>
                <w:color w:val="auto"/>
                <w:sz w:val="24"/>
                <w:lang w:val="en-GB"/>
              </w:rPr>
              <w:t>（2）隔油池设置合理性分析</w:t>
            </w:r>
          </w:p>
          <w:p w14:paraId="7AAA1EA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Cs/>
                <w:color w:val="auto"/>
                <w:sz w:val="24"/>
                <w:lang w:val="en-GB"/>
              </w:rPr>
            </w:pPr>
            <w:r>
              <w:rPr>
                <w:rFonts w:hint="default"/>
                <w:bCs/>
                <w:color w:val="auto"/>
                <w:sz w:val="24"/>
                <w:lang w:val="en-GB"/>
              </w:rPr>
              <w:t>项目食堂废水产生量为</w:t>
            </w:r>
            <w:r>
              <w:rPr>
                <w:rFonts w:hint="eastAsia"/>
                <w:bCs/>
                <w:color w:val="auto"/>
                <w:sz w:val="24"/>
                <w:lang w:val="en-US" w:eastAsia="zh-CN"/>
              </w:rPr>
              <w:t>0.72</w:t>
            </w:r>
            <w:r>
              <w:rPr>
                <w:rFonts w:hint="default"/>
                <w:bCs/>
                <w:color w:val="auto"/>
                <w:sz w:val="24"/>
                <w:lang w:val="en-GB"/>
              </w:rPr>
              <w:t>m³/d，项目建设1个隔油池，设计有效容积</w:t>
            </w:r>
            <w:r>
              <w:rPr>
                <w:rFonts w:hint="eastAsia"/>
                <w:bCs/>
                <w:color w:val="auto"/>
                <w:sz w:val="24"/>
                <w:lang w:val="en-US" w:eastAsia="zh-CN"/>
              </w:rPr>
              <w:t>1</w:t>
            </w:r>
            <w:r>
              <w:rPr>
                <w:rFonts w:hint="default"/>
                <w:bCs/>
                <w:color w:val="auto"/>
                <w:sz w:val="24"/>
                <w:lang w:val="en-GB"/>
              </w:rPr>
              <w:t>m</w:t>
            </w:r>
            <w:r>
              <w:rPr>
                <w:rFonts w:hint="default"/>
                <w:bCs/>
                <w:color w:val="auto"/>
                <w:sz w:val="24"/>
                <w:vertAlign w:val="superscript"/>
                <w:lang w:val="en-GB"/>
              </w:rPr>
              <w:t>3</w:t>
            </w:r>
            <w:r>
              <w:rPr>
                <w:rFonts w:hint="default"/>
                <w:bCs/>
                <w:color w:val="auto"/>
                <w:sz w:val="24"/>
                <w:lang w:val="en-GB"/>
              </w:rPr>
              <w:t>。根据《饮食业环境保护技术规范》（HJ554-2010），隔油池设计符合下列规定：</w:t>
            </w:r>
          </w:p>
          <w:p w14:paraId="4B475F8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Cs/>
                <w:color w:val="auto"/>
                <w:sz w:val="24"/>
                <w:lang w:val="en-GB"/>
              </w:rPr>
            </w:pPr>
            <w:r>
              <w:rPr>
                <w:rFonts w:hint="default"/>
                <w:bCs/>
                <w:color w:val="auto"/>
                <w:sz w:val="24"/>
                <w:lang w:val="en-GB"/>
              </w:rPr>
              <w:t>A、含油污水的水力停留时间不宜小于0.5h；</w:t>
            </w:r>
          </w:p>
          <w:p w14:paraId="121B7A5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Cs/>
                <w:color w:val="auto"/>
                <w:sz w:val="24"/>
                <w:lang w:val="en-GB"/>
              </w:rPr>
            </w:pPr>
            <w:r>
              <w:rPr>
                <w:rFonts w:hint="default"/>
                <w:bCs/>
                <w:color w:val="auto"/>
                <w:sz w:val="24"/>
                <w:lang w:val="en-GB"/>
              </w:rPr>
              <w:t>B、池内水流流速不宜大于0.005m/s；</w:t>
            </w:r>
          </w:p>
          <w:p w14:paraId="253EEE7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Cs/>
                <w:color w:val="auto"/>
                <w:sz w:val="24"/>
                <w:lang w:val="en-GB"/>
              </w:rPr>
            </w:pPr>
            <w:r>
              <w:rPr>
                <w:rFonts w:hint="default"/>
                <w:bCs/>
                <w:color w:val="auto"/>
                <w:sz w:val="24"/>
                <w:lang w:val="en-GB"/>
              </w:rPr>
              <w:t>C、池内分格宜取两档三格；</w:t>
            </w:r>
          </w:p>
          <w:p w14:paraId="4AA7303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Cs/>
                <w:color w:val="auto"/>
                <w:sz w:val="24"/>
                <w:lang w:val="en-GB"/>
              </w:rPr>
            </w:pPr>
            <w:r>
              <w:rPr>
                <w:rFonts w:hint="default"/>
                <w:bCs/>
                <w:color w:val="auto"/>
                <w:sz w:val="24"/>
                <w:lang w:val="en-GB"/>
              </w:rPr>
              <w:t>D、人工除油的隔油池内存油部分的容积不得小于该池有效容积的25%，隔油池出水管管底至池底的深度，不得小于0.6m。</w:t>
            </w:r>
          </w:p>
          <w:p w14:paraId="06345BB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Cs/>
                <w:color w:val="auto"/>
                <w:sz w:val="24"/>
                <w:lang w:val="en-GB"/>
              </w:rPr>
            </w:pPr>
            <w:r>
              <w:rPr>
                <w:rFonts w:hint="default"/>
                <w:bCs/>
                <w:color w:val="auto"/>
                <w:sz w:val="24"/>
                <w:lang w:val="en-GB"/>
              </w:rPr>
              <w:t>食堂污水产生量为</w:t>
            </w:r>
            <w:r>
              <w:rPr>
                <w:rFonts w:hint="eastAsia"/>
                <w:bCs/>
                <w:color w:val="auto"/>
                <w:sz w:val="24"/>
                <w:lang w:val="en-US" w:eastAsia="zh-CN"/>
              </w:rPr>
              <w:t>0.72</w:t>
            </w:r>
            <w:r>
              <w:rPr>
                <w:rFonts w:hint="default"/>
                <w:bCs/>
                <w:color w:val="auto"/>
                <w:sz w:val="24"/>
                <w:lang w:val="en-GB"/>
              </w:rPr>
              <w:t>m</w:t>
            </w:r>
            <w:r>
              <w:rPr>
                <w:rFonts w:hint="default"/>
                <w:bCs/>
                <w:color w:val="auto"/>
                <w:sz w:val="24"/>
                <w:vertAlign w:val="superscript"/>
                <w:lang w:val="en-GB"/>
              </w:rPr>
              <w:t>3</w:t>
            </w:r>
            <w:r>
              <w:rPr>
                <w:rFonts w:hint="default"/>
                <w:bCs/>
                <w:color w:val="auto"/>
                <w:sz w:val="24"/>
                <w:lang w:val="en-GB"/>
              </w:rPr>
              <w:t>/d，污水产生时间约3h。按照食堂污水3小时全部经过隔油池计算其最大秒流量小于0.005m/s。设计污水在隔油池中的水力停留时间为60分钟，则项目应建设1座容积不低于</w:t>
            </w:r>
            <w:r>
              <w:rPr>
                <w:rFonts w:hint="eastAsia"/>
                <w:bCs/>
                <w:color w:val="auto"/>
                <w:sz w:val="24"/>
                <w:lang w:val="en-US" w:eastAsia="zh-CN"/>
              </w:rPr>
              <w:t>0.72</w:t>
            </w:r>
            <w:r>
              <w:rPr>
                <w:rFonts w:hint="default"/>
                <w:bCs/>
                <w:color w:val="auto"/>
                <w:sz w:val="24"/>
                <w:lang w:val="en-GB"/>
              </w:rPr>
              <w:t>m</w:t>
            </w:r>
            <w:r>
              <w:rPr>
                <w:rFonts w:hint="default"/>
                <w:bCs/>
                <w:color w:val="auto"/>
                <w:sz w:val="24"/>
                <w:vertAlign w:val="superscript"/>
                <w:lang w:val="en-GB"/>
              </w:rPr>
              <w:t>3</w:t>
            </w:r>
            <w:r>
              <w:rPr>
                <w:rFonts w:hint="default"/>
                <w:bCs/>
                <w:color w:val="auto"/>
                <w:sz w:val="24"/>
                <w:lang w:val="en-GB"/>
              </w:rPr>
              <w:t>的隔油池用于处理食堂废水。故项目设置</w:t>
            </w:r>
            <w:r>
              <w:rPr>
                <w:rFonts w:hint="eastAsia"/>
                <w:bCs/>
                <w:color w:val="auto"/>
                <w:sz w:val="24"/>
                <w:lang w:val="en-US" w:eastAsia="zh-CN"/>
              </w:rPr>
              <w:t>1</w:t>
            </w:r>
            <w:r>
              <w:rPr>
                <w:rFonts w:hint="default"/>
                <w:bCs/>
                <w:color w:val="auto"/>
                <w:sz w:val="24"/>
                <w:lang w:val="en-GB"/>
              </w:rPr>
              <w:t xml:space="preserve"> m</w:t>
            </w:r>
            <w:r>
              <w:rPr>
                <w:rFonts w:hint="default"/>
                <w:bCs/>
                <w:color w:val="auto"/>
                <w:sz w:val="24"/>
                <w:vertAlign w:val="superscript"/>
                <w:lang w:val="en-GB"/>
              </w:rPr>
              <w:t>3</w:t>
            </w:r>
            <w:r>
              <w:rPr>
                <w:rFonts w:hint="default"/>
                <w:bCs/>
                <w:color w:val="auto"/>
                <w:sz w:val="24"/>
                <w:lang w:val="en-GB"/>
              </w:rPr>
              <w:t>的隔油池符合要求。</w:t>
            </w:r>
          </w:p>
          <w:p w14:paraId="5296AC8B">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color w:val="auto"/>
                <w:kern w:val="0"/>
                <w:sz w:val="24"/>
              </w:rPr>
            </w:pPr>
            <w:r>
              <w:rPr>
                <w:rFonts w:hint="default" w:eastAsiaTheme="minorEastAsia"/>
                <w:b/>
                <w:color w:val="auto"/>
                <w:kern w:val="0"/>
                <w:sz w:val="24"/>
              </w:rPr>
              <w:t>（3）设置</w:t>
            </w:r>
            <w:r>
              <w:rPr>
                <w:rFonts w:hint="eastAsia" w:eastAsiaTheme="minorEastAsia"/>
                <w:b/>
                <w:color w:val="auto"/>
                <w:kern w:val="0"/>
                <w:sz w:val="24"/>
                <w:lang w:val="en-US" w:eastAsia="zh-CN"/>
              </w:rPr>
              <w:t>三级</w:t>
            </w:r>
            <w:r>
              <w:rPr>
                <w:rFonts w:hint="default" w:eastAsiaTheme="minorEastAsia"/>
                <w:b/>
                <w:color w:val="auto"/>
                <w:kern w:val="0"/>
                <w:sz w:val="24"/>
              </w:rPr>
              <w:t>沉淀池的可行性分析</w:t>
            </w:r>
          </w:p>
          <w:p w14:paraId="07287B9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eastAsia="宋体"/>
                <w:bCs/>
                <w:color w:val="auto"/>
                <w:sz w:val="24"/>
                <w:highlight w:val="none"/>
                <w:lang w:val="en-US" w:eastAsia="zh-CN"/>
              </w:rPr>
            </w:pPr>
            <w:r>
              <w:rPr>
                <w:rFonts w:hint="eastAsia"/>
                <w:bCs/>
                <w:color w:val="auto"/>
                <w:sz w:val="24"/>
                <w:highlight w:val="none"/>
                <w:lang w:val="en-US" w:eastAsia="zh-CN"/>
              </w:rPr>
              <w:t>本项目拟在实验楼西南侧设置一个三级沉淀池，主要处理实验楼废水，包含物理实验废水、纯水制备废水和少量的化学实验废水。化学实验废水已通过废水中和收集桶进行了中和预处理，pH值可达到6~9。纯水制备废水和物理实验废水主要污染物为SS，项目实验楼废水经三级沉淀池处理后，水质可达到《污水排入城镇下水道水质标准》(GB/T31962-2015) 表1中的A 级标准。</w:t>
            </w:r>
          </w:p>
          <w:p w14:paraId="1860359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Cs/>
                <w:color w:val="auto"/>
                <w:sz w:val="24"/>
                <w:highlight w:val="none"/>
                <w:lang w:val="en-GB"/>
              </w:rPr>
            </w:pPr>
            <w:r>
              <w:rPr>
                <w:rFonts w:hint="eastAsia"/>
                <w:bCs/>
                <w:color w:val="auto"/>
                <w:sz w:val="24"/>
                <w:highlight w:val="none"/>
                <w:lang w:val="en-US" w:eastAsia="zh-CN"/>
              </w:rPr>
              <w:t>本项目实验楼废水</w:t>
            </w:r>
            <w:r>
              <w:rPr>
                <w:rFonts w:hint="default"/>
                <w:bCs/>
                <w:color w:val="auto"/>
                <w:sz w:val="24"/>
                <w:highlight w:val="none"/>
                <w:lang w:val="en-GB"/>
              </w:rPr>
              <w:t>产生量为0.</w:t>
            </w:r>
            <w:r>
              <w:rPr>
                <w:rFonts w:hint="eastAsia"/>
                <w:bCs/>
                <w:color w:val="auto"/>
                <w:sz w:val="24"/>
                <w:highlight w:val="none"/>
                <w:lang w:val="en-US" w:eastAsia="zh-CN"/>
              </w:rPr>
              <w:t>613</w:t>
            </w:r>
            <w:r>
              <w:rPr>
                <w:rFonts w:hint="default"/>
                <w:bCs/>
                <w:color w:val="auto"/>
                <w:sz w:val="24"/>
                <w:highlight w:val="none"/>
                <w:lang w:val="en-GB"/>
              </w:rPr>
              <w:t>m</w:t>
            </w:r>
            <w:r>
              <w:rPr>
                <w:rFonts w:hint="default"/>
                <w:bCs/>
                <w:color w:val="auto"/>
                <w:sz w:val="24"/>
                <w:highlight w:val="none"/>
                <w:vertAlign w:val="superscript"/>
                <w:lang w:val="en-GB"/>
              </w:rPr>
              <w:t>3</w:t>
            </w:r>
            <w:r>
              <w:rPr>
                <w:rFonts w:hint="default"/>
                <w:bCs/>
                <w:color w:val="auto"/>
                <w:sz w:val="24"/>
                <w:highlight w:val="none"/>
                <w:lang w:val="en-GB"/>
              </w:rPr>
              <w:t>/d，</w:t>
            </w:r>
            <w:r>
              <w:rPr>
                <w:rFonts w:hint="default"/>
                <w:color w:val="auto"/>
                <w:kern w:val="0"/>
                <w:sz w:val="24"/>
                <w:highlight w:val="none"/>
                <w:lang w:bidi="ar"/>
              </w:rPr>
              <w:t>建设单位在实验</w:t>
            </w:r>
            <w:r>
              <w:rPr>
                <w:rFonts w:hint="eastAsia"/>
                <w:color w:val="auto"/>
                <w:kern w:val="0"/>
                <w:sz w:val="24"/>
                <w:highlight w:val="none"/>
                <w:lang w:val="en-US" w:eastAsia="zh-CN" w:bidi="ar"/>
              </w:rPr>
              <w:t>楼</w:t>
            </w:r>
            <w:r>
              <w:rPr>
                <w:rFonts w:hint="default"/>
                <w:color w:val="auto"/>
                <w:kern w:val="0"/>
                <w:sz w:val="24"/>
                <w:highlight w:val="none"/>
                <w:lang w:bidi="ar"/>
              </w:rPr>
              <w:t>西南侧</w:t>
            </w:r>
            <w:r>
              <w:rPr>
                <w:rFonts w:hint="eastAsia"/>
                <w:color w:val="auto"/>
                <w:kern w:val="0"/>
                <w:sz w:val="24"/>
                <w:highlight w:val="none"/>
                <w:lang w:val="en-US" w:eastAsia="zh-CN" w:bidi="ar"/>
              </w:rPr>
              <w:t>旁</w:t>
            </w:r>
            <w:r>
              <w:rPr>
                <w:rFonts w:hint="default"/>
                <w:color w:val="auto"/>
                <w:kern w:val="0"/>
                <w:sz w:val="24"/>
                <w:highlight w:val="none"/>
                <w:lang w:bidi="ar"/>
              </w:rPr>
              <w:t>设置1个</w:t>
            </w:r>
            <w:r>
              <w:rPr>
                <w:rFonts w:hint="eastAsia"/>
                <w:color w:val="auto"/>
                <w:kern w:val="0"/>
                <w:sz w:val="24"/>
                <w:highlight w:val="none"/>
                <w:lang w:val="en-US" w:eastAsia="zh-CN" w:bidi="ar"/>
              </w:rPr>
              <w:t>容积不小于</w:t>
            </w:r>
            <w:r>
              <w:rPr>
                <w:rFonts w:hint="default"/>
                <w:color w:val="auto"/>
                <w:kern w:val="0"/>
                <w:sz w:val="24"/>
                <w:highlight w:val="none"/>
                <w:lang w:bidi="ar"/>
              </w:rPr>
              <w:t>2m</w:t>
            </w:r>
            <w:r>
              <w:rPr>
                <w:rFonts w:hint="default"/>
                <w:color w:val="auto"/>
                <w:kern w:val="0"/>
                <w:sz w:val="24"/>
                <w:highlight w:val="none"/>
                <w:vertAlign w:val="superscript"/>
                <w:lang w:bidi="ar"/>
              </w:rPr>
              <w:t>3</w:t>
            </w:r>
            <w:r>
              <w:rPr>
                <w:rFonts w:hint="eastAsia"/>
                <w:color w:val="auto"/>
                <w:kern w:val="0"/>
                <w:sz w:val="24"/>
                <w:highlight w:val="none"/>
                <w:vertAlign w:val="baseline"/>
                <w:lang w:val="en-US" w:eastAsia="zh-CN" w:bidi="ar"/>
              </w:rPr>
              <w:t>的</w:t>
            </w:r>
            <w:r>
              <w:rPr>
                <w:rFonts w:hint="default"/>
                <w:color w:val="auto"/>
                <w:kern w:val="0"/>
                <w:sz w:val="24"/>
                <w:highlight w:val="none"/>
                <w:lang w:bidi="ar"/>
              </w:rPr>
              <w:t>沉淀池，</w:t>
            </w:r>
            <w:r>
              <w:rPr>
                <w:rFonts w:hint="default"/>
                <w:bCs/>
                <w:color w:val="auto"/>
                <w:sz w:val="24"/>
                <w:highlight w:val="none"/>
                <w:lang w:val="en-GB"/>
              </w:rPr>
              <w:t>沉淀池容积大于实验废水产生量，可以保证实验废水得到有效处理。</w:t>
            </w:r>
          </w:p>
          <w:p w14:paraId="2A3C5DC9">
            <w:pPr>
              <w:keepNext w:val="0"/>
              <w:keepLines w:val="0"/>
              <w:suppressLineNumbers w:val="0"/>
              <w:spacing w:before="0" w:beforeAutospacing="0" w:after="0" w:afterAutospacing="0" w:line="360" w:lineRule="auto"/>
              <w:ind w:left="0" w:right="0" w:firstLine="480" w:firstLineChars="200"/>
              <w:rPr>
                <w:rFonts w:hint="default" w:ascii="Times New Roman" w:cs="Times New Roman"/>
                <w:color w:val="auto"/>
                <w:sz w:val="24"/>
              </w:rPr>
            </w:pPr>
            <w:r>
              <w:rPr>
                <w:rFonts w:hint="default" w:ascii="Times New Roman" w:cs="Times New Roman"/>
                <w:color w:val="auto"/>
                <w:sz w:val="24"/>
              </w:rPr>
              <w:t>综合上述分析，</w:t>
            </w:r>
            <w:r>
              <w:rPr>
                <w:rFonts w:hint="eastAsia" w:ascii="Times New Roman" w:cs="Times New Roman"/>
                <w:color w:val="auto"/>
                <w:sz w:val="24"/>
                <w:lang w:val="en-US" w:eastAsia="zh-CN"/>
              </w:rPr>
              <w:t>本</w:t>
            </w:r>
            <w:r>
              <w:rPr>
                <w:rFonts w:hint="default" w:ascii="Times New Roman" w:cs="Times New Roman"/>
                <w:color w:val="auto"/>
                <w:sz w:val="24"/>
              </w:rPr>
              <w:t>项目设置</w:t>
            </w:r>
            <w:r>
              <w:rPr>
                <w:rFonts w:hint="eastAsia" w:ascii="Times New Roman" w:cs="Times New Roman"/>
                <w:color w:val="auto"/>
                <w:sz w:val="24"/>
                <w:lang w:val="en-US" w:eastAsia="zh-CN"/>
              </w:rPr>
              <w:t>三级</w:t>
            </w:r>
            <w:r>
              <w:rPr>
                <w:rFonts w:hint="default" w:ascii="Times New Roman" w:cs="Times New Roman"/>
                <w:color w:val="auto"/>
                <w:sz w:val="24"/>
              </w:rPr>
              <w:t>沉淀池及其处理方案可行。</w:t>
            </w:r>
          </w:p>
          <w:p w14:paraId="256A3B61">
            <w:pPr>
              <w:keepNext w:val="0"/>
              <w:keepLines w:val="0"/>
              <w:suppressLineNumbers w:val="0"/>
              <w:spacing w:before="0" w:beforeAutospacing="0" w:after="0" w:afterAutospacing="0" w:line="360" w:lineRule="auto"/>
              <w:ind w:left="0" w:right="0" w:firstLine="482" w:firstLineChars="200"/>
              <w:rPr>
                <w:rFonts w:hint="eastAsia" w:ascii="Times New Roman" w:hAnsi="Times New Roman" w:cs="Times New Roman"/>
                <w:b/>
                <w:bCs/>
                <w:color w:val="auto"/>
                <w:sz w:val="24"/>
              </w:rPr>
            </w:pP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4</w:t>
            </w: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rPr>
              <w:t>依托现有化粪池的可行性分析</w:t>
            </w:r>
          </w:p>
          <w:p w14:paraId="3EC5183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根据调查，</w:t>
            </w:r>
            <w:r>
              <w:rPr>
                <w:rFonts w:hint="default" w:ascii="Times New Roman" w:hAnsi="Times New Roman" w:eastAsia="宋体" w:cs="Times New Roman"/>
                <w:color w:val="auto"/>
                <w:sz w:val="24"/>
                <w:szCs w:val="24"/>
                <w:highlight w:val="none"/>
                <w:lang w:eastAsia="zh-CN"/>
              </w:rPr>
              <w:t>项目</w:t>
            </w:r>
            <w:r>
              <w:rPr>
                <w:rFonts w:hint="eastAsia" w:cs="Times New Roman"/>
                <w:color w:val="auto"/>
                <w:sz w:val="24"/>
                <w:szCs w:val="24"/>
                <w:highlight w:val="none"/>
                <w:lang w:val="en-US" w:eastAsia="zh-CN"/>
              </w:rPr>
              <w:t>区内</w:t>
            </w:r>
            <w:r>
              <w:rPr>
                <w:rFonts w:hint="default" w:ascii="Times New Roman" w:hAnsi="Times New Roman" w:eastAsia="宋体" w:cs="Times New Roman"/>
                <w:color w:val="auto"/>
                <w:sz w:val="24"/>
                <w:szCs w:val="24"/>
                <w:highlight w:val="none"/>
              </w:rPr>
              <w:t>已</w:t>
            </w:r>
            <w:r>
              <w:rPr>
                <w:rFonts w:hint="eastAsia" w:cs="Times New Roman"/>
                <w:color w:val="auto"/>
                <w:sz w:val="24"/>
                <w:szCs w:val="24"/>
                <w:highlight w:val="none"/>
                <w:lang w:val="en-US" w:eastAsia="zh-CN"/>
              </w:rPr>
              <w:t>有</w:t>
            </w:r>
            <w:r>
              <w:rPr>
                <w:rFonts w:hint="default" w:ascii="Times New Roman" w:hAnsi="Times New Roman" w:eastAsia="宋体" w:cs="Times New Roman"/>
                <w:color w:val="auto"/>
                <w:sz w:val="24"/>
                <w:szCs w:val="24"/>
                <w:highlight w:val="none"/>
              </w:rPr>
              <w:t>雨污分流工程，污水管网已建成运行，</w:t>
            </w:r>
            <w:r>
              <w:rPr>
                <w:rFonts w:hint="eastAsia" w:cs="Times New Roman"/>
                <w:color w:val="auto"/>
                <w:sz w:val="24"/>
                <w:szCs w:val="24"/>
                <w:highlight w:val="none"/>
                <w:lang w:val="en-US" w:eastAsia="zh-CN"/>
              </w:rPr>
              <w:t>生活</w:t>
            </w:r>
            <w:r>
              <w:rPr>
                <w:rFonts w:hint="default" w:ascii="Times New Roman" w:hAnsi="Times New Roman" w:eastAsia="宋体" w:cs="Times New Roman"/>
                <w:color w:val="auto"/>
                <w:sz w:val="24"/>
                <w:szCs w:val="24"/>
                <w:highlight w:val="none"/>
              </w:rPr>
              <w:t>污水经化粪池处理达标后通过总排口排入</w:t>
            </w:r>
            <w:r>
              <w:rPr>
                <w:rFonts w:hint="eastAsia" w:cs="Times New Roman"/>
                <w:color w:val="auto"/>
                <w:sz w:val="24"/>
                <w:szCs w:val="24"/>
                <w:highlight w:val="none"/>
                <w:lang w:val="en-US" w:eastAsia="zh-CN"/>
              </w:rPr>
              <w:t>龙泉</w:t>
            </w:r>
            <w:r>
              <w:rPr>
                <w:rFonts w:hint="default" w:ascii="Times New Roman" w:hAnsi="Times New Roman" w:eastAsia="宋体" w:cs="Times New Roman"/>
                <w:color w:val="auto"/>
                <w:sz w:val="24"/>
                <w:szCs w:val="24"/>
                <w:highlight w:val="none"/>
              </w:rPr>
              <w:t>路市政污水管。</w:t>
            </w:r>
            <w:r>
              <w:rPr>
                <w:rFonts w:hint="eastAsia" w:cs="Times New Roman"/>
                <w:color w:val="auto"/>
                <w:sz w:val="24"/>
                <w:szCs w:val="24"/>
                <w:highlight w:val="none"/>
                <w:lang w:val="en-US" w:eastAsia="zh-CN"/>
              </w:rPr>
              <w:t>项目办公楼东侧已</w:t>
            </w:r>
            <w:r>
              <w:rPr>
                <w:rFonts w:hint="default" w:ascii="Times New Roman" w:hAnsi="Times New Roman" w:eastAsia="宋体" w:cs="Times New Roman"/>
                <w:color w:val="auto"/>
                <w:sz w:val="24"/>
                <w:szCs w:val="24"/>
                <w:highlight w:val="none"/>
                <w:lang w:eastAsia="zh-CN"/>
              </w:rPr>
              <w:t>设置</w:t>
            </w:r>
            <w:r>
              <w:rPr>
                <w:rFonts w:hint="eastAsia" w:cs="Times New Roman"/>
                <w:color w:val="auto"/>
                <w:sz w:val="24"/>
                <w:szCs w:val="24"/>
                <w:highlight w:val="none"/>
                <w:lang w:val="en-US" w:eastAsia="zh-CN"/>
              </w:rPr>
              <w:t>有</w:t>
            </w:r>
            <w:r>
              <w:rPr>
                <w:rFonts w:hint="default" w:ascii="Times New Roman" w:hAnsi="Times New Roman" w:eastAsia="宋体" w:cs="Times New Roman"/>
                <w:i w:val="0"/>
                <w:iCs w:val="0"/>
                <w:color w:val="auto"/>
                <w:kern w:val="0"/>
                <w:sz w:val="24"/>
                <w:szCs w:val="24"/>
                <w:highlight w:val="none"/>
                <w:u w:val="none"/>
                <w:lang w:val="en-US" w:eastAsia="zh-CN" w:bidi="ar"/>
              </w:rPr>
              <w:t>1个</w:t>
            </w:r>
            <w:r>
              <w:rPr>
                <w:rFonts w:hint="default" w:ascii="Times New Roman" w:hAnsi="Times New Roman" w:cs="Times New Roman"/>
                <w:color w:val="auto"/>
                <w:sz w:val="24"/>
                <w:highlight w:val="none"/>
              </w:rPr>
              <w:t>昆明机床劳动服务公司现有</w:t>
            </w:r>
            <w:r>
              <w:rPr>
                <w:rFonts w:hint="eastAsia" w:cs="Times New Roman"/>
                <w:color w:val="auto"/>
                <w:sz w:val="24"/>
                <w:highlight w:val="none"/>
                <w:lang w:val="en-US" w:eastAsia="zh-CN"/>
              </w:rPr>
              <w:t>的</w:t>
            </w:r>
            <w:r>
              <w:rPr>
                <w:rFonts w:hint="default" w:ascii="Times New Roman" w:hAnsi="Times New Roman" w:eastAsia="宋体" w:cs="Times New Roman"/>
                <w:i w:val="0"/>
                <w:iCs w:val="0"/>
                <w:color w:val="auto"/>
                <w:kern w:val="0"/>
                <w:sz w:val="24"/>
                <w:szCs w:val="24"/>
                <w:highlight w:val="none"/>
                <w:u w:val="none"/>
                <w:lang w:val="en-US" w:eastAsia="zh-CN" w:bidi="ar"/>
              </w:rPr>
              <w:t>化粪池，总容积为</w:t>
            </w:r>
            <w:r>
              <w:rPr>
                <w:rFonts w:hint="eastAsia" w:cs="Times New Roman"/>
                <w:i w:val="0"/>
                <w:iCs w:val="0"/>
                <w:color w:val="auto"/>
                <w:kern w:val="0"/>
                <w:sz w:val="24"/>
                <w:szCs w:val="24"/>
                <w:highlight w:val="none"/>
                <w:u w:val="none"/>
                <w:lang w:val="en-US" w:eastAsia="zh-CN" w:bidi="ar"/>
              </w:rPr>
              <w:t>20</w:t>
            </w:r>
            <w:r>
              <w:rPr>
                <w:rFonts w:hint="default" w:ascii="Times New Roman" w:hAnsi="Times New Roman" w:eastAsia="宋体" w:cs="Times New Roman"/>
                <w:i w:val="0"/>
                <w:iCs w:val="0"/>
                <w:color w:val="auto"/>
                <w:kern w:val="0"/>
                <w:sz w:val="24"/>
                <w:szCs w:val="24"/>
                <w:highlight w:val="none"/>
                <w:u w:val="none"/>
                <w:lang w:val="en-US" w:eastAsia="zh-CN" w:bidi="ar"/>
              </w:rPr>
              <w:t>m³，</w:t>
            </w:r>
            <w:r>
              <w:rPr>
                <w:rFonts w:hint="default" w:ascii="Times New Roman" w:hAnsi="Times New Roman" w:eastAsia="宋体" w:cs="Times New Roman"/>
                <w:color w:val="auto"/>
                <w:sz w:val="24"/>
                <w:szCs w:val="24"/>
                <w:highlight w:val="none"/>
              </w:rPr>
              <w:t>目前化粪池运行正常，出水水质能够达标排放。</w:t>
            </w:r>
          </w:p>
          <w:p w14:paraId="7E0D7378">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highlight w:val="none"/>
                <w:lang w:eastAsia="zh-CN"/>
              </w:rPr>
            </w:pPr>
            <w:r>
              <w:rPr>
                <w:rFonts w:hint="eastAsia" w:cs="Times New Roman"/>
                <w:color w:val="auto"/>
                <w:sz w:val="24"/>
                <w:szCs w:val="24"/>
                <w:highlight w:val="none"/>
                <w:lang w:val="en-US" w:eastAsia="zh-CN"/>
              </w:rPr>
              <w:t>化粪池主要接收本项目和云南秀川水利水电勘察设计有限公司的生活污水，云南秀川水利水电勘察设计有限公司产生的生活废水量约</w:t>
            </w:r>
            <w:r>
              <w:rPr>
                <w:rFonts w:hint="eastAsia" w:cs="Times New Roman"/>
                <w:color w:val="auto"/>
                <w:sz w:val="24"/>
                <w:highlight w:val="none"/>
                <w:lang w:val="en-US" w:eastAsia="zh-CN"/>
              </w:rPr>
              <w:t>7.2</w:t>
            </w:r>
            <w:r>
              <w:rPr>
                <w:rFonts w:hint="default" w:ascii="Times New Roman" w:hAnsi="Times New Roman" w:cs="Times New Roman"/>
                <w:color w:val="auto"/>
                <w:sz w:val="24"/>
                <w:highlight w:val="none"/>
              </w:rPr>
              <w:t>m³/d</w:t>
            </w:r>
            <w:r>
              <w:rPr>
                <w:rFonts w:hint="eastAsia" w:ascii="Times New Roman" w:hAnsi="Times New Roman" w:cs="Times New Roman"/>
                <w:color w:val="auto"/>
                <w:sz w:val="24"/>
                <w:highlight w:val="none"/>
              </w:rPr>
              <w:t>。</w:t>
            </w:r>
            <w:r>
              <w:rPr>
                <w:rFonts w:hint="eastAsia" w:cs="Times New Roman"/>
                <w:color w:val="auto"/>
                <w:sz w:val="24"/>
                <w:highlight w:val="none"/>
                <w:lang w:val="en-US" w:eastAsia="zh-CN"/>
              </w:rPr>
              <w:t>本项目</w:t>
            </w:r>
            <w:r>
              <w:rPr>
                <w:rFonts w:hint="default" w:ascii="Times New Roman" w:hAnsi="Times New Roman" w:eastAsia="宋体" w:cs="Times New Roman"/>
                <w:color w:val="auto"/>
                <w:sz w:val="24"/>
                <w:szCs w:val="24"/>
                <w:highlight w:val="none"/>
              </w:rPr>
              <w:t>排入化粪池的污水主要为</w:t>
            </w:r>
            <w:r>
              <w:rPr>
                <w:rFonts w:hint="eastAsia" w:cs="Times New Roman"/>
                <w:color w:val="auto"/>
                <w:sz w:val="24"/>
                <w:szCs w:val="24"/>
                <w:highlight w:val="none"/>
                <w:lang w:val="en-US" w:eastAsia="zh-CN"/>
              </w:rPr>
              <w:t>员工生活废水</w:t>
            </w:r>
            <w:r>
              <w:rPr>
                <w:rFonts w:hint="default" w:ascii="Times New Roman" w:hAnsi="Times New Roman" w:eastAsia="宋体" w:cs="Times New Roman"/>
                <w:color w:val="auto"/>
                <w:sz w:val="24"/>
                <w:szCs w:val="24"/>
                <w:highlight w:val="none"/>
              </w:rPr>
              <w:t>和</w:t>
            </w:r>
            <w:r>
              <w:rPr>
                <w:rFonts w:hint="eastAsia" w:cs="Times New Roman"/>
                <w:color w:val="auto"/>
                <w:sz w:val="24"/>
                <w:szCs w:val="24"/>
                <w:highlight w:val="none"/>
                <w:lang w:val="en-US" w:eastAsia="zh-CN"/>
              </w:rPr>
              <w:t>地面清洁水</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highlight w:val="none"/>
              </w:rPr>
              <w:t>所产生的</w:t>
            </w:r>
            <w:r>
              <w:rPr>
                <w:rFonts w:hint="eastAsia" w:cs="Times New Roman"/>
                <w:color w:val="auto"/>
                <w:sz w:val="24"/>
                <w:highlight w:val="none"/>
                <w:lang w:val="en-US" w:eastAsia="zh-CN"/>
              </w:rPr>
              <w:t>废</w:t>
            </w:r>
            <w:r>
              <w:rPr>
                <w:rFonts w:hint="default" w:ascii="Times New Roman" w:hAnsi="Times New Roman" w:cs="Times New Roman"/>
                <w:color w:val="auto"/>
                <w:sz w:val="24"/>
                <w:highlight w:val="none"/>
              </w:rPr>
              <w:t>水量约</w:t>
            </w:r>
            <w:r>
              <w:rPr>
                <w:rFonts w:hint="eastAsia" w:cs="Times New Roman"/>
                <w:color w:val="auto"/>
                <w:sz w:val="24"/>
                <w:highlight w:val="none"/>
                <w:lang w:val="en-US" w:eastAsia="zh-CN"/>
              </w:rPr>
              <w:t>3.7744</w:t>
            </w:r>
            <w:r>
              <w:rPr>
                <w:rFonts w:hint="default" w:ascii="Times New Roman" w:hAnsi="Times New Roman" w:cs="Times New Roman"/>
                <w:color w:val="auto"/>
                <w:sz w:val="24"/>
                <w:highlight w:val="none"/>
              </w:rPr>
              <w:t>m³/d</w:t>
            </w:r>
            <w:r>
              <w:rPr>
                <w:rFonts w:hint="eastAsia" w:ascii="Times New Roman" w:hAnsi="Times New Roman" w:cs="Times New Roman"/>
                <w:color w:val="auto"/>
                <w:sz w:val="24"/>
                <w:highlight w:val="none"/>
              </w:rPr>
              <w:t>。</w:t>
            </w:r>
            <w:r>
              <w:rPr>
                <w:rFonts w:hint="eastAsia" w:cs="Times New Roman"/>
                <w:color w:val="auto"/>
                <w:sz w:val="24"/>
                <w:highlight w:val="none"/>
                <w:lang w:val="en-US" w:eastAsia="zh-CN"/>
              </w:rPr>
              <w:t>则进入化粪池的总废水量约为10.9744</w:t>
            </w:r>
            <w:r>
              <w:rPr>
                <w:rFonts w:hint="default" w:ascii="Times New Roman" w:hAnsi="Times New Roman" w:cs="Times New Roman"/>
                <w:color w:val="auto"/>
                <w:sz w:val="24"/>
                <w:highlight w:val="none"/>
              </w:rPr>
              <w:t>m³/d</w:t>
            </w:r>
            <w:r>
              <w:rPr>
                <w:rFonts w:hint="eastAsia" w:cs="Times New Roman"/>
                <w:color w:val="auto"/>
                <w:sz w:val="24"/>
                <w:highlight w:val="none"/>
                <w:lang w:eastAsia="zh-CN"/>
              </w:rPr>
              <w:t>，</w:t>
            </w:r>
            <w:r>
              <w:rPr>
                <w:rFonts w:hint="eastAsia" w:cs="Times New Roman"/>
                <w:color w:val="auto"/>
                <w:sz w:val="24"/>
                <w:highlight w:val="none"/>
                <w:lang w:val="en-US" w:eastAsia="zh-CN"/>
              </w:rPr>
              <w:t>故化粪池的容积能够接纳本项目产生的废水量。</w:t>
            </w:r>
            <w:r>
              <w:rPr>
                <w:rFonts w:hint="default" w:ascii="Times New Roman" w:hAnsi="Times New Roman" w:cs="Times New Roman"/>
                <w:color w:val="auto"/>
                <w:sz w:val="24"/>
                <w:highlight w:val="none"/>
              </w:rPr>
              <w:t>根据工程分析，</w:t>
            </w:r>
            <w:r>
              <w:rPr>
                <w:rFonts w:hint="eastAsia" w:cs="Times New Roman"/>
                <w:color w:val="auto"/>
                <w:sz w:val="24"/>
                <w:highlight w:val="none"/>
                <w:lang w:val="en-US" w:eastAsia="zh-CN"/>
              </w:rPr>
              <w:t>项目生活污水和地面清洁水的</w:t>
            </w:r>
            <w:r>
              <w:rPr>
                <w:rFonts w:hint="eastAsia" w:ascii="Times New Roman" w:cs="Times New Roman"/>
                <w:color w:val="auto"/>
                <w:sz w:val="24"/>
                <w:highlight w:val="none"/>
              </w:rPr>
              <w:t>污染物主要为CODcr、BOD</w:t>
            </w:r>
            <w:r>
              <w:rPr>
                <w:rFonts w:hint="eastAsia" w:ascii="Times New Roman" w:cs="Times New Roman"/>
                <w:color w:val="auto"/>
                <w:sz w:val="24"/>
                <w:highlight w:val="none"/>
                <w:vertAlign w:val="subscript"/>
              </w:rPr>
              <w:t>5</w:t>
            </w:r>
            <w:r>
              <w:rPr>
                <w:rFonts w:hint="eastAsia" w:ascii="Times New Roman" w:cs="Times New Roman"/>
                <w:color w:val="auto"/>
                <w:sz w:val="24"/>
                <w:highlight w:val="none"/>
              </w:rPr>
              <w:t>、</w:t>
            </w:r>
            <w:r>
              <w:rPr>
                <w:rFonts w:hint="default" w:ascii="Times New Roman" w:hAnsi="Times New Roman" w:cs="Times New Roman"/>
                <w:color w:val="auto"/>
                <w:kern w:val="0"/>
                <w:sz w:val="24"/>
                <w:highlight w:val="none"/>
              </w:rPr>
              <w:t>SS</w:t>
            </w:r>
            <w:r>
              <w:rPr>
                <w:rFonts w:hint="default" w:ascii="Times New Roman" w:cs="Times New Roman"/>
                <w:color w:val="auto"/>
                <w:kern w:val="0"/>
                <w:sz w:val="24"/>
                <w:highlight w:val="none"/>
              </w:rPr>
              <w:t>、氨氮、总磷</w:t>
            </w:r>
            <w:r>
              <w:rPr>
                <w:rFonts w:hint="eastAsia" w:cs="Times New Roman"/>
                <w:color w:val="auto"/>
                <w:sz w:val="24"/>
                <w:highlight w:val="none"/>
                <w:lang w:eastAsia="zh-CN"/>
              </w:rPr>
              <w:t>。</w:t>
            </w:r>
          </w:p>
          <w:p w14:paraId="20EE5DA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综上，昆明机床劳动服务公司现有化粪池有富余量能接纳</w:t>
            </w:r>
            <w:r>
              <w:rPr>
                <w:rFonts w:hint="eastAsia" w:ascii="Times New Roman" w:hAnsi="Times New Roman" w:cs="Times New Roman"/>
                <w:color w:val="auto"/>
                <w:sz w:val="24"/>
                <w:highlight w:val="none"/>
              </w:rPr>
              <w:t>项目</w:t>
            </w:r>
            <w:r>
              <w:rPr>
                <w:rFonts w:hint="default" w:ascii="Times New Roman" w:hAnsi="Times New Roman" w:cs="Times New Roman"/>
                <w:color w:val="auto"/>
                <w:sz w:val="24"/>
                <w:highlight w:val="none"/>
              </w:rPr>
              <w:t>废水，</w:t>
            </w:r>
            <w:r>
              <w:rPr>
                <w:rFonts w:hint="eastAsia" w:ascii="Times New Roman" w:hAnsi="Times New Roman" w:cs="Times New Roman"/>
                <w:color w:val="auto"/>
                <w:sz w:val="24"/>
                <w:highlight w:val="none"/>
              </w:rPr>
              <w:t>项目</w:t>
            </w:r>
            <w:r>
              <w:rPr>
                <w:rFonts w:hint="default" w:ascii="Times New Roman" w:hAnsi="Times New Roman" w:cs="Times New Roman"/>
                <w:color w:val="auto"/>
                <w:sz w:val="24"/>
                <w:highlight w:val="none"/>
              </w:rPr>
              <w:t>排放的污水量能满足废水停留时间不小于</w:t>
            </w:r>
            <w:r>
              <w:rPr>
                <w:rFonts w:hint="eastAsia" w:cs="Times New Roman"/>
                <w:color w:val="auto"/>
                <w:sz w:val="24"/>
                <w:highlight w:val="none"/>
                <w:lang w:val="en-US" w:eastAsia="zh-CN"/>
              </w:rPr>
              <w:t>24</w:t>
            </w:r>
            <w:r>
              <w:rPr>
                <w:rFonts w:hint="default" w:ascii="Times New Roman" w:hAnsi="Times New Roman" w:cs="Times New Roman"/>
                <w:color w:val="auto"/>
                <w:sz w:val="24"/>
                <w:highlight w:val="none"/>
              </w:rPr>
              <w:t>小时</w:t>
            </w:r>
            <w:r>
              <w:rPr>
                <w:rFonts w:hint="eastAsia" w:ascii="Times New Roman" w:hAnsi="Times New Roman" w:cs="Times New Roman"/>
                <w:color w:val="auto"/>
                <w:sz w:val="24"/>
                <w:highlight w:val="none"/>
              </w:rPr>
              <w:t>要求，</w:t>
            </w:r>
            <w:r>
              <w:rPr>
                <w:rFonts w:hint="default" w:ascii="Times New Roman" w:hAnsi="Times New Roman" w:cs="Times New Roman"/>
                <w:color w:val="auto"/>
                <w:sz w:val="24"/>
                <w:highlight w:val="none"/>
              </w:rPr>
              <w:t>且处理后出水水质能够达到《污水排入城镇下水道水质标准》（GB/T31962-2015）表1中A等级标准，</w:t>
            </w:r>
            <w:r>
              <w:rPr>
                <w:rFonts w:hint="eastAsia" w:ascii="Times New Roman" w:hAnsi="Times New Roman" w:cs="Times New Roman"/>
                <w:color w:val="auto"/>
                <w:sz w:val="24"/>
                <w:highlight w:val="none"/>
              </w:rPr>
              <w:t>项目</w:t>
            </w:r>
            <w:r>
              <w:rPr>
                <w:rFonts w:hint="default" w:ascii="Times New Roman" w:hAnsi="Times New Roman" w:cs="Times New Roman"/>
                <w:color w:val="auto"/>
                <w:sz w:val="24"/>
                <w:highlight w:val="none"/>
              </w:rPr>
              <w:t>废水依托昆明机床劳动服务公司现有化粪池处理是可行的。</w:t>
            </w:r>
          </w:p>
          <w:p w14:paraId="10952FD3">
            <w:pPr>
              <w:keepNext w:val="0"/>
              <w:keepLines w:val="0"/>
              <w:pageBreakBefore w:val="0"/>
              <w:suppressLineNumbers w:val="0"/>
              <w:kinsoku/>
              <w:overflowPunct/>
              <w:autoSpaceDE/>
              <w:autoSpaceDN/>
              <w:bidi w:val="0"/>
              <w:adjustRightInd w:val="0"/>
              <w:snapToGrid w:val="0"/>
              <w:spacing w:before="0" w:beforeAutospacing="0" w:after="0" w:afterAutospacing="0" w:line="360" w:lineRule="auto"/>
              <w:ind w:left="0" w:right="0" w:firstLine="482" w:firstLineChars="200"/>
              <w:jc w:val="both"/>
              <w:rPr>
                <w:rFonts w:hint="default" w:eastAsiaTheme="minorEastAsia"/>
                <w:b/>
                <w:color w:val="auto"/>
                <w:sz w:val="24"/>
              </w:rPr>
            </w:pPr>
            <w:r>
              <w:rPr>
                <w:rFonts w:hint="default" w:eastAsiaTheme="minorEastAsia"/>
                <w:b/>
                <w:color w:val="auto"/>
                <w:sz w:val="24"/>
              </w:rPr>
              <w:t>（</w:t>
            </w:r>
            <w:r>
              <w:rPr>
                <w:rFonts w:hint="eastAsia" w:eastAsiaTheme="minorEastAsia"/>
                <w:b/>
                <w:color w:val="auto"/>
                <w:sz w:val="24"/>
                <w:lang w:val="en-US" w:eastAsia="zh-CN"/>
              </w:rPr>
              <w:t>5</w:t>
            </w:r>
            <w:r>
              <w:rPr>
                <w:rFonts w:hint="default" w:eastAsiaTheme="minorEastAsia"/>
                <w:b/>
                <w:color w:val="auto"/>
                <w:sz w:val="24"/>
              </w:rPr>
              <w:t>）项目废水进入昆明市</w:t>
            </w:r>
            <w:r>
              <w:rPr>
                <w:rFonts w:hint="eastAsia" w:eastAsiaTheme="minorEastAsia"/>
                <w:b/>
                <w:color w:val="auto"/>
                <w:sz w:val="24"/>
                <w:lang w:eastAsia="zh-CN"/>
              </w:rPr>
              <w:t>第五水质净化厂处理</w:t>
            </w:r>
            <w:r>
              <w:rPr>
                <w:rFonts w:hint="default" w:eastAsiaTheme="minorEastAsia"/>
                <w:b/>
                <w:color w:val="auto"/>
                <w:sz w:val="24"/>
              </w:rPr>
              <w:t>的可行性分析</w:t>
            </w:r>
          </w:p>
          <w:p w14:paraId="7C93D315">
            <w:pPr>
              <w:pStyle w:val="46"/>
              <w:keepNext w:val="0"/>
              <w:keepLines w:val="0"/>
              <w:pageBreakBefore w:val="0"/>
              <w:suppressLineNumbers w:val="0"/>
              <w:kinsoku/>
              <w:overflowPunct/>
              <w:autoSpaceDE/>
              <w:autoSpaceDN/>
              <w:bidi w:val="0"/>
              <w:adjustRightInd w:val="0"/>
              <w:snapToGrid w:val="0"/>
              <w:spacing w:before="0" w:beforeAutospacing="0" w:after="0" w:afterAutospacing="0"/>
              <w:ind w:left="0" w:right="0" w:firstLine="482" w:firstLineChars="200"/>
              <w:jc w:val="both"/>
              <w:rPr>
                <w:rFonts w:hint="default" w:eastAsia="宋体" w:cs="Times New Roman"/>
                <w:b/>
                <w:bCs/>
                <w:color w:val="auto"/>
                <w:sz w:val="24"/>
                <w:szCs w:val="24"/>
              </w:rPr>
            </w:pPr>
            <w:r>
              <w:rPr>
                <w:rFonts w:hint="default" w:eastAsia="宋体" w:cs="Times New Roman"/>
                <w:b/>
                <w:bCs/>
                <w:color w:val="auto"/>
                <w:sz w:val="24"/>
                <w:szCs w:val="24"/>
              </w:rPr>
              <w:fldChar w:fldCharType="begin"/>
            </w:r>
            <w:r>
              <w:rPr>
                <w:rFonts w:hint="default" w:eastAsia="宋体" w:cs="Times New Roman"/>
                <w:b/>
                <w:bCs/>
                <w:color w:val="auto"/>
                <w:sz w:val="24"/>
                <w:szCs w:val="24"/>
              </w:rPr>
              <w:instrText xml:space="preserve"> = 1 \* GB3 \* MERGEFORMAT </w:instrText>
            </w:r>
            <w:r>
              <w:rPr>
                <w:rFonts w:hint="default" w:eastAsia="宋体" w:cs="Times New Roman"/>
                <w:b/>
                <w:bCs/>
                <w:color w:val="auto"/>
                <w:sz w:val="24"/>
                <w:szCs w:val="24"/>
              </w:rPr>
              <w:fldChar w:fldCharType="separate"/>
            </w:r>
            <w:r>
              <w:rPr>
                <w:rFonts w:hint="eastAsia" w:ascii="宋体" w:hAnsi="宋体" w:eastAsia="宋体"/>
                <w:b/>
                <w:bCs/>
                <w:color w:val="auto"/>
                <w:sz w:val="24"/>
                <w:szCs w:val="24"/>
              </w:rPr>
              <w:t>①</w:t>
            </w:r>
            <w:r>
              <w:rPr>
                <w:rFonts w:hint="default" w:eastAsia="宋体" w:cs="Times New Roman"/>
                <w:b/>
                <w:bCs/>
                <w:color w:val="auto"/>
                <w:sz w:val="24"/>
                <w:szCs w:val="24"/>
              </w:rPr>
              <w:fldChar w:fldCharType="end"/>
            </w:r>
            <w:r>
              <w:rPr>
                <w:rFonts w:hint="default" w:eastAsia="宋体" w:cs="Times New Roman"/>
                <w:b/>
                <w:bCs/>
                <w:color w:val="auto"/>
                <w:sz w:val="24"/>
                <w:szCs w:val="24"/>
              </w:rPr>
              <w:t>处理能力</w:t>
            </w:r>
          </w:p>
          <w:p w14:paraId="0BB4457E">
            <w:pPr>
              <w:pStyle w:val="5"/>
              <w:keepNext w:val="0"/>
              <w:keepLines w:val="0"/>
              <w:pageBreakBefore w:val="0"/>
              <w:suppressLineNumbers w:val="0"/>
              <w:kinsoku/>
              <w:overflowPunct/>
              <w:autoSpaceDE/>
              <w:autoSpaceDN/>
              <w:bidi w:val="0"/>
              <w:adjustRightInd w:val="0"/>
              <w:snapToGrid w:val="0"/>
              <w:spacing w:beforeAutospacing="0" w:afterAutospacing="0" w:line="360" w:lineRule="auto"/>
              <w:ind w:left="0" w:right="0" w:firstLine="480" w:firstLineChars="200"/>
              <w:jc w:val="both"/>
              <w:rPr>
                <w:rFonts w:hint="default"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SA"/>
              </w:rPr>
              <w:t>昆明市第五水质净化厂位于昆明市北郊北市区金色大道盘龙江东岸，总设计处理规模18.5万m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/日，采用改良型A²/O活性污泥法加微絮凝过滤、紫外线消毒工艺</w:t>
            </w:r>
            <w:r>
              <w:rPr>
                <w:rFonts w:hint="default" w:eastAsia="宋体" w:cs="Times New Roman"/>
                <w:color w:val="auto"/>
                <w:sz w:val="24"/>
                <w:szCs w:val="24"/>
              </w:rPr>
              <w:t>，生产运营正常。本项目运营期污水产生量为</w:t>
            </w:r>
            <w:r>
              <w:rPr>
                <w:rFonts w:hint="eastAsia" w:cs="Times New Roman"/>
                <w:color w:val="auto"/>
                <w:sz w:val="24"/>
                <w:szCs w:val="24"/>
                <w:lang w:val="en-US" w:eastAsia="zh-CN"/>
              </w:rPr>
              <w:t>4.3874</w:t>
            </w:r>
            <w:r>
              <w:rPr>
                <w:rFonts w:hint="default" w:eastAsia="宋体" w:cs="Times New Roman"/>
                <w:color w:val="auto"/>
                <w:sz w:val="24"/>
                <w:szCs w:val="24"/>
              </w:rPr>
              <w:t>m</w:t>
            </w:r>
            <w:r>
              <w:rPr>
                <w:rFonts w:hint="default" w:eastAsia="宋体" w:cs="Times New Roman"/>
                <w:color w:val="auto"/>
                <w:sz w:val="24"/>
                <w:szCs w:val="24"/>
                <w:vertAlign w:val="superscript"/>
              </w:rPr>
              <w:t>3</w:t>
            </w:r>
            <w:r>
              <w:rPr>
                <w:rFonts w:hint="default" w:eastAsia="宋体" w:cs="Times New Roman"/>
                <w:color w:val="auto"/>
                <w:sz w:val="24"/>
                <w:szCs w:val="24"/>
              </w:rPr>
              <w:t>/d （</w:t>
            </w:r>
            <w:r>
              <w:rPr>
                <w:rFonts w:hint="eastAsia" w:cs="Times New Roman"/>
                <w:color w:val="auto"/>
                <w:sz w:val="24"/>
                <w:szCs w:val="24"/>
                <w:lang w:val="en-US" w:eastAsia="zh-CN"/>
              </w:rPr>
              <w:t>1316.22</w:t>
            </w:r>
            <w:r>
              <w:rPr>
                <w:rFonts w:hint="default" w:eastAsia="宋体" w:cs="Times New Roman"/>
                <w:color w:val="auto"/>
                <w:sz w:val="24"/>
                <w:szCs w:val="24"/>
              </w:rPr>
              <w:t>m</w:t>
            </w:r>
            <w:r>
              <w:rPr>
                <w:rFonts w:hint="default" w:eastAsia="宋体" w:cs="Times New Roman"/>
                <w:color w:val="auto"/>
                <w:sz w:val="24"/>
                <w:szCs w:val="24"/>
                <w:vertAlign w:val="superscript"/>
              </w:rPr>
              <w:t>3</w:t>
            </w:r>
            <w:r>
              <w:rPr>
                <w:rFonts w:hint="default" w:eastAsia="宋体" w:cs="Times New Roman"/>
                <w:color w:val="auto"/>
                <w:sz w:val="24"/>
                <w:szCs w:val="24"/>
              </w:rPr>
              <w:t>/a），废水产生量较小，第</w:t>
            </w:r>
            <w:r>
              <w:rPr>
                <w:rFonts w:hint="eastAsia" w:cs="Times New Roman"/>
                <w:color w:val="auto"/>
                <w:sz w:val="24"/>
                <w:szCs w:val="24"/>
                <w:lang w:val="en-US" w:eastAsia="zh-CN"/>
              </w:rPr>
              <w:t>五</w:t>
            </w:r>
            <w:r>
              <w:rPr>
                <w:rFonts w:hint="default" w:eastAsia="宋体" w:cs="Times New Roman"/>
                <w:color w:val="auto"/>
                <w:sz w:val="24"/>
                <w:szCs w:val="24"/>
              </w:rPr>
              <w:t>水质净化厂尚有余量可接纳本项目废水。</w:t>
            </w:r>
          </w:p>
          <w:p w14:paraId="37BA8AC0">
            <w:pPr>
              <w:pStyle w:val="5"/>
              <w:keepNext w:val="0"/>
              <w:keepLines w:val="0"/>
              <w:pageBreakBefore w:val="0"/>
              <w:suppressLineNumbers w:val="0"/>
              <w:kinsoku/>
              <w:overflowPunct/>
              <w:autoSpaceDE/>
              <w:autoSpaceDN/>
              <w:bidi w:val="0"/>
              <w:adjustRightInd w:val="0"/>
              <w:snapToGrid w:val="0"/>
              <w:spacing w:beforeAutospacing="0" w:afterAutospacing="0" w:line="360" w:lineRule="auto"/>
              <w:ind w:left="0" w:right="0" w:firstLine="482" w:firstLineChars="200"/>
              <w:jc w:val="both"/>
              <w:rPr>
                <w:rFonts w:hint="default" w:eastAsia="宋体" w:cs="Times New Roman"/>
                <w:b/>
                <w:bCs/>
                <w:color w:val="auto"/>
                <w:sz w:val="24"/>
                <w:szCs w:val="24"/>
              </w:rPr>
            </w:pPr>
            <w:r>
              <w:rPr>
                <w:rFonts w:hint="eastAsia" w:eastAsia="宋体" w:cs="Times New Roman"/>
                <w:b/>
                <w:bCs/>
                <w:color w:val="auto"/>
                <w:sz w:val="24"/>
                <w:szCs w:val="24"/>
              </w:rPr>
              <w:t>②</w:t>
            </w:r>
            <w:r>
              <w:rPr>
                <w:rFonts w:hint="default" w:eastAsia="宋体" w:cs="Times New Roman"/>
                <w:b/>
                <w:bCs/>
                <w:color w:val="auto"/>
                <w:sz w:val="24"/>
                <w:szCs w:val="24"/>
              </w:rPr>
              <w:t>纳污范围可行性</w:t>
            </w:r>
          </w:p>
          <w:p w14:paraId="3FED15C6">
            <w:pPr>
              <w:pStyle w:val="5"/>
              <w:keepNext w:val="0"/>
              <w:keepLines w:val="0"/>
              <w:pageBreakBefore w:val="0"/>
              <w:suppressLineNumbers w:val="0"/>
              <w:kinsoku/>
              <w:overflowPunct/>
              <w:autoSpaceDE/>
              <w:autoSpaceDN/>
              <w:bidi w:val="0"/>
              <w:adjustRightInd w:val="0"/>
              <w:snapToGrid w:val="0"/>
              <w:spacing w:beforeAutospacing="0" w:afterAutospacing="0" w:line="360" w:lineRule="auto"/>
              <w:ind w:left="0" w:right="0" w:firstLine="480" w:firstLineChars="200"/>
              <w:jc w:val="both"/>
              <w:rPr>
                <w:rFonts w:hint="default" w:eastAsia="宋体" w:cs="Times New Roman"/>
                <w:color w:val="auto"/>
                <w:sz w:val="24"/>
                <w:szCs w:val="24"/>
              </w:rPr>
            </w:pPr>
            <w:r>
              <w:rPr>
                <w:rFonts w:hint="default" w:eastAsia="宋体" w:cs="Times New Roman"/>
                <w:color w:val="auto"/>
                <w:sz w:val="24"/>
                <w:szCs w:val="24"/>
              </w:rPr>
              <w:t>该污水处理厂服务范围为负责收集处理松花坝水库以南、火车北站以北、长虫山以东、穿金路和北龙路以西的区域，以及银汁河、盘龙江和金汁河上段的汇水区域内的污水，该项目</w:t>
            </w:r>
            <w:r>
              <w:rPr>
                <w:rFonts w:hint="eastAsia" w:cs="Times New Roman"/>
                <w:color w:val="auto"/>
                <w:sz w:val="24"/>
                <w:szCs w:val="24"/>
                <w:lang w:eastAsia="zh-CN"/>
              </w:rPr>
              <w:t>位于</w:t>
            </w:r>
            <w:r>
              <w:rPr>
                <w:rFonts w:hint="default" w:eastAsia="宋体" w:cs="Times New Roman"/>
                <w:color w:val="auto"/>
                <w:sz w:val="24"/>
                <w:szCs w:val="24"/>
              </w:rPr>
              <w:t>盘龙区</w:t>
            </w:r>
            <w:r>
              <w:rPr>
                <w:rFonts w:hint="default"/>
                <w:color w:val="auto"/>
                <w:sz w:val="24"/>
              </w:rPr>
              <w:t>盘龙区茨坝街道昆机社区龙泉路714号附1号</w:t>
            </w:r>
            <w:r>
              <w:rPr>
                <w:rFonts w:hint="default" w:eastAsia="宋体" w:cs="Times New Roman"/>
                <w:color w:val="auto"/>
                <w:sz w:val="24"/>
                <w:szCs w:val="24"/>
              </w:rPr>
              <w:t>，因此该污水处理厂可以接纳该项目产生的生活污水。</w:t>
            </w:r>
          </w:p>
          <w:p w14:paraId="4FBBB26B">
            <w:pPr>
              <w:pStyle w:val="5"/>
              <w:keepNext w:val="0"/>
              <w:keepLines w:val="0"/>
              <w:pageBreakBefore w:val="0"/>
              <w:suppressLineNumbers w:val="0"/>
              <w:kinsoku/>
              <w:overflowPunct/>
              <w:autoSpaceDE/>
              <w:autoSpaceDN/>
              <w:bidi w:val="0"/>
              <w:adjustRightInd w:val="0"/>
              <w:snapToGrid w:val="0"/>
              <w:spacing w:beforeAutospacing="0" w:afterAutospacing="0" w:line="360" w:lineRule="auto"/>
              <w:ind w:left="0" w:right="0" w:firstLine="482" w:firstLineChars="200"/>
              <w:jc w:val="both"/>
              <w:rPr>
                <w:rFonts w:hint="default" w:eastAsia="宋体" w:cs="Times New Roman"/>
                <w:b/>
                <w:bCs/>
                <w:color w:val="auto"/>
                <w:sz w:val="24"/>
                <w:szCs w:val="24"/>
              </w:rPr>
            </w:pPr>
            <w:r>
              <w:rPr>
                <w:rFonts w:hint="eastAsia" w:eastAsia="宋体" w:cs="Times New Roman"/>
                <w:b/>
                <w:bCs/>
                <w:color w:val="auto"/>
                <w:sz w:val="24"/>
                <w:szCs w:val="24"/>
              </w:rPr>
              <w:t>③</w:t>
            </w:r>
            <w:r>
              <w:rPr>
                <w:rFonts w:hint="default" w:eastAsia="宋体" w:cs="Times New Roman"/>
                <w:b/>
                <w:bCs/>
                <w:color w:val="auto"/>
                <w:sz w:val="24"/>
                <w:szCs w:val="24"/>
              </w:rPr>
              <w:t>处理能力可行性</w:t>
            </w:r>
          </w:p>
          <w:p w14:paraId="3A9647A2">
            <w:pPr>
              <w:pStyle w:val="5"/>
              <w:keepNext w:val="0"/>
              <w:keepLines w:val="0"/>
              <w:pageBreakBefore w:val="0"/>
              <w:suppressLineNumbers w:val="0"/>
              <w:kinsoku/>
              <w:overflowPunct/>
              <w:autoSpaceDE/>
              <w:autoSpaceDN/>
              <w:bidi w:val="0"/>
              <w:adjustRightInd w:val="0"/>
              <w:snapToGrid w:val="0"/>
              <w:spacing w:beforeAutospacing="0" w:afterAutospacing="0" w:line="360" w:lineRule="auto"/>
              <w:ind w:left="0" w:right="0" w:firstLine="480" w:firstLineChars="200"/>
              <w:jc w:val="both"/>
              <w:rPr>
                <w:rFonts w:hint="default" w:eastAsia="宋体" w:cs="Times New Roman"/>
                <w:color w:val="auto"/>
                <w:sz w:val="24"/>
                <w:szCs w:val="24"/>
              </w:rPr>
            </w:pPr>
            <w:r>
              <w:rPr>
                <w:rFonts w:hint="default" w:eastAsia="宋体" w:cs="Times New Roman"/>
                <w:color w:val="auto"/>
                <w:sz w:val="24"/>
                <w:szCs w:val="24"/>
              </w:rPr>
              <w:t>该项目日最大排水量为</w:t>
            </w:r>
            <w:r>
              <w:rPr>
                <w:rFonts w:hint="eastAsia" w:cs="Times New Roman"/>
                <w:color w:val="auto"/>
                <w:sz w:val="24"/>
                <w:szCs w:val="24"/>
                <w:lang w:val="en-US" w:eastAsia="zh-CN"/>
              </w:rPr>
              <w:t>4.3874</w:t>
            </w:r>
            <w:r>
              <w:rPr>
                <w:rFonts w:hint="default" w:eastAsia="宋体" w:cs="Times New Roman"/>
                <w:color w:val="auto"/>
                <w:sz w:val="24"/>
                <w:szCs w:val="24"/>
              </w:rPr>
              <w:t>m</w:t>
            </w:r>
            <w:r>
              <w:rPr>
                <w:rFonts w:hint="default" w:ascii="Times New Roman" w:hAnsi="Times New Roman" w:eastAsia="宋体" w:cs="Times New Roman"/>
                <w:color w:val="auto"/>
                <w:sz w:val="24"/>
                <w:szCs w:val="24"/>
              </w:rPr>
              <w:t>³</w:t>
            </w:r>
            <w:r>
              <w:rPr>
                <w:rFonts w:hint="default" w:eastAsia="宋体" w:cs="Times New Roman"/>
                <w:color w:val="auto"/>
                <w:sz w:val="24"/>
                <w:szCs w:val="24"/>
              </w:rPr>
              <w:t>/d，昆明市第五水质净化厂处理能力为</w:t>
            </w:r>
            <w:r>
              <w:rPr>
                <w:rFonts w:hint="eastAsia" w:eastAsia="宋体" w:cs="Times New Roman"/>
                <w:color w:val="auto"/>
                <w:sz w:val="24"/>
                <w:szCs w:val="24"/>
              </w:rPr>
              <w:t>18.5万</w:t>
            </w:r>
            <w:r>
              <w:rPr>
                <w:rFonts w:hint="default" w:eastAsia="宋体" w:cs="Times New Roman"/>
                <w:color w:val="auto"/>
                <w:sz w:val="24"/>
                <w:szCs w:val="24"/>
              </w:rPr>
              <w:t>m</w:t>
            </w:r>
            <w:r>
              <w:rPr>
                <w:rFonts w:hint="default" w:ascii="Times New Roman" w:hAnsi="Times New Roman" w:eastAsia="宋体" w:cs="Times New Roman"/>
                <w:color w:val="auto"/>
                <w:sz w:val="24"/>
                <w:szCs w:val="24"/>
              </w:rPr>
              <w:t>³</w:t>
            </w:r>
            <w:r>
              <w:rPr>
                <w:rFonts w:hint="default" w:eastAsia="宋体" w:cs="Times New Roman"/>
                <w:color w:val="auto"/>
                <w:sz w:val="24"/>
                <w:szCs w:val="24"/>
              </w:rPr>
              <w:t>/d，</w:t>
            </w:r>
            <w:r>
              <w:rPr>
                <w:rFonts w:hint="eastAsia" w:eastAsia="宋体" w:cs="Times New Roman"/>
                <w:color w:val="auto"/>
                <w:sz w:val="24"/>
                <w:szCs w:val="24"/>
              </w:rPr>
              <w:t>项目排水流量占</w:t>
            </w:r>
            <w:r>
              <w:rPr>
                <w:rFonts w:hint="default" w:eastAsia="宋体" w:cs="Times New Roman"/>
                <w:color w:val="auto"/>
                <w:sz w:val="24"/>
                <w:szCs w:val="24"/>
              </w:rPr>
              <w:t>昆明市第五水质净化厂</w:t>
            </w:r>
            <w:r>
              <w:rPr>
                <w:rFonts w:hint="eastAsia" w:eastAsia="宋体" w:cs="Times New Roman"/>
                <w:color w:val="auto"/>
                <w:sz w:val="24"/>
                <w:szCs w:val="24"/>
              </w:rPr>
              <w:t>处理能力的0</w:t>
            </w:r>
            <w:r>
              <w:rPr>
                <w:rFonts w:hint="default" w:eastAsia="宋体" w:cs="Times New Roman"/>
                <w:color w:val="auto"/>
                <w:sz w:val="24"/>
                <w:szCs w:val="24"/>
              </w:rPr>
              <w:t>.0</w:t>
            </w:r>
            <w:r>
              <w:rPr>
                <w:rFonts w:hint="eastAsia" w:cs="Times New Roman"/>
                <w:color w:val="auto"/>
                <w:sz w:val="24"/>
                <w:szCs w:val="24"/>
                <w:lang w:val="en-US" w:eastAsia="zh-CN"/>
              </w:rPr>
              <w:t>0237</w:t>
            </w:r>
            <w:r>
              <w:rPr>
                <w:rFonts w:hint="default" w:eastAsia="宋体" w:cs="Times New Roman"/>
                <w:color w:val="auto"/>
                <w:sz w:val="24"/>
                <w:szCs w:val="24"/>
              </w:rPr>
              <w:t>%</w:t>
            </w:r>
            <w:r>
              <w:rPr>
                <w:rFonts w:hint="eastAsia" w:eastAsia="宋体" w:cs="Times New Roman"/>
                <w:color w:val="auto"/>
                <w:sz w:val="24"/>
                <w:szCs w:val="24"/>
              </w:rPr>
              <w:t>，</w:t>
            </w:r>
            <w:r>
              <w:rPr>
                <w:rFonts w:hint="default" w:eastAsia="宋体" w:cs="Times New Roman"/>
                <w:color w:val="auto"/>
                <w:sz w:val="24"/>
                <w:szCs w:val="24"/>
              </w:rPr>
              <w:t>昆明市第五水质净化厂有足够能力处理该项目的生活污水。</w:t>
            </w:r>
          </w:p>
          <w:p w14:paraId="5BFC05C4">
            <w:pPr>
              <w:pStyle w:val="5"/>
              <w:keepNext w:val="0"/>
              <w:keepLines w:val="0"/>
              <w:pageBreakBefore w:val="0"/>
              <w:suppressLineNumbers w:val="0"/>
              <w:kinsoku/>
              <w:overflowPunct/>
              <w:autoSpaceDE/>
              <w:autoSpaceDN/>
              <w:bidi w:val="0"/>
              <w:adjustRightInd w:val="0"/>
              <w:snapToGrid w:val="0"/>
              <w:spacing w:beforeAutospacing="0" w:afterAutospacing="0" w:line="360" w:lineRule="auto"/>
              <w:ind w:left="0" w:right="0" w:firstLine="482" w:firstLineChars="200"/>
              <w:jc w:val="both"/>
              <w:rPr>
                <w:rFonts w:hint="default" w:eastAsia="宋体" w:cs="Times New Roman"/>
                <w:b/>
                <w:bCs/>
                <w:color w:val="auto"/>
                <w:sz w:val="24"/>
                <w:szCs w:val="24"/>
              </w:rPr>
            </w:pPr>
            <w:r>
              <w:rPr>
                <w:rFonts w:hint="eastAsia" w:eastAsia="宋体" w:cs="Times New Roman"/>
                <w:b/>
                <w:bCs/>
                <w:color w:val="auto"/>
                <w:sz w:val="24"/>
                <w:szCs w:val="24"/>
              </w:rPr>
              <w:t>④</w:t>
            </w:r>
            <w:r>
              <w:rPr>
                <w:rFonts w:hint="default" w:eastAsia="宋体" w:cs="Times New Roman"/>
                <w:b/>
                <w:bCs/>
                <w:color w:val="auto"/>
                <w:sz w:val="24"/>
                <w:szCs w:val="24"/>
              </w:rPr>
              <w:t>进水水质可行性</w:t>
            </w:r>
          </w:p>
          <w:p w14:paraId="0F35092C">
            <w:pPr>
              <w:pStyle w:val="5"/>
              <w:keepNext w:val="0"/>
              <w:keepLines w:val="0"/>
              <w:pageBreakBefore w:val="0"/>
              <w:suppressLineNumbers w:val="0"/>
              <w:kinsoku/>
              <w:overflowPunct/>
              <w:autoSpaceDE/>
              <w:autoSpaceDN/>
              <w:bidi w:val="0"/>
              <w:adjustRightInd w:val="0"/>
              <w:snapToGrid w:val="0"/>
              <w:spacing w:beforeAutospacing="0" w:afterAutospacing="0" w:line="360" w:lineRule="auto"/>
              <w:ind w:left="0" w:right="0" w:firstLine="480" w:firstLineChars="200"/>
              <w:jc w:val="both"/>
              <w:rPr>
                <w:rFonts w:hint="default" w:eastAsia="宋体" w:cs="Times New Roman"/>
                <w:color w:val="auto"/>
                <w:sz w:val="24"/>
                <w:szCs w:val="24"/>
              </w:rPr>
            </w:pPr>
            <w:r>
              <w:rPr>
                <w:rFonts w:hint="default" w:eastAsia="宋体" w:cs="Times New Roman"/>
                <w:color w:val="auto"/>
                <w:sz w:val="24"/>
                <w:szCs w:val="24"/>
              </w:rPr>
              <w:t>昆明市第五水质净化厂进水水质标准按照《污水排入城镇下水道水质标准》（GB/T31962-2015）表1的A级标准，该项目产生的</w:t>
            </w:r>
            <w:r>
              <w:rPr>
                <w:rFonts w:hint="eastAsia" w:cs="Times New Roman"/>
                <w:color w:val="auto"/>
                <w:sz w:val="24"/>
                <w:szCs w:val="24"/>
                <w:lang w:val="en-US" w:eastAsia="zh-CN"/>
              </w:rPr>
              <w:t>生活水质为</w:t>
            </w:r>
            <w:r>
              <w:rPr>
                <w:rFonts w:hint="default" w:eastAsia="宋体" w:cs="Times New Roman"/>
                <w:color w:val="auto"/>
                <w:sz w:val="24"/>
                <w:szCs w:val="24"/>
              </w:rPr>
              <w:t xml:space="preserve">CODCr </w:t>
            </w:r>
            <w:r>
              <w:rPr>
                <w:rFonts w:hint="eastAsia" w:cs="Times New Roman"/>
                <w:color w:val="auto"/>
                <w:sz w:val="24"/>
                <w:szCs w:val="24"/>
                <w:lang w:val="en-US" w:eastAsia="zh-CN"/>
              </w:rPr>
              <w:t>350</w:t>
            </w:r>
            <w:r>
              <w:rPr>
                <w:rFonts w:hint="default" w:eastAsia="宋体" w:cs="Times New Roman"/>
                <w:color w:val="auto"/>
                <w:sz w:val="24"/>
                <w:szCs w:val="24"/>
              </w:rPr>
              <w:t>mg/L、SS</w:t>
            </w:r>
            <w:r>
              <w:rPr>
                <w:rFonts w:hint="eastAsia" w:cs="Times New Roman"/>
                <w:color w:val="auto"/>
                <w:sz w:val="24"/>
                <w:szCs w:val="24"/>
                <w:lang w:val="en-US" w:eastAsia="zh-CN"/>
              </w:rPr>
              <w:t>200</w:t>
            </w:r>
            <w:r>
              <w:rPr>
                <w:rFonts w:hint="default" w:eastAsia="宋体" w:cs="Times New Roman"/>
                <w:color w:val="auto"/>
                <w:sz w:val="24"/>
                <w:szCs w:val="24"/>
              </w:rPr>
              <w:t>mg/L、BOD</w:t>
            </w:r>
            <w:r>
              <w:rPr>
                <w:rFonts w:hint="default" w:eastAsia="宋体" w:cs="Times New Roman"/>
                <w:color w:val="auto"/>
                <w:sz w:val="24"/>
                <w:szCs w:val="24"/>
                <w:vertAlign w:val="subscript"/>
              </w:rPr>
              <w:t>5</w:t>
            </w:r>
            <w:r>
              <w:rPr>
                <w:rFonts w:hint="eastAsia" w:cs="Times New Roman"/>
                <w:color w:val="auto"/>
                <w:sz w:val="24"/>
                <w:szCs w:val="24"/>
                <w:lang w:val="en-US" w:eastAsia="zh-CN"/>
              </w:rPr>
              <w:t>300</w:t>
            </w:r>
            <w:r>
              <w:rPr>
                <w:rFonts w:hint="default" w:eastAsia="宋体" w:cs="Times New Roman"/>
                <w:color w:val="auto"/>
                <w:sz w:val="24"/>
                <w:szCs w:val="24"/>
              </w:rPr>
              <w:t>mg/L、动植物油60mg/L、NH</w:t>
            </w:r>
            <w:r>
              <w:rPr>
                <w:rFonts w:hint="default" w:eastAsia="宋体" w:cs="Times New Roman"/>
                <w:color w:val="auto"/>
                <w:sz w:val="24"/>
                <w:szCs w:val="24"/>
                <w:vertAlign w:val="subscript"/>
              </w:rPr>
              <w:t>3</w:t>
            </w:r>
            <w:r>
              <w:rPr>
                <w:rFonts w:hint="default" w:eastAsia="宋体" w:cs="Times New Roman"/>
                <w:color w:val="auto"/>
                <w:sz w:val="24"/>
                <w:szCs w:val="24"/>
              </w:rPr>
              <w:t>-N</w:t>
            </w:r>
            <w:r>
              <w:rPr>
                <w:rFonts w:hint="default" w:eastAsia="宋体" w:cs="Times New Roman"/>
                <w:color w:val="auto"/>
                <w:sz w:val="24"/>
                <w:szCs w:val="24"/>
                <w:vertAlign w:val="subscript"/>
              </w:rPr>
              <w:t>3</w:t>
            </w:r>
            <w:r>
              <w:rPr>
                <w:rFonts w:hint="eastAsia" w:cs="Times New Roman"/>
                <w:color w:val="auto"/>
                <w:sz w:val="24"/>
                <w:szCs w:val="24"/>
                <w:lang w:val="en-US" w:eastAsia="zh-CN"/>
              </w:rPr>
              <w:t>35</w:t>
            </w:r>
            <w:r>
              <w:rPr>
                <w:rFonts w:hint="default" w:eastAsia="宋体" w:cs="Times New Roman"/>
                <w:color w:val="auto"/>
                <w:sz w:val="24"/>
                <w:szCs w:val="24"/>
              </w:rPr>
              <w:t>mg/L、总磷</w:t>
            </w:r>
            <w:r>
              <w:rPr>
                <w:rFonts w:hint="eastAsia" w:cs="Times New Roman"/>
                <w:color w:val="auto"/>
                <w:sz w:val="24"/>
                <w:szCs w:val="24"/>
                <w:lang w:val="en-US" w:eastAsia="zh-CN"/>
              </w:rPr>
              <w:t>8</w:t>
            </w:r>
            <w:r>
              <w:rPr>
                <w:rFonts w:hint="default" w:eastAsia="宋体" w:cs="Times New Roman"/>
                <w:color w:val="auto"/>
                <w:sz w:val="24"/>
                <w:szCs w:val="24"/>
              </w:rPr>
              <w:t>mg/L，经</w:t>
            </w:r>
            <w:r>
              <w:rPr>
                <w:rFonts w:hint="eastAsia" w:cs="Times New Roman"/>
                <w:color w:val="auto"/>
                <w:sz w:val="24"/>
                <w:szCs w:val="24"/>
                <w:lang w:val="en-US" w:eastAsia="zh-CN"/>
              </w:rPr>
              <w:t>化粪池</w:t>
            </w:r>
            <w:r>
              <w:rPr>
                <w:rFonts w:hint="default" w:eastAsia="宋体" w:cs="Times New Roman"/>
                <w:color w:val="auto"/>
                <w:sz w:val="24"/>
                <w:szCs w:val="24"/>
              </w:rPr>
              <w:t>处理后可以达到《污水排入城镇下水道水质标准》（GB/T31962-2015）表1的A级标准，不会影响该污水处理厂的正常运行。</w:t>
            </w:r>
          </w:p>
          <w:p w14:paraId="65F923F7">
            <w:pPr>
              <w:pStyle w:val="5"/>
              <w:keepNext w:val="0"/>
              <w:keepLines w:val="0"/>
              <w:pageBreakBefore w:val="0"/>
              <w:suppressLineNumbers w:val="0"/>
              <w:kinsoku/>
              <w:overflowPunct/>
              <w:autoSpaceDE/>
              <w:autoSpaceDN/>
              <w:bidi w:val="0"/>
              <w:adjustRightInd w:val="0"/>
              <w:snapToGrid w:val="0"/>
              <w:spacing w:beforeAutospacing="0" w:afterAutospacing="0" w:line="360" w:lineRule="auto"/>
              <w:ind w:left="0" w:right="0" w:firstLine="480" w:firstLineChars="200"/>
              <w:jc w:val="both"/>
              <w:rPr>
                <w:rFonts w:hint="default" w:eastAsia="宋体" w:cs="Times New Roman"/>
                <w:color w:val="auto"/>
                <w:sz w:val="24"/>
                <w:szCs w:val="24"/>
              </w:rPr>
            </w:pPr>
            <w:r>
              <w:rPr>
                <w:rFonts w:hint="default" w:eastAsia="宋体" w:cs="Times New Roman"/>
                <w:color w:val="auto"/>
                <w:sz w:val="24"/>
                <w:szCs w:val="24"/>
              </w:rPr>
              <w:t>因此，该项目污水纳入市政污水管网，</w:t>
            </w:r>
            <w:r>
              <w:rPr>
                <w:rFonts w:hint="eastAsia" w:eastAsia="宋体" w:cs="Times New Roman"/>
                <w:color w:val="auto"/>
                <w:sz w:val="24"/>
                <w:szCs w:val="24"/>
              </w:rPr>
              <w:t>排入</w:t>
            </w:r>
            <w:r>
              <w:rPr>
                <w:rFonts w:hint="default" w:eastAsia="宋体" w:cs="Times New Roman"/>
                <w:color w:val="auto"/>
                <w:sz w:val="24"/>
                <w:szCs w:val="24"/>
              </w:rPr>
              <w:t>昆明市第五水质净化厂处理合理、可行、可靠。</w:t>
            </w:r>
          </w:p>
          <w:p w14:paraId="0BA2DF9B">
            <w:pPr>
              <w:keepNext w:val="0"/>
              <w:keepLines w:val="0"/>
              <w:widowControl w:val="0"/>
              <w:suppressLineNumbers w:val="0"/>
              <w:adjustRightInd w:val="0"/>
              <w:snapToGrid w:val="0"/>
              <w:spacing w:before="120" w:beforeLines="50" w:beforeAutospacing="0" w:after="0" w:afterAutospacing="0" w:line="360" w:lineRule="auto"/>
              <w:ind w:left="0" w:right="0"/>
              <w:jc w:val="both"/>
              <w:rPr>
                <w:rFonts w:hint="default"/>
                <w:b/>
                <w:bCs/>
                <w:color w:val="auto"/>
                <w:sz w:val="24"/>
                <w:szCs w:val="24"/>
                <w:lang w:val="en-US"/>
              </w:rPr>
            </w:pPr>
            <w:r>
              <w:rPr>
                <w:rFonts w:hint="eastAsia" w:ascii="Times New Roman" w:hAnsi="Times New Roman" w:eastAsia="宋体" w:cs="宋体"/>
                <w:b/>
                <w:bCs/>
                <w:color w:val="auto"/>
                <w:kern w:val="2"/>
                <w:sz w:val="24"/>
                <w:szCs w:val="24"/>
                <w:lang w:val="en-US" w:eastAsia="zh-CN" w:bidi="ar"/>
              </w:rPr>
              <w:t>2.3监测计划</w:t>
            </w:r>
          </w:p>
          <w:p w14:paraId="08CDAABE">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根据《排污单位自行监测技术指南</w:t>
            </w:r>
            <w:r>
              <w:rPr>
                <w:rFonts w:hint="default" w:ascii="Times New Roman" w:hAnsi="Times New Roman" w:eastAsia="宋体" w:cs="Times New Roman"/>
                <w:color w:val="auto"/>
                <w:kern w:val="2"/>
                <w:sz w:val="24"/>
                <w:szCs w:val="24"/>
                <w:lang w:val="en-US" w:eastAsia="zh-CN" w:bidi="ar"/>
              </w:rPr>
              <w:t xml:space="preserve"> </w:t>
            </w:r>
            <w:r>
              <w:rPr>
                <w:rFonts w:hint="eastAsia" w:ascii="Times New Roman" w:hAnsi="Times New Roman" w:eastAsia="宋体" w:cs="宋体"/>
                <w:color w:val="auto"/>
                <w:kern w:val="2"/>
                <w:sz w:val="24"/>
                <w:szCs w:val="24"/>
                <w:lang w:val="en-US" w:eastAsia="zh-CN" w:bidi="ar"/>
              </w:rPr>
              <w:t>总则》（</w:t>
            </w:r>
            <w:r>
              <w:rPr>
                <w:rFonts w:hint="default" w:ascii="Times New Roman" w:hAnsi="Times New Roman" w:eastAsia="宋体" w:cs="Times New Roman"/>
                <w:color w:val="auto"/>
                <w:kern w:val="2"/>
                <w:sz w:val="24"/>
                <w:szCs w:val="24"/>
                <w:lang w:val="en-US" w:eastAsia="zh-CN" w:bidi="ar"/>
              </w:rPr>
              <w:t>HJ819-2018</w:t>
            </w:r>
            <w:r>
              <w:rPr>
                <w:rFonts w:hint="eastAsia" w:ascii="Times New Roman" w:hAnsi="Times New Roman" w:eastAsia="宋体" w:cs="宋体"/>
                <w:color w:val="auto"/>
                <w:kern w:val="2"/>
                <w:sz w:val="24"/>
                <w:szCs w:val="24"/>
                <w:lang w:val="en-US" w:eastAsia="zh-CN" w:bidi="ar"/>
              </w:rPr>
              <w:t>）中废水监测要求，本项目自行监测计划如下：</w:t>
            </w:r>
          </w:p>
          <w:p w14:paraId="3D300166">
            <w:pPr>
              <w:keepNext/>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表</w:t>
            </w:r>
            <w:r>
              <w:rPr>
                <w:rFonts w:hint="default" w:ascii="Times New Roman" w:hAnsi="Times New Roman" w:eastAsia="宋体" w:cs="Times New Roman"/>
                <w:b/>
                <w:bCs w:val="0"/>
                <w:color w:val="auto"/>
                <w:kern w:val="2"/>
                <w:sz w:val="21"/>
                <w:szCs w:val="21"/>
                <w:lang w:val="en-US" w:eastAsia="zh-CN" w:bidi="ar"/>
              </w:rPr>
              <w:t>4-</w:t>
            </w:r>
            <w:r>
              <w:rPr>
                <w:rFonts w:hint="eastAsia" w:ascii="Times New Roman" w:hAnsi="Times New Roman" w:eastAsia="宋体" w:cs="Times New Roman"/>
                <w:b/>
                <w:bCs w:val="0"/>
                <w:color w:val="auto"/>
                <w:kern w:val="2"/>
                <w:sz w:val="21"/>
                <w:szCs w:val="21"/>
                <w:lang w:val="en-US" w:eastAsia="zh-CN" w:bidi="ar"/>
              </w:rPr>
              <w:t>9</w:t>
            </w:r>
            <w:r>
              <w:rPr>
                <w:rFonts w:hint="default" w:ascii="Times New Roman" w:hAnsi="Times New Roman" w:eastAsia="宋体" w:cs="Times New Roman"/>
                <w:b/>
                <w:bCs w:val="0"/>
                <w:color w:val="auto"/>
                <w:kern w:val="2"/>
                <w:sz w:val="21"/>
                <w:szCs w:val="21"/>
                <w:lang w:val="en-US" w:eastAsia="zh-CN" w:bidi="ar"/>
              </w:rPr>
              <w:t xml:space="preserve">   </w:t>
            </w:r>
            <w:r>
              <w:rPr>
                <w:rFonts w:hint="eastAsia" w:ascii="Times New Roman" w:hAnsi="Times New Roman" w:eastAsia="宋体" w:cs="宋体"/>
                <w:b/>
                <w:bCs w:val="0"/>
                <w:color w:val="auto"/>
                <w:kern w:val="2"/>
                <w:sz w:val="21"/>
                <w:szCs w:val="21"/>
                <w:lang w:val="en-US" w:eastAsia="zh-CN" w:bidi="ar"/>
              </w:rPr>
              <w:t>项目废水监测计划表一览表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0"/>
              <w:gridCol w:w="879"/>
              <w:gridCol w:w="2489"/>
              <w:gridCol w:w="1026"/>
              <w:gridCol w:w="3420"/>
            </w:tblGrid>
            <w:tr w14:paraId="28C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1968C1D2">
                  <w:pPr>
                    <w:keepNext/>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监测内容</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4B5C624F">
                  <w:pPr>
                    <w:keepNext/>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监测点位</w:t>
                  </w:r>
                </w:p>
              </w:tc>
              <w:tc>
                <w:tcPr>
                  <w:tcW w:w="1451" w:type="pct"/>
                  <w:tcBorders>
                    <w:top w:val="single" w:color="auto" w:sz="4" w:space="0"/>
                    <w:left w:val="single" w:color="auto" w:sz="4" w:space="0"/>
                    <w:bottom w:val="single" w:color="auto" w:sz="4" w:space="0"/>
                    <w:right w:val="single" w:color="auto" w:sz="4" w:space="0"/>
                  </w:tcBorders>
                  <w:shd w:val="clear" w:color="auto" w:fill="auto"/>
                  <w:vAlign w:val="center"/>
                </w:tcPr>
                <w:p w14:paraId="4E2CCD25">
                  <w:pPr>
                    <w:keepNext/>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监测项目</w:t>
                  </w:r>
                </w:p>
              </w:tc>
              <w:tc>
                <w:tcPr>
                  <w:tcW w:w="598" w:type="pct"/>
                  <w:tcBorders>
                    <w:top w:val="single" w:color="auto" w:sz="4" w:space="0"/>
                    <w:left w:val="single" w:color="auto" w:sz="4" w:space="0"/>
                    <w:bottom w:val="single" w:color="auto" w:sz="4" w:space="0"/>
                    <w:right w:val="single" w:color="auto" w:sz="4" w:space="0"/>
                  </w:tcBorders>
                  <w:shd w:val="clear" w:color="auto" w:fill="auto"/>
                  <w:vAlign w:val="center"/>
                </w:tcPr>
                <w:p w14:paraId="1A6D5C9E">
                  <w:pPr>
                    <w:keepNext/>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监测频率</w:t>
                  </w:r>
                </w:p>
              </w:tc>
              <w:tc>
                <w:tcPr>
                  <w:tcW w:w="1993" w:type="pct"/>
                  <w:tcBorders>
                    <w:top w:val="single" w:color="auto" w:sz="4" w:space="0"/>
                    <w:left w:val="single" w:color="auto" w:sz="4" w:space="0"/>
                    <w:bottom w:val="single" w:color="auto" w:sz="4" w:space="0"/>
                    <w:right w:val="single" w:color="auto" w:sz="4" w:space="0"/>
                  </w:tcBorders>
                  <w:shd w:val="clear" w:color="auto" w:fill="auto"/>
                  <w:vAlign w:val="center"/>
                </w:tcPr>
                <w:p w14:paraId="2F97D2CB">
                  <w:pPr>
                    <w:keepNext/>
                    <w:keepLines w:val="0"/>
                    <w:widowControl w:val="0"/>
                    <w:suppressLineNumbers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执行标准</w:t>
                  </w:r>
                </w:p>
              </w:tc>
            </w:tr>
            <w:tr w14:paraId="5585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43" w:type="pct"/>
                  <w:tcBorders>
                    <w:top w:val="single" w:color="auto" w:sz="4" w:space="0"/>
                    <w:left w:val="single" w:color="auto" w:sz="4" w:space="0"/>
                    <w:bottom w:val="single" w:color="auto" w:sz="4" w:space="0"/>
                    <w:right w:val="single" w:color="auto" w:sz="4" w:space="0"/>
                  </w:tcBorders>
                  <w:shd w:val="clear" w:color="auto" w:fill="auto"/>
                  <w:vAlign w:val="center"/>
                </w:tcPr>
                <w:p w14:paraId="52FDE983">
                  <w:pPr>
                    <w:keepNext/>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废水</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14B1F131">
                  <w:pPr>
                    <w:keepNext/>
                    <w:keepLines w:val="0"/>
                    <w:widowControl w:val="0"/>
                    <w:suppressLineNumbers w:val="0"/>
                    <w:spacing w:before="0" w:beforeAutospacing="0" w:after="0" w:afterAutospacing="0"/>
                    <w:ind w:left="0" w:right="0"/>
                    <w:jc w:val="center"/>
                    <w:rPr>
                      <w:rFonts w:hint="default"/>
                      <w:color w:val="auto"/>
                      <w:szCs w:val="21"/>
                      <w:lang w:val="en-US"/>
                    </w:rPr>
                  </w:pPr>
                  <w:r>
                    <w:rPr>
                      <w:rFonts w:hint="eastAsia" w:ascii="Times New Roman" w:hAnsi="Times New Roman" w:eastAsia="宋体" w:cs="宋体"/>
                      <w:color w:val="auto"/>
                      <w:kern w:val="2"/>
                      <w:sz w:val="21"/>
                      <w:szCs w:val="21"/>
                      <w:lang w:val="en-US" w:eastAsia="zh-CN" w:bidi="ar"/>
                    </w:rPr>
                    <w:t>企业总排口</w:t>
                  </w:r>
                </w:p>
              </w:tc>
              <w:tc>
                <w:tcPr>
                  <w:tcW w:w="1451" w:type="pct"/>
                  <w:tcBorders>
                    <w:top w:val="single" w:color="auto" w:sz="4" w:space="0"/>
                    <w:left w:val="single" w:color="auto" w:sz="4" w:space="0"/>
                    <w:bottom w:val="single" w:color="auto" w:sz="4" w:space="0"/>
                    <w:right w:val="single" w:color="auto" w:sz="4" w:space="0"/>
                  </w:tcBorders>
                  <w:shd w:val="clear" w:color="auto" w:fill="auto"/>
                  <w:vAlign w:val="center"/>
                </w:tcPr>
                <w:p w14:paraId="2D586A25">
                  <w:pPr>
                    <w:keepNext/>
                    <w:keepLines w:val="0"/>
                    <w:widowControl w:val="0"/>
                    <w:suppressLineNumbers w:val="0"/>
                    <w:spacing w:before="0" w:beforeAutospacing="0" w:after="0" w:afterAutospacing="0"/>
                    <w:ind w:left="0" w:right="0"/>
                    <w:jc w:val="center"/>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pH</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CODcr</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r>
                    <w:rPr>
                      <w:rFonts w:hint="eastAsia" w:ascii="Times New Roman" w:hAnsi="Times New Roman" w:eastAsia="宋体" w:cs="宋体"/>
                      <w:color w:val="auto"/>
                      <w:kern w:val="2"/>
                      <w:sz w:val="21"/>
                      <w:szCs w:val="21"/>
                      <w:lang w:val="en-US" w:eastAsia="zh-CN" w:bidi="ar"/>
                    </w:rPr>
                    <w:t>、氨氮、总磷、动植物油</w:t>
                  </w:r>
                </w:p>
              </w:tc>
              <w:tc>
                <w:tcPr>
                  <w:tcW w:w="598" w:type="pct"/>
                  <w:tcBorders>
                    <w:top w:val="single" w:color="auto" w:sz="4" w:space="0"/>
                    <w:left w:val="single" w:color="auto" w:sz="4" w:space="0"/>
                    <w:bottom w:val="single" w:color="auto" w:sz="4" w:space="0"/>
                    <w:right w:val="single" w:color="auto" w:sz="4" w:space="0"/>
                  </w:tcBorders>
                  <w:shd w:val="clear" w:color="auto" w:fill="auto"/>
                  <w:vAlign w:val="center"/>
                </w:tcPr>
                <w:p w14:paraId="33B1A649">
                  <w:pPr>
                    <w:keepNext/>
                    <w:keepLines w:val="0"/>
                    <w:widowControl w:val="0"/>
                    <w:suppressLineNumbers w:val="0"/>
                    <w:spacing w:before="0" w:beforeAutospacing="0" w:after="0" w:afterAutospacing="0"/>
                    <w:ind w:left="0" w:right="0"/>
                    <w:jc w:val="center"/>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1</w:t>
                  </w:r>
                  <w:r>
                    <w:rPr>
                      <w:rFonts w:hint="eastAsia" w:ascii="Times New Roman" w:hAnsi="Times New Roman" w:eastAsia="宋体" w:cs="宋体"/>
                      <w:color w:val="auto"/>
                      <w:kern w:val="2"/>
                      <w:sz w:val="21"/>
                      <w:szCs w:val="21"/>
                      <w:lang w:val="en-US" w:eastAsia="zh-CN" w:bidi="ar"/>
                    </w:rPr>
                    <w:t>次</w:t>
                  </w:r>
                  <w:r>
                    <w:rPr>
                      <w:rFonts w:hint="default" w:ascii="Times New Roman" w:hAnsi="Times New Roman" w:eastAsia="宋体" w:cs="Times New Roman"/>
                      <w:color w:val="auto"/>
                      <w:kern w:val="2"/>
                      <w:sz w:val="21"/>
                      <w:szCs w:val="21"/>
                      <w:lang w:val="en-US" w:eastAsia="zh-CN" w:bidi="ar"/>
                    </w:rPr>
                    <w:t>/</w:t>
                  </w:r>
                  <w:r>
                    <w:rPr>
                      <w:rFonts w:hint="eastAsia" w:ascii="Times New Roman" w:hAnsi="Times New Roman" w:eastAsia="宋体" w:cs="宋体"/>
                      <w:color w:val="auto"/>
                      <w:kern w:val="2"/>
                      <w:sz w:val="21"/>
                      <w:szCs w:val="21"/>
                      <w:lang w:val="en-US" w:eastAsia="zh-CN" w:bidi="ar"/>
                    </w:rPr>
                    <w:t>年</w:t>
                  </w:r>
                </w:p>
              </w:tc>
              <w:tc>
                <w:tcPr>
                  <w:tcW w:w="1993" w:type="pct"/>
                  <w:tcBorders>
                    <w:top w:val="single" w:color="auto" w:sz="4" w:space="0"/>
                    <w:left w:val="single" w:color="auto" w:sz="4" w:space="0"/>
                    <w:bottom w:val="single" w:color="auto" w:sz="4" w:space="0"/>
                    <w:right w:val="single" w:color="auto" w:sz="4" w:space="0"/>
                  </w:tcBorders>
                  <w:shd w:val="clear" w:color="auto" w:fill="auto"/>
                  <w:vAlign w:val="center"/>
                </w:tcPr>
                <w:p w14:paraId="28F106DE">
                  <w:pPr>
                    <w:keepNext/>
                    <w:keepLines w:val="0"/>
                    <w:widowControl w:val="0"/>
                    <w:suppressLineNumbers w:val="0"/>
                    <w:spacing w:before="0" w:beforeAutospacing="0" w:after="0" w:afterAutospacing="0"/>
                    <w:ind w:left="0" w:right="0"/>
                    <w:jc w:val="both"/>
                    <w:rPr>
                      <w:rFonts w:hint="default"/>
                      <w:color w:val="auto"/>
                      <w:szCs w:val="21"/>
                      <w:lang w:val="en-US"/>
                    </w:rPr>
                  </w:pPr>
                  <w:r>
                    <w:rPr>
                      <w:rFonts w:hint="eastAsia" w:ascii="Times New Roman" w:hAnsi="Times New Roman" w:eastAsia="宋体" w:cs="宋体"/>
                      <w:color w:val="auto"/>
                      <w:kern w:val="2"/>
                      <w:sz w:val="21"/>
                      <w:szCs w:val="21"/>
                      <w:lang w:val="en-US" w:eastAsia="zh-CN" w:bidi="ar"/>
                    </w:rPr>
                    <w:t>《污水排入城镇下水道水质标准》（</w:t>
                  </w:r>
                  <w:r>
                    <w:rPr>
                      <w:rFonts w:hint="default" w:ascii="Times New Roman" w:hAnsi="Times New Roman" w:eastAsia="宋体" w:cs="Times New Roman"/>
                      <w:color w:val="auto"/>
                      <w:kern w:val="2"/>
                      <w:sz w:val="21"/>
                      <w:szCs w:val="21"/>
                      <w:lang w:val="en-US" w:eastAsia="zh-CN" w:bidi="ar"/>
                    </w:rPr>
                    <w:t>GB/T31962-2015</w:t>
                  </w:r>
                  <w:r>
                    <w:rPr>
                      <w:rFonts w:hint="eastAsia" w:ascii="Times New Roman" w:hAnsi="Times New Roman" w:eastAsia="宋体" w:cs="宋体"/>
                      <w:color w:val="auto"/>
                      <w:kern w:val="2"/>
                      <w:sz w:val="21"/>
                      <w:szCs w:val="21"/>
                      <w:lang w:val="en-US" w:eastAsia="zh-CN" w:bidi="ar"/>
                    </w:rPr>
                    <w:t>）表</w:t>
                  </w:r>
                  <w:r>
                    <w:rPr>
                      <w:rFonts w:hint="default" w:ascii="Times New Roman" w:hAnsi="Times New Roman" w:eastAsia="宋体" w:cs="Times New Roman"/>
                      <w:color w:val="auto"/>
                      <w:kern w:val="2"/>
                      <w:sz w:val="21"/>
                      <w:szCs w:val="21"/>
                      <w:lang w:val="en-US" w:eastAsia="zh-CN" w:bidi="ar"/>
                    </w:rPr>
                    <w:t>1</w:t>
                  </w:r>
                  <w:r>
                    <w:rPr>
                      <w:rFonts w:hint="eastAsia" w:ascii="Times New Roman" w:hAnsi="Times New Roman" w:eastAsia="宋体" w:cs="宋体"/>
                      <w:color w:val="auto"/>
                      <w:kern w:val="2"/>
                      <w:sz w:val="21"/>
                      <w:szCs w:val="21"/>
                      <w:lang w:val="en-US" w:eastAsia="zh-CN" w:bidi="ar"/>
                    </w:rPr>
                    <w:t>中</w:t>
                  </w:r>
                  <w:r>
                    <w:rPr>
                      <w:rFonts w:hint="default" w:ascii="Times New Roman" w:hAnsi="Times New Roman" w:eastAsia="宋体" w:cs="Times New Roman"/>
                      <w:color w:val="auto"/>
                      <w:kern w:val="2"/>
                      <w:sz w:val="21"/>
                      <w:szCs w:val="21"/>
                      <w:lang w:val="en-US" w:eastAsia="zh-CN" w:bidi="ar"/>
                    </w:rPr>
                    <w:t>A</w:t>
                  </w:r>
                  <w:r>
                    <w:rPr>
                      <w:rFonts w:hint="eastAsia" w:ascii="Times New Roman" w:hAnsi="Times New Roman" w:eastAsia="宋体" w:cs="宋体"/>
                      <w:color w:val="auto"/>
                      <w:kern w:val="2"/>
                      <w:sz w:val="21"/>
                      <w:szCs w:val="21"/>
                      <w:lang w:val="en-US" w:eastAsia="zh-CN" w:bidi="ar"/>
                    </w:rPr>
                    <w:t>等级标准。</w:t>
                  </w:r>
                </w:p>
              </w:tc>
            </w:tr>
          </w:tbl>
          <w:p w14:paraId="0943B739">
            <w:pPr>
              <w:keepNext w:val="0"/>
              <w:keepLines w:val="0"/>
              <w:suppressLineNumbers w:val="0"/>
              <w:spacing w:before="0" w:beforeAutospacing="0" w:after="0" w:afterAutospacing="0" w:line="360" w:lineRule="auto"/>
              <w:ind w:left="0" w:right="0"/>
              <w:textAlignment w:val="baseline"/>
              <w:rPr>
                <w:rFonts w:hint="default" w:eastAsiaTheme="minorEastAsia"/>
                <w:color w:val="auto"/>
                <w:kern w:val="0"/>
                <w:sz w:val="24"/>
              </w:rPr>
            </w:pPr>
          </w:p>
        </w:tc>
      </w:tr>
    </w:tbl>
    <w:p w14:paraId="16655F94">
      <w:pPr>
        <w:adjustRightInd w:val="0"/>
        <w:snapToGrid w:val="0"/>
        <w:spacing w:line="360" w:lineRule="auto"/>
        <w:ind w:firstLine="480" w:firstLineChars="200"/>
        <w:rPr>
          <w:rFonts w:eastAsiaTheme="minorEastAsia"/>
          <w:color w:val="auto"/>
          <w:kern w:val="0"/>
          <w:sz w:val="24"/>
        </w:rPr>
        <w:sectPr>
          <w:pgSz w:w="11906" w:h="16838"/>
          <w:pgMar w:top="1587" w:right="1531" w:bottom="1701" w:left="1417" w:header="851" w:footer="851" w:gutter="0"/>
          <w:pgNumType w:fmt="decimal"/>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526"/>
      </w:tblGrid>
      <w:tr w14:paraId="452C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6060880C">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运营</w:t>
            </w:r>
          </w:p>
          <w:p w14:paraId="794973DD">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期环</w:t>
            </w:r>
          </w:p>
          <w:p w14:paraId="7FAA43E2">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境影</w:t>
            </w:r>
          </w:p>
          <w:p w14:paraId="33FC61DC">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响和</w:t>
            </w:r>
          </w:p>
          <w:p w14:paraId="7BD24D5D">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保护</w:t>
            </w:r>
          </w:p>
          <w:p w14:paraId="2D1F848A">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kern w:val="0"/>
                <w:sz w:val="24"/>
              </w:rPr>
            </w:pPr>
            <w:r>
              <w:rPr>
                <w:rFonts w:hint="default"/>
                <w:bCs/>
                <w:color w:val="auto"/>
                <w:szCs w:val="21"/>
              </w:rPr>
              <w:t>措施</w:t>
            </w:r>
          </w:p>
        </w:tc>
        <w:tc>
          <w:tcPr>
            <w:tcW w:w="8526" w:type="dxa"/>
          </w:tcPr>
          <w:p w14:paraId="72BB39F3">
            <w:pPr>
              <w:keepNext w:val="0"/>
              <w:keepLines w:val="0"/>
              <w:numPr>
                <w:ilvl w:val="0"/>
                <w:numId w:val="1"/>
              </w:numPr>
              <w:suppressLineNumbers w:val="0"/>
              <w:autoSpaceDE w:val="0"/>
              <w:autoSpaceDN w:val="0"/>
              <w:adjustRightInd w:val="0"/>
              <w:snapToGrid w:val="0"/>
              <w:spacing w:before="120" w:beforeLines="50" w:beforeAutospacing="0" w:after="0" w:afterAutospacing="0" w:line="360" w:lineRule="auto"/>
              <w:ind w:left="0" w:right="0"/>
              <w:rPr>
                <w:rFonts w:hint="eastAsia" w:ascii="Times New Roman" w:hAnsi="Times New Roman" w:eastAsia="宋体" w:cs="Times New Roman"/>
                <w:b/>
                <w:bCs/>
                <w:color w:val="auto"/>
                <w:kern w:val="2"/>
                <w:sz w:val="24"/>
                <w:szCs w:val="24"/>
                <w:lang w:val="en-US" w:eastAsia="zh-CN" w:bidi="ar"/>
              </w:rPr>
            </w:pPr>
            <w:r>
              <w:rPr>
                <w:rFonts w:hint="eastAsia" w:ascii="Times New Roman" w:hAnsi="Times New Roman" w:eastAsia="宋体" w:cs="Times New Roman"/>
                <w:b/>
                <w:bCs/>
                <w:color w:val="auto"/>
                <w:kern w:val="2"/>
                <w:sz w:val="24"/>
                <w:szCs w:val="24"/>
                <w:lang w:val="en-US" w:eastAsia="zh-CN" w:bidi="ar"/>
              </w:rPr>
              <w:t>噪声环境影响和保护措施</w:t>
            </w:r>
          </w:p>
          <w:p w14:paraId="7F6987AA">
            <w:pPr>
              <w:keepNext w:val="0"/>
              <w:keepLines w:val="0"/>
              <w:suppressLineNumbers w:val="0"/>
              <w:spacing w:before="0" w:beforeAutospacing="0" w:after="0" w:afterAutospacing="0" w:line="360" w:lineRule="auto"/>
              <w:ind w:left="0" w:right="0" w:firstLine="482" w:firstLineChars="200"/>
              <w:rPr>
                <w:rFonts w:hint="default" w:eastAsia="宋体"/>
                <w:b/>
                <w:bCs/>
                <w:color w:val="auto"/>
                <w:kern w:val="0"/>
                <w:sz w:val="24"/>
                <w:lang w:val="en-US" w:eastAsia="zh-CN"/>
              </w:rPr>
            </w:pPr>
            <w:r>
              <w:rPr>
                <w:rFonts w:hint="eastAsia"/>
                <w:b/>
                <w:bCs/>
                <w:color w:val="auto"/>
                <w:kern w:val="0"/>
                <w:sz w:val="24"/>
                <w:lang w:val="en-US" w:eastAsia="zh-CN"/>
              </w:rPr>
              <w:t>（1）噪声源强</w:t>
            </w:r>
          </w:p>
          <w:p w14:paraId="490150E9">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本项目噪声主要为</w:t>
            </w:r>
            <w:r>
              <w:rPr>
                <w:rFonts w:hint="eastAsia"/>
                <w:color w:val="auto"/>
                <w:kern w:val="0"/>
                <w:sz w:val="24"/>
                <w:lang w:val="en-US" w:eastAsia="zh-CN"/>
              </w:rPr>
              <w:t>物理实验检测等设备运行过程中产生的机械噪声、</w:t>
            </w:r>
            <w:r>
              <w:rPr>
                <w:rFonts w:hint="eastAsia"/>
                <w:color w:val="auto"/>
                <w:kern w:val="0"/>
                <w:sz w:val="24"/>
              </w:rPr>
              <w:t>废气处理措施的风机的噪声、通风橱运行噪声，</w:t>
            </w:r>
            <w:r>
              <w:rPr>
                <w:rFonts w:hint="eastAsia" w:ascii="Times New Roman" w:hAnsi="Times New Roman" w:eastAsia="宋体" w:cs="Times New Roman"/>
                <w:color w:val="auto"/>
                <w:kern w:val="2"/>
                <w:sz w:val="24"/>
                <w:szCs w:val="24"/>
                <w:lang w:val="en-US" w:eastAsia="zh-CN" w:bidi="ar"/>
              </w:rPr>
              <w:t>声级在</w:t>
            </w:r>
            <w:r>
              <w:rPr>
                <w:rFonts w:hint="eastAsia" w:cs="Times New Roman"/>
                <w:color w:val="auto"/>
                <w:kern w:val="2"/>
                <w:sz w:val="24"/>
                <w:szCs w:val="24"/>
                <w:lang w:val="en-US" w:eastAsia="zh-CN" w:bidi="ar"/>
              </w:rPr>
              <w:t>75</w:t>
            </w:r>
            <w:r>
              <w:rPr>
                <w:rFonts w:hint="default" w:ascii="Times New Roman" w:hAnsi="Times New Roman" w:eastAsia="宋体" w:cs="Times New Roman"/>
                <w:color w:val="auto"/>
                <w:kern w:val="2"/>
                <w:sz w:val="24"/>
                <w:szCs w:val="24"/>
                <w:lang w:val="en-US" w:eastAsia="zh-CN" w:bidi="ar"/>
              </w:rPr>
              <w:t>~</w:t>
            </w:r>
            <w:r>
              <w:rPr>
                <w:rFonts w:hint="eastAsia" w:cs="Times New Roman"/>
                <w:color w:val="auto"/>
                <w:kern w:val="2"/>
                <w:sz w:val="24"/>
                <w:szCs w:val="24"/>
                <w:lang w:val="en-US" w:eastAsia="zh-CN" w:bidi="ar"/>
              </w:rPr>
              <w:t>85</w:t>
            </w:r>
            <w:r>
              <w:rPr>
                <w:rFonts w:hint="default" w:ascii="Times New Roman" w:hAnsi="Times New Roman" w:eastAsia="宋体" w:cs="Times New Roman"/>
                <w:color w:val="auto"/>
                <w:kern w:val="2"/>
                <w:sz w:val="24"/>
                <w:szCs w:val="24"/>
                <w:lang w:val="en-US" w:eastAsia="zh-CN" w:bidi="ar"/>
              </w:rPr>
              <w:t>dB</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A</w:t>
            </w:r>
            <w:r>
              <w:rPr>
                <w:rFonts w:hint="eastAsia" w:ascii="Times New Roman" w:hAnsi="Times New Roman" w:eastAsia="宋体" w:cs="Times New Roman"/>
                <w:color w:val="auto"/>
                <w:kern w:val="2"/>
                <w:sz w:val="24"/>
                <w:szCs w:val="24"/>
                <w:lang w:val="en-US" w:eastAsia="zh-CN" w:bidi="ar"/>
              </w:rPr>
              <w:t>）。设备仅白天运行，且噪声源主要集中于实验室封闭空间内，噪声具有短暂性和间歇性特点，随着操作的停止而消失。项目实验室设备若干，但均放置于房间内，且使用方式为间歇性使用。项目运营期设备位于实验室内，噪声经建筑隔声、采取基础减震消声等措施后，噪声可降低</w:t>
            </w:r>
            <w:r>
              <w:rPr>
                <w:rFonts w:hint="default" w:ascii="Times New Roman" w:hAnsi="Times New Roman" w:eastAsia="宋体" w:cs="Times New Roman"/>
                <w:color w:val="auto"/>
                <w:kern w:val="2"/>
                <w:sz w:val="24"/>
                <w:szCs w:val="24"/>
                <w:lang w:val="en-US" w:eastAsia="zh-CN" w:bidi="ar"/>
              </w:rPr>
              <w:t>15-20dB(A)</w:t>
            </w:r>
            <w:r>
              <w:rPr>
                <w:rFonts w:hint="eastAsia" w:ascii="Times New Roman" w:hAnsi="Times New Roman" w:eastAsia="宋体" w:cs="Times New Roman"/>
                <w:color w:val="auto"/>
                <w:kern w:val="2"/>
                <w:sz w:val="24"/>
                <w:szCs w:val="24"/>
                <w:lang w:val="en-US" w:eastAsia="zh-CN" w:bidi="ar"/>
              </w:rPr>
              <w:t>，本次评价取</w:t>
            </w:r>
            <w:r>
              <w:rPr>
                <w:rFonts w:hint="default" w:ascii="Times New Roman" w:hAnsi="Times New Roman" w:eastAsia="宋体" w:cs="Times New Roman"/>
                <w:color w:val="auto"/>
                <w:kern w:val="2"/>
                <w:sz w:val="24"/>
                <w:szCs w:val="24"/>
                <w:lang w:val="en-US" w:eastAsia="zh-CN" w:bidi="ar"/>
              </w:rPr>
              <w:t>15dB(A)</w:t>
            </w:r>
            <w:r>
              <w:rPr>
                <w:rFonts w:hint="eastAsia"/>
                <w:color w:val="auto"/>
                <w:kern w:val="0"/>
                <w:sz w:val="24"/>
              </w:rPr>
              <w:t>。项目的主要噪声源情况见下表4-</w:t>
            </w:r>
            <w:r>
              <w:rPr>
                <w:rFonts w:hint="eastAsia"/>
                <w:color w:val="auto"/>
                <w:kern w:val="0"/>
                <w:sz w:val="24"/>
                <w:lang w:val="en-US" w:eastAsia="zh-CN"/>
              </w:rPr>
              <w:t>10</w:t>
            </w:r>
            <w:r>
              <w:rPr>
                <w:rFonts w:hint="eastAsia"/>
                <w:color w:val="auto"/>
                <w:kern w:val="0"/>
                <w:sz w:val="24"/>
              </w:rPr>
              <w:t>。</w:t>
            </w:r>
          </w:p>
          <w:p w14:paraId="38D13B13">
            <w:pPr>
              <w:keepNext/>
              <w:keepLines w:val="0"/>
              <w:suppressLineNumbers w:val="0"/>
              <w:spacing w:before="0" w:beforeAutospacing="0" w:after="0" w:afterAutospacing="0"/>
              <w:ind w:left="0" w:right="0"/>
              <w:jc w:val="center"/>
              <w:rPr>
                <w:rFonts w:hint="default"/>
                <w:b/>
                <w:color w:val="auto"/>
                <w:kern w:val="0"/>
                <w:sz w:val="21"/>
                <w:szCs w:val="21"/>
              </w:rPr>
            </w:pPr>
            <w:r>
              <w:rPr>
                <w:rFonts w:hint="default"/>
                <w:b/>
                <w:color w:val="auto"/>
                <w:kern w:val="0"/>
                <w:sz w:val="21"/>
                <w:szCs w:val="21"/>
              </w:rPr>
              <w:t>表4-</w:t>
            </w:r>
            <w:r>
              <w:rPr>
                <w:rFonts w:hint="eastAsia"/>
                <w:b/>
                <w:color w:val="auto"/>
                <w:kern w:val="0"/>
                <w:sz w:val="21"/>
                <w:szCs w:val="21"/>
                <w:lang w:val="en-US" w:eastAsia="zh-CN"/>
              </w:rPr>
              <w:t>10</w:t>
            </w:r>
            <w:r>
              <w:rPr>
                <w:rFonts w:hint="default"/>
                <w:b/>
                <w:color w:val="auto"/>
                <w:kern w:val="0"/>
                <w:sz w:val="21"/>
                <w:szCs w:val="21"/>
              </w:rPr>
              <w:t xml:space="preserve">   主要设备噪声源强一览表</w:t>
            </w:r>
            <w:r>
              <w:rPr>
                <w:rFonts w:hint="eastAsia"/>
                <w:b/>
                <w:color w:val="auto"/>
                <w:kern w:val="0"/>
                <w:sz w:val="21"/>
                <w:szCs w:val="21"/>
              </w:rPr>
              <w:t>（室内声源）</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257"/>
              <w:gridCol w:w="452"/>
              <w:gridCol w:w="870"/>
              <w:gridCol w:w="1051"/>
              <w:gridCol w:w="840"/>
              <w:gridCol w:w="732"/>
              <w:gridCol w:w="724"/>
              <w:gridCol w:w="452"/>
              <w:gridCol w:w="967"/>
            </w:tblGrid>
            <w:tr w14:paraId="393D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restart"/>
                  <w:vAlign w:val="center"/>
                </w:tcPr>
                <w:p w14:paraId="752B3F5E">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eastAsiaTheme="minorEastAsia"/>
                      <w:b/>
                      <w:color w:val="auto"/>
                      <w:kern w:val="0"/>
                      <w:sz w:val="21"/>
                      <w:szCs w:val="21"/>
                    </w:rPr>
                    <w:t>建筑物名称</w:t>
                  </w:r>
                </w:p>
              </w:tc>
              <w:tc>
                <w:tcPr>
                  <w:tcW w:w="757" w:type="pct"/>
                  <w:vMerge w:val="restart"/>
                  <w:vAlign w:val="center"/>
                </w:tcPr>
                <w:p w14:paraId="4B0FCB35">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eastAsiaTheme="minorEastAsia"/>
                      <w:b/>
                      <w:color w:val="auto"/>
                      <w:kern w:val="0"/>
                      <w:sz w:val="21"/>
                      <w:szCs w:val="21"/>
                    </w:rPr>
                    <w:t>声源名称</w:t>
                  </w:r>
                </w:p>
              </w:tc>
              <w:tc>
                <w:tcPr>
                  <w:tcW w:w="272" w:type="pct"/>
                  <w:vMerge w:val="restart"/>
                  <w:vAlign w:val="center"/>
                </w:tcPr>
                <w:p w14:paraId="2C645B9D">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eastAsiaTheme="minorEastAsia"/>
                      <w:b/>
                      <w:color w:val="auto"/>
                      <w:kern w:val="0"/>
                      <w:sz w:val="21"/>
                      <w:szCs w:val="21"/>
                    </w:rPr>
                    <w:t>数量</w:t>
                  </w:r>
                </w:p>
              </w:tc>
              <w:tc>
                <w:tcPr>
                  <w:tcW w:w="524" w:type="pct"/>
                  <w:vMerge w:val="restart"/>
                  <w:vAlign w:val="center"/>
                </w:tcPr>
                <w:p w14:paraId="461AA565">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default"/>
                      <w:b/>
                      <w:bCs/>
                      <w:color w:val="auto"/>
                      <w:kern w:val="0"/>
                      <w:sz w:val="21"/>
                      <w:szCs w:val="21"/>
                    </w:rPr>
                    <w:t>声压级</w:t>
                  </w:r>
                  <w:r>
                    <w:rPr>
                      <w:rFonts w:hint="eastAsia"/>
                      <w:b/>
                      <w:bCs/>
                      <w:color w:val="auto"/>
                      <w:kern w:val="0"/>
                      <w:sz w:val="21"/>
                      <w:szCs w:val="21"/>
                    </w:rPr>
                    <w:t>/</w:t>
                  </w:r>
                  <w:r>
                    <w:rPr>
                      <w:rFonts w:hint="default"/>
                      <w:b/>
                      <w:bCs/>
                      <w:color w:val="auto"/>
                      <w:kern w:val="0"/>
                      <w:sz w:val="21"/>
                      <w:szCs w:val="21"/>
                    </w:rPr>
                    <w:t>dB(A)</w:t>
                  </w:r>
                </w:p>
              </w:tc>
              <w:tc>
                <w:tcPr>
                  <w:tcW w:w="633" w:type="pct"/>
                  <w:vMerge w:val="restart"/>
                  <w:vAlign w:val="center"/>
                </w:tcPr>
                <w:p w14:paraId="7B6DB403">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eastAsiaTheme="minorEastAsia"/>
                      <w:b/>
                      <w:color w:val="auto"/>
                      <w:kern w:val="0"/>
                      <w:sz w:val="21"/>
                      <w:szCs w:val="21"/>
                    </w:rPr>
                    <w:t>声源控制措施</w:t>
                  </w:r>
                </w:p>
              </w:tc>
              <w:tc>
                <w:tcPr>
                  <w:tcW w:w="1383" w:type="pct"/>
                  <w:gridSpan w:val="3"/>
                  <w:vAlign w:val="center"/>
                </w:tcPr>
                <w:p w14:paraId="736290B1">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eastAsiaTheme="minorEastAsia"/>
                      <w:b/>
                      <w:color w:val="auto"/>
                      <w:kern w:val="0"/>
                      <w:sz w:val="21"/>
                      <w:szCs w:val="21"/>
                    </w:rPr>
                    <w:t>空间相对位置（m）</w:t>
                  </w:r>
                </w:p>
              </w:tc>
              <w:tc>
                <w:tcPr>
                  <w:tcW w:w="272" w:type="pct"/>
                  <w:vMerge w:val="restart"/>
                  <w:vAlign w:val="center"/>
                </w:tcPr>
                <w:p w14:paraId="401DC167">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eastAsiaTheme="minorEastAsia"/>
                      <w:b/>
                      <w:color w:val="auto"/>
                      <w:kern w:val="0"/>
                      <w:sz w:val="21"/>
                      <w:szCs w:val="21"/>
                    </w:rPr>
                    <w:t>运行时段</w:t>
                  </w:r>
                </w:p>
              </w:tc>
              <w:tc>
                <w:tcPr>
                  <w:tcW w:w="582" w:type="pct"/>
                  <w:vMerge w:val="restart"/>
                  <w:vAlign w:val="center"/>
                </w:tcPr>
                <w:p w14:paraId="1C1A935C">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eastAsiaTheme="minorEastAsia"/>
                      <w:b/>
                      <w:color w:val="auto"/>
                      <w:kern w:val="0"/>
                      <w:sz w:val="21"/>
                      <w:szCs w:val="21"/>
                    </w:rPr>
                    <w:t>建筑物插入损失/</w:t>
                  </w:r>
                  <w:r>
                    <w:rPr>
                      <w:rFonts w:hint="default"/>
                      <w:b/>
                      <w:bCs/>
                      <w:color w:val="auto"/>
                      <w:kern w:val="0"/>
                      <w:sz w:val="21"/>
                      <w:szCs w:val="21"/>
                    </w:rPr>
                    <w:t>dB(A)</w:t>
                  </w:r>
                </w:p>
              </w:tc>
            </w:tr>
            <w:tr w14:paraId="3E1A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48C6CA6E">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p>
              </w:tc>
              <w:tc>
                <w:tcPr>
                  <w:tcW w:w="757" w:type="pct"/>
                  <w:vMerge w:val="continue"/>
                  <w:vAlign w:val="center"/>
                </w:tcPr>
                <w:p w14:paraId="24451266">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p>
              </w:tc>
              <w:tc>
                <w:tcPr>
                  <w:tcW w:w="272" w:type="pct"/>
                  <w:vMerge w:val="continue"/>
                  <w:vAlign w:val="center"/>
                </w:tcPr>
                <w:p w14:paraId="2133F14D">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p>
              </w:tc>
              <w:tc>
                <w:tcPr>
                  <w:tcW w:w="524" w:type="pct"/>
                  <w:vMerge w:val="continue"/>
                  <w:vAlign w:val="center"/>
                </w:tcPr>
                <w:p w14:paraId="6B51D4DF">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p>
              </w:tc>
              <w:tc>
                <w:tcPr>
                  <w:tcW w:w="633" w:type="pct"/>
                  <w:vMerge w:val="continue"/>
                  <w:vAlign w:val="center"/>
                </w:tcPr>
                <w:p w14:paraId="593EF9BF">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p>
              </w:tc>
              <w:tc>
                <w:tcPr>
                  <w:tcW w:w="506" w:type="pct"/>
                  <w:vAlign w:val="center"/>
                </w:tcPr>
                <w:p w14:paraId="4B850491">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eastAsiaTheme="minorEastAsia"/>
                      <w:b/>
                      <w:color w:val="auto"/>
                      <w:kern w:val="0"/>
                      <w:sz w:val="21"/>
                      <w:szCs w:val="21"/>
                    </w:rPr>
                    <w:t>X</w:t>
                  </w:r>
                </w:p>
              </w:tc>
              <w:tc>
                <w:tcPr>
                  <w:tcW w:w="441" w:type="pct"/>
                  <w:vAlign w:val="center"/>
                </w:tcPr>
                <w:p w14:paraId="7A0756D8">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eastAsiaTheme="minorEastAsia"/>
                      <w:b/>
                      <w:color w:val="auto"/>
                      <w:kern w:val="0"/>
                      <w:sz w:val="21"/>
                      <w:szCs w:val="21"/>
                    </w:rPr>
                    <w:t>Y</w:t>
                  </w:r>
                </w:p>
              </w:tc>
              <w:tc>
                <w:tcPr>
                  <w:tcW w:w="435" w:type="pct"/>
                  <w:vAlign w:val="center"/>
                </w:tcPr>
                <w:p w14:paraId="7D06A65B">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eastAsiaTheme="minorEastAsia"/>
                      <w:b/>
                      <w:color w:val="auto"/>
                      <w:kern w:val="0"/>
                      <w:sz w:val="21"/>
                      <w:szCs w:val="21"/>
                    </w:rPr>
                    <w:t>Z</w:t>
                  </w:r>
                </w:p>
              </w:tc>
              <w:tc>
                <w:tcPr>
                  <w:tcW w:w="272" w:type="pct"/>
                  <w:vMerge w:val="continue"/>
                  <w:vAlign w:val="center"/>
                </w:tcPr>
                <w:p w14:paraId="2CE079CE">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p>
              </w:tc>
              <w:tc>
                <w:tcPr>
                  <w:tcW w:w="582" w:type="pct"/>
                  <w:vMerge w:val="continue"/>
                  <w:vAlign w:val="center"/>
                </w:tcPr>
                <w:p w14:paraId="50397F81">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p>
              </w:tc>
            </w:tr>
            <w:tr w14:paraId="4946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pct"/>
                  <w:vMerge w:val="restart"/>
                  <w:vAlign w:val="center"/>
                </w:tcPr>
                <w:p w14:paraId="4F9D4362">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化学实验室</w:t>
                  </w:r>
                </w:p>
              </w:tc>
              <w:tc>
                <w:tcPr>
                  <w:tcW w:w="757" w:type="pct"/>
                  <w:vAlign w:val="center"/>
                </w:tcPr>
                <w:p w14:paraId="157155D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通风橱1</w:t>
                  </w:r>
                </w:p>
              </w:tc>
              <w:tc>
                <w:tcPr>
                  <w:tcW w:w="272" w:type="pct"/>
                  <w:vAlign w:val="center"/>
                </w:tcPr>
                <w:p w14:paraId="322055C0">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w:t>
                  </w:r>
                </w:p>
              </w:tc>
              <w:tc>
                <w:tcPr>
                  <w:tcW w:w="524" w:type="pct"/>
                  <w:vAlign w:val="center"/>
                </w:tcPr>
                <w:p w14:paraId="2EE59FF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75</w:t>
                  </w:r>
                </w:p>
              </w:tc>
              <w:tc>
                <w:tcPr>
                  <w:tcW w:w="633" w:type="pct"/>
                  <w:vMerge w:val="restart"/>
                  <w:vAlign w:val="center"/>
                </w:tcPr>
                <w:p w14:paraId="720BC41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color w:val="auto"/>
                      <w:kern w:val="0"/>
                      <w:sz w:val="21"/>
                      <w:szCs w:val="21"/>
                    </w:rPr>
                    <w:t>建筑</w:t>
                  </w:r>
                  <w:r>
                    <w:rPr>
                      <w:rFonts w:hint="eastAsia"/>
                      <w:color w:val="auto"/>
                      <w:kern w:val="0"/>
                      <w:sz w:val="21"/>
                      <w:szCs w:val="21"/>
                    </w:rPr>
                    <w:t>物</w:t>
                  </w:r>
                  <w:r>
                    <w:rPr>
                      <w:rFonts w:hint="default"/>
                      <w:color w:val="auto"/>
                      <w:kern w:val="0"/>
                      <w:sz w:val="21"/>
                      <w:szCs w:val="21"/>
                    </w:rPr>
                    <w:t>隔声、基础减震</w:t>
                  </w:r>
                </w:p>
              </w:tc>
              <w:tc>
                <w:tcPr>
                  <w:tcW w:w="506" w:type="pct"/>
                  <w:vAlign w:val="center"/>
                </w:tcPr>
                <w:p w14:paraId="34E15A46">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33.57</w:t>
                  </w:r>
                </w:p>
              </w:tc>
              <w:tc>
                <w:tcPr>
                  <w:tcW w:w="441" w:type="pct"/>
                  <w:vAlign w:val="center"/>
                </w:tcPr>
                <w:p w14:paraId="1EC24102">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-0.41</w:t>
                  </w:r>
                </w:p>
              </w:tc>
              <w:tc>
                <w:tcPr>
                  <w:tcW w:w="435" w:type="pct"/>
                  <w:vAlign w:val="center"/>
                </w:tcPr>
                <w:p w14:paraId="3777D18A">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6</w:t>
                  </w:r>
                </w:p>
              </w:tc>
              <w:tc>
                <w:tcPr>
                  <w:tcW w:w="272" w:type="pct"/>
                  <w:vMerge w:val="restart"/>
                  <w:vAlign w:val="center"/>
                </w:tcPr>
                <w:p w14:paraId="42263F50">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昼间</w:t>
                  </w:r>
                </w:p>
              </w:tc>
              <w:tc>
                <w:tcPr>
                  <w:tcW w:w="582" w:type="pct"/>
                  <w:vMerge w:val="restart"/>
                  <w:vAlign w:val="center"/>
                </w:tcPr>
                <w:p w14:paraId="708E584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15</w:t>
                  </w:r>
                </w:p>
              </w:tc>
            </w:tr>
            <w:tr w14:paraId="2199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0BEF81C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757" w:type="pct"/>
                  <w:vAlign w:val="center"/>
                </w:tcPr>
                <w:p w14:paraId="2725B3C0">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通风橱2</w:t>
                  </w:r>
                </w:p>
              </w:tc>
              <w:tc>
                <w:tcPr>
                  <w:tcW w:w="272" w:type="pct"/>
                  <w:vAlign w:val="center"/>
                </w:tcPr>
                <w:p w14:paraId="662FFB30">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w:t>
                  </w:r>
                </w:p>
              </w:tc>
              <w:tc>
                <w:tcPr>
                  <w:tcW w:w="524" w:type="pct"/>
                  <w:vAlign w:val="center"/>
                </w:tcPr>
                <w:p w14:paraId="167CEEE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75</w:t>
                  </w:r>
                </w:p>
              </w:tc>
              <w:tc>
                <w:tcPr>
                  <w:tcW w:w="633" w:type="pct"/>
                  <w:vMerge w:val="continue"/>
                  <w:vAlign w:val="center"/>
                </w:tcPr>
                <w:p w14:paraId="00F65655">
                  <w:pPr>
                    <w:keepNext/>
                    <w:keepLines w:val="0"/>
                    <w:suppressLineNumbers w:val="0"/>
                    <w:adjustRightInd w:val="0"/>
                    <w:snapToGrid w:val="0"/>
                    <w:spacing w:before="0" w:beforeAutospacing="0" w:after="0" w:afterAutospacing="0"/>
                    <w:ind w:left="0" w:right="0"/>
                    <w:jc w:val="center"/>
                    <w:rPr>
                      <w:rFonts w:hint="default"/>
                      <w:color w:val="auto"/>
                      <w:kern w:val="0"/>
                      <w:sz w:val="21"/>
                      <w:szCs w:val="21"/>
                    </w:rPr>
                  </w:pPr>
                </w:p>
              </w:tc>
              <w:tc>
                <w:tcPr>
                  <w:tcW w:w="506" w:type="pct"/>
                  <w:vAlign w:val="center"/>
                </w:tcPr>
                <w:p w14:paraId="66FABEE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35.36</w:t>
                  </w:r>
                </w:p>
              </w:tc>
              <w:tc>
                <w:tcPr>
                  <w:tcW w:w="441" w:type="pct"/>
                  <w:vAlign w:val="center"/>
                </w:tcPr>
                <w:p w14:paraId="5E8B19BA">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-1.53</w:t>
                  </w:r>
                </w:p>
              </w:tc>
              <w:tc>
                <w:tcPr>
                  <w:tcW w:w="435" w:type="pct"/>
                  <w:vAlign w:val="center"/>
                </w:tcPr>
                <w:p w14:paraId="138B02F4">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6</w:t>
                  </w:r>
                </w:p>
              </w:tc>
              <w:tc>
                <w:tcPr>
                  <w:tcW w:w="272" w:type="pct"/>
                  <w:vMerge w:val="continue"/>
                  <w:vAlign w:val="center"/>
                </w:tcPr>
                <w:p w14:paraId="1EBC62F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582" w:type="pct"/>
                  <w:vMerge w:val="continue"/>
                  <w:vAlign w:val="center"/>
                </w:tcPr>
                <w:p w14:paraId="2E6DDFD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r>
            <w:tr w14:paraId="48D3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1E0957B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757" w:type="pct"/>
                  <w:vAlign w:val="center"/>
                </w:tcPr>
                <w:p w14:paraId="798A12CB">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通风橱3</w:t>
                  </w:r>
                </w:p>
              </w:tc>
              <w:tc>
                <w:tcPr>
                  <w:tcW w:w="272" w:type="pct"/>
                  <w:vAlign w:val="center"/>
                </w:tcPr>
                <w:p w14:paraId="7F42C1AF">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w:t>
                  </w:r>
                </w:p>
              </w:tc>
              <w:tc>
                <w:tcPr>
                  <w:tcW w:w="524" w:type="pct"/>
                  <w:vAlign w:val="center"/>
                </w:tcPr>
                <w:p w14:paraId="2EBE8CA0">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75</w:t>
                  </w:r>
                </w:p>
              </w:tc>
              <w:tc>
                <w:tcPr>
                  <w:tcW w:w="633" w:type="pct"/>
                  <w:vMerge w:val="continue"/>
                  <w:vAlign w:val="center"/>
                </w:tcPr>
                <w:p w14:paraId="554FC879">
                  <w:pPr>
                    <w:keepNext/>
                    <w:keepLines w:val="0"/>
                    <w:suppressLineNumbers w:val="0"/>
                    <w:adjustRightInd w:val="0"/>
                    <w:snapToGrid w:val="0"/>
                    <w:spacing w:before="0" w:beforeAutospacing="0" w:after="0" w:afterAutospacing="0"/>
                    <w:ind w:left="0" w:right="0"/>
                    <w:jc w:val="center"/>
                    <w:rPr>
                      <w:rFonts w:hint="default"/>
                      <w:color w:val="auto"/>
                      <w:kern w:val="0"/>
                      <w:sz w:val="21"/>
                      <w:szCs w:val="21"/>
                    </w:rPr>
                  </w:pPr>
                </w:p>
              </w:tc>
              <w:tc>
                <w:tcPr>
                  <w:tcW w:w="506" w:type="pct"/>
                  <w:vAlign w:val="center"/>
                </w:tcPr>
                <w:p w14:paraId="44DCCF50">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32.67</w:t>
                  </w:r>
                </w:p>
              </w:tc>
              <w:tc>
                <w:tcPr>
                  <w:tcW w:w="441" w:type="pct"/>
                  <w:vAlign w:val="center"/>
                </w:tcPr>
                <w:p w14:paraId="68470F59">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-2.2</w:t>
                  </w:r>
                </w:p>
              </w:tc>
              <w:tc>
                <w:tcPr>
                  <w:tcW w:w="435" w:type="pct"/>
                  <w:vAlign w:val="center"/>
                </w:tcPr>
                <w:p w14:paraId="759C193C">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6</w:t>
                  </w:r>
                </w:p>
              </w:tc>
              <w:tc>
                <w:tcPr>
                  <w:tcW w:w="272" w:type="pct"/>
                  <w:vMerge w:val="continue"/>
                  <w:vAlign w:val="center"/>
                </w:tcPr>
                <w:p w14:paraId="6080DDE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582" w:type="pct"/>
                  <w:vMerge w:val="continue"/>
                  <w:vAlign w:val="center"/>
                </w:tcPr>
                <w:p w14:paraId="08816EF9">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r>
            <w:tr w14:paraId="5025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5163A612">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757" w:type="pct"/>
                  <w:vAlign w:val="center"/>
                </w:tcPr>
                <w:p w14:paraId="2641770D">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eastAsia="zh-CN"/>
                    </w:rPr>
                  </w:pPr>
                  <w:r>
                    <w:rPr>
                      <w:rFonts w:hint="eastAsia" w:eastAsiaTheme="minorEastAsia"/>
                      <w:color w:val="auto"/>
                      <w:kern w:val="0"/>
                      <w:sz w:val="21"/>
                      <w:szCs w:val="21"/>
                    </w:rPr>
                    <w:t>通风橱</w:t>
                  </w:r>
                  <w:r>
                    <w:rPr>
                      <w:rFonts w:hint="eastAsia" w:eastAsiaTheme="minorEastAsia"/>
                      <w:color w:val="auto"/>
                      <w:kern w:val="0"/>
                      <w:sz w:val="21"/>
                      <w:szCs w:val="21"/>
                      <w:lang w:val="en-US" w:eastAsia="zh-CN"/>
                    </w:rPr>
                    <w:t>4</w:t>
                  </w:r>
                </w:p>
              </w:tc>
              <w:tc>
                <w:tcPr>
                  <w:tcW w:w="272" w:type="pct"/>
                  <w:vAlign w:val="center"/>
                </w:tcPr>
                <w:p w14:paraId="046601A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w:t>
                  </w:r>
                </w:p>
              </w:tc>
              <w:tc>
                <w:tcPr>
                  <w:tcW w:w="524" w:type="pct"/>
                  <w:vAlign w:val="center"/>
                </w:tcPr>
                <w:p w14:paraId="4410707C">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75</w:t>
                  </w:r>
                </w:p>
              </w:tc>
              <w:tc>
                <w:tcPr>
                  <w:tcW w:w="633" w:type="pct"/>
                  <w:vMerge w:val="continue"/>
                  <w:vAlign w:val="center"/>
                </w:tcPr>
                <w:p w14:paraId="7E938549">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506" w:type="pct"/>
                  <w:vAlign w:val="center"/>
                </w:tcPr>
                <w:p w14:paraId="378D263C">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34.91</w:t>
                  </w:r>
                </w:p>
              </w:tc>
              <w:tc>
                <w:tcPr>
                  <w:tcW w:w="441" w:type="pct"/>
                  <w:vAlign w:val="center"/>
                </w:tcPr>
                <w:p w14:paraId="4CB3899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-2.87</w:t>
                  </w:r>
                </w:p>
              </w:tc>
              <w:tc>
                <w:tcPr>
                  <w:tcW w:w="435" w:type="pct"/>
                  <w:vAlign w:val="center"/>
                </w:tcPr>
                <w:p w14:paraId="13F1E708">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6</w:t>
                  </w:r>
                </w:p>
              </w:tc>
              <w:tc>
                <w:tcPr>
                  <w:tcW w:w="272" w:type="pct"/>
                  <w:vMerge w:val="continue"/>
                  <w:vAlign w:val="center"/>
                </w:tcPr>
                <w:p w14:paraId="0FE6213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582" w:type="pct"/>
                  <w:vMerge w:val="continue"/>
                  <w:vAlign w:val="center"/>
                </w:tcPr>
                <w:p w14:paraId="2BA70CD6">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r>
            <w:tr w14:paraId="5142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1B5C057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757" w:type="pct"/>
                  <w:vAlign w:val="center"/>
                </w:tcPr>
                <w:p w14:paraId="3A9A755C">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rPr>
                  </w:pPr>
                  <w:r>
                    <w:rPr>
                      <w:rFonts w:hint="eastAsia" w:eastAsiaTheme="minorEastAsia"/>
                      <w:color w:val="auto"/>
                      <w:kern w:val="0"/>
                      <w:sz w:val="21"/>
                      <w:szCs w:val="21"/>
                    </w:rPr>
                    <w:t>风机1</w:t>
                  </w:r>
                </w:p>
              </w:tc>
              <w:tc>
                <w:tcPr>
                  <w:tcW w:w="272" w:type="pct"/>
                  <w:vAlign w:val="center"/>
                </w:tcPr>
                <w:p w14:paraId="54F2768D">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rPr>
                  </w:pPr>
                  <w:r>
                    <w:rPr>
                      <w:rFonts w:hint="eastAsia" w:eastAsiaTheme="minorEastAsia"/>
                      <w:color w:val="auto"/>
                      <w:kern w:val="0"/>
                      <w:sz w:val="21"/>
                      <w:szCs w:val="21"/>
                    </w:rPr>
                    <w:t>1</w:t>
                  </w:r>
                </w:p>
              </w:tc>
              <w:tc>
                <w:tcPr>
                  <w:tcW w:w="524" w:type="pct"/>
                  <w:vAlign w:val="center"/>
                </w:tcPr>
                <w:p w14:paraId="6D52F578">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rPr>
                  </w:pPr>
                  <w:r>
                    <w:rPr>
                      <w:rFonts w:hint="eastAsia" w:eastAsiaTheme="minorEastAsia"/>
                      <w:color w:val="auto"/>
                      <w:kern w:val="0"/>
                      <w:sz w:val="21"/>
                      <w:szCs w:val="21"/>
                    </w:rPr>
                    <w:t>80</w:t>
                  </w:r>
                </w:p>
              </w:tc>
              <w:tc>
                <w:tcPr>
                  <w:tcW w:w="633" w:type="pct"/>
                  <w:vMerge w:val="continue"/>
                  <w:vAlign w:val="center"/>
                </w:tcPr>
                <w:p w14:paraId="3675D65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506" w:type="pct"/>
                  <w:vAlign w:val="center"/>
                </w:tcPr>
                <w:p w14:paraId="464BCA2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42.74</w:t>
                  </w:r>
                </w:p>
              </w:tc>
              <w:tc>
                <w:tcPr>
                  <w:tcW w:w="441" w:type="pct"/>
                  <w:vAlign w:val="center"/>
                </w:tcPr>
                <w:p w14:paraId="09374580">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-1.53</w:t>
                  </w:r>
                </w:p>
              </w:tc>
              <w:tc>
                <w:tcPr>
                  <w:tcW w:w="435" w:type="pct"/>
                  <w:vAlign w:val="center"/>
                </w:tcPr>
                <w:p w14:paraId="5EBAF541">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8</w:t>
                  </w:r>
                </w:p>
              </w:tc>
              <w:tc>
                <w:tcPr>
                  <w:tcW w:w="272" w:type="pct"/>
                  <w:vMerge w:val="continue"/>
                  <w:vAlign w:val="center"/>
                </w:tcPr>
                <w:p w14:paraId="4BAB644E">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582" w:type="pct"/>
                  <w:vMerge w:val="continue"/>
                  <w:vAlign w:val="center"/>
                </w:tcPr>
                <w:p w14:paraId="7B69D7E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r>
            <w:tr w14:paraId="2B33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pct"/>
                  <w:vMerge w:val="restart"/>
                  <w:vAlign w:val="center"/>
                </w:tcPr>
                <w:p w14:paraId="4D19D03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沥青实验室</w:t>
                  </w:r>
                </w:p>
              </w:tc>
              <w:tc>
                <w:tcPr>
                  <w:tcW w:w="757" w:type="pct"/>
                  <w:vAlign w:val="center"/>
                </w:tcPr>
                <w:p w14:paraId="6AF79B7C">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eastAsia="zh-CN"/>
                    </w:rPr>
                  </w:pPr>
                  <w:r>
                    <w:rPr>
                      <w:rFonts w:hint="eastAsia" w:eastAsiaTheme="minorEastAsia"/>
                      <w:color w:val="auto"/>
                      <w:kern w:val="0"/>
                      <w:sz w:val="21"/>
                      <w:szCs w:val="21"/>
                    </w:rPr>
                    <w:t>通风橱</w:t>
                  </w:r>
                  <w:r>
                    <w:rPr>
                      <w:rFonts w:hint="eastAsia" w:eastAsiaTheme="minorEastAsia"/>
                      <w:color w:val="auto"/>
                      <w:kern w:val="0"/>
                      <w:sz w:val="21"/>
                      <w:szCs w:val="21"/>
                      <w:lang w:val="en-US" w:eastAsia="zh-CN"/>
                    </w:rPr>
                    <w:t>5</w:t>
                  </w:r>
                </w:p>
              </w:tc>
              <w:tc>
                <w:tcPr>
                  <w:tcW w:w="272" w:type="pct"/>
                  <w:vAlign w:val="center"/>
                </w:tcPr>
                <w:p w14:paraId="70C8D26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w:t>
                  </w:r>
                </w:p>
              </w:tc>
              <w:tc>
                <w:tcPr>
                  <w:tcW w:w="524" w:type="pct"/>
                  <w:vAlign w:val="center"/>
                </w:tcPr>
                <w:p w14:paraId="454E459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75</w:t>
                  </w:r>
                </w:p>
              </w:tc>
              <w:tc>
                <w:tcPr>
                  <w:tcW w:w="633" w:type="pct"/>
                  <w:vMerge w:val="restart"/>
                  <w:vAlign w:val="center"/>
                </w:tcPr>
                <w:p w14:paraId="605E7A4B">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color w:val="auto"/>
                      <w:kern w:val="0"/>
                      <w:sz w:val="21"/>
                      <w:szCs w:val="21"/>
                    </w:rPr>
                    <w:t>建筑</w:t>
                  </w:r>
                  <w:r>
                    <w:rPr>
                      <w:rFonts w:hint="eastAsia"/>
                      <w:color w:val="auto"/>
                      <w:kern w:val="0"/>
                      <w:sz w:val="21"/>
                      <w:szCs w:val="21"/>
                    </w:rPr>
                    <w:t>物</w:t>
                  </w:r>
                  <w:r>
                    <w:rPr>
                      <w:rFonts w:hint="default"/>
                      <w:color w:val="auto"/>
                      <w:kern w:val="0"/>
                      <w:sz w:val="21"/>
                      <w:szCs w:val="21"/>
                    </w:rPr>
                    <w:t>隔声、基础减震</w:t>
                  </w:r>
                </w:p>
              </w:tc>
              <w:tc>
                <w:tcPr>
                  <w:tcW w:w="506" w:type="pct"/>
                  <w:vAlign w:val="center"/>
                </w:tcPr>
                <w:p w14:paraId="47C65E4C">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14.77</w:t>
                  </w:r>
                </w:p>
              </w:tc>
              <w:tc>
                <w:tcPr>
                  <w:tcW w:w="441" w:type="pct"/>
                  <w:vAlign w:val="center"/>
                </w:tcPr>
                <w:p w14:paraId="033B12D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7.87</w:t>
                  </w:r>
                </w:p>
              </w:tc>
              <w:tc>
                <w:tcPr>
                  <w:tcW w:w="435" w:type="pct"/>
                  <w:vAlign w:val="center"/>
                </w:tcPr>
                <w:p w14:paraId="6673E4AE">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6</w:t>
                  </w:r>
                </w:p>
              </w:tc>
              <w:tc>
                <w:tcPr>
                  <w:tcW w:w="272" w:type="pct"/>
                  <w:vMerge w:val="restart"/>
                  <w:vAlign w:val="center"/>
                </w:tcPr>
                <w:p w14:paraId="071E912F">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昼间</w:t>
                  </w:r>
                </w:p>
              </w:tc>
              <w:tc>
                <w:tcPr>
                  <w:tcW w:w="582" w:type="pct"/>
                  <w:vMerge w:val="restart"/>
                  <w:vAlign w:val="center"/>
                </w:tcPr>
                <w:p w14:paraId="0977964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15</w:t>
                  </w:r>
                </w:p>
              </w:tc>
            </w:tr>
            <w:tr w14:paraId="687A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3F33ABDA">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757" w:type="pct"/>
                  <w:vAlign w:val="center"/>
                </w:tcPr>
                <w:p w14:paraId="6C82D38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风机2</w:t>
                  </w:r>
                </w:p>
              </w:tc>
              <w:tc>
                <w:tcPr>
                  <w:tcW w:w="272" w:type="pct"/>
                  <w:vAlign w:val="center"/>
                </w:tcPr>
                <w:p w14:paraId="753E25B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w:t>
                  </w:r>
                </w:p>
              </w:tc>
              <w:tc>
                <w:tcPr>
                  <w:tcW w:w="524" w:type="pct"/>
                  <w:vAlign w:val="center"/>
                </w:tcPr>
                <w:p w14:paraId="62709159">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80</w:t>
                  </w:r>
                </w:p>
              </w:tc>
              <w:tc>
                <w:tcPr>
                  <w:tcW w:w="633" w:type="pct"/>
                  <w:vMerge w:val="continue"/>
                  <w:vAlign w:val="center"/>
                </w:tcPr>
                <w:p w14:paraId="181CDFD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506" w:type="pct"/>
                  <w:vAlign w:val="center"/>
                </w:tcPr>
                <w:p w14:paraId="5C0D6BC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13.65</w:t>
                  </w:r>
                </w:p>
              </w:tc>
              <w:tc>
                <w:tcPr>
                  <w:tcW w:w="441" w:type="pct"/>
                  <w:vAlign w:val="center"/>
                </w:tcPr>
                <w:p w14:paraId="459A0130">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11</w:t>
                  </w:r>
                </w:p>
              </w:tc>
              <w:tc>
                <w:tcPr>
                  <w:tcW w:w="435" w:type="pct"/>
                  <w:vAlign w:val="center"/>
                </w:tcPr>
                <w:p w14:paraId="01915790">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8</w:t>
                  </w:r>
                </w:p>
              </w:tc>
              <w:tc>
                <w:tcPr>
                  <w:tcW w:w="272" w:type="pct"/>
                  <w:vMerge w:val="continue"/>
                  <w:vAlign w:val="center"/>
                </w:tcPr>
                <w:p w14:paraId="330A030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582" w:type="pct"/>
                  <w:vMerge w:val="continue"/>
                  <w:vAlign w:val="center"/>
                </w:tcPr>
                <w:p w14:paraId="4A61D013">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r>
            <w:tr w14:paraId="4CE1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restart"/>
                  <w:vAlign w:val="center"/>
                </w:tcPr>
                <w:p w14:paraId="4080F5ED">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eastAsia="zh-CN"/>
                    </w:rPr>
                  </w:pPr>
                  <w:r>
                    <w:rPr>
                      <w:rFonts w:hint="eastAsia" w:eastAsiaTheme="minorEastAsia"/>
                      <w:color w:val="auto"/>
                      <w:kern w:val="0"/>
                      <w:sz w:val="21"/>
                      <w:szCs w:val="21"/>
                      <w:lang w:val="en-US" w:eastAsia="zh-CN"/>
                    </w:rPr>
                    <w:t>土工室</w:t>
                  </w:r>
                </w:p>
              </w:tc>
              <w:tc>
                <w:tcPr>
                  <w:tcW w:w="757" w:type="pct"/>
                  <w:vAlign w:val="center"/>
                </w:tcPr>
                <w:p w14:paraId="188AAC43">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eastAsia="zh-CN"/>
                    </w:rPr>
                  </w:pPr>
                  <w:r>
                    <w:rPr>
                      <w:rFonts w:hint="eastAsia" w:eastAsiaTheme="minorEastAsia"/>
                      <w:color w:val="auto"/>
                      <w:kern w:val="0"/>
                      <w:sz w:val="21"/>
                      <w:szCs w:val="21"/>
                      <w:lang w:val="en-US" w:eastAsia="zh-CN"/>
                    </w:rPr>
                    <w:t>标准筛</w:t>
                  </w:r>
                </w:p>
              </w:tc>
              <w:tc>
                <w:tcPr>
                  <w:tcW w:w="272" w:type="pct"/>
                  <w:vAlign w:val="center"/>
                </w:tcPr>
                <w:p w14:paraId="18FCC72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w:t>
                  </w:r>
                </w:p>
              </w:tc>
              <w:tc>
                <w:tcPr>
                  <w:tcW w:w="524" w:type="pct"/>
                  <w:vAlign w:val="center"/>
                </w:tcPr>
                <w:p w14:paraId="4EFE07DE">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80</w:t>
                  </w:r>
                </w:p>
              </w:tc>
              <w:tc>
                <w:tcPr>
                  <w:tcW w:w="633" w:type="pct"/>
                  <w:vMerge w:val="restart"/>
                  <w:vAlign w:val="center"/>
                </w:tcPr>
                <w:p w14:paraId="24D18D2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color w:val="auto"/>
                      <w:kern w:val="0"/>
                      <w:sz w:val="21"/>
                      <w:szCs w:val="21"/>
                    </w:rPr>
                    <w:t>建筑</w:t>
                  </w:r>
                  <w:r>
                    <w:rPr>
                      <w:rFonts w:hint="eastAsia"/>
                      <w:color w:val="auto"/>
                      <w:kern w:val="0"/>
                      <w:sz w:val="21"/>
                      <w:szCs w:val="21"/>
                    </w:rPr>
                    <w:t>物</w:t>
                  </w:r>
                  <w:r>
                    <w:rPr>
                      <w:rFonts w:hint="default"/>
                      <w:color w:val="auto"/>
                      <w:kern w:val="0"/>
                      <w:sz w:val="21"/>
                      <w:szCs w:val="21"/>
                    </w:rPr>
                    <w:t>隔声、基础减震</w:t>
                  </w:r>
                </w:p>
              </w:tc>
              <w:tc>
                <w:tcPr>
                  <w:tcW w:w="506" w:type="pct"/>
                  <w:vAlign w:val="center"/>
                </w:tcPr>
                <w:p w14:paraId="20B7BEBE">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19.47</w:t>
                  </w:r>
                </w:p>
              </w:tc>
              <w:tc>
                <w:tcPr>
                  <w:tcW w:w="441" w:type="pct"/>
                  <w:vAlign w:val="center"/>
                </w:tcPr>
                <w:p w14:paraId="6DFE296C">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5.18</w:t>
                  </w:r>
                </w:p>
              </w:tc>
              <w:tc>
                <w:tcPr>
                  <w:tcW w:w="435" w:type="pct"/>
                  <w:vAlign w:val="center"/>
                </w:tcPr>
                <w:p w14:paraId="3A39ED4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1.2</w:t>
                  </w:r>
                </w:p>
              </w:tc>
              <w:tc>
                <w:tcPr>
                  <w:tcW w:w="272" w:type="pct"/>
                  <w:vMerge w:val="restart"/>
                  <w:vAlign w:val="center"/>
                </w:tcPr>
                <w:p w14:paraId="638A782F">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昼间</w:t>
                  </w:r>
                </w:p>
              </w:tc>
              <w:tc>
                <w:tcPr>
                  <w:tcW w:w="582" w:type="pct"/>
                  <w:vMerge w:val="restart"/>
                  <w:vAlign w:val="center"/>
                </w:tcPr>
                <w:p w14:paraId="3665AAC6">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15</w:t>
                  </w:r>
                </w:p>
              </w:tc>
            </w:tr>
            <w:tr w14:paraId="4C1D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1EB02503">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757" w:type="pct"/>
                  <w:vAlign w:val="center"/>
                </w:tcPr>
                <w:p w14:paraId="5407BEAB">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eastAsia="zh-CN"/>
                    </w:rPr>
                  </w:pPr>
                  <w:r>
                    <w:rPr>
                      <w:rFonts w:hint="eastAsia" w:eastAsiaTheme="minorEastAsia"/>
                      <w:color w:val="auto"/>
                      <w:kern w:val="0"/>
                      <w:sz w:val="21"/>
                      <w:szCs w:val="21"/>
                      <w:lang w:val="en-US" w:eastAsia="zh-CN"/>
                    </w:rPr>
                    <w:t>试验筛</w:t>
                  </w:r>
                </w:p>
              </w:tc>
              <w:tc>
                <w:tcPr>
                  <w:tcW w:w="272" w:type="pct"/>
                  <w:vAlign w:val="center"/>
                </w:tcPr>
                <w:p w14:paraId="76B5036F">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w:t>
                  </w:r>
                </w:p>
              </w:tc>
              <w:tc>
                <w:tcPr>
                  <w:tcW w:w="524" w:type="pct"/>
                  <w:vAlign w:val="center"/>
                </w:tcPr>
                <w:p w14:paraId="448A90F2">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80</w:t>
                  </w:r>
                </w:p>
              </w:tc>
              <w:tc>
                <w:tcPr>
                  <w:tcW w:w="633" w:type="pct"/>
                  <w:vMerge w:val="continue"/>
                  <w:vAlign w:val="center"/>
                </w:tcPr>
                <w:p w14:paraId="175E74E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506" w:type="pct"/>
                  <w:vAlign w:val="center"/>
                </w:tcPr>
                <w:p w14:paraId="5401A52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21.71</w:t>
                  </w:r>
                </w:p>
              </w:tc>
              <w:tc>
                <w:tcPr>
                  <w:tcW w:w="441" w:type="pct"/>
                  <w:vAlign w:val="center"/>
                </w:tcPr>
                <w:p w14:paraId="7CD1BF0A">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1.83</w:t>
                  </w:r>
                </w:p>
              </w:tc>
              <w:tc>
                <w:tcPr>
                  <w:tcW w:w="435" w:type="pct"/>
                  <w:vAlign w:val="center"/>
                </w:tcPr>
                <w:p w14:paraId="29B606D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1.2</w:t>
                  </w:r>
                </w:p>
              </w:tc>
              <w:tc>
                <w:tcPr>
                  <w:tcW w:w="272" w:type="pct"/>
                  <w:vMerge w:val="continue"/>
                  <w:vAlign w:val="center"/>
                </w:tcPr>
                <w:p w14:paraId="3BBE462C">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582" w:type="pct"/>
                  <w:vMerge w:val="continue"/>
                  <w:vAlign w:val="center"/>
                </w:tcPr>
                <w:p w14:paraId="00C06A1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r>
            <w:tr w14:paraId="0CB6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restart"/>
                  <w:vAlign w:val="center"/>
                </w:tcPr>
                <w:p w14:paraId="2E92E58E">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混凝土试验间</w:t>
                  </w:r>
                </w:p>
              </w:tc>
              <w:tc>
                <w:tcPr>
                  <w:tcW w:w="757" w:type="pct"/>
                  <w:vAlign w:val="center"/>
                </w:tcPr>
                <w:p w14:paraId="4F77D1B3">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混凝土振动台</w:t>
                  </w:r>
                </w:p>
              </w:tc>
              <w:tc>
                <w:tcPr>
                  <w:tcW w:w="272" w:type="pct"/>
                  <w:vAlign w:val="center"/>
                </w:tcPr>
                <w:p w14:paraId="01E5EEB1">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eastAsia="zh-CN"/>
                    </w:rPr>
                  </w:pPr>
                  <w:r>
                    <w:rPr>
                      <w:rFonts w:hint="eastAsia" w:eastAsiaTheme="minorEastAsia"/>
                      <w:color w:val="auto"/>
                      <w:kern w:val="0"/>
                      <w:sz w:val="21"/>
                      <w:szCs w:val="21"/>
                      <w:lang w:val="en-US" w:eastAsia="zh-CN"/>
                    </w:rPr>
                    <w:t>2</w:t>
                  </w:r>
                </w:p>
              </w:tc>
              <w:tc>
                <w:tcPr>
                  <w:tcW w:w="524" w:type="pct"/>
                  <w:vAlign w:val="center"/>
                </w:tcPr>
                <w:p w14:paraId="008615B0">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lang w:val="en-US" w:eastAsia="zh-CN"/>
                    </w:rPr>
                    <w:t>8</w:t>
                  </w:r>
                  <w:r>
                    <w:rPr>
                      <w:rFonts w:hint="eastAsia" w:eastAsiaTheme="minorEastAsia"/>
                      <w:color w:val="auto"/>
                      <w:kern w:val="0"/>
                      <w:sz w:val="21"/>
                      <w:szCs w:val="21"/>
                    </w:rPr>
                    <w:t>5</w:t>
                  </w:r>
                </w:p>
              </w:tc>
              <w:tc>
                <w:tcPr>
                  <w:tcW w:w="633" w:type="pct"/>
                  <w:vMerge w:val="restart"/>
                  <w:vAlign w:val="center"/>
                </w:tcPr>
                <w:p w14:paraId="1953C99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color w:val="auto"/>
                      <w:kern w:val="0"/>
                      <w:sz w:val="21"/>
                      <w:szCs w:val="21"/>
                    </w:rPr>
                    <w:t>建筑</w:t>
                  </w:r>
                  <w:r>
                    <w:rPr>
                      <w:rFonts w:hint="eastAsia"/>
                      <w:color w:val="auto"/>
                      <w:kern w:val="0"/>
                      <w:sz w:val="21"/>
                      <w:szCs w:val="21"/>
                    </w:rPr>
                    <w:t>物</w:t>
                  </w:r>
                  <w:r>
                    <w:rPr>
                      <w:rFonts w:hint="default"/>
                      <w:color w:val="auto"/>
                      <w:kern w:val="0"/>
                      <w:sz w:val="21"/>
                      <w:szCs w:val="21"/>
                    </w:rPr>
                    <w:t>隔声、基础减震</w:t>
                  </w:r>
                </w:p>
              </w:tc>
              <w:tc>
                <w:tcPr>
                  <w:tcW w:w="506" w:type="pct"/>
                  <w:vAlign w:val="center"/>
                </w:tcPr>
                <w:p w14:paraId="00DC1B16">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14.55</w:t>
                  </w:r>
                </w:p>
              </w:tc>
              <w:tc>
                <w:tcPr>
                  <w:tcW w:w="441" w:type="pct"/>
                  <w:vAlign w:val="center"/>
                </w:tcPr>
                <w:p w14:paraId="34FEBAA0">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0.71</w:t>
                  </w:r>
                </w:p>
              </w:tc>
              <w:tc>
                <w:tcPr>
                  <w:tcW w:w="435" w:type="pct"/>
                  <w:vAlign w:val="center"/>
                </w:tcPr>
                <w:p w14:paraId="15F39C20">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1.1</w:t>
                  </w:r>
                </w:p>
              </w:tc>
              <w:tc>
                <w:tcPr>
                  <w:tcW w:w="272" w:type="pct"/>
                  <w:vMerge w:val="restart"/>
                  <w:vAlign w:val="center"/>
                </w:tcPr>
                <w:p w14:paraId="2023888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昼间</w:t>
                  </w:r>
                </w:p>
              </w:tc>
              <w:tc>
                <w:tcPr>
                  <w:tcW w:w="582" w:type="pct"/>
                  <w:vMerge w:val="restart"/>
                  <w:vAlign w:val="center"/>
                </w:tcPr>
                <w:p w14:paraId="4E523AE9">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15</w:t>
                  </w:r>
                </w:p>
              </w:tc>
            </w:tr>
            <w:tr w14:paraId="4D2E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continue"/>
                  <w:vAlign w:val="center"/>
                </w:tcPr>
                <w:p w14:paraId="7AA2874F">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757" w:type="pct"/>
                  <w:vAlign w:val="center"/>
                </w:tcPr>
                <w:p w14:paraId="68106B6F">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混凝土搅拌机</w:t>
                  </w:r>
                </w:p>
              </w:tc>
              <w:tc>
                <w:tcPr>
                  <w:tcW w:w="272" w:type="pct"/>
                  <w:vAlign w:val="center"/>
                </w:tcPr>
                <w:p w14:paraId="00EC9D5A">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w:t>
                  </w:r>
                </w:p>
              </w:tc>
              <w:tc>
                <w:tcPr>
                  <w:tcW w:w="524" w:type="pct"/>
                  <w:vAlign w:val="center"/>
                </w:tcPr>
                <w:p w14:paraId="57965A0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lang w:val="en-US" w:eastAsia="zh-CN"/>
                    </w:rPr>
                    <w:t>8</w:t>
                  </w:r>
                  <w:r>
                    <w:rPr>
                      <w:rFonts w:hint="eastAsia" w:eastAsiaTheme="minorEastAsia"/>
                      <w:color w:val="auto"/>
                      <w:kern w:val="0"/>
                      <w:sz w:val="21"/>
                      <w:szCs w:val="21"/>
                    </w:rPr>
                    <w:t>5</w:t>
                  </w:r>
                </w:p>
              </w:tc>
              <w:tc>
                <w:tcPr>
                  <w:tcW w:w="633" w:type="pct"/>
                  <w:vMerge w:val="continue"/>
                  <w:vAlign w:val="center"/>
                </w:tcPr>
                <w:p w14:paraId="6F1CFC3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506" w:type="pct"/>
                  <w:vAlign w:val="center"/>
                </w:tcPr>
                <w:p w14:paraId="11EA145B">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16.78</w:t>
                  </w:r>
                </w:p>
              </w:tc>
              <w:tc>
                <w:tcPr>
                  <w:tcW w:w="441" w:type="pct"/>
                  <w:vAlign w:val="center"/>
                </w:tcPr>
                <w:p w14:paraId="58D0C5F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-0.41</w:t>
                  </w:r>
                </w:p>
              </w:tc>
              <w:tc>
                <w:tcPr>
                  <w:tcW w:w="435" w:type="pct"/>
                  <w:vAlign w:val="center"/>
                </w:tcPr>
                <w:p w14:paraId="07B1F5C0">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1.1</w:t>
                  </w:r>
                </w:p>
              </w:tc>
              <w:tc>
                <w:tcPr>
                  <w:tcW w:w="272" w:type="pct"/>
                  <w:vMerge w:val="continue"/>
                  <w:vAlign w:val="center"/>
                </w:tcPr>
                <w:p w14:paraId="7FCA1B6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582" w:type="pct"/>
                  <w:vMerge w:val="continue"/>
                  <w:vAlign w:val="center"/>
                </w:tcPr>
                <w:p w14:paraId="1C1DCA2B">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r>
            <w:tr w14:paraId="60A0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Align w:val="center"/>
                </w:tcPr>
                <w:p w14:paraId="53F63603">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砂石骨料试验间</w:t>
                  </w:r>
                </w:p>
              </w:tc>
              <w:tc>
                <w:tcPr>
                  <w:tcW w:w="757" w:type="pct"/>
                  <w:vAlign w:val="center"/>
                </w:tcPr>
                <w:p w14:paraId="2000003A">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细集料亚甲蓝试验搅拌机</w:t>
                  </w:r>
                </w:p>
              </w:tc>
              <w:tc>
                <w:tcPr>
                  <w:tcW w:w="272" w:type="pct"/>
                  <w:vAlign w:val="center"/>
                </w:tcPr>
                <w:p w14:paraId="778CF05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w:t>
                  </w:r>
                </w:p>
              </w:tc>
              <w:tc>
                <w:tcPr>
                  <w:tcW w:w="524" w:type="pct"/>
                  <w:vAlign w:val="center"/>
                </w:tcPr>
                <w:p w14:paraId="742103F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85</w:t>
                  </w:r>
                </w:p>
              </w:tc>
              <w:tc>
                <w:tcPr>
                  <w:tcW w:w="633" w:type="pct"/>
                  <w:vAlign w:val="center"/>
                </w:tcPr>
                <w:p w14:paraId="470DE813">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color w:val="auto"/>
                      <w:kern w:val="0"/>
                      <w:sz w:val="21"/>
                      <w:szCs w:val="21"/>
                    </w:rPr>
                    <w:t>建筑</w:t>
                  </w:r>
                  <w:r>
                    <w:rPr>
                      <w:rFonts w:hint="eastAsia"/>
                      <w:color w:val="auto"/>
                      <w:kern w:val="0"/>
                      <w:sz w:val="21"/>
                      <w:szCs w:val="21"/>
                    </w:rPr>
                    <w:t>物</w:t>
                  </w:r>
                  <w:r>
                    <w:rPr>
                      <w:rFonts w:hint="default"/>
                      <w:color w:val="auto"/>
                      <w:kern w:val="0"/>
                      <w:sz w:val="21"/>
                      <w:szCs w:val="21"/>
                    </w:rPr>
                    <w:t>隔声、基础减震</w:t>
                  </w:r>
                </w:p>
              </w:tc>
              <w:tc>
                <w:tcPr>
                  <w:tcW w:w="506" w:type="pct"/>
                  <w:vAlign w:val="center"/>
                </w:tcPr>
                <w:p w14:paraId="0130DC5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28.87</w:t>
                  </w:r>
                </w:p>
              </w:tc>
              <w:tc>
                <w:tcPr>
                  <w:tcW w:w="441" w:type="pct"/>
                  <w:vAlign w:val="center"/>
                </w:tcPr>
                <w:p w14:paraId="0453031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-5.11</w:t>
                  </w:r>
                </w:p>
              </w:tc>
              <w:tc>
                <w:tcPr>
                  <w:tcW w:w="435" w:type="pct"/>
                  <w:vAlign w:val="center"/>
                </w:tcPr>
                <w:p w14:paraId="3BC76B4F">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1.1</w:t>
                  </w:r>
                </w:p>
              </w:tc>
              <w:tc>
                <w:tcPr>
                  <w:tcW w:w="272" w:type="pct"/>
                  <w:vAlign w:val="center"/>
                </w:tcPr>
                <w:p w14:paraId="520F3E12">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昼间</w:t>
                  </w:r>
                </w:p>
              </w:tc>
              <w:tc>
                <w:tcPr>
                  <w:tcW w:w="582" w:type="pct"/>
                  <w:vAlign w:val="center"/>
                </w:tcPr>
                <w:p w14:paraId="0629FE0B">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15</w:t>
                  </w:r>
                </w:p>
              </w:tc>
            </w:tr>
            <w:tr w14:paraId="494B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Align w:val="center"/>
                </w:tcPr>
                <w:p w14:paraId="5D0B6C9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沥青试验间</w:t>
                  </w:r>
                </w:p>
              </w:tc>
              <w:tc>
                <w:tcPr>
                  <w:tcW w:w="757" w:type="pct"/>
                  <w:vAlign w:val="center"/>
                </w:tcPr>
                <w:p w14:paraId="11365EB6">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智能沥青混合料拌合机</w:t>
                  </w:r>
                </w:p>
              </w:tc>
              <w:tc>
                <w:tcPr>
                  <w:tcW w:w="272" w:type="pct"/>
                  <w:vAlign w:val="center"/>
                </w:tcPr>
                <w:p w14:paraId="1F80AC2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w:t>
                  </w:r>
                </w:p>
              </w:tc>
              <w:tc>
                <w:tcPr>
                  <w:tcW w:w="524" w:type="pct"/>
                  <w:vAlign w:val="center"/>
                </w:tcPr>
                <w:p w14:paraId="2D631EAB">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85</w:t>
                  </w:r>
                </w:p>
              </w:tc>
              <w:tc>
                <w:tcPr>
                  <w:tcW w:w="633" w:type="pct"/>
                  <w:vAlign w:val="center"/>
                </w:tcPr>
                <w:p w14:paraId="69F1D17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default"/>
                      <w:color w:val="auto"/>
                      <w:kern w:val="0"/>
                      <w:sz w:val="21"/>
                      <w:szCs w:val="21"/>
                    </w:rPr>
                    <w:t>建筑</w:t>
                  </w:r>
                  <w:r>
                    <w:rPr>
                      <w:rFonts w:hint="eastAsia"/>
                      <w:color w:val="auto"/>
                      <w:kern w:val="0"/>
                      <w:sz w:val="21"/>
                      <w:szCs w:val="21"/>
                    </w:rPr>
                    <w:t>物</w:t>
                  </w:r>
                  <w:r>
                    <w:rPr>
                      <w:rFonts w:hint="default"/>
                      <w:color w:val="auto"/>
                      <w:kern w:val="0"/>
                      <w:sz w:val="21"/>
                      <w:szCs w:val="21"/>
                    </w:rPr>
                    <w:t>隔声、基础减震</w:t>
                  </w:r>
                </w:p>
              </w:tc>
              <w:tc>
                <w:tcPr>
                  <w:tcW w:w="506" w:type="pct"/>
                  <w:vAlign w:val="center"/>
                </w:tcPr>
                <w:p w14:paraId="04A917BF">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15.89</w:t>
                  </w:r>
                </w:p>
              </w:tc>
              <w:tc>
                <w:tcPr>
                  <w:tcW w:w="441" w:type="pct"/>
                  <w:vAlign w:val="center"/>
                </w:tcPr>
                <w:p w14:paraId="2EBEF19E">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5.63</w:t>
                  </w:r>
                </w:p>
              </w:tc>
              <w:tc>
                <w:tcPr>
                  <w:tcW w:w="435" w:type="pct"/>
                  <w:vAlign w:val="center"/>
                </w:tcPr>
                <w:p w14:paraId="79820581">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5</w:t>
                  </w:r>
                </w:p>
              </w:tc>
              <w:tc>
                <w:tcPr>
                  <w:tcW w:w="272" w:type="pct"/>
                  <w:vAlign w:val="center"/>
                </w:tcPr>
                <w:p w14:paraId="27BF667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昼间</w:t>
                  </w:r>
                </w:p>
              </w:tc>
              <w:tc>
                <w:tcPr>
                  <w:tcW w:w="582" w:type="pct"/>
                  <w:vAlign w:val="center"/>
                </w:tcPr>
                <w:p w14:paraId="22B3B439">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15</w:t>
                  </w:r>
                </w:p>
              </w:tc>
            </w:tr>
          </w:tbl>
          <w:p w14:paraId="7A7FE16D">
            <w:pPr>
              <w:keepNext w:val="0"/>
              <w:keepLines w:val="0"/>
              <w:suppressLineNumbers w:val="0"/>
              <w:adjustRightInd w:val="0"/>
              <w:snapToGrid w:val="0"/>
              <w:spacing w:before="0" w:beforeLines="50" w:beforeAutospacing="0" w:after="0" w:afterAutospacing="0" w:line="360" w:lineRule="auto"/>
              <w:ind w:left="0" w:right="0" w:firstLine="482" w:firstLineChars="200"/>
              <w:rPr>
                <w:rFonts w:hint="default"/>
                <w:b/>
                <w:bCs/>
                <w:color w:val="auto"/>
                <w:kern w:val="0"/>
                <w:sz w:val="24"/>
              </w:rPr>
            </w:pPr>
            <w:r>
              <w:rPr>
                <w:rFonts w:hint="default"/>
                <w:b/>
                <w:bCs/>
                <w:color w:val="auto"/>
                <w:kern w:val="0"/>
                <w:sz w:val="24"/>
              </w:rPr>
              <w:t>（2）</w:t>
            </w:r>
            <w:r>
              <w:rPr>
                <w:rFonts w:hint="eastAsia"/>
                <w:b/>
                <w:bCs/>
                <w:color w:val="auto"/>
                <w:kern w:val="0"/>
                <w:sz w:val="24"/>
              </w:rPr>
              <w:t>噪声影响分析</w:t>
            </w:r>
          </w:p>
          <w:p w14:paraId="187B033C">
            <w:pPr>
              <w:keepNext w:val="0"/>
              <w:keepLines w:val="0"/>
              <w:widowControl/>
              <w:suppressLineNumbers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根据《环境影响评价技术导则 声环境》（HJ2.4-2021）的有关规定，项目产噪设备均位于室内内，各噪声源设备辐射的噪声传播可视为点声源，采用点声源模式预测噪声源对环境的影响，预测只计算声源至受声点的几何发散衰减，在考虑障碍物遮挡、空气吸收等衰减，各噪声源设备辐射的噪声传播可视为点声源。本次评价采用《环境影响评价技术导则 声环境》（HJ2.4-2021）中</w:t>
            </w:r>
            <w:r>
              <w:rPr>
                <w:rFonts w:hint="default"/>
                <w:color w:val="auto"/>
                <w:kern w:val="0"/>
                <w:sz w:val="24"/>
              </w:rPr>
              <w:t>推荐的工业噪声预测模式，本评价只考虑几何发散引起的衰减量来预测项目对厂界的贡献点的影响。</w:t>
            </w:r>
            <w:r>
              <w:rPr>
                <w:rFonts w:hint="eastAsia"/>
                <w:color w:val="auto"/>
                <w:kern w:val="0"/>
                <w:sz w:val="24"/>
              </w:rPr>
              <w:t>本次评价</w:t>
            </w:r>
            <w:r>
              <w:rPr>
                <w:rFonts w:hint="default"/>
                <w:color w:val="auto"/>
                <w:kern w:val="0"/>
                <w:sz w:val="24"/>
              </w:rPr>
              <w:t>预测模式如下：</w:t>
            </w:r>
          </w:p>
          <w:p w14:paraId="156A4D85">
            <w:pPr>
              <w:pStyle w:val="63"/>
              <w:keepNext w:val="0"/>
              <w:keepLines w:val="0"/>
              <w:suppressLineNumbers w:val="0"/>
              <w:tabs>
                <w:tab w:val="bar" w:pos="9540"/>
              </w:tabs>
              <w:snapToGrid w:val="0"/>
              <w:spacing w:beforeAutospacing="0" w:afterAutospacing="0"/>
              <w:ind w:left="0" w:firstLine="480" w:firstLineChars="200"/>
              <w:jc w:val="left"/>
              <w:rPr>
                <w:rFonts w:hint="default"/>
                <w:color w:val="auto"/>
                <w:kern w:val="0"/>
              </w:rPr>
            </w:pPr>
            <w:r>
              <w:rPr>
                <w:rFonts w:hint="default"/>
                <w:color w:val="auto"/>
                <w:kern w:val="0"/>
              </w:rPr>
              <w:t>A、本项目只考虑几何发散衰减，公式按照：</w:t>
            </w:r>
          </w:p>
          <w:p w14:paraId="34ED458C">
            <w:pPr>
              <w:pStyle w:val="63"/>
              <w:keepNext w:val="0"/>
              <w:keepLines w:val="0"/>
              <w:suppressLineNumbers w:val="0"/>
              <w:tabs>
                <w:tab w:val="bar" w:pos="9540"/>
              </w:tabs>
              <w:snapToGrid w:val="0"/>
              <w:spacing w:beforeAutospacing="0" w:afterAutospacing="0"/>
              <w:ind w:left="0" w:firstLine="0" w:firstLineChars="0"/>
              <w:rPr>
                <w:rFonts w:hint="default"/>
                <w:color w:val="auto"/>
                <w:kern w:val="0"/>
              </w:rPr>
            </w:pPr>
            <w:r>
              <w:rPr>
                <w:rFonts w:hint="default"/>
                <w:color w:val="auto"/>
                <w:kern w:val="0"/>
              </w:rPr>
              <w:t>L</w:t>
            </w:r>
            <w:r>
              <w:rPr>
                <w:rFonts w:hint="default"/>
                <w:color w:val="auto"/>
                <w:kern w:val="0"/>
                <w:vertAlign w:val="subscript"/>
              </w:rPr>
              <w:t>A</w:t>
            </w:r>
            <w:r>
              <w:rPr>
                <w:rFonts w:hint="default"/>
                <w:color w:val="auto"/>
                <w:kern w:val="0"/>
              </w:rPr>
              <w:t>(r)=L</w:t>
            </w:r>
            <w:r>
              <w:rPr>
                <w:rFonts w:hint="default"/>
                <w:color w:val="auto"/>
                <w:kern w:val="0"/>
                <w:vertAlign w:val="subscript"/>
              </w:rPr>
              <w:t>A</w:t>
            </w:r>
            <w:r>
              <w:rPr>
                <w:rFonts w:hint="default"/>
                <w:color w:val="auto"/>
                <w:kern w:val="0"/>
              </w:rPr>
              <w:t>（r</w:t>
            </w:r>
            <w:r>
              <w:rPr>
                <w:rFonts w:hint="default"/>
                <w:color w:val="auto"/>
                <w:kern w:val="0"/>
                <w:vertAlign w:val="subscript"/>
              </w:rPr>
              <w:t>0</w:t>
            </w:r>
            <w:r>
              <w:rPr>
                <w:rFonts w:hint="default"/>
                <w:color w:val="auto"/>
                <w:kern w:val="0"/>
              </w:rPr>
              <w:t>）－A</w:t>
            </w:r>
            <w:r>
              <w:rPr>
                <w:rFonts w:hint="default"/>
                <w:color w:val="auto"/>
                <w:kern w:val="0"/>
                <w:vertAlign w:val="subscript"/>
              </w:rPr>
              <w:t>div</w:t>
            </w:r>
          </w:p>
          <w:p w14:paraId="5AE98B19">
            <w:pPr>
              <w:pStyle w:val="10"/>
              <w:keepNext w:val="0"/>
              <w:keepLines w:val="0"/>
              <w:suppressLineNumbers w:val="0"/>
              <w:snapToGrid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式中：L</w:t>
            </w:r>
            <w:r>
              <w:rPr>
                <w:rFonts w:hint="default"/>
                <w:color w:val="auto"/>
                <w:sz w:val="24"/>
                <w:vertAlign w:val="subscript"/>
              </w:rPr>
              <w:t>A</w:t>
            </w:r>
            <w:r>
              <w:rPr>
                <w:rFonts w:hint="default"/>
                <w:color w:val="auto"/>
                <w:sz w:val="24"/>
              </w:rPr>
              <w:t>(r)——距声源r处的A声级，dB（A）；</w:t>
            </w:r>
          </w:p>
          <w:p w14:paraId="30D5BDA6">
            <w:pPr>
              <w:pStyle w:val="10"/>
              <w:keepNext w:val="0"/>
              <w:keepLines w:val="0"/>
              <w:suppressLineNumbers w:val="0"/>
              <w:snapToGrid w:val="0"/>
              <w:spacing w:before="0" w:beforeAutospacing="0" w:after="0" w:afterAutospacing="0" w:line="360" w:lineRule="auto"/>
              <w:ind w:left="0" w:right="0" w:firstLine="1200" w:firstLineChars="500"/>
              <w:jc w:val="left"/>
              <w:rPr>
                <w:rFonts w:hint="default"/>
                <w:color w:val="auto"/>
                <w:sz w:val="24"/>
              </w:rPr>
            </w:pPr>
            <w:r>
              <w:rPr>
                <w:rFonts w:hint="default"/>
                <w:color w:val="auto"/>
                <w:sz w:val="24"/>
              </w:rPr>
              <w:t>L</w:t>
            </w:r>
            <w:r>
              <w:rPr>
                <w:rFonts w:hint="default"/>
                <w:color w:val="auto"/>
                <w:sz w:val="24"/>
                <w:vertAlign w:val="subscript"/>
              </w:rPr>
              <w:t>A</w:t>
            </w:r>
            <w:r>
              <w:rPr>
                <w:rFonts w:hint="default"/>
                <w:color w:val="auto"/>
                <w:sz w:val="24"/>
              </w:rPr>
              <w:t>(r</w:t>
            </w:r>
            <w:r>
              <w:rPr>
                <w:rFonts w:hint="default"/>
                <w:color w:val="auto"/>
                <w:sz w:val="24"/>
                <w:vertAlign w:val="subscript"/>
              </w:rPr>
              <w:t>0</w:t>
            </w:r>
            <w:r>
              <w:rPr>
                <w:rFonts w:hint="default"/>
                <w:color w:val="auto"/>
                <w:sz w:val="24"/>
              </w:rPr>
              <w:t>)——参考位置r</w:t>
            </w:r>
            <w:r>
              <w:rPr>
                <w:rFonts w:hint="default"/>
                <w:color w:val="auto"/>
                <w:sz w:val="24"/>
                <w:vertAlign w:val="subscript"/>
              </w:rPr>
              <w:t>0</w:t>
            </w:r>
            <w:r>
              <w:rPr>
                <w:rFonts w:hint="default"/>
                <w:color w:val="auto"/>
                <w:sz w:val="24"/>
              </w:rPr>
              <w:t>处的A声级，dB（A）；</w:t>
            </w:r>
          </w:p>
          <w:p w14:paraId="5FB37AE4">
            <w:pPr>
              <w:pStyle w:val="63"/>
              <w:keepNext w:val="0"/>
              <w:keepLines w:val="0"/>
              <w:suppressLineNumbers w:val="0"/>
              <w:tabs>
                <w:tab w:val="bar" w:pos="9540"/>
              </w:tabs>
              <w:snapToGrid w:val="0"/>
              <w:spacing w:beforeAutospacing="0" w:afterAutospacing="0"/>
              <w:ind w:left="0" w:firstLine="1200" w:firstLineChars="500"/>
              <w:jc w:val="left"/>
              <w:rPr>
                <w:rFonts w:hint="default"/>
                <w:color w:val="auto"/>
                <w:kern w:val="0"/>
              </w:rPr>
            </w:pPr>
            <w:r>
              <w:rPr>
                <w:rFonts w:hint="default"/>
                <w:color w:val="auto"/>
                <w:kern w:val="0"/>
              </w:rPr>
              <w:t>A</w:t>
            </w:r>
            <w:r>
              <w:rPr>
                <w:rFonts w:hint="default"/>
                <w:color w:val="auto"/>
                <w:kern w:val="0"/>
                <w:vertAlign w:val="subscript"/>
              </w:rPr>
              <w:t>div</w:t>
            </w:r>
            <w:r>
              <w:rPr>
                <w:rFonts w:hint="default"/>
                <w:color w:val="auto"/>
                <w:kern w:val="0"/>
              </w:rPr>
              <w:t>——几何发散引起的衰减，dB；</w:t>
            </w:r>
          </w:p>
          <w:p w14:paraId="39F8CD28">
            <w:pPr>
              <w:pStyle w:val="63"/>
              <w:keepNext w:val="0"/>
              <w:keepLines w:val="0"/>
              <w:suppressLineNumbers w:val="0"/>
              <w:tabs>
                <w:tab w:val="bar" w:pos="9540"/>
              </w:tabs>
              <w:snapToGrid w:val="0"/>
              <w:spacing w:beforeAutospacing="0" w:afterAutospacing="0"/>
              <w:ind w:left="0" w:firstLine="480" w:firstLineChars="200"/>
              <w:jc w:val="left"/>
              <w:rPr>
                <w:rFonts w:hint="default"/>
                <w:color w:val="auto"/>
                <w:kern w:val="0"/>
              </w:rPr>
            </w:pPr>
            <w:r>
              <w:rPr>
                <w:rFonts w:hint="default"/>
                <w:color w:val="auto"/>
                <w:kern w:val="0"/>
              </w:rPr>
              <w:t>B、声源的几何发散衰减公式：</w:t>
            </w:r>
          </w:p>
          <w:p w14:paraId="0EDD1FAC">
            <w:pPr>
              <w:pStyle w:val="10"/>
              <w:keepNext w:val="0"/>
              <w:keepLines w:val="0"/>
              <w:suppressLineNumbers w:val="0"/>
              <w:spacing w:before="0" w:beforeAutospacing="0" w:after="0" w:afterAutospacing="0" w:line="360" w:lineRule="auto"/>
              <w:ind w:left="0" w:right="0"/>
              <w:jc w:val="center"/>
              <w:rPr>
                <w:rFonts w:hint="default"/>
                <w:color w:val="auto"/>
                <w:sz w:val="24"/>
              </w:rPr>
            </w:pPr>
            <w:r>
              <w:rPr>
                <w:rFonts w:hint="default"/>
                <w:color w:val="auto"/>
                <w:sz w:val="24"/>
              </w:rPr>
              <w:t>A</w:t>
            </w:r>
            <w:r>
              <w:rPr>
                <w:rFonts w:hint="default"/>
                <w:color w:val="auto"/>
                <w:sz w:val="24"/>
                <w:vertAlign w:val="subscript"/>
              </w:rPr>
              <w:t>div</w:t>
            </w:r>
            <w:r>
              <w:rPr>
                <w:rFonts w:hint="default"/>
                <w:color w:val="auto"/>
                <w:sz w:val="24"/>
              </w:rPr>
              <w:t>=20lg（r/r</w:t>
            </w:r>
            <w:r>
              <w:rPr>
                <w:rFonts w:hint="default"/>
                <w:color w:val="auto"/>
                <w:sz w:val="24"/>
                <w:vertAlign w:val="subscript"/>
              </w:rPr>
              <w:t>0</w:t>
            </w:r>
            <w:r>
              <w:rPr>
                <w:rFonts w:hint="default"/>
                <w:color w:val="auto"/>
                <w:sz w:val="24"/>
              </w:rPr>
              <w:t>）</w:t>
            </w:r>
          </w:p>
          <w:p w14:paraId="538A5E84">
            <w:pPr>
              <w:pStyle w:val="10"/>
              <w:keepNext w:val="0"/>
              <w:keepLines w:val="0"/>
              <w:suppressLineNumbers w:val="0"/>
              <w:snapToGrid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式中：A</w:t>
            </w:r>
            <w:r>
              <w:rPr>
                <w:rFonts w:hint="default"/>
                <w:color w:val="auto"/>
                <w:sz w:val="24"/>
                <w:vertAlign w:val="subscript"/>
              </w:rPr>
              <w:t>div</w:t>
            </w:r>
            <w:r>
              <w:rPr>
                <w:rFonts w:hint="default"/>
                <w:color w:val="auto"/>
                <w:sz w:val="24"/>
              </w:rPr>
              <w:t>——几何发散引起的衰减，dB；</w:t>
            </w:r>
          </w:p>
          <w:p w14:paraId="084F73E0">
            <w:pPr>
              <w:pStyle w:val="63"/>
              <w:keepNext w:val="0"/>
              <w:keepLines w:val="0"/>
              <w:suppressLineNumbers w:val="0"/>
              <w:tabs>
                <w:tab w:val="bar" w:pos="9540"/>
              </w:tabs>
              <w:snapToGrid w:val="0"/>
              <w:spacing w:beforeAutospacing="0" w:afterAutospacing="0"/>
              <w:ind w:left="0" w:firstLine="1200" w:firstLineChars="500"/>
              <w:jc w:val="left"/>
              <w:rPr>
                <w:rFonts w:hint="default"/>
                <w:color w:val="auto"/>
                <w:kern w:val="0"/>
              </w:rPr>
            </w:pPr>
            <w:r>
              <w:rPr>
                <w:rFonts w:hint="default"/>
                <w:color w:val="auto"/>
                <w:kern w:val="0"/>
              </w:rPr>
              <w:t>r——预测点距声源的距离；</w:t>
            </w:r>
          </w:p>
          <w:p w14:paraId="6A5C0010">
            <w:pPr>
              <w:pStyle w:val="10"/>
              <w:keepNext w:val="0"/>
              <w:keepLines w:val="0"/>
              <w:suppressLineNumbers w:val="0"/>
              <w:snapToGrid w:val="0"/>
              <w:spacing w:before="0" w:beforeAutospacing="0" w:after="0" w:afterAutospacing="0" w:line="360" w:lineRule="auto"/>
              <w:ind w:left="0" w:right="0" w:firstLine="1200" w:firstLineChars="500"/>
              <w:jc w:val="left"/>
              <w:rPr>
                <w:rFonts w:hint="default"/>
                <w:color w:val="auto"/>
                <w:sz w:val="24"/>
              </w:rPr>
            </w:pPr>
            <w:r>
              <w:rPr>
                <w:rFonts w:hint="default"/>
                <w:color w:val="auto"/>
                <w:sz w:val="24"/>
              </w:rPr>
              <w:t>r</w:t>
            </w:r>
            <w:r>
              <w:rPr>
                <w:rFonts w:hint="default"/>
                <w:color w:val="auto"/>
                <w:sz w:val="24"/>
                <w:vertAlign w:val="subscript"/>
              </w:rPr>
              <w:t>0</w:t>
            </w:r>
            <w:r>
              <w:rPr>
                <w:rFonts w:hint="default"/>
                <w:color w:val="auto"/>
                <w:sz w:val="24"/>
              </w:rPr>
              <w:t>——参考位置距声源的距离；</w:t>
            </w:r>
          </w:p>
          <w:p w14:paraId="73191125">
            <w:pPr>
              <w:pStyle w:val="63"/>
              <w:keepNext w:val="0"/>
              <w:keepLines w:val="0"/>
              <w:suppressLineNumbers w:val="0"/>
              <w:tabs>
                <w:tab w:val="bar" w:pos="9540"/>
              </w:tabs>
              <w:snapToGrid w:val="0"/>
              <w:spacing w:beforeAutospacing="0" w:afterAutospacing="0"/>
              <w:ind w:left="0" w:firstLine="480" w:firstLineChars="200"/>
              <w:jc w:val="left"/>
              <w:rPr>
                <w:rFonts w:hint="default"/>
                <w:color w:val="auto"/>
                <w:kern w:val="0"/>
              </w:rPr>
            </w:pPr>
            <w:r>
              <w:rPr>
                <w:rFonts w:hint="default"/>
                <w:color w:val="auto"/>
                <w:kern w:val="0"/>
              </w:rPr>
              <w:t>C、工业企业噪声计算公式：</w:t>
            </w:r>
          </w:p>
          <w:p w14:paraId="654E9548">
            <w:pPr>
              <w:pStyle w:val="10"/>
              <w:keepNext w:val="0"/>
              <w:keepLines w:val="0"/>
              <w:suppressLineNumbers w:val="0"/>
              <w:snapToGrid w:val="0"/>
              <w:spacing w:before="0" w:beforeAutospacing="0" w:after="0" w:afterAutospacing="0" w:line="360" w:lineRule="auto"/>
              <w:ind w:left="0" w:right="0"/>
              <w:jc w:val="center"/>
              <w:rPr>
                <w:rFonts w:hint="default"/>
                <w:color w:val="auto"/>
                <w:sz w:val="24"/>
              </w:rPr>
            </w:pPr>
            <w:r>
              <w:rPr>
                <w:rFonts w:hint="default"/>
                <w:color w:val="auto"/>
                <w:position w:val="-34"/>
                <w:sz w:val="24"/>
              </w:rPr>
              <w:object>
                <v:shape id="_x0000_i1026" o:spt="75" type="#_x0000_t75" style="height:40.5pt;width:203.2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p>
          <w:p w14:paraId="4936DA70">
            <w:pPr>
              <w:pStyle w:val="10"/>
              <w:keepNext w:val="0"/>
              <w:keepLines w:val="0"/>
              <w:suppressLineNumbers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式中：L</w:t>
            </w:r>
            <w:r>
              <w:rPr>
                <w:rFonts w:hint="default"/>
                <w:color w:val="auto"/>
                <w:sz w:val="24"/>
                <w:vertAlign w:val="subscript"/>
              </w:rPr>
              <w:t>eqg</w:t>
            </w:r>
            <w:r>
              <w:rPr>
                <w:rFonts w:hint="default"/>
                <w:color w:val="auto"/>
                <w:sz w:val="24"/>
              </w:rPr>
              <w:t>——建设项目声源在预测点产生的噪声贡献值，dB；</w:t>
            </w:r>
          </w:p>
          <w:p w14:paraId="5BB5FF77">
            <w:pPr>
              <w:pStyle w:val="10"/>
              <w:keepNext w:val="0"/>
              <w:keepLines w:val="0"/>
              <w:suppressLineNumbers w:val="0"/>
              <w:snapToGrid w:val="0"/>
              <w:spacing w:before="0" w:beforeAutospacing="0" w:after="0" w:afterAutospacing="0" w:line="360" w:lineRule="auto"/>
              <w:ind w:left="0" w:right="0" w:firstLine="1200" w:firstLineChars="500"/>
              <w:rPr>
                <w:rFonts w:hint="default"/>
                <w:color w:val="auto"/>
                <w:sz w:val="24"/>
              </w:rPr>
            </w:pPr>
            <w:r>
              <w:rPr>
                <w:rFonts w:hint="default"/>
                <w:color w:val="auto"/>
                <w:sz w:val="24"/>
              </w:rPr>
              <w:t>T——用于计算等效声级的时间，s；</w:t>
            </w:r>
          </w:p>
          <w:p w14:paraId="37307B12">
            <w:pPr>
              <w:pStyle w:val="63"/>
              <w:keepNext w:val="0"/>
              <w:keepLines w:val="0"/>
              <w:suppressLineNumbers w:val="0"/>
              <w:tabs>
                <w:tab w:val="bar" w:pos="9540"/>
              </w:tabs>
              <w:snapToGrid w:val="0"/>
              <w:spacing w:beforeAutospacing="0" w:afterAutospacing="0"/>
              <w:ind w:left="0" w:firstLine="1200" w:firstLineChars="500"/>
              <w:jc w:val="left"/>
              <w:rPr>
                <w:rFonts w:hint="default"/>
                <w:color w:val="auto"/>
                <w:kern w:val="0"/>
              </w:rPr>
            </w:pPr>
            <w:r>
              <w:rPr>
                <w:rFonts w:hint="default"/>
                <w:color w:val="auto"/>
                <w:kern w:val="0"/>
              </w:rPr>
              <w:t>N——室外声源个数；</w:t>
            </w:r>
          </w:p>
          <w:p w14:paraId="17E5CAFA">
            <w:pPr>
              <w:pStyle w:val="63"/>
              <w:keepNext w:val="0"/>
              <w:keepLines w:val="0"/>
              <w:suppressLineNumbers w:val="0"/>
              <w:tabs>
                <w:tab w:val="bar" w:pos="9540"/>
              </w:tabs>
              <w:snapToGrid w:val="0"/>
              <w:spacing w:beforeAutospacing="0" w:afterAutospacing="0"/>
              <w:ind w:left="0" w:firstLine="1200" w:firstLineChars="500"/>
              <w:jc w:val="left"/>
              <w:rPr>
                <w:rFonts w:hint="default"/>
                <w:color w:val="auto"/>
                <w:kern w:val="0"/>
              </w:rPr>
            </w:pPr>
            <w:r>
              <w:rPr>
                <w:rFonts w:hint="default"/>
                <w:color w:val="auto"/>
                <w:kern w:val="0"/>
              </w:rPr>
              <w:t>t</w:t>
            </w:r>
            <w:r>
              <w:rPr>
                <w:rFonts w:hint="default"/>
                <w:color w:val="auto"/>
                <w:kern w:val="0"/>
                <w:vertAlign w:val="subscript"/>
              </w:rPr>
              <w:t>i</w:t>
            </w:r>
            <w:r>
              <w:rPr>
                <w:rFonts w:hint="default"/>
                <w:color w:val="auto"/>
                <w:kern w:val="0"/>
              </w:rPr>
              <w:t>——在T时间内i声源工作时间，s；</w:t>
            </w:r>
          </w:p>
          <w:p w14:paraId="68FBE783">
            <w:pPr>
              <w:pStyle w:val="63"/>
              <w:keepNext w:val="0"/>
              <w:keepLines w:val="0"/>
              <w:suppressLineNumbers w:val="0"/>
              <w:tabs>
                <w:tab w:val="bar" w:pos="9540"/>
              </w:tabs>
              <w:snapToGrid w:val="0"/>
              <w:spacing w:beforeAutospacing="0" w:afterAutospacing="0"/>
              <w:ind w:left="0" w:firstLine="1200" w:firstLineChars="500"/>
              <w:jc w:val="left"/>
              <w:rPr>
                <w:rFonts w:hint="default"/>
                <w:color w:val="auto"/>
                <w:kern w:val="0"/>
              </w:rPr>
            </w:pPr>
            <w:r>
              <w:rPr>
                <w:rFonts w:hint="default"/>
                <w:color w:val="auto"/>
                <w:kern w:val="0"/>
              </w:rPr>
              <w:t>M——等效室外声源个数；</w:t>
            </w:r>
          </w:p>
          <w:p w14:paraId="2EAA4797">
            <w:pPr>
              <w:pStyle w:val="63"/>
              <w:keepNext w:val="0"/>
              <w:keepLines w:val="0"/>
              <w:suppressLineNumbers w:val="0"/>
              <w:tabs>
                <w:tab w:val="bar" w:pos="9540"/>
              </w:tabs>
              <w:snapToGrid w:val="0"/>
              <w:spacing w:beforeAutospacing="0" w:afterAutospacing="0"/>
              <w:ind w:left="0" w:firstLine="1200" w:firstLineChars="500"/>
              <w:jc w:val="left"/>
              <w:rPr>
                <w:rFonts w:hint="default"/>
                <w:color w:val="auto"/>
                <w:kern w:val="0"/>
              </w:rPr>
            </w:pPr>
            <w:r>
              <w:rPr>
                <w:rFonts w:hint="default"/>
                <w:color w:val="auto"/>
                <w:kern w:val="0"/>
              </w:rPr>
              <w:t>tj——在T时间内j声源工作时间，s。</w:t>
            </w:r>
          </w:p>
          <w:p w14:paraId="27E62558">
            <w:pPr>
              <w:keepNext w:val="0"/>
              <w:keepLines w:val="0"/>
              <w:widowControl/>
              <w:suppressLineNumbers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项目噪声源与各预测点的距离情况见表4-1</w:t>
            </w:r>
            <w:r>
              <w:rPr>
                <w:rFonts w:hint="eastAsia"/>
                <w:color w:val="auto"/>
                <w:kern w:val="0"/>
                <w:sz w:val="24"/>
                <w:lang w:val="en-US" w:eastAsia="zh-CN"/>
              </w:rPr>
              <w:t>1</w:t>
            </w:r>
            <w:r>
              <w:rPr>
                <w:rFonts w:hint="eastAsia"/>
                <w:color w:val="auto"/>
                <w:kern w:val="0"/>
                <w:sz w:val="24"/>
              </w:rPr>
              <w:t>，贡献值预测结果见表 4-1</w:t>
            </w:r>
            <w:r>
              <w:rPr>
                <w:rFonts w:hint="eastAsia"/>
                <w:color w:val="auto"/>
                <w:kern w:val="0"/>
                <w:sz w:val="24"/>
                <w:lang w:val="en-US" w:eastAsia="zh-CN"/>
              </w:rPr>
              <w:t>2</w:t>
            </w:r>
            <w:r>
              <w:rPr>
                <w:rFonts w:hint="eastAsia"/>
                <w:color w:val="auto"/>
                <w:kern w:val="0"/>
                <w:sz w:val="24"/>
              </w:rPr>
              <w:t>。</w:t>
            </w:r>
          </w:p>
          <w:p w14:paraId="22154EE3">
            <w:pPr>
              <w:keepNext/>
              <w:keepLines w:val="0"/>
              <w:suppressLineNumbers w:val="0"/>
              <w:spacing w:before="0" w:beforeAutospacing="0" w:after="0" w:afterAutospacing="0"/>
              <w:ind w:left="0" w:right="0"/>
              <w:jc w:val="center"/>
              <w:rPr>
                <w:rFonts w:hint="default"/>
                <w:b/>
                <w:color w:val="auto"/>
                <w:kern w:val="0"/>
                <w:sz w:val="21"/>
                <w:szCs w:val="21"/>
              </w:rPr>
            </w:pPr>
          </w:p>
          <w:p w14:paraId="5739D61A">
            <w:pPr>
              <w:keepNext/>
              <w:keepLines w:val="0"/>
              <w:suppressLineNumbers w:val="0"/>
              <w:spacing w:before="0" w:beforeAutospacing="0" w:after="0" w:afterAutospacing="0"/>
              <w:ind w:left="0" w:right="0"/>
              <w:jc w:val="center"/>
              <w:rPr>
                <w:rFonts w:hint="default"/>
                <w:b/>
                <w:color w:val="auto"/>
                <w:kern w:val="0"/>
                <w:sz w:val="21"/>
                <w:szCs w:val="21"/>
              </w:rPr>
            </w:pPr>
          </w:p>
          <w:p w14:paraId="42B313EA">
            <w:pPr>
              <w:keepNext/>
              <w:keepLines w:val="0"/>
              <w:suppressLineNumbers w:val="0"/>
              <w:spacing w:before="0" w:beforeAutospacing="0" w:after="0" w:afterAutospacing="0"/>
              <w:ind w:left="0" w:right="0"/>
              <w:jc w:val="center"/>
              <w:rPr>
                <w:rFonts w:hint="default"/>
                <w:b/>
                <w:color w:val="auto"/>
                <w:kern w:val="0"/>
                <w:sz w:val="21"/>
                <w:szCs w:val="21"/>
              </w:rPr>
            </w:pPr>
          </w:p>
          <w:p w14:paraId="2D659845">
            <w:pPr>
              <w:keepNext/>
              <w:keepLines w:val="0"/>
              <w:suppressLineNumbers w:val="0"/>
              <w:spacing w:before="0" w:beforeAutospacing="0" w:after="0" w:afterAutospacing="0"/>
              <w:ind w:left="0" w:right="0"/>
              <w:jc w:val="center"/>
              <w:rPr>
                <w:rFonts w:hint="default"/>
                <w:b/>
                <w:color w:val="auto"/>
                <w:kern w:val="0"/>
                <w:sz w:val="21"/>
                <w:szCs w:val="21"/>
              </w:rPr>
            </w:pPr>
          </w:p>
          <w:p w14:paraId="486F55D7">
            <w:pPr>
              <w:keepNext/>
              <w:keepLines w:val="0"/>
              <w:suppressLineNumbers w:val="0"/>
              <w:spacing w:before="0" w:beforeAutospacing="0" w:after="0" w:afterAutospacing="0"/>
              <w:ind w:left="0" w:right="0"/>
              <w:jc w:val="center"/>
              <w:rPr>
                <w:rFonts w:hint="default"/>
                <w:b/>
                <w:color w:val="auto"/>
                <w:kern w:val="0"/>
                <w:sz w:val="21"/>
                <w:szCs w:val="21"/>
              </w:rPr>
            </w:pPr>
          </w:p>
          <w:p w14:paraId="1C36909A">
            <w:pPr>
              <w:keepNext/>
              <w:keepLines w:val="0"/>
              <w:suppressLineNumbers w:val="0"/>
              <w:spacing w:before="0" w:beforeAutospacing="0" w:after="0" w:afterAutospacing="0"/>
              <w:ind w:left="0" w:right="0"/>
              <w:jc w:val="center"/>
              <w:rPr>
                <w:rFonts w:hint="default"/>
                <w:b/>
                <w:color w:val="auto"/>
                <w:kern w:val="0"/>
                <w:sz w:val="21"/>
                <w:szCs w:val="21"/>
              </w:rPr>
            </w:pPr>
          </w:p>
          <w:p w14:paraId="55E290A8">
            <w:pPr>
              <w:keepNext/>
              <w:keepLines w:val="0"/>
              <w:suppressLineNumbers w:val="0"/>
              <w:spacing w:before="0" w:beforeAutospacing="0" w:after="0" w:afterAutospacing="0"/>
              <w:ind w:left="0" w:right="0"/>
              <w:jc w:val="center"/>
              <w:rPr>
                <w:rFonts w:hint="default"/>
                <w:b/>
                <w:color w:val="auto"/>
                <w:kern w:val="0"/>
                <w:sz w:val="21"/>
                <w:szCs w:val="21"/>
              </w:rPr>
            </w:pPr>
            <w:r>
              <w:rPr>
                <w:rFonts w:hint="default"/>
                <w:b/>
                <w:color w:val="auto"/>
                <w:kern w:val="0"/>
                <w:sz w:val="21"/>
                <w:szCs w:val="21"/>
              </w:rPr>
              <w:t>表4-</w:t>
            </w:r>
            <w:r>
              <w:rPr>
                <w:rFonts w:hint="eastAsia"/>
                <w:b/>
                <w:color w:val="auto"/>
                <w:kern w:val="0"/>
                <w:sz w:val="21"/>
                <w:szCs w:val="21"/>
              </w:rPr>
              <w:t>1</w:t>
            </w:r>
            <w:r>
              <w:rPr>
                <w:rFonts w:hint="eastAsia"/>
                <w:b/>
                <w:color w:val="auto"/>
                <w:kern w:val="0"/>
                <w:sz w:val="21"/>
                <w:szCs w:val="21"/>
                <w:lang w:val="en-US" w:eastAsia="zh-CN"/>
              </w:rPr>
              <w:t>1</w:t>
            </w:r>
            <w:r>
              <w:rPr>
                <w:rFonts w:hint="default"/>
                <w:b/>
                <w:color w:val="auto"/>
                <w:kern w:val="0"/>
                <w:sz w:val="21"/>
                <w:szCs w:val="21"/>
              </w:rPr>
              <w:t xml:space="preserve">  </w:t>
            </w:r>
            <w:r>
              <w:rPr>
                <w:rFonts w:hint="eastAsia"/>
                <w:b/>
                <w:color w:val="auto"/>
                <w:kern w:val="0"/>
                <w:sz w:val="21"/>
                <w:szCs w:val="21"/>
              </w:rPr>
              <w:t>项目噪声源与各厂界的距离情况一览表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524"/>
              <w:gridCol w:w="1501"/>
              <w:gridCol w:w="1373"/>
              <w:gridCol w:w="1320"/>
              <w:gridCol w:w="1292"/>
            </w:tblGrid>
            <w:tr w14:paraId="287B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77" w:type="pct"/>
                  <w:vMerge w:val="restart"/>
                  <w:vAlign w:val="center"/>
                </w:tcPr>
                <w:p w14:paraId="177F6DA7">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eastAsiaTheme="minorEastAsia"/>
                      <w:b/>
                      <w:color w:val="auto"/>
                      <w:kern w:val="0"/>
                      <w:sz w:val="21"/>
                      <w:szCs w:val="21"/>
                    </w:rPr>
                    <w:t>设备位置</w:t>
                  </w:r>
                </w:p>
              </w:tc>
              <w:tc>
                <w:tcPr>
                  <w:tcW w:w="918" w:type="pct"/>
                  <w:vMerge w:val="restart"/>
                  <w:vAlign w:val="center"/>
                </w:tcPr>
                <w:p w14:paraId="390596C1">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eastAsiaTheme="minorEastAsia"/>
                      <w:b/>
                      <w:color w:val="auto"/>
                      <w:kern w:val="0"/>
                      <w:sz w:val="21"/>
                      <w:szCs w:val="21"/>
                    </w:rPr>
                    <w:t>设备名称</w:t>
                  </w:r>
                </w:p>
              </w:tc>
              <w:tc>
                <w:tcPr>
                  <w:tcW w:w="3304" w:type="pct"/>
                  <w:gridSpan w:val="4"/>
                  <w:vAlign w:val="center"/>
                </w:tcPr>
                <w:p w14:paraId="0F5DA00F">
                  <w:pPr>
                    <w:keepNext/>
                    <w:keepLines w:val="0"/>
                    <w:suppressLineNumbers w:val="0"/>
                    <w:adjustRightInd w:val="0"/>
                    <w:snapToGrid w:val="0"/>
                    <w:spacing w:before="0" w:beforeAutospacing="0" w:after="0" w:afterAutospacing="0"/>
                    <w:ind w:left="0" w:right="0"/>
                    <w:jc w:val="center"/>
                    <w:rPr>
                      <w:rFonts w:hint="default" w:eastAsiaTheme="minorEastAsia"/>
                      <w:b/>
                      <w:color w:val="auto"/>
                      <w:kern w:val="0"/>
                      <w:sz w:val="21"/>
                      <w:szCs w:val="21"/>
                    </w:rPr>
                  </w:pPr>
                  <w:r>
                    <w:rPr>
                      <w:rFonts w:hint="eastAsia" w:eastAsiaTheme="minorEastAsia"/>
                      <w:b/>
                      <w:color w:val="auto"/>
                      <w:kern w:val="0"/>
                      <w:sz w:val="21"/>
                      <w:szCs w:val="21"/>
                    </w:rPr>
                    <w:t>预测点及距离（m）</w:t>
                  </w:r>
                </w:p>
              </w:tc>
            </w:tr>
            <w:tr w14:paraId="5CB4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Merge w:val="continue"/>
                  <w:vAlign w:val="center"/>
                </w:tcPr>
                <w:p w14:paraId="7EA487A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918" w:type="pct"/>
                  <w:vMerge w:val="continue"/>
                  <w:vAlign w:val="center"/>
                </w:tcPr>
                <w:p w14:paraId="46E88E6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904" w:type="pct"/>
                  <w:vAlign w:val="center"/>
                </w:tcPr>
                <w:p w14:paraId="1C329606">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北厂界</w:t>
                  </w:r>
                </w:p>
              </w:tc>
              <w:tc>
                <w:tcPr>
                  <w:tcW w:w="827" w:type="pct"/>
                  <w:vAlign w:val="center"/>
                </w:tcPr>
                <w:p w14:paraId="6D1AD6E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东厂界</w:t>
                  </w:r>
                </w:p>
              </w:tc>
              <w:tc>
                <w:tcPr>
                  <w:tcW w:w="795" w:type="pct"/>
                  <w:vAlign w:val="center"/>
                </w:tcPr>
                <w:p w14:paraId="10EF519E">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南厂界</w:t>
                  </w:r>
                </w:p>
              </w:tc>
              <w:tc>
                <w:tcPr>
                  <w:tcW w:w="778" w:type="pct"/>
                  <w:vAlign w:val="center"/>
                </w:tcPr>
                <w:p w14:paraId="1B00E31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西厂界</w:t>
                  </w:r>
                </w:p>
              </w:tc>
            </w:tr>
            <w:tr w14:paraId="26F0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7" w:type="pct"/>
                  <w:vMerge w:val="restart"/>
                  <w:vAlign w:val="center"/>
                </w:tcPr>
                <w:p w14:paraId="03630F8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lang w:val="en-US" w:eastAsia="zh-CN"/>
                    </w:rPr>
                    <w:t>化学实验室</w:t>
                  </w:r>
                </w:p>
              </w:tc>
              <w:tc>
                <w:tcPr>
                  <w:tcW w:w="918" w:type="pct"/>
                  <w:vAlign w:val="center"/>
                </w:tcPr>
                <w:p w14:paraId="7ACC6C3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通风橱1</w:t>
                  </w:r>
                </w:p>
              </w:tc>
              <w:tc>
                <w:tcPr>
                  <w:tcW w:w="904" w:type="pct"/>
                  <w:vAlign w:val="center"/>
                </w:tcPr>
                <w:p w14:paraId="455770E3">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21</w:t>
                  </w:r>
                </w:p>
              </w:tc>
              <w:tc>
                <w:tcPr>
                  <w:tcW w:w="827" w:type="pct"/>
                  <w:vAlign w:val="center"/>
                </w:tcPr>
                <w:p w14:paraId="65DB4E5E">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25</w:t>
                  </w:r>
                </w:p>
              </w:tc>
              <w:tc>
                <w:tcPr>
                  <w:tcW w:w="795" w:type="pct"/>
                  <w:vAlign w:val="center"/>
                </w:tcPr>
                <w:p w14:paraId="22D4273E">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15</w:t>
                  </w:r>
                </w:p>
              </w:tc>
              <w:tc>
                <w:tcPr>
                  <w:tcW w:w="778" w:type="pct"/>
                  <w:vAlign w:val="center"/>
                </w:tcPr>
                <w:p w14:paraId="24AB2D82">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33</w:t>
                  </w:r>
                </w:p>
              </w:tc>
            </w:tr>
            <w:tr w14:paraId="0E68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Merge w:val="continue"/>
                  <w:vAlign w:val="center"/>
                </w:tcPr>
                <w:p w14:paraId="49276C3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918" w:type="pct"/>
                  <w:vAlign w:val="center"/>
                </w:tcPr>
                <w:p w14:paraId="25F6C87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通风橱2</w:t>
                  </w:r>
                </w:p>
              </w:tc>
              <w:tc>
                <w:tcPr>
                  <w:tcW w:w="904" w:type="pct"/>
                  <w:vAlign w:val="center"/>
                </w:tcPr>
                <w:p w14:paraId="370F4DB3">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21</w:t>
                  </w:r>
                </w:p>
              </w:tc>
              <w:tc>
                <w:tcPr>
                  <w:tcW w:w="827" w:type="pct"/>
                  <w:vAlign w:val="center"/>
                </w:tcPr>
                <w:p w14:paraId="6F03AF5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23</w:t>
                  </w:r>
                </w:p>
              </w:tc>
              <w:tc>
                <w:tcPr>
                  <w:tcW w:w="795" w:type="pct"/>
                  <w:vAlign w:val="center"/>
                </w:tcPr>
                <w:p w14:paraId="1C7BA8BF">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15</w:t>
                  </w:r>
                </w:p>
              </w:tc>
              <w:tc>
                <w:tcPr>
                  <w:tcW w:w="778" w:type="pct"/>
                  <w:vAlign w:val="center"/>
                </w:tcPr>
                <w:p w14:paraId="27FC31A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33</w:t>
                  </w:r>
                </w:p>
              </w:tc>
            </w:tr>
            <w:tr w14:paraId="232A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Merge w:val="continue"/>
                  <w:vAlign w:val="center"/>
                </w:tcPr>
                <w:p w14:paraId="422606A2">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918" w:type="pct"/>
                  <w:vAlign w:val="center"/>
                </w:tcPr>
                <w:p w14:paraId="15DB283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通风橱3</w:t>
                  </w:r>
                </w:p>
              </w:tc>
              <w:tc>
                <w:tcPr>
                  <w:tcW w:w="904" w:type="pct"/>
                  <w:vAlign w:val="center"/>
                </w:tcPr>
                <w:p w14:paraId="68E105A6">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22</w:t>
                  </w:r>
                </w:p>
              </w:tc>
              <w:tc>
                <w:tcPr>
                  <w:tcW w:w="827" w:type="pct"/>
                  <w:vAlign w:val="center"/>
                </w:tcPr>
                <w:p w14:paraId="5F3F692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25</w:t>
                  </w:r>
                </w:p>
              </w:tc>
              <w:tc>
                <w:tcPr>
                  <w:tcW w:w="795" w:type="pct"/>
                  <w:vAlign w:val="center"/>
                </w:tcPr>
                <w:p w14:paraId="3018E11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14</w:t>
                  </w:r>
                </w:p>
              </w:tc>
              <w:tc>
                <w:tcPr>
                  <w:tcW w:w="778" w:type="pct"/>
                  <w:vAlign w:val="center"/>
                </w:tcPr>
                <w:p w14:paraId="127AB92C">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33</w:t>
                  </w:r>
                </w:p>
              </w:tc>
            </w:tr>
            <w:tr w14:paraId="71F0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Merge w:val="continue"/>
                  <w:vAlign w:val="center"/>
                </w:tcPr>
                <w:p w14:paraId="30F3343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918" w:type="pct"/>
                  <w:vAlign w:val="center"/>
                </w:tcPr>
                <w:p w14:paraId="1FDFE3EF">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rPr>
                  </w:pPr>
                  <w:r>
                    <w:rPr>
                      <w:rFonts w:hint="eastAsia" w:eastAsiaTheme="minorEastAsia"/>
                      <w:color w:val="auto"/>
                      <w:kern w:val="0"/>
                      <w:sz w:val="21"/>
                      <w:szCs w:val="21"/>
                    </w:rPr>
                    <w:t>通风橱4</w:t>
                  </w:r>
                </w:p>
              </w:tc>
              <w:tc>
                <w:tcPr>
                  <w:tcW w:w="904" w:type="pct"/>
                  <w:vAlign w:val="center"/>
                </w:tcPr>
                <w:p w14:paraId="564B047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22</w:t>
                  </w:r>
                </w:p>
              </w:tc>
              <w:tc>
                <w:tcPr>
                  <w:tcW w:w="827" w:type="pct"/>
                  <w:vAlign w:val="center"/>
                </w:tcPr>
                <w:p w14:paraId="1C22A47E">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23</w:t>
                  </w:r>
                </w:p>
              </w:tc>
              <w:tc>
                <w:tcPr>
                  <w:tcW w:w="795" w:type="pct"/>
                  <w:vAlign w:val="center"/>
                </w:tcPr>
                <w:p w14:paraId="38B4FC5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14</w:t>
                  </w:r>
                </w:p>
              </w:tc>
              <w:tc>
                <w:tcPr>
                  <w:tcW w:w="778" w:type="pct"/>
                  <w:vAlign w:val="center"/>
                </w:tcPr>
                <w:p w14:paraId="77E88833">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35</w:t>
                  </w:r>
                </w:p>
              </w:tc>
            </w:tr>
            <w:tr w14:paraId="5E23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Merge w:val="continue"/>
                  <w:vAlign w:val="center"/>
                </w:tcPr>
                <w:p w14:paraId="413B27F9">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918" w:type="pct"/>
                  <w:vAlign w:val="center"/>
                </w:tcPr>
                <w:p w14:paraId="3283F83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风机1</w:t>
                  </w:r>
                </w:p>
              </w:tc>
              <w:tc>
                <w:tcPr>
                  <w:tcW w:w="904" w:type="pct"/>
                  <w:vAlign w:val="center"/>
                </w:tcPr>
                <w:p w14:paraId="79A3411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16</w:t>
                  </w:r>
                </w:p>
              </w:tc>
              <w:tc>
                <w:tcPr>
                  <w:tcW w:w="827" w:type="pct"/>
                  <w:vAlign w:val="center"/>
                </w:tcPr>
                <w:p w14:paraId="1568ABD6">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18</w:t>
                  </w:r>
                </w:p>
              </w:tc>
              <w:tc>
                <w:tcPr>
                  <w:tcW w:w="795" w:type="pct"/>
                  <w:vAlign w:val="center"/>
                </w:tcPr>
                <w:p w14:paraId="32CA49B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20</w:t>
                  </w:r>
                </w:p>
              </w:tc>
              <w:tc>
                <w:tcPr>
                  <w:tcW w:w="778" w:type="pct"/>
                  <w:vAlign w:val="center"/>
                </w:tcPr>
                <w:p w14:paraId="04ED35A9">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40</w:t>
                  </w:r>
                </w:p>
              </w:tc>
            </w:tr>
            <w:tr w14:paraId="2AAB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Merge w:val="restart"/>
                  <w:vAlign w:val="center"/>
                </w:tcPr>
                <w:p w14:paraId="0E152786">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lang w:val="en-US" w:eastAsia="zh-CN"/>
                    </w:rPr>
                    <w:t>沥青实验室</w:t>
                  </w:r>
                </w:p>
              </w:tc>
              <w:tc>
                <w:tcPr>
                  <w:tcW w:w="918" w:type="pct"/>
                  <w:vAlign w:val="center"/>
                </w:tcPr>
                <w:p w14:paraId="6EDF738A">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eastAsia="zh-CN"/>
                    </w:rPr>
                  </w:pPr>
                  <w:r>
                    <w:rPr>
                      <w:rFonts w:hint="eastAsia" w:eastAsiaTheme="minorEastAsia"/>
                      <w:color w:val="auto"/>
                      <w:kern w:val="0"/>
                      <w:sz w:val="21"/>
                      <w:szCs w:val="21"/>
                    </w:rPr>
                    <w:t>通风橱</w:t>
                  </w:r>
                  <w:r>
                    <w:rPr>
                      <w:rFonts w:hint="eastAsia" w:eastAsiaTheme="minorEastAsia"/>
                      <w:color w:val="auto"/>
                      <w:kern w:val="0"/>
                      <w:sz w:val="21"/>
                      <w:szCs w:val="21"/>
                      <w:lang w:val="en-US" w:eastAsia="zh-CN"/>
                    </w:rPr>
                    <w:t>5</w:t>
                  </w:r>
                </w:p>
              </w:tc>
              <w:tc>
                <w:tcPr>
                  <w:tcW w:w="904" w:type="pct"/>
                  <w:vAlign w:val="center"/>
                </w:tcPr>
                <w:p w14:paraId="07B9334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19</w:t>
                  </w:r>
                </w:p>
              </w:tc>
              <w:tc>
                <w:tcPr>
                  <w:tcW w:w="827" w:type="pct"/>
                  <w:vAlign w:val="center"/>
                </w:tcPr>
                <w:p w14:paraId="619C388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47</w:t>
                  </w:r>
                </w:p>
              </w:tc>
              <w:tc>
                <w:tcPr>
                  <w:tcW w:w="795" w:type="pct"/>
                  <w:vAlign w:val="center"/>
                </w:tcPr>
                <w:p w14:paraId="7ACAA36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14</w:t>
                  </w:r>
                </w:p>
              </w:tc>
              <w:tc>
                <w:tcPr>
                  <w:tcW w:w="778" w:type="pct"/>
                  <w:vAlign w:val="center"/>
                </w:tcPr>
                <w:p w14:paraId="291479BA">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10</w:t>
                  </w:r>
                </w:p>
              </w:tc>
            </w:tr>
            <w:tr w14:paraId="6E49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Merge w:val="continue"/>
                  <w:vAlign w:val="center"/>
                </w:tcPr>
                <w:p w14:paraId="7D0942C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918" w:type="pct"/>
                  <w:vAlign w:val="center"/>
                </w:tcPr>
                <w:p w14:paraId="36F1E403">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rPr>
                    <w:t>风机2</w:t>
                  </w:r>
                </w:p>
              </w:tc>
              <w:tc>
                <w:tcPr>
                  <w:tcW w:w="904" w:type="pct"/>
                  <w:vAlign w:val="center"/>
                </w:tcPr>
                <w:p w14:paraId="728C6CB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15</w:t>
                  </w:r>
                </w:p>
              </w:tc>
              <w:tc>
                <w:tcPr>
                  <w:tcW w:w="827" w:type="pct"/>
                  <w:vAlign w:val="center"/>
                </w:tcPr>
                <w:p w14:paraId="63C6B14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51</w:t>
                  </w:r>
                </w:p>
              </w:tc>
              <w:tc>
                <w:tcPr>
                  <w:tcW w:w="795" w:type="pct"/>
                  <w:vAlign w:val="center"/>
                </w:tcPr>
                <w:p w14:paraId="7F7FF24F">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18</w:t>
                  </w:r>
                </w:p>
              </w:tc>
              <w:tc>
                <w:tcPr>
                  <w:tcW w:w="778" w:type="pct"/>
                  <w:vAlign w:val="center"/>
                </w:tcPr>
                <w:p w14:paraId="2D51AD9F">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6</w:t>
                  </w:r>
                </w:p>
              </w:tc>
            </w:tr>
            <w:tr w14:paraId="437B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Merge w:val="continue"/>
                  <w:vAlign w:val="center"/>
                </w:tcPr>
                <w:p w14:paraId="3AA48B63">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918" w:type="pct"/>
                  <w:vAlign w:val="center"/>
                </w:tcPr>
                <w:p w14:paraId="031C66F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lang w:val="en-US" w:eastAsia="zh-CN"/>
                    </w:rPr>
                    <w:t>智能沥青混合料拌合机</w:t>
                  </w:r>
                </w:p>
              </w:tc>
              <w:tc>
                <w:tcPr>
                  <w:tcW w:w="904" w:type="pct"/>
                  <w:vAlign w:val="center"/>
                </w:tcPr>
                <w:p w14:paraId="7C85532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19</w:t>
                  </w:r>
                </w:p>
              </w:tc>
              <w:tc>
                <w:tcPr>
                  <w:tcW w:w="827" w:type="pct"/>
                  <w:vAlign w:val="center"/>
                </w:tcPr>
                <w:p w14:paraId="03BCF7F6">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45</w:t>
                  </w:r>
                </w:p>
              </w:tc>
              <w:tc>
                <w:tcPr>
                  <w:tcW w:w="795" w:type="pct"/>
                  <w:vAlign w:val="center"/>
                </w:tcPr>
                <w:p w14:paraId="59C80C36">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15</w:t>
                  </w:r>
                </w:p>
              </w:tc>
              <w:tc>
                <w:tcPr>
                  <w:tcW w:w="778" w:type="pct"/>
                  <w:vAlign w:val="center"/>
                </w:tcPr>
                <w:p w14:paraId="77249666">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11</w:t>
                  </w:r>
                </w:p>
              </w:tc>
            </w:tr>
            <w:tr w14:paraId="4A21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Merge w:val="restart"/>
                  <w:vAlign w:val="center"/>
                </w:tcPr>
                <w:p w14:paraId="78BB70FE">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lang w:val="en-US" w:eastAsia="zh-CN"/>
                    </w:rPr>
                    <w:t>土工室</w:t>
                  </w:r>
                </w:p>
              </w:tc>
              <w:tc>
                <w:tcPr>
                  <w:tcW w:w="918" w:type="pct"/>
                  <w:vAlign w:val="center"/>
                </w:tcPr>
                <w:p w14:paraId="0528F393">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lang w:val="en-US" w:eastAsia="zh-CN"/>
                    </w:rPr>
                    <w:t>标准筛</w:t>
                  </w:r>
                </w:p>
              </w:tc>
              <w:tc>
                <w:tcPr>
                  <w:tcW w:w="1501" w:type="dxa"/>
                  <w:vAlign w:val="center"/>
                </w:tcPr>
                <w:p w14:paraId="1D14CDE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23</w:t>
                  </w:r>
                </w:p>
              </w:tc>
              <w:tc>
                <w:tcPr>
                  <w:tcW w:w="1373" w:type="dxa"/>
                  <w:vAlign w:val="center"/>
                </w:tcPr>
                <w:p w14:paraId="44786C7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35</w:t>
                  </w:r>
                </w:p>
              </w:tc>
              <w:tc>
                <w:tcPr>
                  <w:tcW w:w="1320" w:type="dxa"/>
                  <w:vAlign w:val="center"/>
                </w:tcPr>
                <w:p w14:paraId="024DB33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12</w:t>
                  </w:r>
                </w:p>
              </w:tc>
              <w:tc>
                <w:tcPr>
                  <w:tcW w:w="1292" w:type="dxa"/>
                  <w:vAlign w:val="center"/>
                </w:tcPr>
                <w:p w14:paraId="5A854CD2">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23</w:t>
                  </w:r>
                </w:p>
              </w:tc>
            </w:tr>
            <w:tr w14:paraId="386F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Merge w:val="continue"/>
                  <w:vAlign w:val="center"/>
                </w:tcPr>
                <w:p w14:paraId="04E32FF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918" w:type="pct"/>
                  <w:vAlign w:val="center"/>
                </w:tcPr>
                <w:p w14:paraId="62859A0B">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lang w:val="en-US" w:eastAsia="zh-CN"/>
                    </w:rPr>
                    <w:t>试验筛</w:t>
                  </w:r>
                </w:p>
              </w:tc>
              <w:tc>
                <w:tcPr>
                  <w:tcW w:w="904" w:type="pct"/>
                  <w:vAlign w:val="center"/>
                </w:tcPr>
                <w:p w14:paraId="21686CE5">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23</w:t>
                  </w:r>
                </w:p>
              </w:tc>
              <w:tc>
                <w:tcPr>
                  <w:tcW w:w="827" w:type="pct"/>
                  <w:vAlign w:val="center"/>
                </w:tcPr>
                <w:p w14:paraId="1B538B26">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33</w:t>
                  </w:r>
                </w:p>
              </w:tc>
              <w:tc>
                <w:tcPr>
                  <w:tcW w:w="795" w:type="pct"/>
                  <w:vAlign w:val="center"/>
                </w:tcPr>
                <w:p w14:paraId="153358D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12</w:t>
                  </w:r>
                </w:p>
              </w:tc>
              <w:tc>
                <w:tcPr>
                  <w:tcW w:w="778" w:type="pct"/>
                  <w:vAlign w:val="center"/>
                </w:tcPr>
                <w:p w14:paraId="5DA7751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25</w:t>
                  </w:r>
                </w:p>
              </w:tc>
            </w:tr>
            <w:tr w14:paraId="55EA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Merge w:val="restart"/>
                  <w:vAlign w:val="center"/>
                </w:tcPr>
                <w:p w14:paraId="1F0C24BF">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lang w:val="en-US" w:eastAsia="zh-CN"/>
                    </w:rPr>
                    <w:t>混凝土试验间</w:t>
                  </w:r>
                </w:p>
              </w:tc>
              <w:tc>
                <w:tcPr>
                  <w:tcW w:w="918" w:type="pct"/>
                  <w:vAlign w:val="center"/>
                </w:tcPr>
                <w:p w14:paraId="2290B32C">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lang w:val="en-US" w:eastAsia="zh-CN"/>
                    </w:rPr>
                    <w:t>混凝土振动台</w:t>
                  </w:r>
                </w:p>
              </w:tc>
              <w:tc>
                <w:tcPr>
                  <w:tcW w:w="904" w:type="pct"/>
                  <w:vAlign w:val="center"/>
                </w:tcPr>
                <w:p w14:paraId="50576BE4">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26</w:t>
                  </w:r>
                </w:p>
              </w:tc>
              <w:tc>
                <w:tcPr>
                  <w:tcW w:w="827" w:type="pct"/>
                  <w:vAlign w:val="center"/>
                </w:tcPr>
                <w:p w14:paraId="7ADF2789">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43</w:t>
                  </w:r>
                </w:p>
              </w:tc>
              <w:tc>
                <w:tcPr>
                  <w:tcW w:w="795" w:type="pct"/>
                  <w:vAlign w:val="center"/>
                </w:tcPr>
                <w:p w14:paraId="48042CC1">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7</w:t>
                  </w:r>
                </w:p>
              </w:tc>
              <w:tc>
                <w:tcPr>
                  <w:tcW w:w="778" w:type="pct"/>
                  <w:vAlign w:val="center"/>
                </w:tcPr>
                <w:p w14:paraId="0A4A477E">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15</w:t>
                  </w:r>
                </w:p>
              </w:tc>
            </w:tr>
            <w:tr w14:paraId="4E80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Merge w:val="continue"/>
                  <w:vAlign w:val="center"/>
                </w:tcPr>
                <w:p w14:paraId="42C3DED0">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p>
              </w:tc>
              <w:tc>
                <w:tcPr>
                  <w:tcW w:w="918" w:type="pct"/>
                  <w:vAlign w:val="center"/>
                </w:tcPr>
                <w:p w14:paraId="39408E2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lang w:val="en-US" w:eastAsia="zh-CN"/>
                    </w:rPr>
                    <w:t>混凝土搅拌机</w:t>
                  </w:r>
                </w:p>
              </w:tc>
              <w:tc>
                <w:tcPr>
                  <w:tcW w:w="904" w:type="pct"/>
                  <w:vAlign w:val="center"/>
                </w:tcPr>
                <w:p w14:paraId="76F3CA51">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25</w:t>
                  </w:r>
                </w:p>
              </w:tc>
              <w:tc>
                <w:tcPr>
                  <w:tcW w:w="827" w:type="pct"/>
                  <w:vAlign w:val="center"/>
                </w:tcPr>
                <w:p w14:paraId="052C6AAD">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41</w:t>
                  </w:r>
                </w:p>
              </w:tc>
              <w:tc>
                <w:tcPr>
                  <w:tcW w:w="795" w:type="pct"/>
                  <w:vAlign w:val="center"/>
                </w:tcPr>
                <w:p w14:paraId="068D5F63">
                  <w:pPr>
                    <w:keepNext/>
                    <w:keepLines w:val="0"/>
                    <w:suppressLineNumbers w:val="0"/>
                    <w:adjustRightInd w:val="0"/>
                    <w:snapToGrid w:val="0"/>
                    <w:spacing w:before="0" w:beforeAutospacing="0" w:after="0" w:afterAutospacing="0"/>
                    <w:ind w:left="0" w:right="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8</w:t>
                  </w:r>
                </w:p>
              </w:tc>
              <w:tc>
                <w:tcPr>
                  <w:tcW w:w="778" w:type="pct"/>
                  <w:vAlign w:val="center"/>
                </w:tcPr>
                <w:p w14:paraId="20E6EABF">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17</w:t>
                  </w:r>
                </w:p>
              </w:tc>
            </w:tr>
            <w:tr w14:paraId="30D2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5A0A641B">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lang w:val="en-US" w:eastAsia="zh-CN"/>
                    </w:rPr>
                    <w:t>砂石骨料试验间</w:t>
                  </w:r>
                </w:p>
              </w:tc>
              <w:tc>
                <w:tcPr>
                  <w:tcW w:w="918" w:type="pct"/>
                  <w:vAlign w:val="center"/>
                </w:tcPr>
                <w:p w14:paraId="773831E7">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rPr>
                  </w:pPr>
                  <w:r>
                    <w:rPr>
                      <w:rFonts w:hint="eastAsia" w:eastAsiaTheme="minorEastAsia"/>
                      <w:color w:val="auto"/>
                      <w:kern w:val="0"/>
                      <w:sz w:val="21"/>
                      <w:szCs w:val="21"/>
                      <w:lang w:val="en-US" w:eastAsia="zh-CN"/>
                    </w:rPr>
                    <w:t>细集料亚甲蓝试验搅拌机</w:t>
                  </w:r>
                </w:p>
              </w:tc>
              <w:tc>
                <w:tcPr>
                  <w:tcW w:w="904" w:type="pct"/>
                  <w:vAlign w:val="center"/>
                </w:tcPr>
                <w:p w14:paraId="2D9F6C8A">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25</w:t>
                  </w:r>
                </w:p>
              </w:tc>
              <w:tc>
                <w:tcPr>
                  <w:tcW w:w="827" w:type="pct"/>
                  <w:vAlign w:val="center"/>
                </w:tcPr>
                <w:p w14:paraId="1BF03AA3">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28</w:t>
                  </w:r>
                </w:p>
              </w:tc>
              <w:tc>
                <w:tcPr>
                  <w:tcW w:w="795" w:type="pct"/>
                  <w:vAlign w:val="center"/>
                </w:tcPr>
                <w:p w14:paraId="420ED858">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10</w:t>
                  </w:r>
                </w:p>
              </w:tc>
              <w:tc>
                <w:tcPr>
                  <w:tcW w:w="778" w:type="pct"/>
                  <w:vAlign w:val="center"/>
                </w:tcPr>
                <w:p w14:paraId="265EE85B">
                  <w:pPr>
                    <w:keepNext/>
                    <w:keepLines w:val="0"/>
                    <w:suppressLineNumbers w:val="0"/>
                    <w:adjustRightInd w:val="0"/>
                    <w:snapToGrid w:val="0"/>
                    <w:spacing w:before="0" w:beforeAutospacing="0" w:after="0" w:afterAutospacing="0"/>
                    <w:ind w:left="0" w:right="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29</w:t>
                  </w:r>
                </w:p>
              </w:tc>
            </w:tr>
          </w:tbl>
          <w:p w14:paraId="2BBEA708">
            <w:pPr>
              <w:keepNext/>
              <w:keepLines w:val="0"/>
              <w:suppressLineNumbers w:val="0"/>
              <w:spacing w:before="0" w:beforeAutospacing="0" w:after="0" w:afterAutospacing="0"/>
              <w:ind w:left="0" w:right="0"/>
              <w:jc w:val="center"/>
              <w:rPr>
                <w:rFonts w:hint="default"/>
                <w:b/>
                <w:color w:val="auto"/>
                <w:kern w:val="0"/>
                <w:sz w:val="21"/>
                <w:szCs w:val="21"/>
              </w:rPr>
            </w:pPr>
            <w:r>
              <w:rPr>
                <w:rFonts w:hint="default"/>
                <w:b/>
                <w:color w:val="auto"/>
                <w:kern w:val="0"/>
                <w:sz w:val="21"/>
                <w:szCs w:val="21"/>
              </w:rPr>
              <w:t>表4-</w:t>
            </w:r>
            <w:r>
              <w:rPr>
                <w:rFonts w:hint="eastAsia"/>
                <w:b/>
                <w:color w:val="auto"/>
                <w:kern w:val="0"/>
                <w:sz w:val="21"/>
                <w:szCs w:val="21"/>
              </w:rPr>
              <w:t>1</w:t>
            </w:r>
            <w:r>
              <w:rPr>
                <w:rFonts w:hint="eastAsia"/>
                <w:b/>
                <w:color w:val="auto"/>
                <w:kern w:val="0"/>
                <w:sz w:val="21"/>
                <w:szCs w:val="21"/>
                <w:lang w:val="en-US" w:eastAsia="zh-CN"/>
              </w:rPr>
              <w:t>2</w:t>
            </w:r>
            <w:r>
              <w:rPr>
                <w:rFonts w:hint="default"/>
                <w:b/>
                <w:color w:val="auto"/>
                <w:kern w:val="0"/>
                <w:sz w:val="21"/>
                <w:szCs w:val="21"/>
              </w:rPr>
              <w:t xml:space="preserve">   </w:t>
            </w:r>
            <w:r>
              <w:rPr>
                <w:rFonts w:hint="eastAsia"/>
                <w:b/>
                <w:color w:val="auto"/>
                <w:kern w:val="0"/>
                <w:sz w:val="21"/>
                <w:szCs w:val="21"/>
              </w:rPr>
              <w:t>项目厂界噪声预测结果</w:t>
            </w:r>
            <w:r>
              <w:rPr>
                <w:rFonts w:hint="default"/>
                <w:b/>
                <w:color w:val="auto"/>
                <w:kern w:val="0"/>
                <w:sz w:val="21"/>
                <w:szCs w:val="21"/>
              </w:rPr>
              <w:t>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690"/>
              <w:gridCol w:w="2400"/>
              <w:gridCol w:w="1951"/>
              <w:gridCol w:w="1434"/>
            </w:tblGrid>
            <w:tr w14:paraId="6B0C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97" w:type="pct"/>
                  <w:vAlign w:val="center"/>
                </w:tcPr>
                <w:p w14:paraId="3CE1E127">
                  <w:pPr>
                    <w:keepNext w:val="0"/>
                    <w:keepLines w:val="0"/>
                    <w:suppressLineNumbers w:val="0"/>
                    <w:spacing w:before="0" w:beforeAutospacing="0" w:after="0" w:afterAutospacing="0" w:line="240" w:lineRule="atLeast"/>
                    <w:ind w:left="0" w:right="0"/>
                    <w:jc w:val="center"/>
                    <w:rPr>
                      <w:rFonts w:hint="default"/>
                      <w:b/>
                      <w:color w:val="auto"/>
                      <w:szCs w:val="21"/>
                    </w:rPr>
                  </w:pPr>
                  <w:r>
                    <w:rPr>
                      <w:rFonts w:hint="eastAsia"/>
                      <w:b/>
                      <w:color w:val="auto"/>
                      <w:szCs w:val="21"/>
                    </w:rPr>
                    <w:t>序号</w:t>
                  </w:r>
                </w:p>
              </w:tc>
              <w:tc>
                <w:tcPr>
                  <w:tcW w:w="1018" w:type="pct"/>
                  <w:vAlign w:val="center"/>
                </w:tcPr>
                <w:p w14:paraId="198E261F">
                  <w:pPr>
                    <w:keepNext w:val="0"/>
                    <w:keepLines w:val="0"/>
                    <w:suppressLineNumbers w:val="0"/>
                    <w:spacing w:before="0" w:beforeAutospacing="0" w:after="0" w:afterAutospacing="0" w:line="240" w:lineRule="atLeast"/>
                    <w:ind w:left="0" w:right="0"/>
                    <w:jc w:val="center"/>
                    <w:rPr>
                      <w:rFonts w:hint="default"/>
                      <w:b/>
                      <w:color w:val="auto"/>
                      <w:szCs w:val="21"/>
                    </w:rPr>
                  </w:pPr>
                  <w:r>
                    <w:rPr>
                      <w:rFonts w:hint="eastAsia"/>
                      <w:b/>
                      <w:color w:val="auto"/>
                      <w:szCs w:val="21"/>
                    </w:rPr>
                    <w:t>厂界</w:t>
                  </w:r>
                </w:p>
              </w:tc>
              <w:tc>
                <w:tcPr>
                  <w:tcW w:w="1446" w:type="pct"/>
                  <w:vAlign w:val="center"/>
                </w:tcPr>
                <w:p w14:paraId="6B012867">
                  <w:pPr>
                    <w:keepNext w:val="0"/>
                    <w:keepLines w:val="0"/>
                    <w:suppressLineNumbers w:val="0"/>
                    <w:spacing w:before="0" w:beforeAutospacing="0" w:after="0" w:afterAutospacing="0" w:line="240" w:lineRule="atLeast"/>
                    <w:ind w:left="0" w:right="0"/>
                    <w:jc w:val="center"/>
                    <w:rPr>
                      <w:rFonts w:hint="default"/>
                      <w:b/>
                      <w:color w:val="auto"/>
                      <w:szCs w:val="21"/>
                    </w:rPr>
                  </w:pPr>
                  <w:r>
                    <w:rPr>
                      <w:rFonts w:hint="eastAsia"/>
                      <w:b/>
                      <w:color w:val="auto"/>
                      <w:szCs w:val="21"/>
                    </w:rPr>
                    <w:t>噪声贡献值/</w:t>
                  </w:r>
                  <w:r>
                    <w:rPr>
                      <w:rFonts w:hint="default"/>
                      <w:b/>
                      <w:color w:val="auto"/>
                      <w:szCs w:val="21"/>
                    </w:rPr>
                    <w:t>dB（A）</w:t>
                  </w:r>
                </w:p>
              </w:tc>
              <w:tc>
                <w:tcPr>
                  <w:tcW w:w="1175" w:type="pct"/>
                  <w:vAlign w:val="center"/>
                </w:tcPr>
                <w:p w14:paraId="67000D7A">
                  <w:pPr>
                    <w:keepNext w:val="0"/>
                    <w:keepLines w:val="0"/>
                    <w:suppressLineNumbers w:val="0"/>
                    <w:spacing w:before="0" w:beforeAutospacing="0" w:after="0" w:afterAutospacing="0" w:line="240" w:lineRule="atLeast"/>
                    <w:ind w:left="0" w:right="0"/>
                    <w:jc w:val="center"/>
                    <w:rPr>
                      <w:rFonts w:hint="default"/>
                      <w:b/>
                      <w:color w:val="auto"/>
                      <w:szCs w:val="21"/>
                    </w:rPr>
                  </w:pPr>
                  <w:r>
                    <w:rPr>
                      <w:rFonts w:hint="eastAsia"/>
                      <w:b/>
                      <w:color w:val="auto"/>
                      <w:szCs w:val="21"/>
                    </w:rPr>
                    <w:t>标准值/</w:t>
                  </w:r>
                  <w:r>
                    <w:rPr>
                      <w:rFonts w:hint="default"/>
                      <w:b/>
                      <w:color w:val="auto"/>
                      <w:szCs w:val="21"/>
                    </w:rPr>
                    <w:t>dB（A）</w:t>
                  </w:r>
                </w:p>
              </w:tc>
              <w:tc>
                <w:tcPr>
                  <w:tcW w:w="864" w:type="pct"/>
                  <w:vAlign w:val="center"/>
                </w:tcPr>
                <w:p w14:paraId="55FCFEBF">
                  <w:pPr>
                    <w:keepNext w:val="0"/>
                    <w:keepLines w:val="0"/>
                    <w:suppressLineNumbers w:val="0"/>
                    <w:spacing w:before="0" w:beforeAutospacing="0" w:after="0" w:afterAutospacing="0" w:line="240" w:lineRule="atLeast"/>
                    <w:ind w:left="0" w:right="0"/>
                    <w:jc w:val="center"/>
                    <w:rPr>
                      <w:rFonts w:hint="default"/>
                      <w:b/>
                      <w:color w:val="auto"/>
                      <w:szCs w:val="21"/>
                    </w:rPr>
                  </w:pPr>
                  <w:r>
                    <w:rPr>
                      <w:rFonts w:hint="eastAsia"/>
                      <w:b/>
                      <w:color w:val="auto"/>
                      <w:szCs w:val="21"/>
                    </w:rPr>
                    <w:t>达标情况</w:t>
                  </w:r>
                </w:p>
              </w:tc>
            </w:tr>
            <w:tr w14:paraId="5898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Align w:val="center"/>
                </w:tcPr>
                <w:p w14:paraId="16469686">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rPr>
                    <w:t>1</w:t>
                  </w:r>
                </w:p>
              </w:tc>
              <w:tc>
                <w:tcPr>
                  <w:tcW w:w="1018" w:type="pct"/>
                  <w:vAlign w:val="center"/>
                </w:tcPr>
                <w:p w14:paraId="36C9AC52">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rPr>
                    <w:t>东侧厂界</w:t>
                  </w:r>
                </w:p>
              </w:tc>
              <w:tc>
                <w:tcPr>
                  <w:tcW w:w="1446" w:type="pct"/>
                  <w:vAlign w:val="center"/>
                </w:tcPr>
                <w:p w14:paraId="77E8B3E8">
                  <w:pPr>
                    <w:keepNext w:val="0"/>
                    <w:keepLines w:val="0"/>
                    <w:suppressLineNumbers w:val="0"/>
                    <w:spacing w:before="0" w:beforeAutospacing="0" w:after="0" w:afterAutospacing="0" w:line="240" w:lineRule="atLeast"/>
                    <w:ind w:left="0" w:right="0"/>
                    <w:jc w:val="center"/>
                    <w:rPr>
                      <w:rFonts w:hint="default" w:eastAsia="宋体"/>
                      <w:color w:val="auto"/>
                      <w:szCs w:val="21"/>
                      <w:lang w:val="en-US" w:eastAsia="zh-CN"/>
                    </w:rPr>
                  </w:pPr>
                  <w:r>
                    <w:rPr>
                      <w:rFonts w:hint="eastAsia"/>
                      <w:color w:val="auto"/>
                      <w:szCs w:val="21"/>
                      <w:lang w:val="en-US" w:eastAsia="zh-CN"/>
                    </w:rPr>
                    <w:t>53.35</w:t>
                  </w:r>
                </w:p>
              </w:tc>
              <w:tc>
                <w:tcPr>
                  <w:tcW w:w="1175" w:type="pct"/>
                  <w:vAlign w:val="center"/>
                </w:tcPr>
                <w:p w14:paraId="586E2F8E">
                  <w:pPr>
                    <w:keepNext w:val="0"/>
                    <w:keepLines w:val="0"/>
                    <w:suppressLineNumbers w:val="0"/>
                    <w:spacing w:before="0" w:beforeAutospacing="0" w:after="0" w:afterAutospacing="0" w:line="240" w:lineRule="atLeast"/>
                    <w:ind w:left="0" w:right="0"/>
                    <w:jc w:val="center"/>
                    <w:rPr>
                      <w:rFonts w:hint="default" w:eastAsia="宋体"/>
                      <w:color w:val="auto"/>
                      <w:szCs w:val="21"/>
                      <w:lang w:val="en-US" w:eastAsia="zh-CN"/>
                    </w:rPr>
                  </w:pPr>
                  <w:r>
                    <w:rPr>
                      <w:rFonts w:hint="eastAsia"/>
                      <w:color w:val="auto"/>
                      <w:szCs w:val="21"/>
                      <w:lang w:val="en-US" w:eastAsia="zh-CN"/>
                    </w:rPr>
                    <w:t>60</w:t>
                  </w:r>
                </w:p>
              </w:tc>
              <w:tc>
                <w:tcPr>
                  <w:tcW w:w="864" w:type="pct"/>
                  <w:vAlign w:val="center"/>
                </w:tcPr>
                <w:p w14:paraId="59781B05">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rPr>
                    <w:t>达标</w:t>
                  </w:r>
                </w:p>
              </w:tc>
            </w:tr>
            <w:tr w14:paraId="14A4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Align w:val="center"/>
                </w:tcPr>
                <w:p w14:paraId="62C1FB62">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rPr>
                    <w:t>2</w:t>
                  </w:r>
                </w:p>
              </w:tc>
              <w:tc>
                <w:tcPr>
                  <w:tcW w:w="1018" w:type="pct"/>
                  <w:vAlign w:val="center"/>
                </w:tcPr>
                <w:p w14:paraId="2B7FFCE2">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rPr>
                    <w:t>南侧厂界</w:t>
                  </w:r>
                </w:p>
              </w:tc>
              <w:tc>
                <w:tcPr>
                  <w:tcW w:w="1446" w:type="pct"/>
                  <w:vAlign w:val="center"/>
                </w:tcPr>
                <w:p w14:paraId="2FB311AA">
                  <w:pPr>
                    <w:keepNext w:val="0"/>
                    <w:keepLines w:val="0"/>
                    <w:suppressLineNumbers w:val="0"/>
                    <w:spacing w:before="0" w:beforeAutospacing="0" w:after="0" w:afterAutospacing="0" w:line="240" w:lineRule="atLeast"/>
                    <w:ind w:left="0" w:right="0"/>
                    <w:jc w:val="center"/>
                    <w:rPr>
                      <w:rFonts w:hint="default" w:eastAsia="宋体"/>
                      <w:color w:val="auto"/>
                      <w:szCs w:val="21"/>
                      <w:lang w:val="en-US" w:eastAsia="zh-CN"/>
                    </w:rPr>
                  </w:pPr>
                  <w:r>
                    <w:rPr>
                      <w:rFonts w:hint="eastAsia"/>
                      <w:color w:val="auto"/>
                      <w:szCs w:val="21"/>
                      <w:lang w:val="en-US" w:eastAsia="zh-CN"/>
                    </w:rPr>
                    <w:t>49.21</w:t>
                  </w:r>
                </w:p>
              </w:tc>
              <w:tc>
                <w:tcPr>
                  <w:tcW w:w="1175" w:type="pct"/>
                  <w:vAlign w:val="center"/>
                </w:tcPr>
                <w:p w14:paraId="54AD9F62">
                  <w:pPr>
                    <w:keepNext w:val="0"/>
                    <w:keepLines w:val="0"/>
                    <w:suppressLineNumbers w:val="0"/>
                    <w:spacing w:before="0" w:beforeAutospacing="0" w:after="0" w:afterAutospacing="0" w:line="240" w:lineRule="atLeast"/>
                    <w:ind w:left="0" w:right="0"/>
                    <w:jc w:val="center"/>
                    <w:rPr>
                      <w:rFonts w:hint="default" w:eastAsia="宋体"/>
                      <w:color w:val="auto"/>
                      <w:szCs w:val="21"/>
                      <w:lang w:val="en-US" w:eastAsia="zh-CN"/>
                    </w:rPr>
                  </w:pPr>
                  <w:r>
                    <w:rPr>
                      <w:rFonts w:hint="eastAsia"/>
                      <w:color w:val="auto"/>
                      <w:szCs w:val="21"/>
                      <w:lang w:val="en-US" w:eastAsia="zh-CN"/>
                    </w:rPr>
                    <w:t>60</w:t>
                  </w:r>
                </w:p>
              </w:tc>
              <w:tc>
                <w:tcPr>
                  <w:tcW w:w="864" w:type="pct"/>
                  <w:vAlign w:val="center"/>
                </w:tcPr>
                <w:p w14:paraId="6D45310E">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rPr>
                    <w:t>达标</w:t>
                  </w:r>
                </w:p>
              </w:tc>
            </w:tr>
            <w:tr w14:paraId="0623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Align w:val="center"/>
                </w:tcPr>
                <w:p w14:paraId="696E56A7">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rPr>
                    <w:t>3</w:t>
                  </w:r>
                </w:p>
              </w:tc>
              <w:tc>
                <w:tcPr>
                  <w:tcW w:w="1018" w:type="pct"/>
                  <w:vAlign w:val="center"/>
                </w:tcPr>
                <w:p w14:paraId="1196A9CC">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rPr>
                    <w:t>西侧厂界</w:t>
                  </w:r>
                </w:p>
              </w:tc>
              <w:tc>
                <w:tcPr>
                  <w:tcW w:w="1446" w:type="pct"/>
                  <w:vAlign w:val="center"/>
                </w:tcPr>
                <w:p w14:paraId="549C60F2">
                  <w:pPr>
                    <w:keepNext w:val="0"/>
                    <w:keepLines w:val="0"/>
                    <w:suppressLineNumbers w:val="0"/>
                    <w:spacing w:before="0" w:beforeAutospacing="0" w:after="0" w:afterAutospacing="0" w:line="240" w:lineRule="atLeast"/>
                    <w:ind w:left="0" w:right="0"/>
                    <w:jc w:val="center"/>
                    <w:rPr>
                      <w:rFonts w:hint="default" w:eastAsia="宋体"/>
                      <w:color w:val="auto"/>
                      <w:szCs w:val="21"/>
                      <w:lang w:val="en-US" w:eastAsia="zh-CN"/>
                    </w:rPr>
                  </w:pPr>
                  <w:r>
                    <w:rPr>
                      <w:rFonts w:hint="eastAsia"/>
                      <w:color w:val="auto"/>
                      <w:szCs w:val="21"/>
                      <w:lang w:val="en-US" w:eastAsia="zh-CN"/>
                    </w:rPr>
                    <w:t>58.53</w:t>
                  </w:r>
                </w:p>
              </w:tc>
              <w:tc>
                <w:tcPr>
                  <w:tcW w:w="1175" w:type="pct"/>
                  <w:vAlign w:val="center"/>
                </w:tcPr>
                <w:p w14:paraId="0DF54BCE">
                  <w:pPr>
                    <w:keepNext w:val="0"/>
                    <w:keepLines w:val="0"/>
                    <w:suppressLineNumbers w:val="0"/>
                    <w:spacing w:before="0" w:beforeAutospacing="0" w:after="0" w:afterAutospacing="0" w:line="240" w:lineRule="atLeast"/>
                    <w:ind w:left="0" w:right="0"/>
                    <w:jc w:val="center"/>
                    <w:rPr>
                      <w:rFonts w:hint="default" w:eastAsia="宋体"/>
                      <w:color w:val="auto"/>
                      <w:szCs w:val="21"/>
                      <w:lang w:val="en-US" w:eastAsia="zh-CN"/>
                    </w:rPr>
                  </w:pPr>
                  <w:r>
                    <w:rPr>
                      <w:rFonts w:hint="eastAsia"/>
                      <w:color w:val="auto"/>
                      <w:szCs w:val="21"/>
                      <w:lang w:val="en-US" w:eastAsia="zh-CN"/>
                    </w:rPr>
                    <w:t>60</w:t>
                  </w:r>
                </w:p>
              </w:tc>
              <w:tc>
                <w:tcPr>
                  <w:tcW w:w="864" w:type="pct"/>
                  <w:vAlign w:val="center"/>
                </w:tcPr>
                <w:p w14:paraId="203EBED3">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rPr>
                    <w:t>达标</w:t>
                  </w:r>
                </w:p>
              </w:tc>
            </w:tr>
            <w:tr w14:paraId="2405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Align w:val="center"/>
                </w:tcPr>
                <w:p w14:paraId="3C356AF3">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rPr>
                    <w:t>4</w:t>
                  </w:r>
                </w:p>
              </w:tc>
              <w:tc>
                <w:tcPr>
                  <w:tcW w:w="1018" w:type="pct"/>
                  <w:vAlign w:val="center"/>
                </w:tcPr>
                <w:p w14:paraId="2ED0342C">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rPr>
                    <w:t>北侧厂界</w:t>
                  </w:r>
                </w:p>
              </w:tc>
              <w:tc>
                <w:tcPr>
                  <w:tcW w:w="1446" w:type="pct"/>
                  <w:vAlign w:val="center"/>
                </w:tcPr>
                <w:p w14:paraId="7F593396">
                  <w:pPr>
                    <w:keepNext w:val="0"/>
                    <w:keepLines w:val="0"/>
                    <w:suppressLineNumbers w:val="0"/>
                    <w:spacing w:before="0" w:beforeAutospacing="0" w:after="0" w:afterAutospacing="0" w:line="240" w:lineRule="atLeast"/>
                    <w:ind w:left="0" w:right="0"/>
                    <w:jc w:val="center"/>
                    <w:rPr>
                      <w:rFonts w:hint="default" w:eastAsia="宋体"/>
                      <w:color w:val="auto"/>
                      <w:szCs w:val="21"/>
                      <w:lang w:val="en-US" w:eastAsia="zh-CN"/>
                    </w:rPr>
                  </w:pPr>
                  <w:r>
                    <w:rPr>
                      <w:rFonts w:hint="eastAsia"/>
                      <w:color w:val="auto"/>
                      <w:szCs w:val="21"/>
                      <w:lang w:val="en-US" w:eastAsia="zh-CN"/>
                    </w:rPr>
                    <w:t>55.64</w:t>
                  </w:r>
                </w:p>
              </w:tc>
              <w:tc>
                <w:tcPr>
                  <w:tcW w:w="1175" w:type="pct"/>
                  <w:vAlign w:val="center"/>
                </w:tcPr>
                <w:p w14:paraId="386FC5F1">
                  <w:pPr>
                    <w:keepNext w:val="0"/>
                    <w:keepLines w:val="0"/>
                    <w:suppressLineNumbers w:val="0"/>
                    <w:spacing w:before="0" w:beforeAutospacing="0" w:after="0" w:afterAutospacing="0" w:line="240" w:lineRule="atLeast"/>
                    <w:ind w:left="0" w:right="0"/>
                    <w:jc w:val="center"/>
                    <w:rPr>
                      <w:rFonts w:hint="default" w:eastAsia="宋体"/>
                      <w:color w:val="auto"/>
                      <w:szCs w:val="21"/>
                      <w:lang w:val="en-US" w:eastAsia="zh-CN"/>
                    </w:rPr>
                  </w:pPr>
                  <w:r>
                    <w:rPr>
                      <w:rFonts w:hint="eastAsia"/>
                      <w:color w:val="auto"/>
                      <w:szCs w:val="21"/>
                      <w:lang w:val="en-US" w:eastAsia="zh-CN"/>
                    </w:rPr>
                    <w:t>60</w:t>
                  </w:r>
                </w:p>
              </w:tc>
              <w:tc>
                <w:tcPr>
                  <w:tcW w:w="864" w:type="pct"/>
                  <w:vAlign w:val="center"/>
                </w:tcPr>
                <w:p w14:paraId="75D3262E">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color w:val="auto"/>
                      <w:szCs w:val="21"/>
                    </w:rPr>
                    <w:t>达标</w:t>
                  </w:r>
                </w:p>
              </w:tc>
            </w:tr>
          </w:tbl>
          <w:p w14:paraId="50B17B9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由</w:t>
            </w:r>
            <w:r>
              <w:rPr>
                <w:rFonts w:hint="eastAsia"/>
                <w:color w:val="auto"/>
                <w:kern w:val="0"/>
                <w:sz w:val="24"/>
              </w:rPr>
              <w:t>上表可知</w:t>
            </w:r>
            <w:r>
              <w:rPr>
                <w:rFonts w:hint="default"/>
                <w:color w:val="auto"/>
                <w:kern w:val="0"/>
                <w:sz w:val="24"/>
              </w:rPr>
              <w:t>，</w:t>
            </w:r>
            <w:r>
              <w:rPr>
                <w:rFonts w:hint="eastAsia"/>
                <w:color w:val="auto"/>
                <w:kern w:val="0"/>
                <w:sz w:val="24"/>
              </w:rPr>
              <w:t>项目</w:t>
            </w:r>
            <w:r>
              <w:rPr>
                <w:rFonts w:hint="eastAsia"/>
                <w:color w:val="auto"/>
                <w:kern w:val="0"/>
                <w:sz w:val="24"/>
                <w:lang w:val="en-US" w:eastAsia="zh-CN"/>
              </w:rPr>
              <w:t>设备</w:t>
            </w:r>
            <w:r>
              <w:rPr>
                <w:rFonts w:hint="eastAsia"/>
                <w:color w:val="auto"/>
                <w:kern w:val="0"/>
                <w:sz w:val="24"/>
              </w:rPr>
              <w:t>在采取了相应的减噪、降噪措施，经距离衰减后，各侧厂界预测值</w:t>
            </w:r>
            <w:r>
              <w:rPr>
                <w:rFonts w:hint="default"/>
                <w:color w:val="auto"/>
                <w:kern w:val="0"/>
                <w:sz w:val="24"/>
              </w:rPr>
              <w:t>可以达到《工业企业厂界环境噪声排放标准》</w:t>
            </w:r>
            <w:r>
              <w:rPr>
                <w:rFonts w:hint="eastAsia"/>
                <w:color w:val="auto"/>
                <w:kern w:val="0"/>
                <w:sz w:val="24"/>
              </w:rPr>
              <w:t>（</w:t>
            </w:r>
            <w:r>
              <w:rPr>
                <w:rFonts w:hint="default"/>
                <w:color w:val="auto"/>
                <w:kern w:val="0"/>
                <w:sz w:val="24"/>
              </w:rPr>
              <w:t>GB12348-2008</w:t>
            </w:r>
            <w:r>
              <w:rPr>
                <w:rFonts w:hint="eastAsia"/>
                <w:color w:val="auto"/>
                <w:kern w:val="0"/>
                <w:sz w:val="24"/>
              </w:rPr>
              <w:t>）中</w:t>
            </w:r>
            <w:r>
              <w:rPr>
                <w:rFonts w:hint="eastAsia"/>
                <w:color w:val="auto"/>
                <w:kern w:val="0"/>
                <w:sz w:val="24"/>
                <w:lang w:val="en-US" w:eastAsia="zh-CN"/>
              </w:rPr>
              <w:t>2</w:t>
            </w:r>
            <w:r>
              <w:rPr>
                <w:rFonts w:hint="default"/>
                <w:color w:val="auto"/>
                <w:kern w:val="0"/>
                <w:sz w:val="24"/>
              </w:rPr>
              <w:t>类标准</w:t>
            </w:r>
            <w:r>
              <w:rPr>
                <w:rFonts w:hint="eastAsia"/>
                <w:color w:val="auto"/>
                <w:kern w:val="0"/>
                <w:sz w:val="24"/>
              </w:rPr>
              <w:t>要求</w:t>
            </w:r>
            <w:r>
              <w:rPr>
                <w:rFonts w:hint="default"/>
                <w:color w:val="auto"/>
                <w:kern w:val="0"/>
                <w:sz w:val="24"/>
              </w:rPr>
              <w:t>。项目周围50m范围内声环境保护目标</w:t>
            </w:r>
            <w:r>
              <w:rPr>
                <w:rFonts w:hint="eastAsia"/>
                <w:color w:val="auto"/>
                <w:kern w:val="0"/>
                <w:sz w:val="24"/>
              </w:rPr>
              <w:t>为项目</w:t>
            </w:r>
            <w:r>
              <w:rPr>
                <w:rFonts w:hint="eastAsia"/>
                <w:color w:val="auto"/>
                <w:kern w:val="0"/>
                <w:sz w:val="24"/>
                <w:lang w:val="en-US" w:eastAsia="zh-CN"/>
              </w:rPr>
              <w:t>南</w:t>
            </w:r>
            <w:r>
              <w:rPr>
                <w:rFonts w:hint="eastAsia"/>
                <w:color w:val="auto"/>
                <w:kern w:val="0"/>
                <w:sz w:val="24"/>
              </w:rPr>
              <w:t>侧的</w:t>
            </w:r>
            <w:r>
              <w:rPr>
                <w:rFonts w:hint="eastAsia"/>
                <w:color w:val="auto"/>
                <w:kern w:val="0"/>
                <w:sz w:val="24"/>
                <w:lang w:val="en-US" w:eastAsia="zh-CN"/>
              </w:rPr>
              <w:t>云南技师学院</w:t>
            </w:r>
            <w:r>
              <w:rPr>
                <w:rFonts w:hint="eastAsia"/>
                <w:color w:val="auto"/>
                <w:kern w:val="0"/>
                <w:sz w:val="24"/>
              </w:rPr>
              <w:t>（与本项目直线距离约为</w:t>
            </w:r>
            <w:r>
              <w:rPr>
                <w:rFonts w:hint="eastAsia"/>
                <w:color w:val="auto"/>
                <w:kern w:val="0"/>
                <w:sz w:val="24"/>
                <w:lang w:val="en-US" w:eastAsia="zh-CN"/>
              </w:rPr>
              <w:t>8</w:t>
            </w:r>
            <w:r>
              <w:rPr>
                <w:rFonts w:hint="eastAsia"/>
                <w:color w:val="auto"/>
                <w:kern w:val="0"/>
                <w:sz w:val="24"/>
              </w:rPr>
              <w:t>m）。敏感点噪声预测结果如下表所示。</w:t>
            </w:r>
          </w:p>
          <w:p w14:paraId="68333A55">
            <w:pPr>
              <w:keepNext/>
              <w:keepLines w:val="0"/>
              <w:suppressLineNumbers w:val="0"/>
              <w:spacing w:before="0" w:beforeAutospacing="0" w:after="0" w:afterAutospacing="0"/>
              <w:ind w:left="0" w:right="0"/>
              <w:jc w:val="center"/>
              <w:rPr>
                <w:rFonts w:hint="default"/>
                <w:b/>
                <w:color w:val="auto"/>
                <w:kern w:val="0"/>
                <w:sz w:val="21"/>
                <w:szCs w:val="21"/>
              </w:rPr>
            </w:pPr>
            <w:r>
              <w:rPr>
                <w:rFonts w:hint="default"/>
                <w:b/>
                <w:color w:val="auto"/>
                <w:kern w:val="0"/>
                <w:sz w:val="21"/>
                <w:szCs w:val="21"/>
              </w:rPr>
              <w:t>表</w:t>
            </w:r>
            <w:r>
              <w:rPr>
                <w:rFonts w:hint="eastAsia"/>
                <w:b/>
                <w:color w:val="auto"/>
                <w:kern w:val="0"/>
                <w:sz w:val="21"/>
                <w:szCs w:val="21"/>
              </w:rPr>
              <w:t>4-1</w:t>
            </w:r>
            <w:r>
              <w:rPr>
                <w:rFonts w:hint="eastAsia"/>
                <w:b/>
                <w:color w:val="auto"/>
                <w:kern w:val="0"/>
                <w:sz w:val="21"/>
                <w:szCs w:val="21"/>
                <w:lang w:val="en-US" w:eastAsia="zh-CN"/>
              </w:rPr>
              <w:t>3</w:t>
            </w:r>
            <w:r>
              <w:rPr>
                <w:rFonts w:hint="eastAsia"/>
                <w:b/>
                <w:color w:val="auto"/>
                <w:kern w:val="0"/>
                <w:sz w:val="21"/>
                <w:szCs w:val="21"/>
              </w:rPr>
              <w:t xml:space="preserve">   敏感点</w:t>
            </w:r>
            <w:r>
              <w:rPr>
                <w:rFonts w:hint="default"/>
                <w:b/>
                <w:color w:val="auto"/>
                <w:kern w:val="0"/>
                <w:sz w:val="21"/>
                <w:szCs w:val="21"/>
              </w:rPr>
              <w:t>噪声预测结果一览表    单位：dB(A)</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8"/>
              <w:gridCol w:w="751"/>
              <w:gridCol w:w="749"/>
              <w:gridCol w:w="749"/>
              <w:gridCol w:w="752"/>
              <w:gridCol w:w="749"/>
              <w:gridCol w:w="752"/>
              <w:gridCol w:w="749"/>
              <w:gridCol w:w="750"/>
              <w:gridCol w:w="691"/>
            </w:tblGrid>
            <w:tr w14:paraId="44E6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969" w:type="pct"/>
                  <w:vAlign w:val="center"/>
                </w:tcPr>
                <w:p w14:paraId="24AEB5E9">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预测点</w:t>
                  </w:r>
                </w:p>
              </w:tc>
              <w:tc>
                <w:tcPr>
                  <w:tcW w:w="904" w:type="pct"/>
                  <w:gridSpan w:val="2"/>
                  <w:vAlign w:val="center"/>
                </w:tcPr>
                <w:p w14:paraId="6C03AFE6">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贡献值</w:t>
                  </w:r>
                </w:p>
              </w:tc>
              <w:tc>
                <w:tcPr>
                  <w:tcW w:w="904" w:type="pct"/>
                  <w:gridSpan w:val="2"/>
                  <w:vAlign w:val="center"/>
                </w:tcPr>
                <w:p w14:paraId="5EEDC45D">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背景值</w:t>
                  </w:r>
                </w:p>
              </w:tc>
              <w:tc>
                <w:tcPr>
                  <w:tcW w:w="904" w:type="pct"/>
                  <w:gridSpan w:val="2"/>
                  <w:vAlign w:val="center"/>
                </w:tcPr>
                <w:p w14:paraId="7A9CCAC9">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预测值</w:t>
                  </w:r>
                </w:p>
              </w:tc>
              <w:tc>
                <w:tcPr>
                  <w:tcW w:w="903" w:type="pct"/>
                  <w:gridSpan w:val="2"/>
                  <w:vAlign w:val="center"/>
                </w:tcPr>
                <w:p w14:paraId="090E2745">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标准值</w:t>
                  </w:r>
                </w:p>
              </w:tc>
              <w:tc>
                <w:tcPr>
                  <w:tcW w:w="415" w:type="pct"/>
                  <w:vAlign w:val="center"/>
                </w:tcPr>
                <w:p w14:paraId="50F4B5AE">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达标情况</w:t>
                  </w:r>
                </w:p>
              </w:tc>
            </w:tr>
            <w:tr w14:paraId="7B17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69" w:type="pct"/>
                  <w:vAlign w:val="center"/>
                </w:tcPr>
                <w:p w14:paraId="4BA3FB1F">
                  <w:pPr>
                    <w:pStyle w:val="64"/>
                    <w:keepNext w:val="0"/>
                    <w:keepLines w:val="0"/>
                    <w:suppressLineNumbers w:val="0"/>
                    <w:spacing w:before="24" w:after="24" w:afterAutospacing="0"/>
                    <w:ind w:left="0" w:right="0"/>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云南技师学院</w:t>
                  </w:r>
                </w:p>
              </w:tc>
              <w:tc>
                <w:tcPr>
                  <w:tcW w:w="453" w:type="pct"/>
                  <w:vAlign w:val="center"/>
                </w:tcPr>
                <w:p w14:paraId="1AB64595">
                  <w:pPr>
                    <w:pStyle w:val="64"/>
                    <w:keepNext w:val="0"/>
                    <w:keepLines w:val="0"/>
                    <w:suppressLineNumbers w:val="0"/>
                    <w:spacing w:before="0" w:beforeAutospacing="0" w:after="0" w:afterAutospacing="0"/>
                    <w:ind w:left="0" w:right="0" w:firstLine="0"/>
                    <w:rPr>
                      <w:rFonts w:hint="default" w:ascii="Times New Roman" w:hAnsi="Times New Roman"/>
                      <w:color w:val="auto"/>
                      <w:sz w:val="21"/>
                      <w:szCs w:val="21"/>
                    </w:rPr>
                  </w:pPr>
                  <w:r>
                    <w:rPr>
                      <w:rFonts w:hint="default" w:ascii="Times New Roman" w:hAnsi="Times New Roman"/>
                      <w:color w:val="auto"/>
                      <w:sz w:val="21"/>
                      <w:szCs w:val="21"/>
                    </w:rPr>
                    <w:t>昼间</w:t>
                  </w:r>
                </w:p>
              </w:tc>
              <w:tc>
                <w:tcPr>
                  <w:tcW w:w="451" w:type="pct"/>
                  <w:vAlign w:val="center"/>
                </w:tcPr>
                <w:p w14:paraId="37F7200D">
                  <w:pPr>
                    <w:keepNext w:val="0"/>
                    <w:keepLines w:val="0"/>
                    <w:widowControl/>
                    <w:suppressLineNumbers w:val="0"/>
                    <w:adjustRightInd w:val="0"/>
                    <w:snapToGrid w:val="0"/>
                    <w:spacing w:before="0" w:beforeAutospacing="0" w:after="0" w:afterAutospacing="0"/>
                    <w:ind w:left="0" w:right="0"/>
                    <w:jc w:val="center"/>
                    <w:rPr>
                      <w:rFonts w:hint="default" w:eastAsia="宋体"/>
                      <w:color w:val="auto"/>
                      <w:spacing w:val="8"/>
                      <w:kern w:val="0"/>
                      <w:sz w:val="21"/>
                      <w:szCs w:val="21"/>
                      <w:lang w:val="en-US" w:eastAsia="zh-CN"/>
                    </w:rPr>
                  </w:pPr>
                  <w:r>
                    <w:rPr>
                      <w:rFonts w:hint="eastAsia"/>
                      <w:color w:val="auto"/>
                      <w:sz w:val="21"/>
                      <w:szCs w:val="21"/>
                      <w:lang w:val="en-US" w:eastAsia="zh-CN"/>
                    </w:rPr>
                    <w:t>52.8</w:t>
                  </w:r>
                </w:p>
              </w:tc>
              <w:tc>
                <w:tcPr>
                  <w:tcW w:w="451" w:type="pct"/>
                  <w:vAlign w:val="center"/>
                </w:tcPr>
                <w:p w14:paraId="777ECA01">
                  <w:pPr>
                    <w:pStyle w:val="64"/>
                    <w:keepNext w:val="0"/>
                    <w:keepLines w:val="0"/>
                    <w:suppressLineNumbers w:val="0"/>
                    <w:spacing w:before="24" w:after="24" w:afterAutospacing="0"/>
                    <w:ind w:left="0" w:right="0"/>
                    <w:rPr>
                      <w:rFonts w:hint="default" w:ascii="Times New Roman" w:hAnsi="Times New Roman"/>
                      <w:color w:val="auto"/>
                      <w:sz w:val="21"/>
                      <w:szCs w:val="21"/>
                    </w:rPr>
                  </w:pPr>
                  <w:r>
                    <w:rPr>
                      <w:rFonts w:hint="default" w:ascii="Times New Roman" w:hAnsi="Times New Roman"/>
                      <w:color w:val="auto"/>
                      <w:sz w:val="21"/>
                      <w:szCs w:val="21"/>
                    </w:rPr>
                    <w:t>昼间</w:t>
                  </w:r>
                </w:p>
              </w:tc>
              <w:tc>
                <w:tcPr>
                  <w:tcW w:w="453" w:type="pct"/>
                  <w:vAlign w:val="center"/>
                </w:tcPr>
                <w:p w14:paraId="5B7C962E">
                  <w:pPr>
                    <w:keepNext w:val="0"/>
                    <w:keepLines w:val="0"/>
                    <w:widowControl/>
                    <w:suppressLineNumbers w:val="0"/>
                    <w:adjustRightInd w:val="0"/>
                    <w:snapToGrid w:val="0"/>
                    <w:spacing w:before="0" w:beforeAutospacing="0" w:after="0" w:afterAutospacing="0"/>
                    <w:ind w:left="0" w:right="0"/>
                    <w:jc w:val="center"/>
                    <w:rPr>
                      <w:rFonts w:hint="default" w:eastAsia="宋体"/>
                      <w:color w:val="auto"/>
                      <w:spacing w:val="8"/>
                      <w:kern w:val="0"/>
                      <w:sz w:val="21"/>
                      <w:szCs w:val="21"/>
                      <w:lang w:val="en-US" w:eastAsia="zh-CN"/>
                    </w:rPr>
                  </w:pPr>
                  <w:r>
                    <w:rPr>
                      <w:rFonts w:hint="eastAsia"/>
                      <w:color w:val="auto"/>
                      <w:spacing w:val="8"/>
                      <w:kern w:val="0"/>
                      <w:sz w:val="21"/>
                      <w:szCs w:val="21"/>
                      <w:lang w:val="en-US" w:eastAsia="zh-CN"/>
                    </w:rPr>
                    <w:t>54</w:t>
                  </w:r>
                </w:p>
              </w:tc>
              <w:tc>
                <w:tcPr>
                  <w:tcW w:w="451" w:type="pct"/>
                  <w:vAlign w:val="center"/>
                </w:tcPr>
                <w:p w14:paraId="39BC9C97">
                  <w:pPr>
                    <w:pStyle w:val="64"/>
                    <w:keepNext w:val="0"/>
                    <w:keepLines w:val="0"/>
                    <w:suppressLineNumbers w:val="0"/>
                    <w:spacing w:before="24" w:after="24" w:afterAutospacing="0"/>
                    <w:ind w:left="0" w:right="0"/>
                    <w:rPr>
                      <w:rFonts w:hint="default" w:ascii="Times New Roman" w:hAnsi="Times New Roman"/>
                      <w:color w:val="auto"/>
                      <w:sz w:val="21"/>
                      <w:szCs w:val="21"/>
                    </w:rPr>
                  </w:pPr>
                  <w:r>
                    <w:rPr>
                      <w:rFonts w:hint="default" w:ascii="Times New Roman" w:hAnsi="Times New Roman"/>
                      <w:color w:val="auto"/>
                      <w:sz w:val="21"/>
                      <w:szCs w:val="21"/>
                    </w:rPr>
                    <w:t>昼间</w:t>
                  </w:r>
                </w:p>
              </w:tc>
              <w:tc>
                <w:tcPr>
                  <w:tcW w:w="453" w:type="pct"/>
                  <w:vAlign w:val="center"/>
                </w:tcPr>
                <w:p w14:paraId="234A2FD4">
                  <w:pPr>
                    <w:keepNext w:val="0"/>
                    <w:keepLines w:val="0"/>
                    <w:widowControl/>
                    <w:suppressLineNumbers w:val="0"/>
                    <w:adjustRightInd w:val="0"/>
                    <w:snapToGrid w:val="0"/>
                    <w:spacing w:before="0" w:beforeAutospacing="0" w:after="0" w:afterAutospacing="0"/>
                    <w:ind w:left="0" w:right="0"/>
                    <w:jc w:val="center"/>
                    <w:rPr>
                      <w:rFonts w:hint="default" w:eastAsia="宋体"/>
                      <w:color w:val="auto"/>
                      <w:spacing w:val="8"/>
                      <w:kern w:val="0"/>
                      <w:sz w:val="21"/>
                      <w:szCs w:val="21"/>
                      <w:lang w:val="en-US" w:eastAsia="zh-CN"/>
                    </w:rPr>
                  </w:pPr>
                  <w:r>
                    <w:rPr>
                      <w:rFonts w:hint="eastAsia"/>
                      <w:color w:val="auto"/>
                      <w:spacing w:val="8"/>
                      <w:kern w:val="0"/>
                      <w:sz w:val="21"/>
                      <w:szCs w:val="21"/>
                      <w:lang w:val="en-US" w:eastAsia="zh-CN"/>
                    </w:rPr>
                    <w:t>56.45</w:t>
                  </w:r>
                </w:p>
              </w:tc>
              <w:tc>
                <w:tcPr>
                  <w:tcW w:w="451" w:type="pct"/>
                  <w:vAlign w:val="center"/>
                </w:tcPr>
                <w:p w14:paraId="5C28E852">
                  <w:pPr>
                    <w:keepNext w:val="0"/>
                    <w:keepLines w:val="0"/>
                    <w:suppressLineNumbers w:val="0"/>
                    <w:adjustRightInd w:val="0"/>
                    <w:snapToGrid w:val="0"/>
                    <w:spacing w:before="0" w:beforeAutospacing="0" w:after="0" w:afterAutospacing="0"/>
                    <w:ind w:left="0" w:right="0"/>
                    <w:jc w:val="center"/>
                    <w:rPr>
                      <w:rFonts w:hint="default"/>
                      <w:color w:val="auto"/>
                      <w:spacing w:val="8"/>
                      <w:kern w:val="0"/>
                      <w:sz w:val="21"/>
                      <w:szCs w:val="21"/>
                      <w:lang w:val="zh-CN"/>
                    </w:rPr>
                  </w:pPr>
                  <w:r>
                    <w:rPr>
                      <w:rFonts w:hint="default"/>
                      <w:color w:val="auto"/>
                      <w:spacing w:val="8"/>
                      <w:kern w:val="0"/>
                      <w:sz w:val="21"/>
                      <w:szCs w:val="21"/>
                      <w:lang w:val="zh-CN"/>
                    </w:rPr>
                    <w:t>昼间</w:t>
                  </w:r>
                </w:p>
              </w:tc>
              <w:tc>
                <w:tcPr>
                  <w:tcW w:w="451" w:type="pct"/>
                  <w:vAlign w:val="center"/>
                </w:tcPr>
                <w:p w14:paraId="5B46C561">
                  <w:pPr>
                    <w:keepNext w:val="0"/>
                    <w:keepLines w:val="0"/>
                    <w:suppressLineNumbers w:val="0"/>
                    <w:adjustRightInd w:val="0"/>
                    <w:snapToGrid w:val="0"/>
                    <w:spacing w:before="0" w:beforeAutospacing="0" w:after="0" w:afterAutospacing="0"/>
                    <w:ind w:left="0" w:right="0"/>
                    <w:jc w:val="center"/>
                    <w:rPr>
                      <w:rFonts w:hint="default" w:eastAsia="宋体"/>
                      <w:color w:val="auto"/>
                      <w:spacing w:val="8"/>
                      <w:kern w:val="0"/>
                      <w:sz w:val="21"/>
                      <w:szCs w:val="21"/>
                      <w:lang w:val="en-US" w:eastAsia="zh-CN"/>
                    </w:rPr>
                  </w:pPr>
                  <w:r>
                    <w:rPr>
                      <w:rFonts w:hint="eastAsia"/>
                      <w:color w:val="auto"/>
                      <w:spacing w:val="8"/>
                      <w:kern w:val="0"/>
                      <w:sz w:val="21"/>
                      <w:szCs w:val="21"/>
                      <w:lang w:val="en-US" w:eastAsia="zh-CN"/>
                    </w:rPr>
                    <w:t>60</w:t>
                  </w:r>
                </w:p>
              </w:tc>
              <w:tc>
                <w:tcPr>
                  <w:tcW w:w="415" w:type="pct"/>
                  <w:vAlign w:val="center"/>
                </w:tcPr>
                <w:p w14:paraId="3A53AAB9">
                  <w:pPr>
                    <w:keepNext w:val="0"/>
                    <w:keepLines w:val="0"/>
                    <w:suppressLineNumbers w:val="0"/>
                    <w:adjustRightInd w:val="0"/>
                    <w:snapToGrid w:val="0"/>
                    <w:spacing w:before="0" w:beforeAutospacing="0" w:after="0" w:afterAutospacing="0"/>
                    <w:ind w:left="0" w:right="0"/>
                    <w:jc w:val="center"/>
                    <w:rPr>
                      <w:rFonts w:hint="default"/>
                      <w:color w:val="auto"/>
                      <w:spacing w:val="8"/>
                      <w:kern w:val="0"/>
                      <w:sz w:val="21"/>
                      <w:szCs w:val="21"/>
                      <w:lang w:val="zh-CN"/>
                    </w:rPr>
                  </w:pPr>
                  <w:r>
                    <w:rPr>
                      <w:rFonts w:hint="default"/>
                      <w:color w:val="auto"/>
                      <w:spacing w:val="8"/>
                      <w:kern w:val="0"/>
                      <w:sz w:val="21"/>
                      <w:szCs w:val="21"/>
                      <w:lang w:val="zh-CN"/>
                    </w:rPr>
                    <w:t>达标</w:t>
                  </w:r>
                </w:p>
              </w:tc>
            </w:tr>
            <w:tr w14:paraId="591C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000" w:type="pct"/>
                  <w:gridSpan w:val="10"/>
                  <w:vAlign w:val="center"/>
                </w:tcPr>
                <w:p w14:paraId="3F7EA203">
                  <w:pPr>
                    <w:keepNext w:val="0"/>
                    <w:keepLines w:val="0"/>
                    <w:suppressLineNumbers w:val="0"/>
                    <w:adjustRightInd w:val="0"/>
                    <w:snapToGrid w:val="0"/>
                    <w:spacing w:before="0" w:beforeAutospacing="0" w:after="0" w:afterAutospacing="0"/>
                    <w:ind w:left="0" w:right="0"/>
                    <w:jc w:val="left"/>
                    <w:rPr>
                      <w:rFonts w:hint="default"/>
                      <w:color w:val="auto"/>
                      <w:sz w:val="18"/>
                      <w:szCs w:val="18"/>
                    </w:rPr>
                  </w:pPr>
                  <w:r>
                    <w:rPr>
                      <w:rFonts w:hint="default"/>
                      <w:color w:val="auto"/>
                      <w:sz w:val="18"/>
                      <w:szCs w:val="18"/>
                    </w:rPr>
                    <w:t>注：敏感点背景值为云南中科检测技术有限公司于202</w:t>
                  </w:r>
                  <w:r>
                    <w:rPr>
                      <w:rFonts w:hint="eastAsia"/>
                      <w:color w:val="auto"/>
                      <w:sz w:val="18"/>
                      <w:szCs w:val="18"/>
                    </w:rPr>
                    <w:t>3</w:t>
                  </w:r>
                  <w:r>
                    <w:rPr>
                      <w:rFonts w:hint="default"/>
                      <w:color w:val="auto"/>
                      <w:sz w:val="18"/>
                      <w:szCs w:val="18"/>
                    </w:rPr>
                    <w:t>年</w:t>
                  </w:r>
                  <w:r>
                    <w:rPr>
                      <w:rFonts w:hint="eastAsia"/>
                      <w:color w:val="auto"/>
                      <w:sz w:val="18"/>
                      <w:szCs w:val="18"/>
                    </w:rPr>
                    <w:t>7</w:t>
                  </w:r>
                  <w:r>
                    <w:rPr>
                      <w:rFonts w:hint="default"/>
                      <w:color w:val="auto"/>
                      <w:sz w:val="18"/>
                      <w:szCs w:val="18"/>
                    </w:rPr>
                    <w:t>月</w:t>
                  </w:r>
                  <w:r>
                    <w:rPr>
                      <w:rFonts w:hint="eastAsia"/>
                      <w:color w:val="auto"/>
                      <w:sz w:val="18"/>
                      <w:szCs w:val="18"/>
                      <w:lang w:val="en-US" w:eastAsia="zh-CN"/>
                    </w:rPr>
                    <w:t>7</w:t>
                  </w:r>
                  <w:r>
                    <w:rPr>
                      <w:rFonts w:hint="default"/>
                      <w:color w:val="auto"/>
                      <w:sz w:val="18"/>
                      <w:szCs w:val="18"/>
                    </w:rPr>
                    <w:t>日、202</w:t>
                  </w:r>
                  <w:r>
                    <w:rPr>
                      <w:rFonts w:hint="eastAsia"/>
                      <w:color w:val="auto"/>
                      <w:sz w:val="18"/>
                      <w:szCs w:val="18"/>
                    </w:rPr>
                    <w:t>3</w:t>
                  </w:r>
                  <w:r>
                    <w:rPr>
                      <w:rFonts w:hint="default"/>
                      <w:color w:val="auto"/>
                      <w:sz w:val="18"/>
                      <w:szCs w:val="18"/>
                    </w:rPr>
                    <w:t>年</w:t>
                  </w:r>
                  <w:r>
                    <w:rPr>
                      <w:rFonts w:hint="eastAsia"/>
                      <w:color w:val="auto"/>
                      <w:sz w:val="18"/>
                      <w:szCs w:val="18"/>
                    </w:rPr>
                    <w:t>7</w:t>
                  </w:r>
                  <w:r>
                    <w:rPr>
                      <w:rFonts w:hint="default"/>
                      <w:color w:val="auto"/>
                      <w:sz w:val="18"/>
                      <w:szCs w:val="18"/>
                    </w:rPr>
                    <w:t>月</w:t>
                  </w:r>
                  <w:r>
                    <w:rPr>
                      <w:rFonts w:hint="eastAsia"/>
                      <w:color w:val="auto"/>
                      <w:sz w:val="18"/>
                      <w:szCs w:val="18"/>
                      <w:lang w:val="en-US" w:eastAsia="zh-CN"/>
                    </w:rPr>
                    <w:t>8</w:t>
                  </w:r>
                  <w:r>
                    <w:rPr>
                      <w:rFonts w:hint="default"/>
                      <w:color w:val="auto"/>
                      <w:sz w:val="18"/>
                      <w:szCs w:val="18"/>
                    </w:rPr>
                    <w:t>日对项目</w:t>
                  </w:r>
                  <w:r>
                    <w:rPr>
                      <w:rFonts w:hint="eastAsia"/>
                      <w:color w:val="auto"/>
                      <w:sz w:val="18"/>
                      <w:szCs w:val="18"/>
                      <w:lang w:val="en-US" w:eastAsia="zh-CN"/>
                    </w:rPr>
                    <w:t>南侧8m处的云南技师学院</w:t>
                  </w:r>
                  <w:r>
                    <w:rPr>
                      <w:rFonts w:hint="eastAsia"/>
                      <w:color w:val="auto"/>
                      <w:sz w:val="18"/>
                      <w:szCs w:val="18"/>
                    </w:rPr>
                    <w:t>的</w:t>
                  </w:r>
                  <w:r>
                    <w:rPr>
                      <w:rFonts w:hint="default"/>
                      <w:color w:val="auto"/>
                      <w:sz w:val="18"/>
                      <w:szCs w:val="18"/>
                    </w:rPr>
                    <w:t>环境质量现状监测结果，取值为两天监测噪声最大值；贡献值为本项目</w:t>
                  </w:r>
                  <w:r>
                    <w:rPr>
                      <w:rFonts w:hint="eastAsia"/>
                      <w:color w:val="auto"/>
                      <w:sz w:val="18"/>
                      <w:szCs w:val="18"/>
                      <w:lang w:val="en-US" w:eastAsia="zh-CN"/>
                    </w:rPr>
                    <w:t>西侧</w:t>
                  </w:r>
                  <w:r>
                    <w:rPr>
                      <w:rFonts w:hint="default"/>
                      <w:color w:val="auto"/>
                      <w:sz w:val="18"/>
                      <w:szCs w:val="18"/>
                    </w:rPr>
                    <w:t>厂界噪声贡献值距离衰减后至敏感点的贡献值。</w:t>
                  </w:r>
                </w:p>
              </w:tc>
            </w:tr>
          </w:tbl>
          <w:p w14:paraId="7A6D2EE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根据预测结果，本项目投入运行后，敏感点</w:t>
            </w:r>
            <w:r>
              <w:rPr>
                <w:rFonts w:hint="eastAsia"/>
                <w:color w:val="auto"/>
                <w:kern w:val="0"/>
                <w:sz w:val="24"/>
                <w:lang w:val="en-US" w:eastAsia="zh-CN"/>
              </w:rPr>
              <w:t>云南技师学院</w:t>
            </w:r>
            <w:r>
              <w:rPr>
                <w:rFonts w:hint="default"/>
                <w:color w:val="auto"/>
                <w:kern w:val="0"/>
                <w:sz w:val="24"/>
              </w:rPr>
              <w:t>噪声仍可满足《声环境质量标准》（GB3096-2008）</w:t>
            </w:r>
            <w:r>
              <w:rPr>
                <w:rFonts w:hint="eastAsia"/>
                <w:color w:val="auto"/>
                <w:kern w:val="0"/>
                <w:sz w:val="24"/>
                <w:lang w:val="en-US" w:eastAsia="zh-CN"/>
              </w:rPr>
              <w:t>2</w:t>
            </w:r>
            <w:r>
              <w:rPr>
                <w:rFonts w:hint="default"/>
                <w:color w:val="auto"/>
                <w:kern w:val="0"/>
                <w:sz w:val="24"/>
              </w:rPr>
              <w:t>类标准要求。本项目运行过程中的噪声对</w:t>
            </w:r>
            <w:r>
              <w:rPr>
                <w:rFonts w:hint="eastAsia"/>
                <w:color w:val="auto"/>
                <w:kern w:val="0"/>
                <w:sz w:val="24"/>
              </w:rPr>
              <w:t>各</w:t>
            </w:r>
            <w:r>
              <w:rPr>
                <w:rFonts w:hint="default"/>
                <w:color w:val="auto"/>
                <w:kern w:val="0"/>
                <w:sz w:val="24"/>
              </w:rPr>
              <w:t>敏感点的影响可接受。</w:t>
            </w:r>
          </w:p>
          <w:p w14:paraId="5FF877A8">
            <w:pPr>
              <w:keepNext w:val="0"/>
              <w:keepLines w:val="0"/>
              <w:suppressLineNumbers w:val="0"/>
              <w:adjustRightInd w:val="0"/>
              <w:snapToGrid w:val="0"/>
              <w:spacing w:before="0" w:beforeLines="50" w:beforeAutospacing="0" w:after="0" w:afterAutospacing="0" w:line="360" w:lineRule="auto"/>
              <w:ind w:left="0" w:right="0" w:firstLine="482" w:firstLineChars="200"/>
              <w:rPr>
                <w:rFonts w:hint="default"/>
                <w:b/>
                <w:bCs/>
                <w:color w:val="auto"/>
                <w:kern w:val="0"/>
                <w:sz w:val="24"/>
              </w:rPr>
            </w:pPr>
            <w:r>
              <w:rPr>
                <w:rFonts w:hint="default"/>
                <w:b/>
                <w:bCs/>
                <w:color w:val="auto"/>
                <w:kern w:val="0"/>
                <w:sz w:val="24"/>
              </w:rPr>
              <w:t>（</w:t>
            </w:r>
            <w:r>
              <w:rPr>
                <w:rFonts w:hint="eastAsia"/>
                <w:b/>
                <w:bCs/>
                <w:color w:val="auto"/>
                <w:kern w:val="0"/>
                <w:sz w:val="24"/>
              </w:rPr>
              <w:t>3</w:t>
            </w:r>
            <w:r>
              <w:rPr>
                <w:rFonts w:hint="default"/>
                <w:b/>
                <w:bCs/>
                <w:color w:val="auto"/>
                <w:kern w:val="0"/>
                <w:sz w:val="24"/>
              </w:rPr>
              <w:t>）</w:t>
            </w:r>
            <w:r>
              <w:rPr>
                <w:rFonts w:hint="eastAsia"/>
                <w:b/>
                <w:bCs/>
                <w:color w:val="auto"/>
                <w:kern w:val="0"/>
                <w:sz w:val="24"/>
              </w:rPr>
              <w:t>运营期措施</w:t>
            </w:r>
          </w:p>
          <w:p w14:paraId="6C643B6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为减小运营期噪声对周边环境的影响，本环评提出如下措施：</w:t>
            </w:r>
          </w:p>
          <w:p w14:paraId="7277933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ascii="宋体" w:hAnsi="宋体"/>
                <w:color w:val="auto"/>
                <w:kern w:val="0"/>
                <w:sz w:val="24"/>
              </w:rPr>
              <w:t>①</w:t>
            </w:r>
            <w:r>
              <w:rPr>
                <w:rFonts w:hint="eastAsia"/>
                <w:color w:val="auto"/>
                <w:kern w:val="0"/>
                <w:sz w:val="24"/>
              </w:rPr>
              <w:t>选用低噪声设备，采取减振并设置保护罩等措施，同时加强保养，避免因运行状况不佳而诱发更高噪声，以从源头上减小噪声的影响；</w:t>
            </w:r>
          </w:p>
          <w:p w14:paraId="37A38E8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ascii="宋体" w:hAnsi="宋体"/>
                <w:color w:val="auto"/>
                <w:kern w:val="0"/>
                <w:sz w:val="24"/>
              </w:rPr>
              <w:t>②</w:t>
            </w:r>
            <w:r>
              <w:rPr>
                <w:rFonts w:hint="eastAsia"/>
                <w:color w:val="auto"/>
                <w:kern w:val="0"/>
                <w:sz w:val="24"/>
              </w:rPr>
              <w:t>合理布局、高噪声设备远离厂界；</w:t>
            </w:r>
          </w:p>
          <w:p w14:paraId="52263BB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ascii="宋体" w:hAnsi="宋体"/>
                <w:color w:val="auto"/>
                <w:kern w:val="0"/>
                <w:sz w:val="24"/>
              </w:rPr>
              <w:t>③</w:t>
            </w:r>
            <w:r>
              <w:rPr>
                <w:rFonts w:hint="eastAsia"/>
                <w:color w:val="auto"/>
                <w:kern w:val="0"/>
                <w:sz w:val="24"/>
              </w:rPr>
              <w:t>加强设备的日常维修、管理，确保所有设备尤其是噪声污染防治设备处于正常工况；</w:t>
            </w:r>
          </w:p>
          <w:p w14:paraId="5B1FFFA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color w:val="auto"/>
                <w:kern w:val="0"/>
                <w:sz w:val="24"/>
              </w:rPr>
              <w:t>④运行过程中</w:t>
            </w:r>
            <w:r>
              <w:rPr>
                <w:rFonts w:hint="default"/>
                <w:color w:val="auto"/>
                <w:kern w:val="0"/>
                <w:sz w:val="24"/>
              </w:rPr>
              <w:t>加强风机的保养、检修，保证设备处于良好的运转状态，减少机械振动和摩擦产生的噪声，防止共振。</w:t>
            </w:r>
          </w:p>
          <w:p w14:paraId="24F0132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ascii="宋体" w:hAnsi="宋体"/>
                <w:color w:val="auto"/>
                <w:kern w:val="0"/>
                <w:sz w:val="24"/>
              </w:rPr>
              <w:t>⑤</w:t>
            </w:r>
            <w:r>
              <w:rPr>
                <w:rFonts w:hint="eastAsia"/>
                <w:color w:val="auto"/>
                <w:kern w:val="0"/>
                <w:sz w:val="24"/>
              </w:rPr>
              <w:t>实验材料、药品运输车辆进出厂区时禁止鸣笛、限速行驶；</w:t>
            </w:r>
          </w:p>
          <w:p w14:paraId="70233D5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eastAsia" w:ascii="宋体" w:hAnsi="宋体"/>
                <w:color w:val="auto"/>
                <w:kern w:val="0"/>
                <w:sz w:val="24"/>
              </w:rPr>
              <w:t>⑥</w:t>
            </w:r>
            <w:r>
              <w:rPr>
                <w:rFonts w:hint="eastAsia"/>
                <w:color w:val="auto"/>
                <w:kern w:val="0"/>
                <w:sz w:val="24"/>
              </w:rPr>
              <w:t>加强管理培训，确保文明操作，轻拿轻放，避免因野蛮操作产生的突发性噪声；以上处理措施在各行业噪声防治中广泛应用，处理效果好。</w:t>
            </w:r>
          </w:p>
          <w:p w14:paraId="3E9C444B">
            <w:pPr>
              <w:keepNext w:val="0"/>
              <w:keepLines w:val="0"/>
              <w:suppressLineNumbers w:val="0"/>
              <w:adjustRightInd w:val="0"/>
              <w:snapToGrid w:val="0"/>
              <w:spacing w:before="0" w:beforeLines="50" w:beforeAutospacing="0" w:after="0" w:afterAutospacing="0" w:line="360" w:lineRule="auto"/>
              <w:ind w:left="0" w:right="0" w:firstLine="482" w:firstLineChars="200"/>
              <w:rPr>
                <w:rFonts w:hint="default"/>
                <w:b/>
                <w:bCs/>
                <w:color w:val="auto"/>
                <w:kern w:val="0"/>
                <w:sz w:val="24"/>
              </w:rPr>
            </w:pPr>
            <w:r>
              <w:rPr>
                <w:rFonts w:hint="default"/>
                <w:b/>
                <w:bCs/>
                <w:color w:val="auto"/>
                <w:kern w:val="0"/>
                <w:sz w:val="24"/>
              </w:rPr>
              <w:t>（</w:t>
            </w:r>
            <w:r>
              <w:rPr>
                <w:rFonts w:hint="eastAsia"/>
                <w:b/>
                <w:bCs/>
                <w:color w:val="auto"/>
                <w:kern w:val="0"/>
                <w:sz w:val="24"/>
              </w:rPr>
              <w:t>4</w:t>
            </w:r>
            <w:r>
              <w:rPr>
                <w:rFonts w:hint="default"/>
                <w:b/>
                <w:bCs/>
                <w:color w:val="auto"/>
                <w:kern w:val="0"/>
                <w:sz w:val="24"/>
              </w:rPr>
              <w:t>）监测计划</w:t>
            </w:r>
          </w:p>
          <w:p w14:paraId="2FF69993">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根据《排污单位自行监测技术指南 总则》（HJ 819-2017），</w:t>
            </w:r>
            <w:r>
              <w:rPr>
                <w:rFonts w:hint="eastAsia"/>
                <w:color w:val="auto"/>
                <w:kern w:val="0"/>
                <w:sz w:val="24"/>
              </w:rPr>
              <w:t>本</w:t>
            </w:r>
            <w:r>
              <w:rPr>
                <w:rFonts w:hint="default"/>
                <w:color w:val="auto"/>
                <w:kern w:val="0"/>
                <w:sz w:val="24"/>
              </w:rPr>
              <w:t>项目噪声监测计划一览表如下。</w:t>
            </w:r>
          </w:p>
          <w:p w14:paraId="48DA8BAF">
            <w:pPr>
              <w:keepNext w:val="0"/>
              <w:keepLines w:val="0"/>
              <w:suppressLineNumbers w:val="0"/>
              <w:spacing w:before="0" w:beforeAutospacing="0" w:after="0" w:afterAutospacing="0"/>
              <w:ind w:left="0" w:right="0"/>
              <w:contextualSpacing/>
              <w:jc w:val="center"/>
              <w:rPr>
                <w:rFonts w:hint="default"/>
                <w:b/>
                <w:bCs/>
                <w:color w:val="auto"/>
                <w:kern w:val="0"/>
                <w:sz w:val="21"/>
                <w:szCs w:val="21"/>
              </w:rPr>
            </w:pPr>
            <w:r>
              <w:rPr>
                <w:rFonts w:hint="default"/>
                <w:b/>
                <w:bCs/>
                <w:color w:val="auto"/>
                <w:kern w:val="0"/>
                <w:sz w:val="21"/>
                <w:szCs w:val="21"/>
              </w:rPr>
              <w:t>表4-</w:t>
            </w:r>
            <w:r>
              <w:rPr>
                <w:rFonts w:hint="eastAsia"/>
                <w:b/>
                <w:bCs/>
                <w:color w:val="auto"/>
                <w:kern w:val="0"/>
                <w:sz w:val="21"/>
                <w:szCs w:val="21"/>
              </w:rPr>
              <w:t>1</w:t>
            </w:r>
            <w:r>
              <w:rPr>
                <w:rFonts w:hint="eastAsia"/>
                <w:b/>
                <w:bCs/>
                <w:color w:val="auto"/>
                <w:kern w:val="0"/>
                <w:sz w:val="21"/>
                <w:szCs w:val="21"/>
                <w:lang w:val="en-US" w:eastAsia="zh-CN"/>
              </w:rPr>
              <w:t>4</w:t>
            </w:r>
            <w:r>
              <w:rPr>
                <w:rFonts w:hint="default"/>
                <w:b/>
                <w:bCs/>
                <w:color w:val="auto"/>
                <w:kern w:val="0"/>
                <w:sz w:val="21"/>
                <w:szCs w:val="21"/>
              </w:rPr>
              <w:t xml:space="preserve">   </w:t>
            </w:r>
            <w:r>
              <w:rPr>
                <w:rFonts w:hint="eastAsia"/>
                <w:b/>
                <w:bCs/>
                <w:color w:val="auto"/>
                <w:kern w:val="0"/>
                <w:sz w:val="21"/>
                <w:szCs w:val="21"/>
              </w:rPr>
              <w:t>项目</w:t>
            </w:r>
            <w:r>
              <w:rPr>
                <w:rFonts w:hint="default"/>
                <w:b/>
                <w:bCs/>
                <w:color w:val="auto"/>
                <w:kern w:val="0"/>
                <w:sz w:val="21"/>
                <w:szCs w:val="21"/>
              </w:rPr>
              <w:t>噪声监测</w:t>
            </w:r>
            <w:r>
              <w:rPr>
                <w:rFonts w:hint="eastAsia"/>
                <w:b/>
                <w:bCs/>
                <w:color w:val="auto"/>
                <w:kern w:val="0"/>
                <w:sz w:val="21"/>
                <w:szCs w:val="21"/>
              </w:rPr>
              <w:t>计划</w:t>
            </w:r>
            <w:r>
              <w:rPr>
                <w:rFonts w:hint="default"/>
                <w:b/>
                <w:bCs/>
                <w:color w:val="auto"/>
                <w:kern w:val="0"/>
                <w:sz w:val="21"/>
                <w:szCs w:val="21"/>
              </w:rPr>
              <w:t>一览表</w:t>
            </w:r>
          </w:p>
          <w:tbl>
            <w:tblPr>
              <w:tblStyle w:val="1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14"/>
              <w:gridCol w:w="1198"/>
              <w:gridCol w:w="1198"/>
              <w:gridCol w:w="1201"/>
              <w:gridCol w:w="3684"/>
            </w:tblGrid>
            <w:tr w14:paraId="3BA64A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11" w:type="pct"/>
                  <w:tcBorders>
                    <w:top w:val="single" w:color="auto" w:sz="6" w:space="0"/>
                    <w:left w:val="single" w:color="auto" w:sz="6" w:space="0"/>
                    <w:bottom w:val="single" w:color="auto" w:sz="6" w:space="0"/>
                    <w:right w:val="single" w:color="auto" w:sz="6" w:space="0"/>
                  </w:tcBorders>
                  <w:vAlign w:val="center"/>
                </w:tcPr>
                <w:p w14:paraId="4FA290AE">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eastAsia"/>
                      <w:b/>
                      <w:bCs/>
                      <w:color w:val="auto"/>
                      <w:szCs w:val="21"/>
                    </w:rPr>
                    <w:t>污染源</w:t>
                  </w:r>
                </w:p>
              </w:tc>
              <w:tc>
                <w:tcPr>
                  <w:tcW w:w="722" w:type="pct"/>
                  <w:tcBorders>
                    <w:top w:val="single" w:color="auto" w:sz="6" w:space="0"/>
                    <w:left w:val="single" w:color="auto" w:sz="6" w:space="0"/>
                    <w:bottom w:val="single" w:color="auto" w:sz="6" w:space="0"/>
                    <w:right w:val="single" w:color="auto" w:sz="6" w:space="0"/>
                  </w:tcBorders>
                  <w:vAlign w:val="center"/>
                </w:tcPr>
                <w:p w14:paraId="7FB81CEC">
                  <w:pPr>
                    <w:keepNext w:val="0"/>
                    <w:keepLines w:val="0"/>
                    <w:suppressLineNumbers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rPr>
                    <w:t>监测点位</w:t>
                  </w:r>
                </w:p>
              </w:tc>
              <w:tc>
                <w:tcPr>
                  <w:tcW w:w="722" w:type="pct"/>
                  <w:tcBorders>
                    <w:top w:val="single" w:color="auto" w:sz="6" w:space="0"/>
                    <w:left w:val="single" w:color="auto" w:sz="6" w:space="0"/>
                    <w:bottom w:val="single" w:color="auto" w:sz="6" w:space="0"/>
                    <w:right w:val="single" w:color="auto" w:sz="6" w:space="0"/>
                  </w:tcBorders>
                  <w:vAlign w:val="center"/>
                </w:tcPr>
                <w:p w14:paraId="1828E8EA">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监测因子</w:t>
                  </w:r>
                </w:p>
              </w:tc>
              <w:tc>
                <w:tcPr>
                  <w:tcW w:w="724" w:type="pct"/>
                  <w:tcBorders>
                    <w:top w:val="single" w:color="auto" w:sz="6" w:space="0"/>
                    <w:left w:val="single" w:color="auto" w:sz="6" w:space="0"/>
                    <w:bottom w:val="single" w:color="auto" w:sz="6" w:space="0"/>
                    <w:right w:val="single" w:color="auto" w:sz="6" w:space="0"/>
                  </w:tcBorders>
                  <w:vAlign w:val="center"/>
                </w:tcPr>
                <w:p w14:paraId="4F8A0E61">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监测频率</w:t>
                  </w:r>
                </w:p>
              </w:tc>
              <w:tc>
                <w:tcPr>
                  <w:tcW w:w="2220" w:type="pct"/>
                  <w:tcBorders>
                    <w:top w:val="single" w:color="auto" w:sz="6" w:space="0"/>
                    <w:left w:val="single" w:color="auto" w:sz="6" w:space="0"/>
                    <w:bottom w:val="single" w:color="auto" w:sz="6" w:space="0"/>
                    <w:right w:val="single" w:color="auto" w:sz="6" w:space="0"/>
                  </w:tcBorders>
                  <w:vAlign w:val="center"/>
                </w:tcPr>
                <w:p w14:paraId="63084C1B">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执行标准</w:t>
                  </w:r>
                </w:p>
              </w:tc>
            </w:tr>
            <w:tr w14:paraId="1C030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11" w:type="pct"/>
                  <w:tcBorders>
                    <w:top w:val="single" w:color="auto" w:sz="6" w:space="0"/>
                    <w:left w:val="single" w:color="auto" w:sz="6" w:space="0"/>
                    <w:bottom w:val="single" w:color="auto" w:sz="6" w:space="0"/>
                    <w:right w:val="single" w:color="auto" w:sz="6" w:space="0"/>
                  </w:tcBorders>
                  <w:vAlign w:val="center"/>
                </w:tcPr>
                <w:p w14:paraId="3A347E8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噪声</w:t>
                  </w:r>
                </w:p>
              </w:tc>
              <w:tc>
                <w:tcPr>
                  <w:tcW w:w="722" w:type="pct"/>
                  <w:tcBorders>
                    <w:top w:val="single" w:color="auto" w:sz="6" w:space="0"/>
                    <w:left w:val="single" w:color="auto" w:sz="6" w:space="0"/>
                    <w:bottom w:val="single" w:color="auto" w:sz="6" w:space="0"/>
                    <w:right w:val="single" w:color="auto" w:sz="6" w:space="0"/>
                  </w:tcBorders>
                  <w:vAlign w:val="center"/>
                </w:tcPr>
                <w:p w14:paraId="4AE8223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厂界东</w:t>
                  </w:r>
                  <w:r>
                    <w:rPr>
                      <w:rFonts w:hint="eastAsia"/>
                      <w:color w:val="auto"/>
                      <w:szCs w:val="21"/>
                    </w:rPr>
                    <w:t>、南、西、北</w:t>
                  </w:r>
                </w:p>
              </w:tc>
              <w:tc>
                <w:tcPr>
                  <w:tcW w:w="722" w:type="pct"/>
                  <w:tcBorders>
                    <w:top w:val="single" w:color="auto" w:sz="6" w:space="0"/>
                    <w:left w:val="single" w:color="auto" w:sz="6" w:space="0"/>
                    <w:bottom w:val="single" w:color="auto" w:sz="6" w:space="0"/>
                    <w:right w:val="single" w:color="auto" w:sz="6" w:space="0"/>
                  </w:tcBorders>
                  <w:vAlign w:val="center"/>
                </w:tcPr>
                <w:p w14:paraId="07F9CCB5">
                  <w:pPr>
                    <w:keepNext w:val="0"/>
                    <w:keepLines w:val="0"/>
                    <w:suppressLineNumbers w:val="0"/>
                    <w:adjustRightInd w:val="0"/>
                    <w:snapToGrid w:val="0"/>
                    <w:spacing w:before="0" w:beforeAutospacing="0" w:after="0" w:afterAutospacing="0"/>
                    <w:ind w:left="0" w:right="0"/>
                    <w:jc w:val="center"/>
                    <w:rPr>
                      <w:rFonts w:hint="default"/>
                      <w:color w:val="auto"/>
                      <w:kern w:val="0"/>
                      <w:szCs w:val="21"/>
                    </w:rPr>
                  </w:pPr>
                  <w:r>
                    <w:rPr>
                      <w:rFonts w:hint="default"/>
                      <w:color w:val="auto"/>
                      <w:kern w:val="0"/>
                      <w:szCs w:val="21"/>
                    </w:rPr>
                    <w:t>等效A声级</w:t>
                  </w:r>
                </w:p>
              </w:tc>
              <w:tc>
                <w:tcPr>
                  <w:tcW w:w="724" w:type="pct"/>
                  <w:tcBorders>
                    <w:top w:val="single" w:color="auto" w:sz="6" w:space="0"/>
                    <w:left w:val="single" w:color="auto" w:sz="6" w:space="0"/>
                    <w:bottom w:val="single" w:color="auto" w:sz="6" w:space="0"/>
                    <w:right w:val="single" w:color="auto" w:sz="6" w:space="0"/>
                  </w:tcBorders>
                  <w:vAlign w:val="center"/>
                </w:tcPr>
                <w:p w14:paraId="51E9FF97">
                  <w:pPr>
                    <w:keepNext w:val="0"/>
                    <w:keepLines w:val="0"/>
                    <w:suppressLineNumbers w:val="0"/>
                    <w:adjustRightInd w:val="0"/>
                    <w:snapToGrid w:val="0"/>
                    <w:spacing w:before="0" w:beforeAutospacing="0" w:after="0" w:afterAutospacing="0"/>
                    <w:ind w:left="0" w:right="0"/>
                    <w:jc w:val="center"/>
                    <w:rPr>
                      <w:rFonts w:hint="eastAsia" w:eastAsia="宋体"/>
                      <w:color w:val="auto"/>
                      <w:kern w:val="0"/>
                      <w:szCs w:val="21"/>
                      <w:lang w:eastAsia="zh-CN"/>
                    </w:rPr>
                  </w:pPr>
                  <w:r>
                    <w:rPr>
                      <w:rFonts w:hint="default"/>
                      <w:color w:val="auto"/>
                      <w:szCs w:val="21"/>
                    </w:rPr>
                    <w:t>1次/</w:t>
                  </w:r>
                  <w:r>
                    <w:rPr>
                      <w:rFonts w:hint="eastAsia"/>
                      <w:color w:val="auto"/>
                      <w:szCs w:val="21"/>
                      <w:lang w:val="en-US" w:eastAsia="zh-CN"/>
                    </w:rPr>
                    <w:t>季度</w:t>
                  </w:r>
                </w:p>
              </w:tc>
              <w:tc>
                <w:tcPr>
                  <w:tcW w:w="2220" w:type="pct"/>
                  <w:tcBorders>
                    <w:top w:val="single" w:color="auto" w:sz="6" w:space="0"/>
                    <w:left w:val="single" w:color="auto" w:sz="6" w:space="0"/>
                    <w:bottom w:val="single" w:color="auto" w:sz="6" w:space="0"/>
                    <w:right w:val="single" w:color="auto" w:sz="6" w:space="0"/>
                  </w:tcBorders>
                  <w:vAlign w:val="center"/>
                </w:tcPr>
                <w:p w14:paraId="660AD3EF">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color w:val="auto"/>
                      <w:szCs w:val="21"/>
                    </w:rPr>
                    <w:t>《工业企业厂界环境噪声排放标准》（GB12348-2008）</w:t>
                  </w:r>
                  <w:r>
                    <w:rPr>
                      <w:rFonts w:hint="eastAsia"/>
                      <w:color w:val="auto"/>
                      <w:szCs w:val="21"/>
                      <w:lang w:val="en-US" w:eastAsia="zh-CN"/>
                    </w:rPr>
                    <w:t>2</w:t>
                  </w:r>
                  <w:r>
                    <w:rPr>
                      <w:rFonts w:hint="default"/>
                      <w:color w:val="auto"/>
                      <w:szCs w:val="21"/>
                    </w:rPr>
                    <w:t>类标准，即昼间≤</w:t>
                  </w:r>
                  <w:r>
                    <w:rPr>
                      <w:rFonts w:hint="eastAsia"/>
                      <w:color w:val="auto"/>
                      <w:szCs w:val="21"/>
                      <w:lang w:val="en-US" w:eastAsia="zh-CN"/>
                    </w:rPr>
                    <w:t>60</w:t>
                  </w:r>
                  <w:r>
                    <w:rPr>
                      <w:rFonts w:hint="default"/>
                      <w:color w:val="auto"/>
                      <w:szCs w:val="21"/>
                    </w:rPr>
                    <w:t>dB（A），夜间≤</w:t>
                  </w:r>
                  <w:r>
                    <w:rPr>
                      <w:rFonts w:hint="eastAsia"/>
                      <w:color w:val="auto"/>
                      <w:szCs w:val="21"/>
                      <w:lang w:val="en-US" w:eastAsia="zh-CN"/>
                    </w:rPr>
                    <w:t>50</w:t>
                  </w:r>
                  <w:r>
                    <w:rPr>
                      <w:rFonts w:hint="default"/>
                      <w:color w:val="auto"/>
                      <w:szCs w:val="21"/>
                    </w:rPr>
                    <w:t>dB（A）。</w:t>
                  </w:r>
                </w:p>
              </w:tc>
            </w:tr>
          </w:tbl>
          <w:p w14:paraId="778B9EC9">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4.固体废物</w:t>
            </w:r>
          </w:p>
          <w:p w14:paraId="165C266F">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4.1固体废物产生情况</w:t>
            </w:r>
          </w:p>
          <w:p w14:paraId="1C99C03D">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本项目运营期固体废弃物主要是生活垃圾、</w:t>
            </w:r>
            <w:r>
              <w:rPr>
                <w:rFonts w:hint="eastAsia" w:eastAsiaTheme="minorEastAsia"/>
                <w:color w:val="auto"/>
                <w:kern w:val="0"/>
                <w:sz w:val="24"/>
                <w:lang w:val="en-US" w:eastAsia="zh-CN"/>
              </w:rPr>
              <w:t>隔油池油污</w:t>
            </w:r>
            <w:r>
              <w:rPr>
                <w:rFonts w:hint="default" w:eastAsiaTheme="minorEastAsia"/>
                <w:color w:val="auto"/>
                <w:kern w:val="0"/>
                <w:sz w:val="24"/>
              </w:rPr>
              <w:t>、一般</w:t>
            </w:r>
            <w:r>
              <w:rPr>
                <w:rFonts w:hint="eastAsia" w:eastAsiaTheme="minorEastAsia"/>
                <w:color w:val="auto"/>
                <w:kern w:val="0"/>
                <w:sz w:val="24"/>
                <w:lang w:val="en-US" w:eastAsia="zh-CN"/>
              </w:rPr>
              <w:t>工业固体废物</w:t>
            </w:r>
            <w:r>
              <w:rPr>
                <w:rFonts w:hint="eastAsia" w:eastAsiaTheme="minorEastAsia"/>
                <w:color w:val="auto"/>
                <w:kern w:val="0"/>
                <w:sz w:val="24"/>
                <w:lang w:eastAsia="zh-CN"/>
              </w:rPr>
              <w:t>、</w:t>
            </w:r>
            <w:r>
              <w:rPr>
                <w:rFonts w:hint="default" w:eastAsiaTheme="minorEastAsia"/>
                <w:color w:val="auto"/>
                <w:kern w:val="0"/>
                <w:sz w:val="24"/>
              </w:rPr>
              <w:t>危险废物。</w:t>
            </w:r>
          </w:p>
          <w:p w14:paraId="40DD5162">
            <w:pPr>
              <w:keepNext w:val="0"/>
              <w:keepLines w:val="0"/>
              <w:suppressLineNumbers w:val="0"/>
              <w:snapToGrid w:val="0"/>
              <w:spacing w:before="0" w:beforeAutospacing="0" w:after="0" w:afterAutospacing="0" w:line="360" w:lineRule="auto"/>
              <w:ind w:left="0" w:right="0" w:firstLine="482" w:firstLineChars="200"/>
              <w:rPr>
                <w:rFonts w:hint="default" w:eastAsiaTheme="minorEastAsia"/>
                <w:b/>
                <w:color w:val="auto"/>
                <w:kern w:val="0"/>
                <w:sz w:val="24"/>
              </w:rPr>
            </w:pPr>
            <w:r>
              <w:rPr>
                <w:rFonts w:hint="default" w:eastAsiaTheme="minorEastAsia"/>
                <w:b/>
                <w:color w:val="auto"/>
                <w:kern w:val="0"/>
                <w:sz w:val="24"/>
              </w:rPr>
              <w:t>1、生活垃圾</w:t>
            </w:r>
          </w:p>
          <w:p w14:paraId="62AD3C96">
            <w:pPr>
              <w:keepNext w:val="0"/>
              <w:keepLines w:val="0"/>
              <w:suppressLineNumbers w:val="0"/>
              <w:snapToGrid w:val="0"/>
              <w:spacing w:before="0" w:beforeAutospacing="0" w:after="0" w:afterAutospacing="0" w:line="360" w:lineRule="auto"/>
              <w:ind w:left="0" w:right="0" w:firstLine="482" w:firstLineChars="200"/>
              <w:rPr>
                <w:rFonts w:hint="default"/>
                <w:b/>
                <w:bCs w:val="0"/>
                <w:color w:val="auto"/>
                <w:sz w:val="24"/>
              </w:rPr>
            </w:pPr>
            <w:r>
              <w:rPr>
                <w:rFonts w:hint="default" w:eastAsiaTheme="minorEastAsia"/>
                <w:b/>
                <w:bCs w:val="0"/>
                <w:color w:val="auto"/>
                <w:kern w:val="0"/>
                <w:sz w:val="24"/>
              </w:rPr>
              <w:t>（1）</w:t>
            </w:r>
            <w:r>
              <w:rPr>
                <w:rFonts w:hint="eastAsia" w:eastAsiaTheme="minorEastAsia"/>
                <w:b/>
                <w:bCs w:val="0"/>
                <w:color w:val="auto"/>
                <w:kern w:val="0"/>
                <w:sz w:val="24"/>
                <w:lang w:val="en-US" w:eastAsia="zh-CN"/>
              </w:rPr>
              <w:t>办公</w:t>
            </w:r>
            <w:r>
              <w:rPr>
                <w:rFonts w:hint="default"/>
                <w:b/>
                <w:bCs w:val="0"/>
                <w:color w:val="auto"/>
                <w:sz w:val="24"/>
              </w:rPr>
              <w:t>生活垃圾</w:t>
            </w:r>
          </w:p>
          <w:p w14:paraId="7C8A4A48">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
                <w:color w:val="auto"/>
                <w:kern w:val="0"/>
                <w:sz w:val="24"/>
              </w:rPr>
            </w:pPr>
            <w:r>
              <w:rPr>
                <w:rFonts w:hint="default"/>
                <w:color w:val="auto"/>
                <w:sz w:val="24"/>
              </w:rPr>
              <w:t>根据建设单位提供资料，本项目在公司办公人员为20人，</w:t>
            </w:r>
            <w:r>
              <w:rPr>
                <w:rFonts w:hint="default"/>
                <w:color w:val="auto"/>
                <w:kern w:val="0"/>
                <w:sz w:val="24"/>
                <w:lang w:bidi="ar"/>
              </w:rPr>
              <w:t>云南秀川水利水电勘察设计有限公司70人</w:t>
            </w:r>
            <w:r>
              <w:rPr>
                <w:rFonts w:hint="default"/>
                <w:color w:val="auto"/>
                <w:sz w:val="24"/>
              </w:rPr>
              <w:t>，共计90人，</w:t>
            </w:r>
            <w:r>
              <w:rPr>
                <w:rFonts w:hint="default"/>
                <w:color w:val="auto"/>
                <w:kern w:val="0"/>
                <w:sz w:val="24"/>
                <w:lang w:bidi="ar"/>
              </w:rPr>
              <w:t>垃圾产生量按《城镇生活源产排污系数手册》中0.56kg/（d·人）计，则项目生活垃圾产生量为0.0504t/d，15.12t/a，生活垃圾</w:t>
            </w:r>
            <w:r>
              <w:rPr>
                <w:rFonts w:hint="eastAsia"/>
                <w:color w:val="auto"/>
                <w:kern w:val="0"/>
                <w:sz w:val="24"/>
                <w:lang w:eastAsia="zh-CN" w:bidi="ar"/>
              </w:rPr>
              <w:t>，</w:t>
            </w:r>
            <w:r>
              <w:rPr>
                <w:rFonts w:hint="default" w:ascii="Times New Roman" w:cs="Times New Roman"/>
                <w:color w:val="auto"/>
                <w:kern w:val="0"/>
                <w:sz w:val="24"/>
              </w:rPr>
              <w:t>由项目内垃圾桶收集，定期清运至</w:t>
            </w:r>
            <w:r>
              <w:rPr>
                <w:rFonts w:hint="eastAsia" w:ascii="Times New Roman" w:cs="Times New Roman"/>
                <w:color w:val="auto"/>
                <w:kern w:val="0"/>
                <w:sz w:val="24"/>
                <w:lang w:val="en-US" w:eastAsia="zh-CN"/>
              </w:rPr>
              <w:t>项目</w:t>
            </w:r>
            <w:r>
              <w:rPr>
                <w:rFonts w:hint="default" w:ascii="Times New Roman" w:cs="Times New Roman"/>
                <w:color w:val="auto"/>
                <w:kern w:val="0"/>
                <w:sz w:val="24"/>
              </w:rPr>
              <w:t>区指定垃圾收集点</w:t>
            </w:r>
            <w:r>
              <w:rPr>
                <w:rFonts w:hint="eastAsia" w:ascii="Times New Roman" w:cs="Times New Roman"/>
                <w:color w:val="auto"/>
                <w:kern w:val="0"/>
                <w:sz w:val="24"/>
                <w:lang w:eastAsia="zh-CN"/>
              </w:rPr>
              <w:t>，</w:t>
            </w:r>
            <w:r>
              <w:rPr>
                <w:rFonts w:hint="default"/>
                <w:color w:val="auto"/>
                <w:kern w:val="0"/>
                <w:sz w:val="24"/>
                <w:lang w:bidi="ar"/>
              </w:rPr>
              <w:t>委托环卫部门清运处置。</w:t>
            </w:r>
          </w:p>
          <w:p w14:paraId="39DBA632">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lang w:bidi="ar"/>
              </w:rPr>
            </w:pPr>
            <w:r>
              <w:rPr>
                <w:rFonts w:hint="default"/>
                <w:b/>
                <w:bCs/>
                <w:color w:val="auto"/>
                <w:kern w:val="0"/>
                <w:sz w:val="24"/>
                <w:lang w:bidi="ar"/>
              </w:rPr>
              <w:t>（2）食堂厨余垃圾</w:t>
            </w:r>
          </w:p>
          <w:p w14:paraId="5EBF8DFC">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食堂接纳就餐人数约90人，根据《北京市餐厨垃圾产生量调查分析》餐厨废弃物产生量按照0.45kg/人·d计，则项目食堂厨余垃圾产生量为0.0405t/d、12.15t/a，食堂设置带盖塑料桶收集厨余垃圾，收集之后委托相关回收单位每日清运。</w:t>
            </w:r>
          </w:p>
          <w:p w14:paraId="26D6F6D5">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lang w:bidi="ar"/>
              </w:rPr>
            </w:pPr>
            <w:r>
              <w:rPr>
                <w:rFonts w:hint="eastAsia"/>
                <w:b/>
                <w:bCs/>
                <w:color w:val="auto"/>
                <w:kern w:val="0"/>
                <w:sz w:val="24"/>
                <w:lang w:val="en-US" w:eastAsia="zh-CN" w:bidi="ar"/>
              </w:rPr>
              <w:t>2、</w:t>
            </w:r>
            <w:r>
              <w:rPr>
                <w:rFonts w:hint="default"/>
                <w:b/>
                <w:bCs/>
                <w:color w:val="auto"/>
                <w:kern w:val="0"/>
                <w:sz w:val="24"/>
                <w:lang w:bidi="ar"/>
              </w:rPr>
              <w:t>隔油池油污</w:t>
            </w:r>
          </w:p>
          <w:p w14:paraId="3BA3A71C">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lang w:bidi="ar"/>
              </w:rPr>
            </w:pPr>
            <w:r>
              <w:rPr>
                <w:rFonts w:hint="default"/>
                <w:color w:val="auto"/>
                <w:kern w:val="0"/>
                <w:sz w:val="24"/>
                <w:lang w:bidi="ar"/>
              </w:rPr>
              <w:t>食堂接纳就餐人数约90人，隔油池油污产生量按照《城镇生活源产排污系数手册》中1.77g/（d·人）计，则产生量约为0.000159t/d，0.0477t/a，隔油池油污委托相关回收单位进行清掏处置。</w:t>
            </w:r>
          </w:p>
          <w:p w14:paraId="556C26DD">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color w:val="auto"/>
                <w:kern w:val="0"/>
                <w:sz w:val="24"/>
              </w:rPr>
            </w:pPr>
            <w:r>
              <w:rPr>
                <w:rFonts w:hint="eastAsia" w:eastAsiaTheme="minorEastAsia"/>
                <w:b/>
                <w:color w:val="auto"/>
                <w:kern w:val="0"/>
                <w:sz w:val="24"/>
                <w:lang w:val="en-US" w:eastAsia="zh-CN"/>
              </w:rPr>
              <w:t>3</w:t>
            </w:r>
            <w:r>
              <w:rPr>
                <w:rFonts w:hint="default" w:eastAsiaTheme="minorEastAsia"/>
                <w:b/>
                <w:color w:val="auto"/>
                <w:kern w:val="0"/>
                <w:sz w:val="24"/>
              </w:rPr>
              <w:t>、一般</w:t>
            </w:r>
            <w:r>
              <w:rPr>
                <w:rFonts w:hint="eastAsia" w:eastAsiaTheme="minorEastAsia"/>
                <w:b/>
                <w:color w:val="auto"/>
                <w:kern w:val="0"/>
                <w:sz w:val="24"/>
                <w:lang w:val="en-US" w:eastAsia="zh-CN"/>
              </w:rPr>
              <w:t>工业</w:t>
            </w:r>
            <w:r>
              <w:rPr>
                <w:rFonts w:hint="default" w:eastAsiaTheme="minorEastAsia"/>
                <w:b/>
                <w:color w:val="auto"/>
                <w:kern w:val="0"/>
                <w:sz w:val="24"/>
              </w:rPr>
              <w:t>固体废物</w:t>
            </w:r>
          </w:p>
          <w:p w14:paraId="239FE823">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b/>
                <w:bCs/>
                <w:color w:val="auto"/>
                <w:sz w:val="24"/>
              </w:rPr>
            </w:pPr>
            <w:r>
              <w:rPr>
                <w:rFonts w:hint="default"/>
                <w:b/>
                <w:bCs/>
                <w:color w:val="auto"/>
                <w:sz w:val="24"/>
              </w:rPr>
              <w:t>（1）检测废料</w:t>
            </w:r>
          </w:p>
          <w:p w14:paraId="1D5613C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sz w:val="24"/>
              </w:rPr>
            </w:pPr>
            <w:r>
              <w:rPr>
                <w:rFonts w:hint="default"/>
                <w:color w:val="auto"/>
                <w:sz w:val="24"/>
              </w:rPr>
              <w:t>一般工业固废主要为物理检测产生的样品废料，主要为废混凝土砌块、废水泥砌块、废钢筋、废岩土、废岩石、废橡胶止水带等；根据建设单位提供资料，项目物理检测过程中废料产生量约为209.2t/a，废钢筋等金属材料卖给废品回收站。项目在厂区西侧设置一般固废暂存间，检测废料（不含危废）集中收集暂存，定期委托清运。</w:t>
            </w:r>
          </w:p>
          <w:p w14:paraId="30504C61">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bCs/>
                <w:color w:val="auto"/>
                <w:kern w:val="0"/>
                <w:sz w:val="24"/>
              </w:rPr>
            </w:pPr>
            <w:r>
              <w:rPr>
                <w:rFonts w:hint="default" w:eastAsiaTheme="minorEastAsia"/>
                <w:b/>
                <w:bCs/>
                <w:color w:val="auto"/>
                <w:kern w:val="0"/>
                <w:sz w:val="24"/>
              </w:rPr>
              <w:t>（2）沉淀池污泥</w:t>
            </w:r>
          </w:p>
          <w:p w14:paraId="4042739B">
            <w:pPr>
              <w:pStyle w:val="2"/>
              <w:keepNext w:val="0"/>
              <w:keepLines w:val="0"/>
              <w:suppressLineNumbers w:val="0"/>
              <w:spacing w:before="0" w:beforeAutospacing="0" w:afterAutospacing="0" w:line="360" w:lineRule="auto"/>
              <w:ind w:left="0" w:leftChars="0" w:right="0" w:firstLine="480"/>
              <w:rPr>
                <w:rFonts w:hint="default"/>
                <w:color w:val="auto"/>
                <w:sz w:val="24"/>
              </w:rPr>
            </w:pPr>
            <w:r>
              <w:rPr>
                <w:rFonts w:hint="default"/>
                <w:color w:val="auto"/>
                <w:sz w:val="24"/>
              </w:rPr>
              <w:t>本项目新建一个</w:t>
            </w:r>
            <w:r>
              <w:rPr>
                <w:rFonts w:hint="eastAsia"/>
                <w:color w:val="auto"/>
                <w:sz w:val="24"/>
                <w:lang w:val="en-US" w:eastAsia="zh-CN"/>
              </w:rPr>
              <w:t>三级</w:t>
            </w:r>
            <w:r>
              <w:rPr>
                <w:rFonts w:hint="default"/>
                <w:color w:val="auto"/>
                <w:sz w:val="24"/>
              </w:rPr>
              <w:t>沉淀池对实验</w:t>
            </w:r>
            <w:r>
              <w:rPr>
                <w:rFonts w:hint="eastAsia"/>
                <w:color w:val="auto"/>
                <w:sz w:val="24"/>
                <w:lang w:val="en-US" w:eastAsia="zh-CN"/>
              </w:rPr>
              <w:t>楼</w:t>
            </w:r>
            <w:r>
              <w:rPr>
                <w:rFonts w:hint="default"/>
                <w:color w:val="auto"/>
                <w:sz w:val="24"/>
              </w:rPr>
              <w:t>废水进行处理，处理的实验室废水量为：</w:t>
            </w:r>
            <w:r>
              <w:rPr>
                <w:rFonts w:hint="eastAsia" w:eastAsiaTheme="minorEastAsia"/>
                <w:color w:val="auto"/>
                <w:kern w:val="0"/>
                <w:sz w:val="24"/>
                <w:lang w:val="en-US" w:eastAsia="zh-CN"/>
              </w:rPr>
              <w:t>177.36</w:t>
            </w:r>
            <w:r>
              <w:rPr>
                <w:rFonts w:hint="default" w:eastAsiaTheme="minorEastAsia"/>
                <w:color w:val="auto"/>
                <w:kern w:val="0"/>
                <w:sz w:val="24"/>
              </w:rPr>
              <w:t xml:space="preserve"> m</w:t>
            </w:r>
            <w:r>
              <w:rPr>
                <w:rFonts w:hint="default"/>
                <w:color w:val="auto"/>
                <w:kern w:val="0"/>
                <w:sz w:val="24"/>
              </w:rPr>
              <w:t>³</w:t>
            </w:r>
            <w:r>
              <w:rPr>
                <w:rFonts w:hint="default" w:eastAsiaTheme="minorEastAsia"/>
                <w:color w:val="auto"/>
                <w:kern w:val="0"/>
                <w:sz w:val="24"/>
              </w:rPr>
              <w:t>/a。沉淀池产生的污泥量为0.05kg/ m</w:t>
            </w:r>
            <w:r>
              <w:rPr>
                <w:rFonts w:hint="default"/>
                <w:color w:val="auto"/>
                <w:kern w:val="0"/>
                <w:sz w:val="24"/>
              </w:rPr>
              <w:t>³(含水率5%)，污泥产生量为</w:t>
            </w:r>
            <w:r>
              <w:rPr>
                <w:rFonts w:hint="eastAsia"/>
                <w:color w:val="auto"/>
                <w:kern w:val="0"/>
                <w:sz w:val="24"/>
                <w:lang w:val="en-US" w:eastAsia="zh-CN"/>
              </w:rPr>
              <w:t>0.0089</w:t>
            </w:r>
            <w:r>
              <w:rPr>
                <w:rFonts w:hint="default"/>
                <w:color w:val="auto"/>
                <w:sz w:val="24"/>
              </w:rPr>
              <w:t xml:space="preserve"> t/a，沉淀池污泥定期清掏委托处置。</w:t>
            </w:r>
          </w:p>
          <w:p w14:paraId="21EAB04B">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kern w:val="0"/>
                <w:sz w:val="24"/>
              </w:rPr>
            </w:pPr>
            <w:r>
              <w:rPr>
                <w:rFonts w:hint="default" w:ascii="Times New Roman" w:hAnsi="Times New Roman" w:cs="Times New Roman"/>
                <w:b/>
                <w:color w:val="auto"/>
                <w:kern w:val="0"/>
                <w:sz w:val="24"/>
                <w:lang w:eastAsia="zh-CN"/>
              </w:rPr>
              <w:t>（</w:t>
            </w:r>
            <w:r>
              <w:rPr>
                <w:rFonts w:hint="default" w:ascii="Times New Roman" w:hAnsi="Times New Roman" w:cs="Times New Roman"/>
                <w:b/>
                <w:color w:val="auto"/>
                <w:kern w:val="0"/>
                <w:sz w:val="24"/>
                <w:lang w:val="en-US" w:eastAsia="zh-CN"/>
              </w:rPr>
              <w:t>3</w:t>
            </w:r>
            <w:r>
              <w:rPr>
                <w:rFonts w:hint="default" w:ascii="Times New Roman" w:hAnsi="Times New Roman" w:cs="Times New Roman"/>
                <w:b/>
                <w:color w:val="auto"/>
                <w:kern w:val="0"/>
                <w:sz w:val="24"/>
                <w:lang w:eastAsia="zh-CN"/>
              </w:rPr>
              <w:t>）</w:t>
            </w:r>
            <w:r>
              <w:rPr>
                <w:rFonts w:hint="default" w:ascii="Times New Roman" w:hAnsi="Times New Roman" w:cs="Times New Roman"/>
                <w:b/>
                <w:color w:val="auto"/>
                <w:kern w:val="0"/>
                <w:sz w:val="24"/>
              </w:rPr>
              <w:t>纯水机设备更换的废滤芯及废过滤膜</w:t>
            </w:r>
          </w:p>
          <w:p w14:paraId="3E72EB59">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项目纯水制备过程中需定期对纯水设备内的滤芯及过滤膜进行更换，该部分固废属于一般固废，产生量约0.02t/a</w:t>
            </w:r>
            <w:r>
              <w:rPr>
                <w:rFonts w:hint="eastAsia"/>
                <w:color w:val="auto"/>
                <w:kern w:val="0"/>
                <w:sz w:val="24"/>
              </w:rPr>
              <w:t>，定期更换</w:t>
            </w:r>
            <w:r>
              <w:rPr>
                <w:rFonts w:hint="default"/>
                <w:color w:val="auto"/>
                <w:kern w:val="0"/>
                <w:sz w:val="24"/>
              </w:rPr>
              <w:t>同生活垃圾一起处理。</w:t>
            </w:r>
          </w:p>
          <w:p w14:paraId="7E641322">
            <w:pPr>
              <w:keepNext w:val="0"/>
              <w:keepLines w:val="0"/>
              <w:suppressLineNumbers w:val="0"/>
              <w:spacing w:before="0" w:beforeAutospacing="0" w:after="0" w:afterAutospacing="0" w:line="360" w:lineRule="auto"/>
              <w:ind w:left="0" w:right="0" w:firstLine="482" w:firstLineChars="200"/>
              <w:rPr>
                <w:rFonts w:hint="default"/>
                <w:b/>
                <w:color w:val="auto"/>
                <w:kern w:val="0"/>
                <w:sz w:val="24"/>
              </w:rPr>
            </w:pPr>
            <w:r>
              <w:rPr>
                <w:rFonts w:hint="eastAsia"/>
                <w:b/>
                <w:color w:val="auto"/>
                <w:kern w:val="0"/>
                <w:sz w:val="24"/>
                <w:lang w:eastAsia="zh-CN"/>
              </w:rPr>
              <w:t>（</w:t>
            </w:r>
            <w:r>
              <w:rPr>
                <w:rFonts w:hint="eastAsia"/>
                <w:b/>
                <w:color w:val="auto"/>
                <w:kern w:val="0"/>
                <w:sz w:val="24"/>
                <w:lang w:val="en-US" w:eastAsia="zh-CN"/>
              </w:rPr>
              <w:t>4</w:t>
            </w:r>
            <w:r>
              <w:rPr>
                <w:rFonts w:hint="eastAsia"/>
                <w:b/>
                <w:color w:val="auto"/>
                <w:kern w:val="0"/>
                <w:sz w:val="24"/>
                <w:lang w:eastAsia="zh-CN"/>
              </w:rPr>
              <w:t>）</w:t>
            </w:r>
            <w:r>
              <w:rPr>
                <w:rFonts w:hint="default"/>
                <w:b/>
                <w:color w:val="auto"/>
                <w:kern w:val="0"/>
                <w:sz w:val="24"/>
              </w:rPr>
              <w:t>破碎玻璃（未沾染化学试剂）和废包装物</w:t>
            </w:r>
          </w:p>
          <w:p w14:paraId="13EB3773">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项目实验</w:t>
            </w:r>
            <w:r>
              <w:rPr>
                <w:rFonts w:hint="eastAsia"/>
                <w:color w:val="auto"/>
                <w:kern w:val="0"/>
                <w:sz w:val="24"/>
              </w:rPr>
              <w:t>过程中</w:t>
            </w:r>
            <w:r>
              <w:rPr>
                <w:rFonts w:hint="default"/>
                <w:color w:val="auto"/>
                <w:kern w:val="0"/>
                <w:sz w:val="24"/>
              </w:rPr>
              <w:t>产生</w:t>
            </w:r>
            <w:r>
              <w:rPr>
                <w:rFonts w:hint="eastAsia"/>
                <w:color w:val="auto"/>
                <w:kern w:val="0"/>
                <w:sz w:val="24"/>
              </w:rPr>
              <w:t>的</w:t>
            </w:r>
            <w:r>
              <w:rPr>
                <w:rFonts w:hint="default"/>
                <w:color w:val="auto"/>
                <w:kern w:val="0"/>
                <w:sz w:val="24"/>
              </w:rPr>
              <w:t>破碎玻璃、一般废包装物（主要为纸箱等）共计约 0.</w:t>
            </w:r>
            <w:r>
              <w:rPr>
                <w:rFonts w:hint="eastAsia"/>
                <w:color w:val="auto"/>
                <w:kern w:val="0"/>
                <w:sz w:val="24"/>
              </w:rPr>
              <w:t>2</w:t>
            </w:r>
            <w:r>
              <w:rPr>
                <w:rFonts w:hint="default"/>
                <w:color w:val="auto"/>
                <w:kern w:val="0"/>
                <w:sz w:val="24"/>
              </w:rPr>
              <w:t>t/a，进行分类收集、分类处理，可回收部分卖给废品收购站进行回收利用，不可回收部分同生活垃圾一起处理。</w:t>
            </w:r>
          </w:p>
          <w:p w14:paraId="2016128B">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color w:val="auto"/>
                <w:kern w:val="0"/>
                <w:sz w:val="24"/>
              </w:rPr>
            </w:pPr>
            <w:r>
              <w:rPr>
                <w:rFonts w:hint="eastAsia" w:eastAsiaTheme="minorEastAsia"/>
                <w:b/>
                <w:color w:val="auto"/>
                <w:kern w:val="0"/>
                <w:sz w:val="24"/>
                <w:lang w:val="en-US" w:eastAsia="zh-CN"/>
              </w:rPr>
              <w:t>4</w:t>
            </w:r>
            <w:r>
              <w:rPr>
                <w:rFonts w:hint="default" w:eastAsiaTheme="minorEastAsia"/>
                <w:b/>
                <w:color w:val="auto"/>
                <w:kern w:val="0"/>
                <w:sz w:val="24"/>
              </w:rPr>
              <w:t>、危险废物</w:t>
            </w:r>
          </w:p>
          <w:p w14:paraId="39A27423">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bCs w:val="0"/>
                <w:color w:val="auto"/>
                <w:kern w:val="0"/>
                <w:sz w:val="24"/>
              </w:rPr>
            </w:pPr>
            <w:r>
              <w:rPr>
                <w:rFonts w:hint="default" w:eastAsiaTheme="minorEastAsia"/>
                <w:b/>
                <w:bCs w:val="0"/>
                <w:color w:val="auto"/>
                <w:kern w:val="0"/>
                <w:sz w:val="24"/>
              </w:rPr>
              <w:t>（1）实验废液</w:t>
            </w:r>
          </w:p>
          <w:p w14:paraId="40D73818">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项目实验废液主要是以含有机溶剂、酸碱废液以及含有重金属的器皿清洗废水为主，</w:t>
            </w:r>
            <w:r>
              <w:rPr>
                <w:rFonts w:hint="default" w:eastAsiaTheme="minorEastAsia"/>
                <w:color w:val="auto"/>
                <w:sz w:val="24"/>
              </w:rPr>
              <w:t>根据前文可知，</w:t>
            </w:r>
            <w:r>
              <w:rPr>
                <w:rFonts w:hint="default" w:eastAsiaTheme="minorEastAsia"/>
                <w:color w:val="auto"/>
                <w:kern w:val="0"/>
                <w:sz w:val="24"/>
              </w:rPr>
              <w:t>产生量约0.0</w:t>
            </w:r>
            <w:r>
              <w:rPr>
                <w:rFonts w:hint="default" w:eastAsiaTheme="minorEastAsia"/>
                <w:color w:val="auto"/>
                <w:sz w:val="24"/>
              </w:rPr>
              <w:t>01</w:t>
            </w:r>
            <w:r>
              <w:rPr>
                <w:rFonts w:hint="default" w:eastAsiaTheme="minorEastAsia"/>
                <w:color w:val="auto"/>
                <w:kern w:val="0"/>
                <w:sz w:val="24"/>
              </w:rPr>
              <w:t>t/d、</w:t>
            </w:r>
            <w:r>
              <w:rPr>
                <w:rFonts w:hint="default" w:eastAsiaTheme="minorEastAsia"/>
                <w:color w:val="auto"/>
                <w:sz w:val="24"/>
              </w:rPr>
              <w:t>0.3</w:t>
            </w:r>
            <w:r>
              <w:rPr>
                <w:rFonts w:hint="default" w:eastAsiaTheme="minorEastAsia"/>
                <w:color w:val="auto"/>
                <w:kern w:val="0"/>
                <w:sz w:val="24"/>
              </w:rPr>
              <w:t>t/a，属于《国家危险废物名录》（2021年版）类别为HW49 900-047-49，生产、研究、开发、教学、环境检测（监测）活动中，化学和生物实验室（不包含感染性医学实验室及医疗机构化验室）产生的含氰、氟、重金属无机废液及无机废液处理产生的残渣、残液，含矿物油、有机溶剂，废酸、废碱，具有危险特性的残留样品；统一收集后暂存于危废暂存间，委托有资质的单位定期清运处置。</w:t>
            </w:r>
          </w:p>
          <w:p w14:paraId="553FD54F">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bCs w:val="0"/>
                <w:color w:val="auto"/>
                <w:kern w:val="0"/>
                <w:sz w:val="24"/>
              </w:rPr>
            </w:pPr>
            <w:r>
              <w:rPr>
                <w:rFonts w:hint="default" w:eastAsiaTheme="minorEastAsia"/>
                <w:b/>
                <w:bCs w:val="0"/>
                <w:color w:val="auto"/>
                <w:kern w:val="0"/>
                <w:sz w:val="24"/>
              </w:rPr>
              <w:t>（2）实验</w:t>
            </w:r>
            <w:r>
              <w:rPr>
                <w:rFonts w:hint="eastAsia" w:eastAsiaTheme="minorEastAsia"/>
                <w:b/>
                <w:bCs w:val="0"/>
                <w:color w:val="auto"/>
                <w:kern w:val="0"/>
                <w:sz w:val="24"/>
                <w:lang w:val="en-US" w:eastAsia="zh-CN"/>
              </w:rPr>
              <w:t>室</w:t>
            </w:r>
            <w:r>
              <w:rPr>
                <w:rFonts w:hint="default" w:eastAsiaTheme="minorEastAsia"/>
                <w:b/>
                <w:bCs w:val="0"/>
                <w:color w:val="auto"/>
                <w:kern w:val="0"/>
                <w:sz w:val="24"/>
              </w:rPr>
              <w:t>第一、二次器皿清洗废水</w:t>
            </w:r>
          </w:p>
          <w:p w14:paraId="5C7B9A45">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kern w:val="0"/>
                <w:sz w:val="24"/>
              </w:rPr>
            </w:pPr>
            <w:r>
              <w:rPr>
                <w:rFonts w:hint="default" w:eastAsiaTheme="minorEastAsia"/>
                <w:bCs/>
                <w:color w:val="auto"/>
                <w:kern w:val="0"/>
                <w:sz w:val="24"/>
              </w:rPr>
              <w:t>根据前文分析可知，实验室</w:t>
            </w:r>
            <w:r>
              <w:rPr>
                <w:rFonts w:hint="default" w:ascii="Times New Roman" w:cs="Times New Roman"/>
                <w:color w:val="auto"/>
                <w:kern w:val="0"/>
                <w:sz w:val="24"/>
              </w:rPr>
              <w:t>第一、二次</w:t>
            </w:r>
            <w:r>
              <w:rPr>
                <w:rFonts w:hint="default" w:eastAsiaTheme="minorEastAsia"/>
                <w:bCs/>
                <w:color w:val="auto"/>
                <w:kern w:val="0"/>
                <w:sz w:val="24"/>
              </w:rPr>
              <w:t>器皿清洗产生的清洗废水量</w:t>
            </w:r>
            <w:r>
              <w:rPr>
                <w:rFonts w:hint="eastAsia" w:eastAsiaTheme="minorEastAsia"/>
                <w:bCs/>
                <w:color w:val="auto"/>
                <w:kern w:val="0"/>
                <w:sz w:val="24"/>
                <w:lang w:eastAsia="zh-CN"/>
              </w:rPr>
              <w:t>（</w:t>
            </w:r>
            <w:r>
              <w:rPr>
                <w:rFonts w:hint="eastAsia" w:eastAsiaTheme="minorEastAsia"/>
                <w:bCs/>
                <w:color w:val="auto"/>
                <w:kern w:val="0"/>
                <w:sz w:val="24"/>
                <w:lang w:val="en-US" w:eastAsia="zh-CN"/>
              </w:rPr>
              <w:t>含酸碱、重金属、有机溶剂等</w:t>
            </w:r>
            <w:r>
              <w:rPr>
                <w:rFonts w:hint="eastAsia" w:eastAsiaTheme="minorEastAsia"/>
                <w:bCs/>
                <w:color w:val="auto"/>
                <w:kern w:val="0"/>
                <w:sz w:val="24"/>
                <w:lang w:eastAsia="zh-CN"/>
              </w:rPr>
              <w:t>）</w:t>
            </w:r>
            <w:r>
              <w:rPr>
                <w:rFonts w:hint="default" w:eastAsiaTheme="minorEastAsia"/>
                <w:bCs/>
                <w:color w:val="auto"/>
                <w:kern w:val="0"/>
                <w:sz w:val="24"/>
              </w:rPr>
              <w:t>为4.8m³/a。</w:t>
            </w:r>
            <w:r>
              <w:rPr>
                <w:rFonts w:hint="default" w:eastAsiaTheme="minorEastAsia"/>
                <w:color w:val="auto"/>
                <w:kern w:val="0"/>
                <w:sz w:val="24"/>
              </w:rPr>
              <w:t>属于《国家危险废物名录》（2021年版）类别为HW49 900-047-49，生产、研究、开发、教学、环境检测（监测）活动中，化学和生物实验室（不包含感染性医学实验室及医疗机构化验室）产生的含氰、氟、重金属无机废液及无机废液处理产生的残渣、残液</w:t>
            </w:r>
            <w:r>
              <w:rPr>
                <w:rFonts w:hint="eastAsia" w:eastAsiaTheme="minorEastAsia"/>
                <w:color w:val="auto"/>
                <w:kern w:val="0"/>
                <w:sz w:val="24"/>
                <w:lang w:eastAsia="zh-CN"/>
              </w:rPr>
              <w:t>，</w:t>
            </w:r>
            <w:r>
              <w:rPr>
                <w:rFonts w:hint="eastAsia" w:eastAsiaTheme="minorEastAsia"/>
                <w:color w:val="auto"/>
                <w:kern w:val="0"/>
                <w:sz w:val="24"/>
                <w:lang w:val="en-US" w:eastAsia="zh-CN"/>
              </w:rPr>
              <w:t>收集后</w:t>
            </w:r>
            <w:r>
              <w:rPr>
                <w:rFonts w:hint="default" w:eastAsiaTheme="minorEastAsia"/>
                <w:bCs/>
                <w:color w:val="auto"/>
                <w:kern w:val="0"/>
                <w:sz w:val="24"/>
              </w:rPr>
              <w:t>暂存于危废暂存间，定期委托有资质单位清运处置。</w:t>
            </w:r>
          </w:p>
          <w:p w14:paraId="6E0F1DA2">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bCs w:val="0"/>
                <w:color w:val="auto"/>
                <w:kern w:val="0"/>
                <w:sz w:val="24"/>
              </w:rPr>
            </w:pPr>
            <w:r>
              <w:rPr>
                <w:rFonts w:hint="default" w:eastAsiaTheme="minorEastAsia"/>
                <w:b/>
                <w:bCs w:val="0"/>
                <w:color w:val="auto"/>
                <w:kern w:val="0"/>
                <w:sz w:val="24"/>
              </w:rPr>
              <w:t>（3）废活性炭</w:t>
            </w:r>
          </w:p>
          <w:p w14:paraId="1C317DAB">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default" w:eastAsiaTheme="minorEastAsia"/>
                <w:color w:val="auto"/>
                <w:kern w:val="0"/>
                <w:sz w:val="24"/>
              </w:rPr>
              <w:t>项目新增2套活性炭吸附装置，处理装置中安装的活性炭需定期更换，活性炭每三个月更换1次，每次更换50kg，废活性炭产生量1.2t/a，属于《国家危险废物名录》（2021版）类别为“HW49其他废物900-039-49 烟气、VOCs治理过程（不包括餐饮行业油烟治理过程）产生的废活性炭，化学原料和化学制品脱色（不包括有机合成食品添加剂脱色）、除杂、净化过程产生的废活性炭（不包括900-405-06、772-005-18、261-053-29、265-002-29、384-003-29、387-001-29类废物）”。废活性炭</w:t>
            </w:r>
            <w:r>
              <w:rPr>
                <w:rFonts w:hint="default"/>
                <w:bCs/>
                <w:color w:val="auto"/>
                <w:sz w:val="24"/>
              </w:rPr>
              <w:t>定期交给有资质单位处置。</w:t>
            </w:r>
          </w:p>
          <w:p w14:paraId="134686AB">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b/>
                <w:bCs w:val="0"/>
                <w:color w:val="auto"/>
                <w:sz w:val="24"/>
              </w:rPr>
            </w:pPr>
            <w:r>
              <w:rPr>
                <w:rFonts w:hint="default" w:eastAsiaTheme="minorEastAsia"/>
                <w:b/>
                <w:bCs w:val="0"/>
                <w:color w:val="auto"/>
                <w:kern w:val="0"/>
                <w:sz w:val="24"/>
              </w:rPr>
              <w:t>（4）</w:t>
            </w:r>
            <w:r>
              <w:rPr>
                <w:rFonts w:hint="default"/>
                <w:b/>
                <w:bCs w:val="0"/>
                <w:color w:val="auto"/>
                <w:sz w:val="24"/>
              </w:rPr>
              <w:t>过期试剂及废试剂瓶</w:t>
            </w:r>
          </w:p>
          <w:p w14:paraId="1AF89AB3">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项目化学检测实验过程中产生的使用完毕的试剂空瓶、过期试剂，根据建设单位提供的资料，该部分废物年产生量约0.2t，危废代码（HW49，900-047-49），项目过期试剂及废试剂瓶在危废暂存间暂存，定期交给有资质单位处置。</w:t>
            </w:r>
          </w:p>
          <w:p w14:paraId="791913EF">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eastAsiaTheme="minorEastAsia"/>
                <w:b/>
                <w:bCs w:val="0"/>
                <w:color w:val="auto"/>
                <w:kern w:val="0"/>
                <w:sz w:val="24"/>
              </w:rPr>
            </w:pPr>
            <w:r>
              <w:rPr>
                <w:rFonts w:hint="default" w:eastAsiaTheme="minorEastAsia"/>
                <w:b/>
                <w:bCs w:val="0"/>
                <w:color w:val="auto"/>
                <w:kern w:val="0"/>
                <w:sz w:val="24"/>
              </w:rPr>
              <w:t>（5）检测废物（废沥青）</w:t>
            </w:r>
          </w:p>
          <w:p w14:paraId="1A925D04">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本项目进行沥青及沥青混合物实验时会产生沥青及沥青混合物，根据建设单位提供数据，产生量约0.15t/a。生产和使用沥青过程中产生的沥青油渣属于危险废物，根据《国家危险废物名录》（2021版）属于HW11精（蒸）馏残渣类别中非特定行业900-013-11其他精炼、蒸馏和任何热解处理中产生的废焦油状残留物，经收集后暂存于危废暂存间内，委托有资质单位处置。</w:t>
            </w:r>
          </w:p>
          <w:p w14:paraId="647B8BD8">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eastAsia" w:eastAsiaTheme="minorEastAsia"/>
                <w:b/>
                <w:bCs w:val="0"/>
                <w:color w:val="auto"/>
                <w:kern w:val="0"/>
                <w:sz w:val="24"/>
                <w:lang w:val="en-US" w:eastAsia="zh-CN"/>
              </w:rPr>
            </w:pPr>
            <w:r>
              <w:rPr>
                <w:rFonts w:hint="default" w:eastAsiaTheme="minorEastAsia"/>
                <w:b/>
                <w:bCs w:val="0"/>
                <w:color w:val="auto"/>
                <w:kern w:val="0"/>
                <w:sz w:val="24"/>
              </w:rPr>
              <w:t>（5）废沥青</w:t>
            </w:r>
            <w:r>
              <w:rPr>
                <w:rFonts w:hint="eastAsia" w:eastAsiaTheme="minorEastAsia"/>
                <w:b/>
                <w:bCs w:val="0"/>
                <w:color w:val="auto"/>
                <w:kern w:val="0"/>
                <w:sz w:val="24"/>
                <w:lang w:val="en-US" w:eastAsia="zh-CN"/>
              </w:rPr>
              <w:t>清洗液</w:t>
            </w:r>
          </w:p>
          <w:p w14:paraId="7319DF22">
            <w:pPr>
              <w:pStyle w:val="5"/>
              <w:keepNext w:val="0"/>
              <w:keepLines w:val="0"/>
              <w:suppressLineNumbers w:val="0"/>
              <w:spacing w:beforeAutospacing="0" w:afterAutospacing="0" w:line="360" w:lineRule="auto"/>
              <w:ind w:left="0" w:firstLine="480" w:firstLineChars="200"/>
              <w:rPr>
                <w:rFonts w:hint="default" w:ascii="Times New Roman" w:hAnsi="Times New Roman" w:cs="Times New Roman" w:eastAsiaTheme="minorEastAsia"/>
                <w:color w:val="auto"/>
                <w:kern w:val="0"/>
                <w:sz w:val="24"/>
                <w:szCs w:val="24"/>
                <w:lang w:val="en-US" w:eastAsia="zh-CN" w:bidi="ar-SA"/>
              </w:rPr>
            </w:pPr>
            <w:r>
              <w:rPr>
                <w:rFonts w:hint="eastAsia" w:cs="Times New Roman" w:eastAsiaTheme="minorEastAsia"/>
                <w:color w:val="auto"/>
                <w:kern w:val="0"/>
                <w:sz w:val="24"/>
                <w:szCs w:val="24"/>
                <w:lang w:val="en-US" w:eastAsia="zh-CN" w:bidi="ar-SA"/>
              </w:rPr>
              <w:t>本项目</w:t>
            </w:r>
            <w:r>
              <w:rPr>
                <w:rFonts w:hint="default" w:ascii="Times New Roman" w:hAnsi="Times New Roman" w:cs="Times New Roman" w:eastAsiaTheme="minorEastAsia"/>
                <w:color w:val="auto"/>
                <w:kern w:val="0"/>
                <w:sz w:val="24"/>
                <w:szCs w:val="24"/>
                <w:lang w:val="en-US" w:eastAsia="zh-CN" w:bidi="ar-SA"/>
              </w:rPr>
              <w:t>沥青设备及仪器清洗阶段，清洗沥青采用三氯乙烯。清洗产生的废物属于“HW06 废有机溶剂与含有机溶剂废物-工业生产中作为清洗剂或萃取剂使用后废弃的含卤素有机溶剂，包括四氯化碳、二氯甲烷、1,1-二氯乙烷、1,2-二氯乙烷、1,1,1-三氯乙烷1,1,2-三氯乙烷、三氯乙烯、四氯乙烯”,危废代码为 900-401-06。根据业主介绍</w:t>
            </w:r>
            <w:r>
              <w:rPr>
                <w:rFonts w:hint="eastAsia" w:cs="Times New Roman" w:eastAsiaTheme="minorEastAsia"/>
                <w:color w:val="auto"/>
                <w:kern w:val="0"/>
                <w:sz w:val="24"/>
                <w:szCs w:val="24"/>
                <w:lang w:val="en-US" w:eastAsia="zh-CN" w:bidi="ar-SA"/>
              </w:rPr>
              <w:t>，</w:t>
            </w:r>
            <w:r>
              <w:rPr>
                <w:rFonts w:hint="default" w:ascii="Times New Roman" w:hAnsi="Times New Roman" w:cs="Times New Roman" w:eastAsiaTheme="minorEastAsia"/>
                <w:color w:val="auto"/>
                <w:kern w:val="0"/>
                <w:sz w:val="24"/>
                <w:szCs w:val="24"/>
                <w:lang w:val="en-US" w:eastAsia="zh-CN" w:bidi="ar-SA"/>
              </w:rPr>
              <w:t>废沥青清洗</w:t>
            </w:r>
            <w:r>
              <w:rPr>
                <w:rFonts w:hint="eastAsia" w:cs="Times New Roman" w:eastAsiaTheme="minorEastAsia"/>
                <w:color w:val="auto"/>
                <w:kern w:val="0"/>
                <w:sz w:val="24"/>
                <w:szCs w:val="24"/>
                <w:lang w:val="en-US" w:eastAsia="zh-CN" w:bidi="ar-SA"/>
              </w:rPr>
              <w:t>液</w:t>
            </w:r>
            <w:r>
              <w:rPr>
                <w:rFonts w:hint="default" w:ascii="Times New Roman" w:hAnsi="Times New Roman" w:cs="Times New Roman" w:eastAsiaTheme="minorEastAsia"/>
                <w:color w:val="auto"/>
                <w:kern w:val="0"/>
                <w:sz w:val="24"/>
                <w:szCs w:val="24"/>
                <w:lang w:val="en-US" w:eastAsia="zh-CN" w:bidi="ar-SA"/>
              </w:rPr>
              <w:t>产生量约为0.005</w:t>
            </w:r>
            <w:r>
              <w:rPr>
                <w:rFonts w:hint="default" w:eastAsiaTheme="minorEastAsia"/>
                <w:color w:val="auto"/>
                <w:kern w:val="0"/>
                <w:sz w:val="24"/>
              </w:rPr>
              <w:t>t/a</w:t>
            </w:r>
            <w:r>
              <w:rPr>
                <w:rFonts w:hint="default" w:ascii="Times New Roman" w:hAnsi="Times New Roman" w:cs="Times New Roman" w:eastAsiaTheme="minorEastAsia"/>
                <w:color w:val="auto"/>
                <w:kern w:val="0"/>
                <w:sz w:val="24"/>
                <w:szCs w:val="24"/>
                <w:lang w:val="en-US" w:eastAsia="zh-CN" w:bidi="ar-SA"/>
              </w:rPr>
              <w:t>。该部分废物收集暂存在危废暂存间内，交由相关资质单位处置。</w:t>
            </w:r>
          </w:p>
          <w:p w14:paraId="4199E1CE">
            <w:pPr>
              <w:keepNext w:val="0"/>
              <w:keepLines w:val="0"/>
              <w:suppressLineNumbers w:val="0"/>
              <w:spacing w:before="0" w:beforeAutospacing="0" w:after="0" w:afterAutospacing="0" w:line="360" w:lineRule="auto"/>
              <w:ind w:left="0" w:right="0" w:firstLine="482" w:firstLineChars="200"/>
              <w:rPr>
                <w:rFonts w:hint="default"/>
                <w:b/>
                <w:bCs/>
                <w:color w:val="auto"/>
                <w:kern w:val="0"/>
                <w:sz w:val="24"/>
              </w:rPr>
            </w:pPr>
            <w:r>
              <w:rPr>
                <w:rFonts w:hint="eastAsia"/>
                <w:b/>
                <w:bCs/>
                <w:color w:val="auto"/>
                <w:kern w:val="0"/>
                <w:sz w:val="24"/>
                <w:lang w:eastAsia="zh-CN"/>
              </w:rPr>
              <w:t>（</w:t>
            </w:r>
            <w:r>
              <w:rPr>
                <w:rFonts w:hint="eastAsia"/>
                <w:b/>
                <w:bCs/>
                <w:color w:val="auto"/>
                <w:kern w:val="0"/>
                <w:sz w:val="24"/>
                <w:lang w:val="en-US" w:eastAsia="zh-CN"/>
              </w:rPr>
              <w:t>6</w:t>
            </w:r>
            <w:r>
              <w:rPr>
                <w:rFonts w:hint="eastAsia"/>
                <w:b/>
                <w:bCs/>
                <w:color w:val="auto"/>
                <w:kern w:val="0"/>
                <w:sz w:val="24"/>
                <w:lang w:eastAsia="zh-CN"/>
              </w:rPr>
              <w:t>）</w:t>
            </w:r>
            <w:r>
              <w:rPr>
                <w:rFonts w:hint="eastAsia"/>
                <w:b/>
                <w:bCs/>
                <w:color w:val="auto"/>
                <w:kern w:val="0"/>
                <w:sz w:val="24"/>
                <w:lang w:val="en-US" w:eastAsia="zh-CN"/>
              </w:rPr>
              <w:t>废水中和收集桶</w:t>
            </w:r>
            <w:r>
              <w:rPr>
                <w:rFonts w:hint="default"/>
                <w:b/>
                <w:bCs/>
                <w:color w:val="auto"/>
                <w:kern w:val="0"/>
                <w:sz w:val="24"/>
              </w:rPr>
              <w:t>沉渣</w:t>
            </w:r>
          </w:p>
          <w:p w14:paraId="44DF327E">
            <w:pPr>
              <w:keepNext w:val="0"/>
              <w:keepLines w:val="0"/>
              <w:suppressLineNumbers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项目</w:t>
            </w:r>
            <w:r>
              <w:rPr>
                <w:rFonts w:hint="eastAsia"/>
                <w:color w:val="auto"/>
                <w:kern w:val="0"/>
                <w:sz w:val="24"/>
                <w:lang w:val="en-US" w:eastAsia="zh-CN"/>
              </w:rPr>
              <w:t>化学</w:t>
            </w:r>
            <w:r>
              <w:rPr>
                <w:rFonts w:hint="default"/>
                <w:color w:val="auto"/>
                <w:kern w:val="0"/>
                <w:sz w:val="24"/>
              </w:rPr>
              <w:t>实验废水在</w:t>
            </w:r>
            <w:r>
              <w:rPr>
                <w:rFonts w:hint="eastAsia"/>
                <w:color w:val="auto"/>
                <w:kern w:val="0"/>
                <w:sz w:val="24"/>
              </w:rPr>
              <w:t>预处理</w:t>
            </w:r>
            <w:r>
              <w:rPr>
                <w:rFonts w:hint="default"/>
                <w:color w:val="auto"/>
                <w:kern w:val="0"/>
                <w:sz w:val="24"/>
              </w:rPr>
              <w:t>过程中会产生少量的</w:t>
            </w:r>
            <w:r>
              <w:rPr>
                <w:rFonts w:hint="eastAsia"/>
                <w:color w:val="auto"/>
                <w:kern w:val="0"/>
                <w:sz w:val="24"/>
              </w:rPr>
              <w:t>沉渣</w:t>
            </w:r>
            <w:r>
              <w:rPr>
                <w:rFonts w:hint="default"/>
                <w:color w:val="auto"/>
                <w:kern w:val="0"/>
                <w:sz w:val="24"/>
              </w:rPr>
              <w:t>，产生量约为</w:t>
            </w:r>
            <w:r>
              <w:rPr>
                <w:rFonts w:hint="eastAsia"/>
                <w:color w:val="auto"/>
                <w:kern w:val="0"/>
                <w:sz w:val="24"/>
              </w:rPr>
              <w:t>0.05</w:t>
            </w:r>
            <w:r>
              <w:rPr>
                <w:rFonts w:hint="default"/>
                <w:color w:val="auto"/>
                <w:kern w:val="0"/>
                <w:sz w:val="24"/>
              </w:rPr>
              <w:t>t/a，</w:t>
            </w:r>
            <w:r>
              <w:rPr>
                <w:rFonts w:hint="eastAsia" w:eastAsiaTheme="minorEastAsia"/>
                <w:color w:val="auto"/>
                <w:kern w:val="0"/>
                <w:sz w:val="24"/>
              </w:rPr>
              <w:t>属于《国家危险废物名录》（2021年版）类别为HW49 900-047-49生产、研究、开发、教学、环境检测（监测）活动中，化学和生物实验室（不包含感染性医学实验室及医疗机构化验室）产生的含氰、氟、重金属无机废液及无机废液处理产生的残渣、残液，</w:t>
            </w:r>
            <w:r>
              <w:rPr>
                <w:rFonts w:hint="eastAsia"/>
                <w:color w:val="auto"/>
                <w:kern w:val="0"/>
                <w:sz w:val="24"/>
              </w:rPr>
              <w:t>采用容器收集</w:t>
            </w:r>
            <w:r>
              <w:rPr>
                <w:rFonts w:hint="default"/>
                <w:color w:val="auto"/>
                <w:kern w:val="0"/>
                <w:sz w:val="24"/>
              </w:rPr>
              <w:t>暂存于</w:t>
            </w:r>
            <w:r>
              <w:rPr>
                <w:rFonts w:hint="eastAsia"/>
                <w:color w:val="auto"/>
                <w:kern w:val="0"/>
                <w:sz w:val="24"/>
              </w:rPr>
              <w:t>项目内</w:t>
            </w:r>
            <w:r>
              <w:rPr>
                <w:rFonts w:hint="default"/>
                <w:color w:val="auto"/>
                <w:kern w:val="0"/>
                <w:sz w:val="24"/>
              </w:rPr>
              <w:t>危废暂存</w:t>
            </w:r>
            <w:r>
              <w:rPr>
                <w:rFonts w:hint="eastAsia"/>
                <w:color w:val="auto"/>
                <w:kern w:val="0"/>
                <w:sz w:val="24"/>
              </w:rPr>
              <w:t>区</w:t>
            </w:r>
            <w:r>
              <w:rPr>
                <w:rFonts w:hint="default"/>
                <w:color w:val="auto"/>
                <w:kern w:val="0"/>
                <w:sz w:val="24"/>
              </w:rPr>
              <w:t>，委托有资质的单位</w:t>
            </w:r>
            <w:r>
              <w:rPr>
                <w:rFonts w:hint="eastAsia"/>
                <w:color w:val="auto"/>
                <w:kern w:val="0"/>
                <w:sz w:val="24"/>
              </w:rPr>
              <w:t>清运</w:t>
            </w:r>
            <w:r>
              <w:rPr>
                <w:rFonts w:hint="default"/>
                <w:color w:val="auto"/>
                <w:kern w:val="0"/>
                <w:sz w:val="24"/>
              </w:rPr>
              <w:t>处理。</w:t>
            </w:r>
          </w:p>
          <w:p w14:paraId="177D12EA">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综合上述分析，</w:t>
            </w:r>
            <w:r>
              <w:rPr>
                <w:rFonts w:hint="default" w:eastAsiaTheme="minorEastAsia"/>
                <w:color w:val="auto"/>
                <w:sz w:val="24"/>
              </w:rPr>
              <w:t>本项目</w:t>
            </w:r>
            <w:r>
              <w:rPr>
                <w:rFonts w:hint="default" w:eastAsiaTheme="minorEastAsia"/>
                <w:color w:val="auto"/>
                <w:kern w:val="0"/>
                <w:sz w:val="24"/>
              </w:rPr>
              <w:t>运营期固体废弃物产生情况见表4-1</w:t>
            </w:r>
            <w:r>
              <w:rPr>
                <w:rFonts w:hint="eastAsia" w:eastAsiaTheme="minorEastAsia"/>
                <w:color w:val="auto"/>
                <w:kern w:val="0"/>
                <w:sz w:val="24"/>
                <w:lang w:val="en-US" w:eastAsia="zh-CN"/>
              </w:rPr>
              <w:t>5</w:t>
            </w:r>
            <w:r>
              <w:rPr>
                <w:rFonts w:hint="default" w:eastAsiaTheme="minorEastAsia"/>
                <w:color w:val="auto"/>
                <w:kern w:val="0"/>
                <w:sz w:val="24"/>
              </w:rPr>
              <w:t>。</w:t>
            </w:r>
          </w:p>
          <w:p w14:paraId="34B69E5B">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1CC06D14">
            <w:pPr>
              <w:pStyle w:val="2"/>
              <w:keepNext w:val="0"/>
              <w:keepLines w:val="0"/>
              <w:suppressLineNumbers w:val="0"/>
              <w:spacing w:before="0" w:beforeAutospacing="0" w:afterAutospacing="0"/>
              <w:ind w:right="0"/>
              <w:rPr>
                <w:rFonts w:hint="default" w:eastAsiaTheme="minorEastAsia"/>
                <w:color w:val="auto"/>
                <w:kern w:val="0"/>
                <w:sz w:val="24"/>
              </w:rPr>
            </w:pPr>
          </w:p>
          <w:p w14:paraId="51C1D119">
            <w:pPr>
              <w:pStyle w:val="4"/>
              <w:keepNext w:val="0"/>
              <w:keepLines w:val="0"/>
              <w:suppressLineNumbers w:val="0"/>
              <w:spacing w:beforeAutospacing="0" w:afterAutospacing="0"/>
              <w:ind w:left="0"/>
              <w:rPr>
                <w:rFonts w:hint="default" w:eastAsiaTheme="minorEastAsia"/>
                <w:color w:val="auto"/>
                <w:kern w:val="0"/>
                <w:sz w:val="24"/>
              </w:rPr>
            </w:pPr>
          </w:p>
          <w:p w14:paraId="620367A3">
            <w:pPr>
              <w:keepNext w:val="0"/>
              <w:keepLines w:val="0"/>
              <w:suppressLineNumbers w:val="0"/>
              <w:spacing w:before="0" w:beforeAutospacing="0" w:after="0" w:afterAutospacing="0"/>
              <w:ind w:left="0" w:right="0"/>
              <w:rPr>
                <w:rFonts w:hint="default" w:eastAsiaTheme="minorEastAsia"/>
                <w:color w:val="auto"/>
                <w:kern w:val="0"/>
                <w:sz w:val="24"/>
              </w:rPr>
            </w:pPr>
          </w:p>
          <w:p w14:paraId="2BFA01CB">
            <w:pPr>
              <w:pStyle w:val="4"/>
              <w:keepNext w:val="0"/>
              <w:keepLines w:val="0"/>
              <w:suppressLineNumbers w:val="0"/>
              <w:spacing w:beforeAutospacing="0" w:afterAutospacing="0"/>
              <w:ind w:left="0"/>
              <w:rPr>
                <w:rFonts w:hint="default" w:eastAsiaTheme="minorEastAsia"/>
                <w:color w:val="auto"/>
                <w:kern w:val="0"/>
                <w:sz w:val="24"/>
              </w:rPr>
            </w:pPr>
          </w:p>
          <w:p w14:paraId="3964FF1D">
            <w:pPr>
              <w:keepNext w:val="0"/>
              <w:keepLines w:val="0"/>
              <w:suppressLineNumbers w:val="0"/>
              <w:spacing w:before="0" w:beforeAutospacing="0" w:after="0" w:afterAutospacing="0"/>
              <w:ind w:left="0" w:right="0"/>
              <w:rPr>
                <w:rFonts w:hint="default" w:eastAsiaTheme="minorEastAsia"/>
                <w:color w:val="auto"/>
                <w:kern w:val="0"/>
                <w:sz w:val="24"/>
              </w:rPr>
            </w:pPr>
          </w:p>
          <w:p w14:paraId="756053E8">
            <w:pPr>
              <w:pStyle w:val="2"/>
              <w:keepNext w:val="0"/>
              <w:keepLines w:val="0"/>
              <w:suppressLineNumbers w:val="0"/>
              <w:spacing w:before="0" w:beforeAutospacing="0" w:afterAutospacing="0"/>
              <w:ind w:right="0"/>
              <w:rPr>
                <w:rFonts w:hint="default" w:eastAsiaTheme="minorEastAsia"/>
                <w:color w:val="auto"/>
                <w:kern w:val="0"/>
                <w:sz w:val="24"/>
              </w:rPr>
            </w:pPr>
          </w:p>
          <w:p w14:paraId="0CDB3FAD">
            <w:pPr>
              <w:pStyle w:val="4"/>
              <w:keepNext w:val="0"/>
              <w:keepLines w:val="0"/>
              <w:suppressLineNumbers w:val="0"/>
              <w:spacing w:beforeAutospacing="0" w:afterAutospacing="0"/>
              <w:ind w:left="0"/>
              <w:rPr>
                <w:rFonts w:hint="default" w:eastAsiaTheme="minorEastAsia"/>
                <w:color w:val="auto"/>
                <w:kern w:val="0"/>
                <w:sz w:val="24"/>
              </w:rPr>
            </w:pPr>
          </w:p>
          <w:p w14:paraId="4563C19A">
            <w:pPr>
              <w:keepNext w:val="0"/>
              <w:keepLines w:val="0"/>
              <w:suppressLineNumbers w:val="0"/>
              <w:spacing w:before="0" w:beforeAutospacing="0" w:after="0" w:afterAutospacing="0"/>
              <w:ind w:left="0" w:right="0"/>
              <w:rPr>
                <w:rFonts w:hint="default" w:eastAsiaTheme="minorEastAsia"/>
                <w:color w:val="auto"/>
                <w:kern w:val="0"/>
                <w:sz w:val="24"/>
              </w:rPr>
            </w:pPr>
          </w:p>
          <w:p w14:paraId="7D4DD61B">
            <w:pPr>
              <w:pStyle w:val="2"/>
              <w:keepNext w:val="0"/>
              <w:keepLines w:val="0"/>
              <w:suppressLineNumbers w:val="0"/>
              <w:spacing w:before="0" w:beforeAutospacing="0" w:afterAutospacing="0"/>
              <w:ind w:right="0"/>
              <w:rPr>
                <w:rFonts w:hint="default"/>
                <w:color w:val="auto"/>
              </w:rPr>
            </w:pPr>
          </w:p>
        </w:tc>
      </w:tr>
    </w:tbl>
    <w:p w14:paraId="69F9BDCB">
      <w:pPr>
        <w:adjustRightInd w:val="0"/>
        <w:snapToGrid w:val="0"/>
        <w:spacing w:line="360" w:lineRule="auto"/>
        <w:ind w:firstLine="480" w:firstLineChars="200"/>
        <w:rPr>
          <w:rFonts w:eastAsiaTheme="minorEastAsia"/>
          <w:color w:val="auto"/>
          <w:kern w:val="0"/>
          <w:sz w:val="24"/>
        </w:rPr>
      </w:pPr>
    </w:p>
    <w:p w14:paraId="4818F675">
      <w:pPr>
        <w:adjustRightInd w:val="0"/>
        <w:snapToGrid w:val="0"/>
        <w:spacing w:line="360" w:lineRule="auto"/>
        <w:ind w:firstLine="480" w:firstLineChars="200"/>
        <w:rPr>
          <w:rFonts w:eastAsiaTheme="minorEastAsia"/>
          <w:color w:val="auto"/>
          <w:kern w:val="0"/>
          <w:sz w:val="24"/>
        </w:rPr>
        <w:sectPr>
          <w:pgSz w:w="11906" w:h="16838"/>
          <w:pgMar w:top="1701" w:right="1531" w:bottom="1701" w:left="1531" w:header="851" w:footer="851" w:gutter="0"/>
          <w:pgNumType w:fmt="decimal"/>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977"/>
      </w:tblGrid>
      <w:tr w14:paraId="7147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5" w:hRule="atLeast"/>
        </w:trPr>
        <w:tc>
          <w:tcPr>
            <w:tcW w:w="675" w:type="dxa"/>
          </w:tcPr>
          <w:p w14:paraId="4FB5D8FF">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运营</w:t>
            </w:r>
          </w:p>
          <w:p w14:paraId="78601630">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期环</w:t>
            </w:r>
          </w:p>
          <w:p w14:paraId="4597C6A6">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境影</w:t>
            </w:r>
          </w:p>
          <w:p w14:paraId="05BF2CAB">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响和</w:t>
            </w:r>
          </w:p>
          <w:p w14:paraId="19DA503D">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保护</w:t>
            </w:r>
          </w:p>
          <w:p w14:paraId="1D29627E">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kern w:val="0"/>
                <w:sz w:val="24"/>
              </w:rPr>
            </w:pPr>
            <w:r>
              <w:rPr>
                <w:rFonts w:hint="default"/>
                <w:bCs/>
                <w:color w:val="auto"/>
                <w:szCs w:val="21"/>
              </w:rPr>
              <w:t>措施</w:t>
            </w:r>
          </w:p>
        </w:tc>
        <w:tc>
          <w:tcPr>
            <w:tcW w:w="12977" w:type="dxa"/>
          </w:tcPr>
          <w:p w14:paraId="1DED79AC">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表4-1</w:t>
            </w:r>
            <w:r>
              <w:rPr>
                <w:rFonts w:hint="eastAsia" w:eastAsiaTheme="minorEastAsia"/>
                <w:b/>
                <w:color w:val="auto"/>
                <w:kern w:val="0"/>
                <w:szCs w:val="21"/>
                <w:lang w:val="en-US" w:eastAsia="zh-CN"/>
              </w:rPr>
              <w:t>5</w:t>
            </w:r>
            <w:r>
              <w:rPr>
                <w:rFonts w:hint="default" w:eastAsiaTheme="minorEastAsia"/>
                <w:b/>
                <w:color w:val="auto"/>
                <w:kern w:val="0"/>
                <w:szCs w:val="21"/>
              </w:rPr>
              <w:t xml:space="preserve">   本项目固体废弃物产生情况一览表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1618"/>
              <w:gridCol w:w="876"/>
              <w:gridCol w:w="1335"/>
              <w:gridCol w:w="1126"/>
              <w:gridCol w:w="1279"/>
              <w:gridCol w:w="975"/>
              <w:gridCol w:w="1123"/>
              <w:gridCol w:w="883"/>
              <w:gridCol w:w="873"/>
              <w:gridCol w:w="2181"/>
            </w:tblGrid>
            <w:tr w14:paraId="2A68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Align w:val="center"/>
                </w:tcPr>
                <w:p w14:paraId="76829247">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序号</w:t>
                  </w:r>
                </w:p>
              </w:tc>
              <w:tc>
                <w:tcPr>
                  <w:tcW w:w="634" w:type="pct"/>
                  <w:vAlign w:val="center"/>
                </w:tcPr>
                <w:p w14:paraId="05107406">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名称</w:t>
                  </w:r>
                </w:p>
              </w:tc>
              <w:tc>
                <w:tcPr>
                  <w:tcW w:w="343" w:type="pct"/>
                  <w:vAlign w:val="center"/>
                </w:tcPr>
                <w:p w14:paraId="663FC045">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危险废物类别</w:t>
                  </w:r>
                </w:p>
              </w:tc>
              <w:tc>
                <w:tcPr>
                  <w:tcW w:w="523" w:type="pct"/>
                  <w:vAlign w:val="center"/>
                </w:tcPr>
                <w:p w14:paraId="41B7C160">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危险废物代码</w:t>
                  </w:r>
                </w:p>
              </w:tc>
              <w:tc>
                <w:tcPr>
                  <w:tcW w:w="441" w:type="pct"/>
                  <w:vAlign w:val="center"/>
                </w:tcPr>
                <w:p w14:paraId="7527B458">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产生量（t/a）</w:t>
                  </w:r>
                </w:p>
              </w:tc>
              <w:tc>
                <w:tcPr>
                  <w:tcW w:w="501" w:type="pct"/>
                  <w:vAlign w:val="center"/>
                </w:tcPr>
                <w:p w14:paraId="3FE02D9C">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产生工序及装置</w:t>
                  </w:r>
                </w:p>
              </w:tc>
              <w:tc>
                <w:tcPr>
                  <w:tcW w:w="382" w:type="pct"/>
                  <w:vAlign w:val="center"/>
                </w:tcPr>
                <w:p w14:paraId="7CA0F7C4">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形态</w:t>
                  </w:r>
                </w:p>
              </w:tc>
              <w:tc>
                <w:tcPr>
                  <w:tcW w:w="440" w:type="pct"/>
                  <w:vAlign w:val="center"/>
                </w:tcPr>
                <w:p w14:paraId="5BE35CD8">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有害成分</w:t>
                  </w:r>
                </w:p>
              </w:tc>
              <w:tc>
                <w:tcPr>
                  <w:tcW w:w="346" w:type="pct"/>
                  <w:vAlign w:val="center"/>
                </w:tcPr>
                <w:p w14:paraId="06472F6B">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产废周期</w:t>
                  </w:r>
                </w:p>
              </w:tc>
              <w:tc>
                <w:tcPr>
                  <w:tcW w:w="342" w:type="pct"/>
                  <w:vAlign w:val="center"/>
                </w:tcPr>
                <w:p w14:paraId="5E114357">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危险特性</w:t>
                  </w:r>
                </w:p>
              </w:tc>
              <w:tc>
                <w:tcPr>
                  <w:tcW w:w="854" w:type="pct"/>
                  <w:vAlign w:val="center"/>
                </w:tcPr>
                <w:p w14:paraId="3F6A70F5">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污染防治措施</w:t>
                  </w:r>
                </w:p>
              </w:tc>
            </w:tr>
            <w:tr w14:paraId="7037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Align w:val="center"/>
                </w:tcPr>
                <w:p w14:paraId="672D4A20">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634" w:type="pct"/>
                  <w:vAlign w:val="center"/>
                </w:tcPr>
                <w:p w14:paraId="55FDB09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生活垃圾</w:t>
                  </w:r>
                </w:p>
              </w:tc>
              <w:tc>
                <w:tcPr>
                  <w:tcW w:w="343" w:type="pct"/>
                  <w:vAlign w:val="center"/>
                </w:tcPr>
                <w:p w14:paraId="60A9ECB3">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523" w:type="pct"/>
                  <w:vAlign w:val="center"/>
                </w:tcPr>
                <w:p w14:paraId="3A02357F">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441" w:type="pct"/>
                  <w:vAlign w:val="center"/>
                </w:tcPr>
                <w:p w14:paraId="7886B2D3">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15.12</w:t>
                  </w:r>
                </w:p>
              </w:tc>
              <w:tc>
                <w:tcPr>
                  <w:tcW w:w="501" w:type="pct"/>
                  <w:vAlign w:val="center"/>
                </w:tcPr>
                <w:p w14:paraId="477F3B2E">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办公、生活</w:t>
                  </w:r>
                </w:p>
              </w:tc>
              <w:tc>
                <w:tcPr>
                  <w:tcW w:w="382" w:type="pct"/>
                  <w:vAlign w:val="center"/>
                </w:tcPr>
                <w:p w14:paraId="1A29811D">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固态</w:t>
                  </w:r>
                </w:p>
              </w:tc>
              <w:tc>
                <w:tcPr>
                  <w:tcW w:w="440" w:type="pct"/>
                </w:tcPr>
                <w:p w14:paraId="305FBCED">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346" w:type="pct"/>
                  <w:vAlign w:val="center"/>
                </w:tcPr>
                <w:p w14:paraId="1753E7B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每天</w:t>
                  </w:r>
                </w:p>
              </w:tc>
              <w:tc>
                <w:tcPr>
                  <w:tcW w:w="342" w:type="pct"/>
                </w:tcPr>
                <w:p w14:paraId="550C0A97">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854" w:type="pct"/>
                  <w:vAlign w:val="center"/>
                </w:tcPr>
                <w:p w14:paraId="76730B7D">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统一收集后委托环卫部门清运处置</w:t>
                  </w:r>
                </w:p>
              </w:tc>
            </w:tr>
            <w:tr w14:paraId="1C25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89" w:type="pct"/>
                  <w:vAlign w:val="center"/>
                </w:tcPr>
                <w:p w14:paraId="08DC0D6D">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2</w:t>
                  </w:r>
                </w:p>
              </w:tc>
              <w:tc>
                <w:tcPr>
                  <w:tcW w:w="634" w:type="pct"/>
                  <w:vAlign w:val="center"/>
                </w:tcPr>
                <w:p w14:paraId="333843D6">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食堂厨余垃圾</w:t>
                  </w:r>
                </w:p>
              </w:tc>
              <w:tc>
                <w:tcPr>
                  <w:tcW w:w="343" w:type="pct"/>
                  <w:vAlign w:val="center"/>
                </w:tcPr>
                <w:p w14:paraId="180F0FA9">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523" w:type="pct"/>
                  <w:vAlign w:val="center"/>
                </w:tcPr>
                <w:p w14:paraId="745BF2E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441" w:type="pct"/>
                  <w:vAlign w:val="center"/>
                </w:tcPr>
                <w:p w14:paraId="27C49EC0">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12.15</w:t>
                  </w:r>
                </w:p>
              </w:tc>
              <w:tc>
                <w:tcPr>
                  <w:tcW w:w="501" w:type="pct"/>
                  <w:vAlign w:val="center"/>
                </w:tcPr>
                <w:p w14:paraId="5CB16B9C">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食堂</w:t>
                  </w:r>
                </w:p>
              </w:tc>
              <w:tc>
                <w:tcPr>
                  <w:tcW w:w="382" w:type="pct"/>
                  <w:vAlign w:val="center"/>
                </w:tcPr>
                <w:p w14:paraId="6C17AC37">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固态</w:t>
                  </w:r>
                </w:p>
              </w:tc>
              <w:tc>
                <w:tcPr>
                  <w:tcW w:w="440" w:type="pct"/>
                </w:tcPr>
                <w:p w14:paraId="3F1C63BC">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346" w:type="pct"/>
                  <w:vAlign w:val="center"/>
                </w:tcPr>
                <w:p w14:paraId="10875CED">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每天</w:t>
                  </w:r>
                </w:p>
              </w:tc>
              <w:tc>
                <w:tcPr>
                  <w:tcW w:w="342" w:type="pct"/>
                </w:tcPr>
                <w:p w14:paraId="3A7DA5B2">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854" w:type="pct"/>
                  <w:vMerge w:val="restart"/>
                  <w:vAlign w:val="center"/>
                </w:tcPr>
                <w:p w14:paraId="1953FF28">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收集后委托相关回收单位每日清运</w:t>
                  </w:r>
                </w:p>
              </w:tc>
            </w:tr>
            <w:tr w14:paraId="2828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Align w:val="center"/>
                </w:tcPr>
                <w:p w14:paraId="585E9CA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3</w:t>
                  </w:r>
                </w:p>
              </w:tc>
              <w:tc>
                <w:tcPr>
                  <w:tcW w:w="634" w:type="pct"/>
                  <w:vAlign w:val="center"/>
                </w:tcPr>
                <w:p w14:paraId="7F7B84CA">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隔油池油污</w:t>
                  </w:r>
                </w:p>
              </w:tc>
              <w:tc>
                <w:tcPr>
                  <w:tcW w:w="343" w:type="pct"/>
                  <w:vAlign w:val="center"/>
                </w:tcPr>
                <w:p w14:paraId="04C86FAE">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523" w:type="pct"/>
                  <w:vAlign w:val="center"/>
                </w:tcPr>
                <w:p w14:paraId="4DC3B62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441" w:type="pct"/>
                  <w:vAlign w:val="center"/>
                </w:tcPr>
                <w:p w14:paraId="2D96806E">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0.0477</w:t>
                  </w:r>
                </w:p>
              </w:tc>
              <w:tc>
                <w:tcPr>
                  <w:tcW w:w="501" w:type="pct"/>
                  <w:vAlign w:val="center"/>
                </w:tcPr>
                <w:p w14:paraId="298E436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食堂</w:t>
                  </w:r>
                </w:p>
              </w:tc>
              <w:tc>
                <w:tcPr>
                  <w:tcW w:w="382" w:type="pct"/>
                  <w:vAlign w:val="center"/>
                </w:tcPr>
                <w:p w14:paraId="548DE9DA">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液态</w:t>
                  </w:r>
                </w:p>
              </w:tc>
              <w:tc>
                <w:tcPr>
                  <w:tcW w:w="440" w:type="pct"/>
                </w:tcPr>
                <w:p w14:paraId="00BE69C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346" w:type="pct"/>
                  <w:vAlign w:val="center"/>
                </w:tcPr>
                <w:p w14:paraId="36BB335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每天</w:t>
                  </w:r>
                </w:p>
              </w:tc>
              <w:tc>
                <w:tcPr>
                  <w:tcW w:w="342" w:type="pct"/>
                </w:tcPr>
                <w:p w14:paraId="7E3A5A70">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854" w:type="pct"/>
                  <w:vMerge w:val="continue"/>
                  <w:vAlign w:val="center"/>
                </w:tcPr>
                <w:p w14:paraId="4EF783C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r>
            <w:tr w14:paraId="7E9A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Align w:val="center"/>
                </w:tcPr>
                <w:p w14:paraId="4D66155A">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4</w:t>
                  </w:r>
                </w:p>
              </w:tc>
              <w:tc>
                <w:tcPr>
                  <w:tcW w:w="634" w:type="pct"/>
                  <w:vAlign w:val="center"/>
                </w:tcPr>
                <w:p w14:paraId="4F90FFFE">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检测废料</w:t>
                  </w:r>
                </w:p>
              </w:tc>
              <w:tc>
                <w:tcPr>
                  <w:tcW w:w="343" w:type="pct"/>
                  <w:vAlign w:val="center"/>
                </w:tcPr>
                <w:p w14:paraId="443CDCD5">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523" w:type="pct"/>
                  <w:vAlign w:val="center"/>
                </w:tcPr>
                <w:p w14:paraId="3FAA94A7">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441" w:type="pct"/>
                  <w:vAlign w:val="center"/>
                </w:tcPr>
                <w:p w14:paraId="7B7F0487">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209.2</w:t>
                  </w:r>
                </w:p>
              </w:tc>
              <w:tc>
                <w:tcPr>
                  <w:tcW w:w="501" w:type="pct"/>
                  <w:vAlign w:val="center"/>
                </w:tcPr>
                <w:p w14:paraId="32623628">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实验过程</w:t>
                  </w:r>
                </w:p>
              </w:tc>
              <w:tc>
                <w:tcPr>
                  <w:tcW w:w="382" w:type="pct"/>
                  <w:vAlign w:val="center"/>
                </w:tcPr>
                <w:p w14:paraId="536B9CA9">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固态</w:t>
                  </w:r>
                </w:p>
              </w:tc>
              <w:tc>
                <w:tcPr>
                  <w:tcW w:w="440" w:type="pct"/>
                </w:tcPr>
                <w:p w14:paraId="52FBA53C">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346" w:type="pct"/>
                  <w:vAlign w:val="center"/>
                </w:tcPr>
                <w:p w14:paraId="3D99B188">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每天</w:t>
                  </w:r>
                </w:p>
              </w:tc>
              <w:tc>
                <w:tcPr>
                  <w:tcW w:w="342" w:type="pct"/>
                </w:tcPr>
                <w:p w14:paraId="16A6FED2">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854" w:type="pct"/>
                  <w:vAlign w:val="center"/>
                </w:tcPr>
                <w:p w14:paraId="5DABD5E7">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可回收部分卖给废品回收站，不可回收部分委托</w:t>
                  </w:r>
                  <w:r>
                    <w:rPr>
                      <w:rFonts w:hint="eastAsia" w:eastAsiaTheme="minorEastAsia"/>
                      <w:color w:val="auto"/>
                      <w:kern w:val="0"/>
                      <w:szCs w:val="21"/>
                      <w:lang w:val="en-US" w:eastAsia="zh-CN"/>
                    </w:rPr>
                    <w:t>相关单位</w:t>
                  </w:r>
                  <w:r>
                    <w:rPr>
                      <w:rFonts w:hint="default" w:eastAsiaTheme="minorEastAsia"/>
                      <w:color w:val="auto"/>
                      <w:kern w:val="0"/>
                      <w:szCs w:val="21"/>
                    </w:rPr>
                    <w:t>清运处置</w:t>
                  </w:r>
                </w:p>
              </w:tc>
            </w:tr>
            <w:tr w14:paraId="3ABA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Align w:val="center"/>
                </w:tcPr>
                <w:p w14:paraId="613A21F0">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5</w:t>
                  </w:r>
                </w:p>
              </w:tc>
              <w:tc>
                <w:tcPr>
                  <w:tcW w:w="634" w:type="pct"/>
                  <w:vAlign w:val="center"/>
                </w:tcPr>
                <w:p w14:paraId="31B6E0E9">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沉淀池污泥</w:t>
                  </w:r>
                </w:p>
              </w:tc>
              <w:tc>
                <w:tcPr>
                  <w:tcW w:w="343" w:type="pct"/>
                  <w:vAlign w:val="center"/>
                </w:tcPr>
                <w:p w14:paraId="2FEFC24E">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523" w:type="pct"/>
                  <w:vAlign w:val="center"/>
                </w:tcPr>
                <w:p w14:paraId="3D8E3174">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441" w:type="pct"/>
                  <w:vAlign w:val="center"/>
                </w:tcPr>
                <w:p w14:paraId="53198FBD">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lang w:val="en-US" w:eastAsia="zh-CN"/>
                    </w:rPr>
                  </w:pPr>
                  <w:r>
                    <w:rPr>
                      <w:rFonts w:hint="eastAsia" w:eastAsiaTheme="minorEastAsia"/>
                      <w:b w:val="0"/>
                      <w:bCs w:val="0"/>
                      <w:color w:val="auto"/>
                      <w:kern w:val="0"/>
                      <w:sz w:val="21"/>
                      <w:szCs w:val="21"/>
                      <w:lang w:val="en-US" w:eastAsia="zh-CN"/>
                    </w:rPr>
                    <w:t>0.0089</w:t>
                  </w:r>
                </w:p>
              </w:tc>
              <w:tc>
                <w:tcPr>
                  <w:tcW w:w="501" w:type="pct"/>
                  <w:vAlign w:val="center"/>
                </w:tcPr>
                <w:p w14:paraId="2BA85B25">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实验过程</w:t>
                  </w:r>
                </w:p>
              </w:tc>
              <w:tc>
                <w:tcPr>
                  <w:tcW w:w="382" w:type="pct"/>
                  <w:vAlign w:val="center"/>
                </w:tcPr>
                <w:p w14:paraId="6F3EE494">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固体</w:t>
                  </w:r>
                </w:p>
              </w:tc>
              <w:tc>
                <w:tcPr>
                  <w:tcW w:w="440" w:type="pct"/>
                  <w:vAlign w:val="center"/>
                </w:tcPr>
                <w:p w14:paraId="29C3E162">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346" w:type="pct"/>
                  <w:vAlign w:val="center"/>
                </w:tcPr>
                <w:p w14:paraId="43D1935A">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间断</w:t>
                  </w:r>
                </w:p>
              </w:tc>
              <w:tc>
                <w:tcPr>
                  <w:tcW w:w="342" w:type="pct"/>
                  <w:vAlign w:val="center"/>
                </w:tcPr>
                <w:p w14:paraId="7D7BB983">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854" w:type="pct"/>
                  <w:vAlign w:val="center"/>
                </w:tcPr>
                <w:p w14:paraId="737918E0">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定期清掏，委托环卫部门统一清运。</w:t>
                  </w:r>
                </w:p>
              </w:tc>
            </w:tr>
            <w:tr w14:paraId="55C5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Align w:val="center"/>
                </w:tcPr>
                <w:p w14:paraId="06F372AE">
                  <w:pPr>
                    <w:keepNext w:val="0"/>
                    <w:keepLines w:val="0"/>
                    <w:suppressLineNumbers w:val="0"/>
                    <w:adjustRightInd w:val="0"/>
                    <w:snapToGrid w:val="0"/>
                    <w:spacing w:before="0" w:beforeAutospacing="0" w:after="0" w:afterAutospacing="0"/>
                    <w:ind w:left="0" w:right="0"/>
                    <w:jc w:val="center"/>
                    <w:rPr>
                      <w:rFonts w:hint="eastAsia" w:eastAsiaTheme="minorEastAsia"/>
                      <w:b w:val="0"/>
                      <w:bCs w:val="0"/>
                      <w:color w:val="auto"/>
                      <w:kern w:val="0"/>
                      <w:sz w:val="21"/>
                      <w:szCs w:val="21"/>
                      <w:lang w:val="en-US" w:eastAsia="zh-CN"/>
                    </w:rPr>
                  </w:pPr>
                  <w:r>
                    <w:rPr>
                      <w:rFonts w:hint="eastAsia" w:eastAsiaTheme="minorEastAsia"/>
                      <w:b w:val="0"/>
                      <w:bCs w:val="0"/>
                      <w:color w:val="auto"/>
                      <w:kern w:val="0"/>
                      <w:sz w:val="21"/>
                      <w:szCs w:val="21"/>
                      <w:lang w:val="en-US" w:eastAsia="zh-CN"/>
                    </w:rPr>
                    <w:t>6</w:t>
                  </w:r>
                </w:p>
              </w:tc>
              <w:tc>
                <w:tcPr>
                  <w:tcW w:w="634" w:type="pct"/>
                  <w:vAlign w:val="center"/>
                </w:tcPr>
                <w:p w14:paraId="1C5166D1">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eastAsia" w:cs="宋体"/>
                      <w:b w:val="0"/>
                      <w:bCs w:val="0"/>
                      <w:color w:val="auto"/>
                      <w:kern w:val="0"/>
                      <w:sz w:val="21"/>
                      <w:szCs w:val="21"/>
                      <w:lang w:val="en-US" w:eastAsia="zh-CN"/>
                    </w:rPr>
                    <w:t>纯水制备</w:t>
                  </w:r>
                  <w:r>
                    <w:rPr>
                      <w:rFonts w:hint="eastAsia" w:cs="宋体"/>
                      <w:b w:val="0"/>
                      <w:bCs w:val="0"/>
                      <w:color w:val="auto"/>
                      <w:kern w:val="0"/>
                      <w:sz w:val="21"/>
                      <w:szCs w:val="21"/>
                    </w:rPr>
                    <w:t>废滤芯及废过滤膜</w:t>
                  </w:r>
                </w:p>
              </w:tc>
              <w:tc>
                <w:tcPr>
                  <w:tcW w:w="343" w:type="pct"/>
                  <w:vAlign w:val="center"/>
                </w:tcPr>
                <w:p w14:paraId="1AA6FB01">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523" w:type="pct"/>
                  <w:vAlign w:val="center"/>
                </w:tcPr>
                <w:p w14:paraId="7CED1684">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441" w:type="pct"/>
                  <w:vAlign w:val="center"/>
                </w:tcPr>
                <w:p w14:paraId="3C8E33B5">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lang w:val="en-US" w:eastAsia="zh-CN"/>
                    </w:rPr>
                  </w:pPr>
                  <w:r>
                    <w:rPr>
                      <w:rFonts w:hint="eastAsia" w:eastAsiaTheme="minorEastAsia"/>
                      <w:b w:val="0"/>
                      <w:bCs w:val="0"/>
                      <w:color w:val="auto"/>
                      <w:kern w:val="0"/>
                      <w:sz w:val="21"/>
                      <w:szCs w:val="21"/>
                      <w:lang w:val="en-US" w:eastAsia="zh-CN"/>
                    </w:rPr>
                    <w:t>0.02</w:t>
                  </w:r>
                </w:p>
              </w:tc>
              <w:tc>
                <w:tcPr>
                  <w:tcW w:w="501" w:type="pct"/>
                  <w:vAlign w:val="center"/>
                </w:tcPr>
                <w:p w14:paraId="52D6E189">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lang w:val="en-US" w:eastAsia="zh-CN"/>
                    </w:rPr>
                  </w:pPr>
                  <w:r>
                    <w:rPr>
                      <w:rFonts w:hint="eastAsia" w:eastAsiaTheme="minorEastAsia"/>
                      <w:b w:val="0"/>
                      <w:bCs w:val="0"/>
                      <w:color w:val="auto"/>
                      <w:kern w:val="0"/>
                      <w:sz w:val="21"/>
                      <w:szCs w:val="21"/>
                      <w:lang w:val="en-US" w:eastAsia="zh-CN"/>
                    </w:rPr>
                    <w:t>纯水制备过程</w:t>
                  </w:r>
                </w:p>
              </w:tc>
              <w:tc>
                <w:tcPr>
                  <w:tcW w:w="382" w:type="pct"/>
                  <w:vAlign w:val="center"/>
                </w:tcPr>
                <w:p w14:paraId="1B9D64AF">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固体</w:t>
                  </w:r>
                </w:p>
              </w:tc>
              <w:tc>
                <w:tcPr>
                  <w:tcW w:w="440" w:type="pct"/>
                  <w:vAlign w:val="center"/>
                </w:tcPr>
                <w:p w14:paraId="38FB2CCB">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346" w:type="pct"/>
                  <w:vAlign w:val="center"/>
                </w:tcPr>
                <w:p w14:paraId="4DF07352">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间断</w:t>
                  </w:r>
                </w:p>
              </w:tc>
              <w:tc>
                <w:tcPr>
                  <w:tcW w:w="342" w:type="pct"/>
                  <w:vAlign w:val="center"/>
                </w:tcPr>
                <w:p w14:paraId="2B814D1A">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854" w:type="pct"/>
                  <w:vAlign w:val="center"/>
                </w:tcPr>
                <w:p w14:paraId="02BFAE9A">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eastAsia" w:cs="宋体"/>
                      <w:bCs/>
                      <w:color w:val="auto"/>
                      <w:kern w:val="0"/>
                      <w:szCs w:val="21"/>
                    </w:rPr>
                    <w:t>定期更换，同生活垃圾一起处理。</w:t>
                  </w:r>
                </w:p>
              </w:tc>
            </w:tr>
            <w:tr w14:paraId="2A9CC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189" w:type="pct"/>
                  <w:vAlign w:val="center"/>
                </w:tcPr>
                <w:p w14:paraId="07E0A622">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lang w:val="en-US" w:eastAsia="zh-CN"/>
                    </w:rPr>
                  </w:pPr>
                  <w:r>
                    <w:rPr>
                      <w:rFonts w:hint="eastAsia" w:eastAsiaTheme="minorEastAsia"/>
                      <w:b w:val="0"/>
                      <w:bCs w:val="0"/>
                      <w:color w:val="auto"/>
                      <w:kern w:val="0"/>
                      <w:sz w:val="21"/>
                      <w:szCs w:val="21"/>
                      <w:lang w:val="en-US" w:eastAsia="zh-CN"/>
                    </w:rPr>
                    <w:t>7</w:t>
                  </w:r>
                </w:p>
              </w:tc>
              <w:tc>
                <w:tcPr>
                  <w:tcW w:w="634" w:type="pct"/>
                  <w:vAlign w:val="center"/>
                </w:tcPr>
                <w:p w14:paraId="37EBCB47">
                  <w:pPr>
                    <w:keepNext w:val="0"/>
                    <w:keepLines w:val="0"/>
                    <w:suppressLineNumbers w:val="0"/>
                    <w:adjustRightInd w:val="0"/>
                    <w:snapToGrid w:val="0"/>
                    <w:spacing w:before="0" w:beforeAutospacing="0" w:after="0" w:afterAutospacing="0"/>
                    <w:ind w:left="0" w:right="0"/>
                    <w:jc w:val="center"/>
                    <w:rPr>
                      <w:rFonts w:hint="eastAsia" w:cs="宋体"/>
                      <w:b w:val="0"/>
                      <w:bCs w:val="0"/>
                      <w:color w:val="auto"/>
                      <w:kern w:val="0"/>
                      <w:sz w:val="21"/>
                      <w:szCs w:val="21"/>
                      <w:lang w:val="en-US" w:eastAsia="zh-CN"/>
                    </w:rPr>
                  </w:pPr>
                  <w:r>
                    <w:rPr>
                      <w:rFonts w:hint="eastAsia" w:cs="宋体"/>
                      <w:bCs/>
                      <w:color w:val="auto"/>
                      <w:kern w:val="0"/>
                      <w:szCs w:val="21"/>
                    </w:rPr>
                    <w:t>破碎玻璃（未沾染化学试剂）和废包装物</w:t>
                  </w:r>
                </w:p>
              </w:tc>
              <w:tc>
                <w:tcPr>
                  <w:tcW w:w="343" w:type="pct"/>
                  <w:vAlign w:val="center"/>
                </w:tcPr>
                <w:p w14:paraId="341476D6">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523" w:type="pct"/>
                  <w:vAlign w:val="center"/>
                </w:tcPr>
                <w:p w14:paraId="3054729C">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441" w:type="pct"/>
                  <w:vAlign w:val="center"/>
                </w:tcPr>
                <w:p w14:paraId="1D791E4A">
                  <w:pPr>
                    <w:keepNext w:val="0"/>
                    <w:keepLines w:val="0"/>
                    <w:suppressLineNumbers w:val="0"/>
                    <w:adjustRightInd w:val="0"/>
                    <w:snapToGrid w:val="0"/>
                    <w:spacing w:before="0" w:beforeAutospacing="0" w:after="0" w:afterAutospacing="0"/>
                    <w:ind w:left="0" w:right="0"/>
                    <w:jc w:val="center"/>
                    <w:rPr>
                      <w:rFonts w:hint="eastAsia" w:eastAsiaTheme="minorEastAsia"/>
                      <w:b w:val="0"/>
                      <w:bCs w:val="0"/>
                      <w:color w:val="auto"/>
                      <w:kern w:val="0"/>
                      <w:sz w:val="21"/>
                      <w:szCs w:val="21"/>
                      <w:lang w:val="en-US" w:eastAsia="zh-CN"/>
                    </w:rPr>
                  </w:pPr>
                  <w:r>
                    <w:rPr>
                      <w:rFonts w:hint="default"/>
                      <w:bCs/>
                      <w:color w:val="auto"/>
                      <w:kern w:val="0"/>
                      <w:szCs w:val="21"/>
                    </w:rPr>
                    <w:t>0.</w:t>
                  </w:r>
                  <w:r>
                    <w:rPr>
                      <w:rFonts w:hint="eastAsia"/>
                      <w:bCs/>
                      <w:color w:val="auto"/>
                      <w:kern w:val="0"/>
                      <w:szCs w:val="21"/>
                    </w:rPr>
                    <w:t>2</w:t>
                  </w:r>
                </w:p>
              </w:tc>
              <w:tc>
                <w:tcPr>
                  <w:tcW w:w="501" w:type="pct"/>
                  <w:vAlign w:val="center"/>
                </w:tcPr>
                <w:p w14:paraId="1C6B0C24">
                  <w:pPr>
                    <w:keepNext w:val="0"/>
                    <w:keepLines w:val="0"/>
                    <w:suppressLineNumbers w:val="0"/>
                    <w:adjustRightInd w:val="0"/>
                    <w:snapToGrid w:val="0"/>
                    <w:spacing w:before="0" w:beforeAutospacing="0" w:after="0" w:afterAutospacing="0"/>
                    <w:ind w:left="0" w:right="0"/>
                    <w:jc w:val="center"/>
                    <w:rPr>
                      <w:rFonts w:hint="eastAsia" w:eastAsiaTheme="minorEastAsia"/>
                      <w:b w:val="0"/>
                      <w:bCs w:val="0"/>
                      <w:color w:val="auto"/>
                      <w:kern w:val="0"/>
                      <w:sz w:val="21"/>
                      <w:szCs w:val="21"/>
                      <w:lang w:val="en-US" w:eastAsia="zh-CN"/>
                    </w:rPr>
                  </w:pPr>
                  <w:r>
                    <w:rPr>
                      <w:rFonts w:hint="default" w:eastAsiaTheme="minorEastAsia"/>
                      <w:b w:val="0"/>
                      <w:bCs w:val="0"/>
                      <w:color w:val="auto"/>
                      <w:kern w:val="0"/>
                      <w:sz w:val="21"/>
                      <w:szCs w:val="21"/>
                    </w:rPr>
                    <w:t>实验过程</w:t>
                  </w:r>
                </w:p>
              </w:tc>
              <w:tc>
                <w:tcPr>
                  <w:tcW w:w="382" w:type="pct"/>
                  <w:vAlign w:val="center"/>
                </w:tcPr>
                <w:p w14:paraId="51B49E4B">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固体</w:t>
                  </w:r>
                </w:p>
              </w:tc>
              <w:tc>
                <w:tcPr>
                  <w:tcW w:w="440" w:type="pct"/>
                  <w:vAlign w:val="center"/>
                </w:tcPr>
                <w:p w14:paraId="0930F9D7">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346" w:type="pct"/>
                  <w:vAlign w:val="center"/>
                </w:tcPr>
                <w:p w14:paraId="4AE8A41A">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间断</w:t>
                  </w:r>
                </w:p>
              </w:tc>
              <w:tc>
                <w:tcPr>
                  <w:tcW w:w="342" w:type="pct"/>
                  <w:vAlign w:val="center"/>
                </w:tcPr>
                <w:p w14:paraId="7E8604B0">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w:t>
                  </w:r>
                </w:p>
              </w:tc>
              <w:tc>
                <w:tcPr>
                  <w:tcW w:w="854" w:type="pct"/>
                  <w:vAlign w:val="center"/>
                </w:tcPr>
                <w:p w14:paraId="1D0834D8">
                  <w:pPr>
                    <w:keepNext w:val="0"/>
                    <w:keepLines w:val="0"/>
                    <w:suppressLineNumbers w:val="0"/>
                    <w:adjustRightInd w:val="0"/>
                    <w:snapToGrid w:val="0"/>
                    <w:spacing w:before="0" w:beforeAutospacing="0" w:after="0" w:afterAutospacing="0"/>
                    <w:ind w:left="0" w:right="0"/>
                    <w:jc w:val="center"/>
                    <w:rPr>
                      <w:rFonts w:hint="eastAsia" w:cs="宋体"/>
                      <w:bCs/>
                      <w:color w:val="auto"/>
                      <w:kern w:val="0"/>
                      <w:szCs w:val="21"/>
                    </w:rPr>
                  </w:pPr>
                  <w:r>
                    <w:rPr>
                      <w:rFonts w:hint="eastAsia" w:cs="宋体"/>
                      <w:bCs/>
                      <w:color w:val="auto"/>
                      <w:kern w:val="0"/>
                      <w:szCs w:val="21"/>
                    </w:rPr>
                    <w:t>分类收集，可回收部分卖给废品收购站进行回收利用，不可回收部分同生活垃圾一起处理。</w:t>
                  </w:r>
                </w:p>
              </w:tc>
            </w:tr>
            <w:tr w14:paraId="0619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Align w:val="center"/>
                </w:tcPr>
                <w:p w14:paraId="68DE8C9B">
                  <w:pPr>
                    <w:keepNext w:val="0"/>
                    <w:keepLines w:val="0"/>
                    <w:suppressLineNumbers w:val="0"/>
                    <w:adjustRightInd w:val="0"/>
                    <w:snapToGrid w:val="0"/>
                    <w:spacing w:before="0" w:beforeAutospacing="0" w:after="0" w:afterAutospacing="0"/>
                    <w:ind w:left="0" w:right="0"/>
                    <w:jc w:val="center"/>
                    <w:rPr>
                      <w:rFonts w:hint="eastAsia" w:eastAsiaTheme="minorEastAsia"/>
                      <w:b w:val="0"/>
                      <w:bCs w:val="0"/>
                      <w:color w:val="auto"/>
                      <w:kern w:val="0"/>
                      <w:sz w:val="21"/>
                      <w:szCs w:val="21"/>
                      <w:lang w:eastAsia="zh-CN"/>
                    </w:rPr>
                  </w:pPr>
                  <w:r>
                    <w:rPr>
                      <w:rFonts w:hint="eastAsia" w:eastAsiaTheme="minorEastAsia"/>
                      <w:b w:val="0"/>
                      <w:bCs w:val="0"/>
                      <w:color w:val="auto"/>
                      <w:kern w:val="0"/>
                      <w:sz w:val="21"/>
                      <w:szCs w:val="21"/>
                      <w:lang w:val="en-US" w:eastAsia="zh-CN"/>
                    </w:rPr>
                    <w:t>8</w:t>
                  </w:r>
                </w:p>
              </w:tc>
              <w:tc>
                <w:tcPr>
                  <w:tcW w:w="634" w:type="pct"/>
                  <w:vAlign w:val="center"/>
                </w:tcPr>
                <w:p w14:paraId="43323D41">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实验废液</w:t>
                  </w:r>
                </w:p>
              </w:tc>
              <w:tc>
                <w:tcPr>
                  <w:tcW w:w="343" w:type="pct"/>
                  <w:vAlign w:val="center"/>
                </w:tcPr>
                <w:p w14:paraId="36DFA727">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HW49</w:t>
                  </w:r>
                </w:p>
              </w:tc>
              <w:tc>
                <w:tcPr>
                  <w:tcW w:w="523" w:type="pct"/>
                  <w:vAlign w:val="center"/>
                </w:tcPr>
                <w:p w14:paraId="138A3264">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900-047-49</w:t>
                  </w:r>
                </w:p>
              </w:tc>
              <w:tc>
                <w:tcPr>
                  <w:tcW w:w="441" w:type="pct"/>
                  <w:vAlign w:val="center"/>
                </w:tcPr>
                <w:p w14:paraId="54CE9C50">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sz w:val="21"/>
                      <w:szCs w:val="21"/>
                    </w:rPr>
                    <w:t>0.3</w:t>
                  </w:r>
                </w:p>
              </w:tc>
              <w:tc>
                <w:tcPr>
                  <w:tcW w:w="501" w:type="pct"/>
                  <w:vAlign w:val="center"/>
                </w:tcPr>
                <w:p w14:paraId="7DF760F4">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实验过程</w:t>
                  </w:r>
                </w:p>
              </w:tc>
              <w:tc>
                <w:tcPr>
                  <w:tcW w:w="382" w:type="pct"/>
                  <w:vAlign w:val="center"/>
                </w:tcPr>
                <w:p w14:paraId="6427A598">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液态</w:t>
                  </w:r>
                </w:p>
              </w:tc>
              <w:tc>
                <w:tcPr>
                  <w:tcW w:w="440" w:type="pct"/>
                  <w:vAlign w:val="center"/>
                </w:tcPr>
                <w:p w14:paraId="0946EF61">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酸碱、重金属、有机废液</w:t>
                  </w:r>
                </w:p>
              </w:tc>
              <w:tc>
                <w:tcPr>
                  <w:tcW w:w="346" w:type="pct"/>
                  <w:vAlign w:val="center"/>
                </w:tcPr>
                <w:p w14:paraId="6BE4861D">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每天</w:t>
                  </w:r>
                </w:p>
              </w:tc>
              <w:tc>
                <w:tcPr>
                  <w:tcW w:w="342" w:type="pct"/>
                  <w:vAlign w:val="center"/>
                </w:tcPr>
                <w:p w14:paraId="28278AC5">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T/C/I/R</w:t>
                  </w:r>
                </w:p>
              </w:tc>
              <w:tc>
                <w:tcPr>
                  <w:tcW w:w="854" w:type="pct"/>
                  <w:vAlign w:val="center"/>
                </w:tcPr>
                <w:p w14:paraId="07F0E8CF">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委托有资质单位清运处置</w:t>
                  </w:r>
                </w:p>
              </w:tc>
            </w:tr>
            <w:tr w14:paraId="26AB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Align w:val="center"/>
                </w:tcPr>
                <w:p w14:paraId="3B07E6EB">
                  <w:pPr>
                    <w:keepNext w:val="0"/>
                    <w:keepLines w:val="0"/>
                    <w:suppressLineNumbers w:val="0"/>
                    <w:adjustRightInd w:val="0"/>
                    <w:snapToGrid w:val="0"/>
                    <w:spacing w:before="0" w:beforeAutospacing="0" w:after="0" w:afterAutospacing="0"/>
                    <w:ind w:left="0" w:right="0"/>
                    <w:jc w:val="center"/>
                    <w:rPr>
                      <w:rFonts w:hint="eastAsia" w:eastAsiaTheme="minorEastAsia"/>
                      <w:b w:val="0"/>
                      <w:bCs w:val="0"/>
                      <w:color w:val="auto"/>
                      <w:kern w:val="0"/>
                      <w:sz w:val="21"/>
                      <w:szCs w:val="21"/>
                      <w:lang w:eastAsia="zh-CN"/>
                    </w:rPr>
                  </w:pPr>
                  <w:r>
                    <w:rPr>
                      <w:rFonts w:hint="eastAsia" w:eastAsiaTheme="minorEastAsia"/>
                      <w:b w:val="0"/>
                      <w:bCs w:val="0"/>
                      <w:color w:val="auto"/>
                      <w:sz w:val="21"/>
                      <w:szCs w:val="21"/>
                      <w:lang w:val="en-US" w:eastAsia="zh-CN"/>
                    </w:rPr>
                    <w:t>9</w:t>
                  </w:r>
                </w:p>
              </w:tc>
              <w:tc>
                <w:tcPr>
                  <w:tcW w:w="634" w:type="pct"/>
                  <w:vAlign w:val="center"/>
                </w:tcPr>
                <w:p w14:paraId="5C035147">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实验</w:t>
                  </w:r>
                  <w:r>
                    <w:rPr>
                      <w:rFonts w:hint="eastAsia" w:eastAsiaTheme="minorEastAsia"/>
                      <w:b w:val="0"/>
                      <w:bCs w:val="0"/>
                      <w:color w:val="auto"/>
                      <w:kern w:val="0"/>
                      <w:sz w:val="21"/>
                      <w:szCs w:val="21"/>
                      <w:lang w:val="en-US" w:eastAsia="zh-CN"/>
                    </w:rPr>
                    <w:t>室第一、二次</w:t>
                  </w:r>
                  <w:r>
                    <w:rPr>
                      <w:rFonts w:hint="default" w:eastAsiaTheme="minorEastAsia"/>
                      <w:b w:val="0"/>
                      <w:bCs w:val="0"/>
                      <w:color w:val="auto"/>
                      <w:kern w:val="0"/>
                      <w:sz w:val="21"/>
                      <w:szCs w:val="21"/>
                    </w:rPr>
                    <w:t>器皿清洗水</w:t>
                  </w:r>
                </w:p>
              </w:tc>
              <w:tc>
                <w:tcPr>
                  <w:tcW w:w="343" w:type="pct"/>
                  <w:vAlign w:val="center"/>
                </w:tcPr>
                <w:p w14:paraId="53651FEE">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HW49</w:t>
                  </w:r>
                </w:p>
              </w:tc>
              <w:tc>
                <w:tcPr>
                  <w:tcW w:w="523" w:type="pct"/>
                  <w:vAlign w:val="center"/>
                </w:tcPr>
                <w:p w14:paraId="5295A0E3">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900-047-49</w:t>
                  </w:r>
                </w:p>
              </w:tc>
              <w:tc>
                <w:tcPr>
                  <w:tcW w:w="441" w:type="pct"/>
                  <w:vAlign w:val="center"/>
                </w:tcPr>
                <w:p w14:paraId="6AF3DA1A">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4.8</w:t>
                  </w:r>
                </w:p>
              </w:tc>
              <w:tc>
                <w:tcPr>
                  <w:tcW w:w="501" w:type="pct"/>
                  <w:vAlign w:val="center"/>
                </w:tcPr>
                <w:p w14:paraId="6C203886">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实验器皿清洗</w:t>
                  </w:r>
                </w:p>
              </w:tc>
              <w:tc>
                <w:tcPr>
                  <w:tcW w:w="382" w:type="pct"/>
                  <w:vAlign w:val="center"/>
                </w:tcPr>
                <w:p w14:paraId="0045C63C">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液态</w:t>
                  </w:r>
                </w:p>
              </w:tc>
              <w:tc>
                <w:tcPr>
                  <w:tcW w:w="440" w:type="pct"/>
                  <w:vAlign w:val="center"/>
                </w:tcPr>
                <w:p w14:paraId="7EAE927C">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酸碱、有机溶剂</w:t>
                  </w:r>
                </w:p>
              </w:tc>
              <w:tc>
                <w:tcPr>
                  <w:tcW w:w="346" w:type="pct"/>
                  <w:vAlign w:val="center"/>
                </w:tcPr>
                <w:p w14:paraId="2D4A0A01">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每天</w:t>
                  </w:r>
                </w:p>
              </w:tc>
              <w:tc>
                <w:tcPr>
                  <w:tcW w:w="342" w:type="pct"/>
                  <w:vAlign w:val="center"/>
                </w:tcPr>
                <w:p w14:paraId="205DC2F4">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T/C/I/R</w:t>
                  </w:r>
                </w:p>
              </w:tc>
              <w:tc>
                <w:tcPr>
                  <w:tcW w:w="854" w:type="pct"/>
                  <w:vAlign w:val="center"/>
                </w:tcPr>
                <w:p w14:paraId="549B54C3">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委托有资质单位清运处置</w:t>
                  </w:r>
                </w:p>
              </w:tc>
            </w:tr>
            <w:tr w14:paraId="2033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Align w:val="center"/>
                </w:tcPr>
                <w:p w14:paraId="46CBAFCB">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lang w:val="en-US" w:eastAsia="zh-CN"/>
                    </w:rPr>
                  </w:pPr>
                  <w:r>
                    <w:rPr>
                      <w:rFonts w:hint="eastAsia" w:eastAsiaTheme="minorEastAsia"/>
                      <w:b w:val="0"/>
                      <w:bCs w:val="0"/>
                      <w:color w:val="auto"/>
                      <w:sz w:val="21"/>
                      <w:szCs w:val="21"/>
                      <w:lang w:val="en-US" w:eastAsia="zh-CN"/>
                    </w:rPr>
                    <w:t>10</w:t>
                  </w:r>
                </w:p>
              </w:tc>
              <w:tc>
                <w:tcPr>
                  <w:tcW w:w="634" w:type="pct"/>
                  <w:vAlign w:val="center"/>
                </w:tcPr>
                <w:p w14:paraId="7C00C929">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废活性炭</w:t>
                  </w:r>
                </w:p>
              </w:tc>
              <w:tc>
                <w:tcPr>
                  <w:tcW w:w="343" w:type="pct"/>
                  <w:vAlign w:val="center"/>
                </w:tcPr>
                <w:p w14:paraId="125717FB">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HW49</w:t>
                  </w:r>
                </w:p>
              </w:tc>
              <w:tc>
                <w:tcPr>
                  <w:tcW w:w="523" w:type="pct"/>
                  <w:vAlign w:val="center"/>
                </w:tcPr>
                <w:p w14:paraId="48EC3423">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900-039-49</w:t>
                  </w:r>
                </w:p>
              </w:tc>
              <w:tc>
                <w:tcPr>
                  <w:tcW w:w="441" w:type="pct"/>
                  <w:vAlign w:val="center"/>
                </w:tcPr>
                <w:p w14:paraId="0D8F0DE5">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1.2</w:t>
                  </w:r>
                </w:p>
              </w:tc>
              <w:tc>
                <w:tcPr>
                  <w:tcW w:w="501" w:type="pct"/>
                  <w:vAlign w:val="center"/>
                </w:tcPr>
                <w:p w14:paraId="5D2A36AF">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有机废气处理</w:t>
                  </w:r>
                </w:p>
              </w:tc>
              <w:tc>
                <w:tcPr>
                  <w:tcW w:w="382" w:type="pct"/>
                  <w:vAlign w:val="center"/>
                </w:tcPr>
                <w:p w14:paraId="1693688D">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固体</w:t>
                  </w:r>
                </w:p>
              </w:tc>
              <w:tc>
                <w:tcPr>
                  <w:tcW w:w="440" w:type="pct"/>
                  <w:vAlign w:val="center"/>
                </w:tcPr>
                <w:p w14:paraId="4AFCC9CC">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有机物</w:t>
                  </w:r>
                </w:p>
              </w:tc>
              <w:tc>
                <w:tcPr>
                  <w:tcW w:w="346" w:type="pct"/>
                  <w:vAlign w:val="center"/>
                </w:tcPr>
                <w:p w14:paraId="16143063">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间断</w:t>
                  </w:r>
                </w:p>
              </w:tc>
              <w:tc>
                <w:tcPr>
                  <w:tcW w:w="342" w:type="pct"/>
                  <w:vAlign w:val="center"/>
                </w:tcPr>
                <w:p w14:paraId="7E18782D">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T</w:t>
                  </w:r>
                </w:p>
              </w:tc>
              <w:tc>
                <w:tcPr>
                  <w:tcW w:w="854" w:type="pct"/>
                  <w:vAlign w:val="center"/>
                </w:tcPr>
                <w:p w14:paraId="4834C0F5">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由厂家更换回收处理。</w:t>
                  </w:r>
                </w:p>
              </w:tc>
            </w:tr>
            <w:tr w14:paraId="1736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Align w:val="center"/>
                </w:tcPr>
                <w:p w14:paraId="5372F51E">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lang w:val="en-US" w:eastAsia="zh-CN"/>
                    </w:rPr>
                  </w:pPr>
                  <w:r>
                    <w:rPr>
                      <w:rFonts w:hint="eastAsia" w:eastAsiaTheme="minorEastAsia"/>
                      <w:b w:val="0"/>
                      <w:bCs w:val="0"/>
                      <w:color w:val="auto"/>
                      <w:sz w:val="21"/>
                      <w:szCs w:val="21"/>
                      <w:lang w:val="en-US" w:eastAsia="zh-CN"/>
                    </w:rPr>
                    <w:t>11</w:t>
                  </w:r>
                </w:p>
              </w:tc>
              <w:tc>
                <w:tcPr>
                  <w:tcW w:w="634" w:type="pct"/>
                  <w:vAlign w:val="center"/>
                </w:tcPr>
                <w:p w14:paraId="7CDA861C">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过期试剂及废试剂瓶</w:t>
                  </w:r>
                </w:p>
              </w:tc>
              <w:tc>
                <w:tcPr>
                  <w:tcW w:w="343" w:type="pct"/>
                  <w:vAlign w:val="center"/>
                </w:tcPr>
                <w:p w14:paraId="6355517A">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HW49</w:t>
                  </w:r>
                </w:p>
              </w:tc>
              <w:tc>
                <w:tcPr>
                  <w:tcW w:w="523" w:type="pct"/>
                  <w:vAlign w:val="center"/>
                </w:tcPr>
                <w:p w14:paraId="70E78A62">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900-039-49</w:t>
                  </w:r>
                </w:p>
              </w:tc>
              <w:tc>
                <w:tcPr>
                  <w:tcW w:w="441" w:type="pct"/>
                  <w:vAlign w:val="center"/>
                </w:tcPr>
                <w:p w14:paraId="1F16A4A2">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0.2</w:t>
                  </w:r>
                </w:p>
              </w:tc>
              <w:tc>
                <w:tcPr>
                  <w:tcW w:w="501" w:type="pct"/>
                  <w:vAlign w:val="center"/>
                </w:tcPr>
                <w:p w14:paraId="35F39330">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废试剂包装瓶</w:t>
                  </w:r>
                </w:p>
              </w:tc>
              <w:tc>
                <w:tcPr>
                  <w:tcW w:w="382" w:type="pct"/>
                  <w:vAlign w:val="center"/>
                </w:tcPr>
                <w:p w14:paraId="21544B19">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固体</w:t>
                  </w:r>
                </w:p>
              </w:tc>
              <w:tc>
                <w:tcPr>
                  <w:tcW w:w="440" w:type="pct"/>
                  <w:vAlign w:val="center"/>
                </w:tcPr>
                <w:p w14:paraId="751DD969">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残留化学试剂</w:t>
                  </w:r>
                </w:p>
              </w:tc>
              <w:tc>
                <w:tcPr>
                  <w:tcW w:w="346" w:type="pct"/>
                  <w:vAlign w:val="center"/>
                </w:tcPr>
                <w:p w14:paraId="0DB90EB0">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间断</w:t>
                  </w:r>
                </w:p>
              </w:tc>
              <w:tc>
                <w:tcPr>
                  <w:tcW w:w="342" w:type="pct"/>
                  <w:vAlign w:val="center"/>
                </w:tcPr>
                <w:p w14:paraId="21351901">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T/C/I/R</w:t>
                  </w:r>
                </w:p>
              </w:tc>
              <w:tc>
                <w:tcPr>
                  <w:tcW w:w="854" w:type="pct"/>
                  <w:vMerge w:val="restart"/>
                  <w:vAlign w:val="center"/>
                </w:tcPr>
                <w:p w14:paraId="6C3F318D">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eastAsia" w:eastAsiaTheme="minorEastAsia"/>
                      <w:color w:val="auto"/>
                      <w:kern w:val="0"/>
                      <w:szCs w:val="21"/>
                      <w:lang w:val="en-US" w:eastAsia="zh-CN"/>
                    </w:rPr>
                    <w:t>分类收集后暂存于危废暂存间，定期</w:t>
                  </w:r>
                  <w:r>
                    <w:rPr>
                      <w:rFonts w:hint="default" w:eastAsiaTheme="minorEastAsia"/>
                      <w:color w:val="auto"/>
                      <w:kern w:val="0"/>
                      <w:szCs w:val="21"/>
                    </w:rPr>
                    <w:t>委托有资质单位清运处置。</w:t>
                  </w:r>
                </w:p>
              </w:tc>
            </w:tr>
            <w:tr w14:paraId="0A83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Align w:val="center"/>
                </w:tcPr>
                <w:p w14:paraId="2B4CE4DE">
                  <w:pPr>
                    <w:keepNext w:val="0"/>
                    <w:keepLines w:val="0"/>
                    <w:suppressLineNumbers w:val="0"/>
                    <w:adjustRightInd w:val="0"/>
                    <w:snapToGrid w:val="0"/>
                    <w:spacing w:before="0" w:beforeAutospacing="0" w:after="0" w:afterAutospacing="0"/>
                    <w:ind w:left="0" w:right="0"/>
                    <w:jc w:val="center"/>
                    <w:rPr>
                      <w:rFonts w:hint="eastAsia" w:eastAsiaTheme="minorEastAsia"/>
                      <w:b w:val="0"/>
                      <w:bCs w:val="0"/>
                      <w:color w:val="auto"/>
                      <w:sz w:val="21"/>
                      <w:szCs w:val="21"/>
                      <w:lang w:val="en-US" w:eastAsia="zh-CN"/>
                    </w:rPr>
                  </w:pPr>
                  <w:r>
                    <w:rPr>
                      <w:rFonts w:hint="default" w:eastAsiaTheme="minorEastAsia"/>
                      <w:b w:val="0"/>
                      <w:bCs w:val="0"/>
                      <w:color w:val="auto"/>
                      <w:sz w:val="21"/>
                      <w:szCs w:val="21"/>
                    </w:rPr>
                    <w:t>1</w:t>
                  </w:r>
                  <w:r>
                    <w:rPr>
                      <w:rFonts w:hint="eastAsia" w:eastAsiaTheme="minorEastAsia"/>
                      <w:b w:val="0"/>
                      <w:bCs w:val="0"/>
                      <w:color w:val="auto"/>
                      <w:sz w:val="21"/>
                      <w:szCs w:val="21"/>
                      <w:lang w:val="en-US" w:eastAsia="zh-CN"/>
                    </w:rPr>
                    <w:t>2</w:t>
                  </w:r>
                </w:p>
              </w:tc>
              <w:tc>
                <w:tcPr>
                  <w:tcW w:w="634" w:type="pct"/>
                  <w:vAlign w:val="center"/>
                </w:tcPr>
                <w:p w14:paraId="75D75940">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检测废物（废沥青）</w:t>
                  </w:r>
                </w:p>
              </w:tc>
              <w:tc>
                <w:tcPr>
                  <w:tcW w:w="343" w:type="pct"/>
                  <w:vAlign w:val="center"/>
                </w:tcPr>
                <w:p w14:paraId="188EB100">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HW11</w:t>
                  </w:r>
                </w:p>
              </w:tc>
              <w:tc>
                <w:tcPr>
                  <w:tcW w:w="523" w:type="pct"/>
                  <w:vAlign w:val="center"/>
                </w:tcPr>
                <w:p w14:paraId="51560ABD">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900-013-11</w:t>
                  </w:r>
                </w:p>
              </w:tc>
              <w:tc>
                <w:tcPr>
                  <w:tcW w:w="441" w:type="pct"/>
                  <w:vAlign w:val="center"/>
                </w:tcPr>
                <w:p w14:paraId="19CC8439">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0.15</w:t>
                  </w:r>
                </w:p>
              </w:tc>
              <w:tc>
                <w:tcPr>
                  <w:tcW w:w="501" w:type="pct"/>
                  <w:vAlign w:val="center"/>
                </w:tcPr>
                <w:p w14:paraId="70AF99D8">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实验过程</w:t>
                  </w:r>
                </w:p>
              </w:tc>
              <w:tc>
                <w:tcPr>
                  <w:tcW w:w="382" w:type="pct"/>
                  <w:vAlign w:val="center"/>
                </w:tcPr>
                <w:p w14:paraId="3E63C8B2">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固体</w:t>
                  </w:r>
                </w:p>
              </w:tc>
              <w:tc>
                <w:tcPr>
                  <w:tcW w:w="440" w:type="pct"/>
                  <w:vAlign w:val="center"/>
                </w:tcPr>
                <w:p w14:paraId="2FFA5A4A">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苯并[a]芘</w:t>
                  </w:r>
                </w:p>
              </w:tc>
              <w:tc>
                <w:tcPr>
                  <w:tcW w:w="346" w:type="pct"/>
                  <w:vAlign w:val="center"/>
                </w:tcPr>
                <w:p w14:paraId="59B64430">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间断</w:t>
                  </w:r>
                </w:p>
              </w:tc>
              <w:tc>
                <w:tcPr>
                  <w:tcW w:w="342" w:type="pct"/>
                  <w:vAlign w:val="center"/>
                </w:tcPr>
                <w:p w14:paraId="367F4E1A">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T</w:t>
                  </w:r>
                </w:p>
              </w:tc>
              <w:tc>
                <w:tcPr>
                  <w:tcW w:w="854" w:type="pct"/>
                  <w:vMerge w:val="continue"/>
                  <w:vAlign w:val="center"/>
                </w:tcPr>
                <w:p w14:paraId="2C617AFA">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r>
            <w:tr w14:paraId="2E29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Align w:val="center"/>
                </w:tcPr>
                <w:p w14:paraId="634030EA">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sz w:val="21"/>
                      <w:szCs w:val="21"/>
                      <w:lang w:val="en-US" w:eastAsia="zh-CN"/>
                    </w:rPr>
                  </w:pPr>
                  <w:r>
                    <w:rPr>
                      <w:rFonts w:hint="eastAsia" w:eastAsiaTheme="minorEastAsia"/>
                      <w:b w:val="0"/>
                      <w:bCs w:val="0"/>
                      <w:color w:val="auto"/>
                      <w:sz w:val="21"/>
                      <w:szCs w:val="21"/>
                      <w:lang w:val="en-US" w:eastAsia="zh-CN"/>
                    </w:rPr>
                    <w:t>13</w:t>
                  </w:r>
                </w:p>
              </w:tc>
              <w:tc>
                <w:tcPr>
                  <w:tcW w:w="634" w:type="pct"/>
                  <w:vAlign w:val="center"/>
                </w:tcPr>
                <w:p w14:paraId="745BC7BF">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废沥青</w:t>
                  </w:r>
                  <w:r>
                    <w:rPr>
                      <w:rFonts w:hint="eastAsia" w:eastAsiaTheme="minorEastAsia"/>
                      <w:b w:val="0"/>
                      <w:bCs w:val="0"/>
                      <w:color w:val="auto"/>
                      <w:kern w:val="0"/>
                      <w:sz w:val="21"/>
                      <w:szCs w:val="21"/>
                      <w:lang w:val="en-US" w:eastAsia="zh-CN"/>
                    </w:rPr>
                    <w:t>清洗液</w:t>
                  </w:r>
                </w:p>
              </w:tc>
              <w:tc>
                <w:tcPr>
                  <w:tcW w:w="343" w:type="pct"/>
                  <w:vAlign w:val="center"/>
                </w:tcPr>
                <w:p w14:paraId="320ADD7A">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lang w:val="en-US" w:eastAsia="zh-CN" w:bidi="ar-SA"/>
                    </w:rPr>
                    <w:t xml:space="preserve">HW06 </w:t>
                  </w:r>
                </w:p>
              </w:tc>
              <w:tc>
                <w:tcPr>
                  <w:tcW w:w="523" w:type="pct"/>
                  <w:vAlign w:val="center"/>
                </w:tcPr>
                <w:p w14:paraId="3FA400C6">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lang w:val="en-US" w:eastAsia="zh-CN" w:bidi="ar-SA"/>
                    </w:rPr>
                    <w:t>900-401-06</w:t>
                  </w:r>
                </w:p>
              </w:tc>
              <w:tc>
                <w:tcPr>
                  <w:tcW w:w="441" w:type="pct"/>
                  <w:vAlign w:val="center"/>
                </w:tcPr>
                <w:p w14:paraId="2181B7EC">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lang w:val="en-US" w:eastAsia="zh-CN"/>
                    </w:rPr>
                  </w:pPr>
                  <w:r>
                    <w:rPr>
                      <w:rFonts w:hint="eastAsia" w:eastAsiaTheme="minorEastAsia"/>
                      <w:b w:val="0"/>
                      <w:bCs w:val="0"/>
                      <w:color w:val="auto"/>
                      <w:kern w:val="0"/>
                      <w:sz w:val="21"/>
                      <w:szCs w:val="21"/>
                      <w:lang w:val="en-US" w:eastAsia="zh-CN"/>
                    </w:rPr>
                    <w:t>0.005</w:t>
                  </w:r>
                </w:p>
              </w:tc>
              <w:tc>
                <w:tcPr>
                  <w:tcW w:w="501" w:type="pct"/>
                  <w:vAlign w:val="center"/>
                </w:tcPr>
                <w:p w14:paraId="32BB40AB">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实验过程</w:t>
                  </w:r>
                </w:p>
              </w:tc>
              <w:tc>
                <w:tcPr>
                  <w:tcW w:w="382" w:type="pct"/>
                  <w:vAlign w:val="center"/>
                </w:tcPr>
                <w:p w14:paraId="7CCEBF43">
                  <w:pPr>
                    <w:keepNext w:val="0"/>
                    <w:keepLines w:val="0"/>
                    <w:suppressLineNumbers w:val="0"/>
                    <w:adjustRightInd w:val="0"/>
                    <w:snapToGrid w:val="0"/>
                    <w:spacing w:before="0" w:beforeAutospacing="0" w:after="0" w:afterAutospacing="0"/>
                    <w:ind w:left="0" w:right="0"/>
                    <w:jc w:val="center"/>
                    <w:rPr>
                      <w:rFonts w:hint="eastAsia" w:eastAsiaTheme="minorEastAsia"/>
                      <w:b w:val="0"/>
                      <w:bCs w:val="0"/>
                      <w:color w:val="auto"/>
                      <w:kern w:val="0"/>
                      <w:sz w:val="21"/>
                      <w:szCs w:val="21"/>
                      <w:lang w:val="en-US" w:eastAsia="zh-CN"/>
                    </w:rPr>
                  </w:pPr>
                  <w:r>
                    <w:rPr>
                      <w:rFonts w:hint="eastAsia" w:eastAsiaTheme="minorEastAsia"/>
                      <w:b w:val="0"/>
                      <w:bCs w:val="0"/>
                      <w:color w:val="auto"/>
                      <w:kern w:val="0"/>
                      <w:sz w:val="21"/>
                      <w:szCs w:val="21"/>
                      <w:lang w:val="en-US" w:eastAsia="zh-CN"/>
                    </w:rPr>
                    <w:t>液体</w:t>
                  </w:r>
                </w:p>
              </w:tc>
              <w:tc>
                <w:tcPr>
                  <w:tcW w:w="440" w:type="pct"/>
                  <w:vAlign w:val="center"/>
                </w:tcPr>
                <w:p w14:paraId="4084101A">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lang w:val="en-US" w:eastAsia="zh-CN" w:bidi="ar-SA"/>
                    </w:rPr>
                    <w:t>三氯乙烯</w:t>
                  </w:r>
                </w:p>
              </w:tc>
              <w:tc>
                <w:tcPr>
                  <w:tcW w:w="346" w:type="pct"/>
                  <w:vAlign w:val="center"/>
                </w:tcPr>
                <w:p w14:paraId="0980DA9B">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间断</w:t>
                  </w:r>
                </w:p>
              </w:tc>
              <w:tc>
                <w:tcPr>
                  <w:tcW w:w="342" w:type="pct"/>
                  <w:vAlign w:val="center"/>
                </w:tcPr>
                <w:p w14:paraId="30D2BB00">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T</w:t>
                  </w:r>
                </w:p>
              </w:tc>
              <w:tc>
                <w:tcPr>
                  <w:tcW w:w="854" w:type="pct"/>
                  <w:vMerge w:val="continue"/>
                  <w:vAlign w:val="center"/>
                </w:tcPr>
                <w:p w14:paraId="55E649B7">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r>
            <w:tr w14:paraId="31F6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 w:type="pct"/>
                  <w:vAlign w:val="center"/>
                </w:tcPr>
                <w:p w14:paraId="3423C1A0">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sz w:val="21"/>
                      <w:szCs w:val="21"/>
                      <w:lang w:val="en-US" w:eastAsia="zh-CN"/>
                    </w:rPr>
                  </w:pPr>
                  <w:r>
                    <w:rPr>
                      <w:rFonts w:hint="eastAsia" w:eastAsiaTheme="minorEastAsia"/>
                      <w:b w:val="0"/>
                      <w:bCs w:val="0"/>
                      <w:color w:val="auto"/>
                      <w:sz w:val="21"/>
                      <w:szCs w:val="21"/>
                      <w:lang w:val="en-US" w:eastAsia="zh-CN"/>
                    </w:rPr>
                    <w:t>14</w:t>
                  </w:r>
                </w:p>
              </w:tc>
              <w:tc>
                <w:tcPr>
                  <w:tcW w:w="634" w:type="pct"/>
                  <w:vAlign w:val="center"/>
                </w:tcPr>
                <w:p w14:paraId="068BDBE6">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eastAsia" w:cs="宋体"/>
                      <w:b w:val="0"/>
                      <w:bCs w:val="0"/>
                      <w:color w:val="auto"/>
                      <w:kern w:val="0"/>
                      <w:sz w:val="21"/>
                      <w:szCs w:val="21"/>
                    </w:rPr>
                    <w:t>实验废水</w:t>
                  </w:r>
                  <w:r>
                    <w:rPr>
                      <w:rFonts w:hint="eastAsia" w:cs="宋体"/>
                      <w:b w:val="0"/>
                      <w:bCs w:val="0"/>
                      <w:color w:val="auto"/>
                      <w:kern w:val="0"/>
                      <w:sz w:val="21"/>
                      <w:szCs w:val="21"/>
                      <w:lang w:val="en-US" w:eastAsia="zh-CN"/>
                    </w:rPr>
                    <w:t>中和收集桶</w:t>
                  </w:r>
                  <w:r>
                    <w:rPr>
                      <w:rFonts w:hint="eastAsia" w:cs="宋体"/>
                      <w:b w:val="0"/>
                      <w:bCs w:val="0"/>
                      <w:color w:val="auto"/>
                      <w:kern w:val="0"/>
                      <w:sz w:val="21"/>
                      <w:szCs w:val="21"/>
                    </w:rPr>
                    <w:t>沉渣</w:t>
                  </w:r>
                </w:p>
              </w:tc>
              <w:tc>
                <w:tcPr>
                  <w:tcW w:w="343" w:type="pct"/>
                  <w:vAlign w:val="center"/>
                </w:tcPr>
                <w:p w14:paraId="477D0263">
                  <w:pPr>
                    <w:keepNext w:val="0"/>
                    <w:keepLines w:val="0"/>
                    <w:suppressLineNumbers w:val="0"/>
                    <w:spacing w:before="0" w:beforeAutospacing="0" w:after="0" w:afterAutospacing="0" w:line="240" w:lineRule="exact"/>
                    <w:ind w:left="0" w:right="0"/>
                    <w:jc w:val="center"/>
                    <w:rPr>
                      <w:rFonts w:hint="default" w:eastAsiaTheme="minorEastAsia"/>
                      <w:b w:val="0"/>
                      <w:bCs w:val="0"/>
                      <w:color w:val="auto"/>
                      <w:kern w:val="0"/>
                      <w:sz w:val="21"/>
                      <w:szCs w:val="21"/>
                    </w:rPr>
                  </w:pPr>
                  <w:r>
                    <w:rPr>
                      <w:rFonts w:hint="default"/>
                      <w:b w:val="0"/>
                      <w:bCs w:val="0"/>
                      <w:color w:val="auto"/>
                      <w:kern w:val="0"/>
                      <w:sz w:val="21"/>
                      <w:szCs w:val="21"/>
                    </w:rPr>
                    <w:t>HW49</w:t>
                  </w:r>
                </w:p>
              </w:tc>
              <w:tc>
                <w:tcPr>
                  <w:tcW w:w="523" w:type="pct"/>
                  <w:vAlign w:val="center"/>
                </w:tcPr>
                <w:p w14:paraId="5F7CD87C">
                  <w:pPr>
                    <w:keepNext w:val="0"/>
                    <w:keepLines w:val="0"/>
                    <w:suppressLineNumbers w:val="0"/>
                    <w:spacing w:before="0" w:beforeAutospacing="0" w:after="0" w:afterAutospacing="0" w:line="240" w:lineRule="exact"/>
                    <w:ind w:left="0" w:right="0"/>
                    <w:jc w:val="center"/>
                    <w:rPr>
                      <w:rFonts w:hint="default" w:eastAsiaTheme="minorEastAsia"/>
                      <w:b w:val="0"/>
                      <w:bCs w:val="0"/>
                      <w:color w:val="auto"/>
                      <w:kern w:val="0"/>
                      <w:sz w:val="21"/>
                      <w:szCs w:val="21"/>
                    </w:rPr>
                  </w:pPr>
                  <w:r>
                    <w:rPr>
                      <w:rFonts w:hint="default"/>
                      <w:b w:val="0"/>
                      <w:bCs w:val="0"/>
                      <w:color w:val="auto"/>
                      <w:kern w:val="0"/>
                      <w:sz w:val="21"/>
                      <w:szCs w:val="21"/>
                    </w:rPr>
                    <w:t>900-047-49</w:t>
                  </w:r>
                </w:p>
              </w:tc>
              <w:tc>
                <w:tcPr>
                  <w:tcW w:w="441" w:type="pct"/>
                  <w:vAlign w:val="center"/>
                </w:tcPr>
                <w:p w14:paraId="5959BB3C">
                  <w:pPr>
                    <w:keepNext w:val="0"/>
                    <w:keepLines w:val="0"/>
                    <w:suppressLineNumbers w:val="0"/>
                    <w:spacing w:before="0" w:beforeAutospacing="0" w:after="0" w:afterAutospacing="0" w:line="240" w:lineRule="exact"/>
                    <w:ind w:left="0" w:right="0"/>
                    <w:jc w:val="center"/>
                    <w:rPr>
                      <w:rFonts w:hint="default" w:eastAsiaTheme="minorEastAsia"/>
                      <w:b w:val="0"/>
                      <w:bCs w:val="0"/>
                      <w:color w:val="auto"/>
                      <w:kern w:val="0"/>
                      <w:sz w:val="21"/>
                      <w:szCs w:val="21"/>
                    </w:rPr>
                  </w:pPr>
                  <w:r>
                    <w:rPr>
                      <w:rFonts w:hint="default"/>
                      <w:b w:val="0"/>
                      <w:bCs w:val="0"/>
                      <w:color w:val="auto"/>
                      <w:kern w:val="0"/>
                      <w:sz w:val="21"/>
                      <w:szCs w:val="21"/>
                    </w:rPr>
                    <w:t>0.05</w:t>
                  </w:r>
                </w:p>
              </w:tc>
              <w:tc>
                <w:tcPr>
                  <w:tcW w:w="501" w:type="pct"/>
                  <w:vAlign w:val="center"/>
                </w:tcPr>
                <w:p w14:paraId="6FDFDE55">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lang w:val="en-US" w:eastAsia="zh-CN"/>
                    </w:rPr>
                  </w:pPr>
                  <w:r>
                    <w:rPr>
                      <w:rFonts w:hint="eastAsia" w:eastAsiaTheme="minorEastAsia"/>
                      <w:b w:val="0"/>
                      <w:bCs w:val="0"/>
                      <w:color w:val="auto"/>
                      <w:kern w:val="0"/>
                      <w:sz w:val="21"/>
                      <w:szCs w:val="21"/>
                      <w:lang w:val="en-US" w:eastAsia="zh-CN"/>
                    </w:rPr>
                    <w:t>废水处理</w:t>
                  </w:r>
                </w:p>
              </w:tc>
              <w:tc>
                <w:tcPr>
                  <w:tcW w:w="382" w:type="pct"/>
                  <w:vAlign w:val="center"/>
                </w:tcPr>
                <w:p w14:paraId="4056EBCC">
                  <w:pPr>
                    <w:keepNext w:val="0"/>
                    <w:keepLines w:val="0"/>
                    <w:suppressLineNumbers w:val="0"/>
                    <w:adjustRightInd w:val="0"/>
                    <w:snapToGrid w:val="0"/>
                    <w:spacing w:before="0" w:beforeAutospacing="0" w:after="0" w:afterAutospacing="0"/>
                    <w:ind w:left="0" w:right="0"/>
                    <w:jc w:val="center"/>
                    <w:rPr>
                      <w:rFonts w:hint="default" w:eastAsiaTheme="minorEastAsia"/>
                      <w:b w:val="0"/>
                      <w:bCs w:val="0"/>
                      <w:color w:val="auto"/>
                      <w:kern w:val="0"/>
                      <w:sz w:val="21"/>
                      <w:szCs w:val="21"/>
                    </w:rPr>
                  </w:pPr>
                  <w:r>
                    <w:rPr>
                      <w:rFonts w:hint="eastAsia" w:eastAsiaTheme="minorEastAsia"/>
                      <w:b w:val="0"/>
                      <w:bCs w:val="0"/>
                      <w:color w:val="auto"/>
                      <w:kern w:val="0"/>
                      <w:sz w:val="21"/>
                      <w:szCs w:val="21"/>
                      <w:lang w:val="en-US" w:eastAsia="zh-CN"/>
                    </w:rPr>
                    <w:t>液体</w:t>
                  </w:r>
                </w:p>
              </w:tc>
              <w:tc>
                <w:tcPr>
                  <w:tcW w:w="440" w:type="pct"/>
                  <w:vAlign w:val="center"/>
                </w:tcPr>
                <w:p w14:paraId="577796B0">
                  <w:pPr>
                    <w:keepNext w:val="0"/>
                    <w:keepLines w:val="0"/>
                    <w:suppressLineNumbers w:val="0"/>
                    <w:spacing w:before="0" w:beforeAutospacing="0" w:after="0" w:afterAutospacing="0" w:line="240" w:lineRule="exact"/>
                    <w:ind w:left="0" w:right="0"/>
                    <w:jc w:val="center"/>
                    <w:rPr>
                      <w:rFonts w:hint="default" w:eastAsia="宋体"/>
                      <w:b w:val="0"/>
                      <w:bCs w:val="0"/>
                      <w:color w:val="auto"/>
                      <w:kern w:val="0"/>
                      <w:sz w:val="21"/>
                      <w:szCs w:val="21"/>
                      <w:lang w:val="en-US" w:eastAsia="zh-CN"/>
                    </w:rPr>
                  </w:pPr>
                  <w:r>
                    <w:rPr>
                      <w:rFonts w:hint="eastAsia" w:cs="宋体"/>
                      <w:b w:val="0"/>
                      <w:bCs w:val="0"/>
                      <w:color w:val="auto"/>
                      <w:kern w:val="0"/>
                      <w:sz w:val="21"/>
                      <w:szCs w:val="21"/>
                    </w:rPr>
                    <w:t>废酸碱、有机溶剂</w:t>
                  </w:r>
                  <w:r>
                    <w:rPr>
                      <w:rFonts w:hint="eastAsia" w:cs="宋体"/>
                      <w:b w:val="0"/>
                      <w:bCs w:val="0"/>
                      <w:color w:val="auto"/>
                      <w:kern w:val="0"/>
                      <w:sz w:val="21"/>
                      <w:szCs w:val="21"/>
                      <w:lang w:eastAsia="zh-CN"/>
                    </w:rPr>
                    <w:t>、</w:t>
                  </w:r>
                  <w:r>
                    <w:rPr>
                      <w:rFonts w:hint="eastAsia" w:cs="宋体"/>
                      <w:b w:val="0"/>
                      <w:bCs w:val="0"/>
                      <w:color w:val="auto"/>
                      <w:kern w:val="0"/>
                      <w:sz w:val="21"/>
                      <w:szCs w:val="21"/>
                      <w:lang w:val="en-US" w:eastAsia="zh-CN"/>
                    </w:rPr>
                    <w:t>重金属</w:t>
                  </w:r>
                </w:p>
              </w:tc>
              <w:tc>
                <w:tcPr>
                  <w:tcW w:w="346" w:type="pct"/>
                  <w:vAlign w:val="center"/>
                </w:tcPr>
                <w:p w14:paraId="475D96AD">
                  <w:pPr>
                    <w:keepNext w:val="0"/>
                    <w:keepLines w:val="0"/>
                    <w:suppressLineNumbers w:val="0"/>
                    <w:spacing w:before="0" w:beforeAutospacing="0" w:after="0" w:afterAutospacing="0" w:line="240" w:lineRule="exact"/>
                    <w:ind w:left="0" w:right="0"/>
                    <w:jc w:val="center"/>
                    <w:rPr>
                      <w:rFonts w:hint="default" w:eastAsiaTheme="minorEastAsia"/>
                      <w:b w:val="0"/>
                      <w:bCs w:val="0"/>
                      <w:color w:val="auto"/>
                      <w:kern w:val="0"/>
                      <w:sz w:val="21"/>
                      <w:szCs w:val="21"/>
                    </w:rPr>
                  </w:pPr>
                  <w:r>
                    <w:rPr>
                      <w:rFonts w:hint="default" w:eastAsiaTheme="minorEastAsia"/>
                      <w:b w:val="0"/>
                      <w:bCs w:val="0"/>
                      <w:color w:val="auto"/>
                      <w:kern w:val="0"/>
                      <w:sz w:val="21"/>
                      <w:szCs w:val="21"/>
                    </w:rPr>
                    <w:t>间断</w:t>
                  </w:r>
                </w:p>
              </w:tc>
              <w:tc>
                <w:tcPr>
                  <w:tcW w:w="342" w:type="pct"/>
                  <w:vAlign w:val="center"/>
                </w:tcPr>
                <w:p w14:paraId="7D18ACC0">
                  <w:pPr>
                    <w:keepNext w:val="0"/>
                    <w:keepLines w:val="0"/>
                    <w:suppressLineNumbers w:val="0"/>
                    <w:spacing w:before="0" w:beforeAutospacing="0" w:after="0" w:afterAutospacing="0" w:line="240" w:lineRule="exact"/>
                    <w:ind w:left="0" w:right="0"/>
                    <w:jc w:val="center"/>
                    <w:rPr>
                      <w:rFonts w:hint="default" w:eastAsiaTheme="minorEastAsia"/>
                      <w:b w:val="0"/>
                      <w:bCs w:val="0"/>
                      <w:color w:val="auto"/>
                      <w:kern w:val="0"/>
                      <w:sz w:val="21"/>
                      <w:szCs w:val="21"/>
                    </w:rPr>
                  </w:pPr>
                  <w:r>
                    <w:rPr>
                      <w:rFonts w:hint="default"/>
                      <w:b w:val="0"/>
                      <w:bCs w:val="0"/>
                      <w:color w:val="auto"/>
                      <w:kern w:val="0"/>
                      <w:sz w:val="21"/>
                      <w:szCs w:val="21"/>
                    </w:rPr>
                    <w:t>T/C/I/R</w:t>
                  </w:r>
                </w:p>
              </w:tc>
              <w:tc>
                <w:tcPr>
                  <w:tcW w:w="854" w:type="pct"/>
                  <w:vMerge w:val="continue"/>
                  <w:vAlign w:val="center"/>
                </w:tcPr>
                <w:p w14:paraId="5942B520">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r>
          </w:tbl>
          <w:p w14:paraId="2D94D5B3">
            <w:pPr>
              <w:keepNext w:val="0"/>
              <w:keepLines w:val="0"/>
              <w:widowControl/>
              <w:suppressLineNumbers w:val="0"/>
              <w:spacing w:before="0" w:beforeAutospacing="0" w:after="0" w:afterAutospacing="0" w:line="360" w:lineRule="auto"/>
              <w:ind w:left="0" w:right="0" w:firstLine="480" w:firstLineChars="200"/>
              <w:jc w:val="left"/>
              <w:rPr>
                <w:rFonts w:hint="default" w:eastAsiaTheme="minorEastAsia"/>
                <w:color w:val="auto"/>
                <w:kern w:val="0"/>
                <w:sz w:val="24"/>
              </w:rPr>
            </w:pPr>
            <w:r>
              <w:rPr>
                <w:rFonts w:hint="default"/>
                <w:color w:val="auto"/>
                <w:kern w:val="0"/>
                <w:sz w:val="24"/>
                <w:lang w:bidi="ar"/>
              </w:rPr>
              <w:t>注：危险特性T为毒性、C为腐蚀性、I为易燃性、R为反应性</w:t>
            </w:r>
          </w:p>
        </w:tc>
      </w:tr>
    </w:tbl>
    <w:p w14:paraId="569CADCF">
      <w:pPr>
        <w:pStyle w:val="15"/>
        <w:jc w:val="center"/>
        <w:outlineLvl w:val="0"/>
        <w:rPr>
          <w:rFonts w:ascii="Times New Roman" w:hAnsi="Times New Roman" w:eastAsia="黑体"/>
          <w:snapToGrid w:val="0"/>
          <w:color w:val="auto"/>
          <w:sz w:val="30"/>
          <w:szCs w:val="30"/>
        </w:rPr>
        <w:sectPr>
          <w:pgSz w:w="16838" w:h="11906" w:orient="landscape"/>
          <w:pgMar w:top="1531" w:right="1701" w:bottom="1531" w:left="1701" w:header="851" w:footer="851" w:gutter="0"/>
          <w:pgNumType w:fmt="decimal"/>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385"/>
      </w:tblGrid>
      <w:tr w14:paraId="3148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9889D70">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eastAsia"/>
                <w:bCs/>
                <w:color w:val="auto"/>
                <w:szCs w:val="21"/>
                <w:lang w:val="en-US" w:eastAsia="zh-CN"/>
              </w:rPr>
              <w:t>运</w:t>
            </w:r>
            <w:r>
              <w:rPr>
                <w:rFonts w:hint="default"/>
                <w:bCs/>
                <w:color w:val="auto"/>
                <w:szCs w:val="21"/>
              </w:rPr>
              <w:t>营</w:t>
            </w:r>
          </w:p>
          <w:p w14:paraId="3C23634E">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期环</w:t>
            </w:r>
          </w:p>
          <w:p w14:paraId="32D2341C">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境影</w:t>
            </w:r>
          </w:p>
          <w:p w14:paraId="28DB87CA">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响和</w:t>
            </w:r>
          </w:p>
          <w:p w14:paraId="1FE12A5C">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保护</w:t>
            </w:r>
          </w:p>
          <w:p w14:paraId="2F45613C">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kern w:val="0"/>
                <w:sz w:val="24"/>
              </w:rPr>
            </w:pPr>
            <w:r>
              <w:rPr>
                <w:rFonts w:hint="default"/>
                <w:bCs/>
                <w:color w:val="auto"/>
                <w:szCs w:val="21"/>
              </w:rPr>
              <w:t>措施</w:t>
            </w:r>
          </w:p>
        </w:tc>
        <w:tc>
          <w:tcPr>
            <w:tcW w:w="8385" w:type="dxa"/>
          </w:tcPr>
          <w:p w14:paraId="12C94702">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highlight w:val="none"/>
              </w:rPr>
            </w:pPr>
            <w:r>
              <w:rPr>
                <w:rFonts w:hint="default"/>
                <w:b/>
                <w:color w:val="auto"/>
                <w:kern w:val="0"/>
                <w:sz w:val="24"/>
                <w:highlight w:val="none"/>
              </w:rPr>
              <w:t>4.2</w:t>
            </w:r>
            <w:r>
              <w:rPr>
                <w:rFonts w:hint="eastAsia" w:ascii="Times New Roman" w:hAnsi="Times New Roman" w:eastAsia="宋体" w:cs="Times New Roman"/>
                <w:b/>
                <w:bCs/>
                <w:color w:val="auto"/>
                <w:kern w:val="2"/>
                <w:sz w:val="24"/>
                <w:szCs w:val="24"/>
                <w:highlight w:val="none"/>
                <w:lang w:val="en-US" w:eastAsia="zh-CN" w:bidi="ar"/>
              </w:rPr>
              <w:t>固废污染防治措施</w:t>
            </w:r>
          </w:p>
          <w:p w14:paraId="5CE3BB71">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b/>
                <w:bCs/>
                <w:color w:val="auto"/>
                <w:kern w:val="0"/>
                <w:sz w:val="24"/>
                <w:szCs w:val="24"/>
                <w:highlight w:val="none"/>
                <w:lang w:val="en-US"/>
              </w:rPr>
            </w:pPr>
            <w:r>
              <w:rPr>
                <w:rFonts w:hint="eastAsia" w:cs="Times New Roman"/>
                <w:b/>
                <w:bCs/>
                <w:color w:val="auto"/>
                <w:kern w:val="0"/>
                <w:sz w:val="24"/>
                <w:szCs w:val="24"/>
                <w:highlight w:val="none"/>
                <w:lang w:val="en-US" w:eastAsia="zh-CN" w:bidi="ar"/>
              </w:rPr>
              <w:t>（1）</w:t>
            </w:r>
            <w:r>
              <w:rPr>
                <w:rFonts w:hint="eastAsia" w:ascii="Times New Roman" w:hAnsi="Times New Roman" w:eastAsia="宋体" w:cs="宋体"/>
                <w:b/>
                <w:bCs/>
                <w:color w:val="auto"/>
                <w:kern w:val="0"/>
                <w:sz w:val="24"/>
                <w:szCs w:val="24"/>
                <w:highlight w:val="none"/>
                <w:lang w:val="en-US" w:eastAsia="zh-CN" w:bidi="ar"/>
              </w:rPr>
              <w:t>生活垃圾</w:t>
            </w:r>
          </w:p>
          <w:p w14:paraId="5DC6AA8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eastAsia" w:ascii="Times New Roman" w:hAnsi="Times New Roman" w:eastAsia="宋体" w:cs="宋体"/>
                <w:color w:val="auto"/>
                <w:kern w:val="0"/>
                <w:sz w:val="24"/>
                <w:szCs w:val="24"/>
                <w:highlight w:val="none"/>
                <w:lang w:val="en-US" w:eastAsia="zh-CN" w:bidi="ar"/>
              </w:rPr>
              <w:t>本项目产生的生活垃圾统一收集于垃圾桶中，委托环卫部门统一清运处置。办公生活垃圾得到妥善处置，对周围环境的影响较小。</w:t>
            </w:r>
          </w:p>
          <w:p w14:paraId="41CEB84C">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b/>
                <w:bCs/>
                <w:color w:val="auto"/>
                <w:kern w:val="0"/>
                <w:sz w:val="24"/>
                <w:szCs w:val="24"/>
                <w:highlight w:val="none"/>
                <w:lang w:val="en-US"/>
              </w:rPr>
            </w:pPr>
            <w:r>
              <w:rPr>
                <w:rFonts w:hint="eastAsia" w:cs="Times New Roman"/>
                <w:b/>
                <w:bCs/>
                <w:color w:val="auto"/>
                <w:kern w:val="0"/>
                <w:sz w:val="24"/>
                <w:szCs w:val="24"/>
                <w:highlight w:val="none"/>
                <w:lang w:val="en-US" w:eastAsia="zh-CN" w:bidi="ar"/>
              </w:rPr>
              <w:t>（2）</w:t>
            </w:r>
            <w:r>
              <w:rPr>
                <w:rFonts w:hint="eastAsia" w:ascii="Times New Roman" w:hAnsi="Times New Roman" w:eastAsia="宋体" w:cs="宋体"/>
                <w:b/>
                <w:bCs/>
                <w:color w:val="auto"/>
                <w:kern w:val="0"/>
                <w:sz w:val="24"/>
                <w:szCs w:val="24"/>
                <w:highlight w:val="none"/>
                <w:lang w:val="en-US" w:eastAsia="zh-CN" w:bidi="ar"/>
              </w:rPr>
              <w:t>实验室一般固废</w:t>
            </w:r>
          </w:p>
          <w:p w14:paraId="12F78CA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eastAsia" w:ascii="Times New Roman" w:hAnsi="Times New Roman" w:eastAsia="宋体" w:cs="宋体"/>
                <w:color w:val="auto"/>
                <w:kern w:val="0"/>
                <w:sz w:val="24"/>
                <w:szCs w:val="24"/>
                <w:highlight w:val="none"/>
                <w:lang w:val="en-US" w:eastAsia="zh-CN" w:bidi="ar"/>
              </w:rPr>
              <w:t>本项目实验室一般固废分为</w:t>
            </w:r>
            <w:r>
              <w:rPr>
                <w:rFonts w:hint="eastAsia" w:cs="宋体"/>
                <w:color w:val="auto"/>
                <w:kern w:val="0"/>
                <w:sz w:val="24"/>
                <w:szCs w:val="24"/>
                <w:highlight w:val="none"/>
                <w:lang w:val="en-US" w:eastAsia="zh-CN" w:bidi="ar"/>
              </w:rPr>
              <w:t>检测废料、沉淀池污泥、废滤芯及废过滤膜</w:t>
            </w:r>
            <w:r>
              <w:rPr>
                <w:rFonts w:hint="eastAsia" w:ascii="Times New Roman" w:hAnsi="Times New Roman" w:eastAsia="宋体" w:cs="宋体"/>
                <w:color w:val="auto"/>
                <w:kern w:val="0"/>
                <w:sz w:val="24"/>
                <w:szCs w:val="24"/>
                <w:highlight w:val="none"/>
                <w:lang w:val="en-US" w:eastAsia="zh-CN" w:bidi="ar"/>
              </w:rPr>
              <w:t>，经分类收集，分类处理</w:t>
            </w:r>
            <w:r>
              <w:rPr>
                <w:rFonts w:hint="eastAsia" w:cs="宋体"/>
                <w:color w:val="auto"/>
                <w:kern w:val="0"/>
                <w:sz w:val="24"/>
                <w:szCs w:val="24"/>
                <w:highlight w:val="none"/>
                <w:lang w:val="en-US" w:eastAsia="zh-CN" w:bidi="ar"/>
              </w:rPr>
              <w:t>。检测废料</w:t>
            </w:r>
            <w:r>
              <w:rPr>
                <w:rFonts w:hint="eastAsia" w:ascii="Times New Roman" w:hAnsi="Times New Roman" w:eastAsia="宋体" w:cs="宋体"/>
                <w:color w:val="auto"/>
                <w:kern w:val="0"/>
                <w:sz w:val="24"/>
                <w:szCs w:val="24"/>
                <w:highlight w:val="none"/>
                <w:lang w:val="en-US" w:eastAsia="zh-CN" w:bidi="ar"/>
              </w:rPr>
              <w:t>可回收部分卖给废品收购站进行回收利用，不可回收部分</w:t>
            </w:r>
            <w:r>
              <w:rPr>
                <w:rFonts w:hint="eastAsia" w:cs="宋体"/>
                <w:color w:val="auto"/>
                <w:kern w:val="0"/>
                <w:sz w:val="24"/>
                <w:szCs w:val="24"/>
                <w:highlight w:val="none"/>
                <w:lang w:val="en-US" w:eastAsia="zh-CN" w:bidi="ar"/>
              </w:rPr>
              <w:t>定期委托相关单位清运处置；沉淀池污泥定期清掏，委托环卫部门清运处置</w:t>
            </w:r>
            <w:r>
              <w:rPr>
                <w:rFonts w:hint="eastAsia" w:ascii="Times New Roman" w:hAnsi="Times New Roman" w:eastAsia="宋体" w:cs="宋体"/>
                <w:color w:val="auto"/>
                <w:kern w:val="0"/>
                <w:sz w:val="24"/>
                <w:szCs w:val="24"/>
                <w:highlight w:val="none"/>
                <w:lang w:val="en-US" w:eastAsia="zh-CN" w:bidi="ar"/>
              </w:rPr>
              <w:t>；</w:t>
            </w:r>
            <w:r>
              <w:rPr>
                <w:rFonts w:hint="eastAsia" w:cs="宋体"/>
                <w:color w:val="auto"/>
                <w:kern w:val="0"/>
                <w:sz w:val="24"/>
                <w:szCs w:val="24"/>
                <w:highlight w:val="none"/>
                <w:lang w:val="en-US" w:eastAsia="zh-CN" w:bidi="ar"/>
              </w:rPr>
              <w:t>废滤芯及废过滤膜</w:t>
            </w:r>
            <w:r>
              <w:rPr>
                <w:rFonts w:hint="eastAsia" w:ascii="Times New Roman" w:hAnsi="Times New Roman" w:eastAsia="宋体" w:cs="宋体"/>
                <w:color w:val="auto"/>
                <w:kern w:val="0"/>
                <w:sz w:val="24"/>
                <w:szCs w:val="24"/>
                <w:highlight w:val="none"/>
                <w:lang w:val="en-US" w:eastAsia="zh-CN" w:bidi="ar"/>
              </w:rPr>
              <w:t>定期更换，同生活垃圾一起处理。对环境影响较小。</w:t>
            </w:r>
          </w:p>
          <w:p w14:paraId="7969B474">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b/>
                <w:bCs/>
                <w:color w:val="auto"/>
                <w:kern w:val="0"/>
                <w:sz w:val="24"/>
                <w:szCs w:val="24"/>
                <w:highlight w:val="none"/>
                <w:lang w:val="en-US"/>
              </w:rPr>
            </w:pPr>
            <w:r>
              <w:rPr>
                <w:rFonts w:hint="eastAsia" w:ascii="宋体" w:hAnsi="宋体" w:cs="宋体"/>
                <w:b/>
                <w:bCs/>
                <w:color w:val="auto"/>
                <w:kern w:val="0"/>
                <w:sz w:val="24"/>
                <w:szCs w:val="24"/>
                <w:highlight w:val="none"/>
                <w:lang w:val="en-US" w:eastAsia="zh-CN" w:bidi="ar"/>
              </w:rPr>
              <w:t>（3）</w:t>
            </w:r>
            <w:r>
              <w:rPr>
                <w:rFonts w:hint="eastAsia" w:ascii="Times New Roman" w:hAnsi="Times New Roman" w:eastAsia="宋体" w:cs="宋体"/>
                <w:b/>
                <w:bCs/>
                <w:color w:val="auto"/>
                <w:kern w:val="0"/>
                <w:sz w:val="24"/>
                <w:szCs w:val="24"/>
                <w:highlight w:val="none"/>
                <w:lang w:val="en-US" w:eastAsia="zh-CN" w:bidi="ar"/>
              </w:rPr>
              <w:t>危险废物</w:t>
            </w:r>
          </w:p>
          <w:p w14:paraId="334C1F29">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eastAsia" w:ascii="Times New Roman" w:hAnsi="Times New Roman" w:eastAsia="宋体" w:cs="宋体"/>
                <w:color w:val="auto"/>
                <w:kern w:val="0"/>
                <w:sz w:val="24"/>
                <w:szCs w:val="24"/>
                <w:highlight w:val="none"/>
                <w:lang w:val="en-US" w:eastAsia="zh-CN" w:bidi="ar"/>
              </w:rPr>
              <w:t>本项目产生的危险废物主要有报废化学试剂、化学试剂包装物，实验废液（废酸碱、重金属废液、有机废液、第一、二次器皿清洗废水</w:t>
            </w:r>
            <w:r>
              <w:rPr>
                <w:rFonts w:hint="eastAsia" w:cs="宋体"/>
                <w:color w:val="auto"/>
                <w:kern w:val="0"/>
                <w:sz w:val="24"/>
                <w:szCs w:val="24"/>
                <w:highlight w:val="none"/>
                <w:lang w:val="en-US" w:eastAsia="zh-CN" w:bidi="ar"/>
              </w:rPr>
              <w:t>）</w:t>
            </w:r>
            <w:r>
              <w:rPr>
                <w:rFonts w:hint="eastAsia" w:ascii="Times New Roman" w:hAnsi="Times New Roman" w:eastAsia="宋体" w:cs="宋体"/>
                <w:color w:val="auto"/>
                <w:kern w:val="0"/>
                <w:sz w:val="24"/>
                <w:szCs w:val="24"/>
                <w:highlight w:val="none"/>
                <w:lang w:val="en-US" w:eastAsia="zh-CN" w:bidi="ar"/>
              </w:rPr>
              <w:t>，废活性炭，</w:t>
            </w:r>
            <w:r>
              <w:rPr>
                <w:rFonts w:hint="eastAsia" w:cs="宋体"/>
                <w:color w:val="auto"/>
                <w:kern w:val="0"/>
                <w:sz w:val="24"/>
                <w:szCs w:val="24"/>
                <w:highlight w:val="none"/>
                <w:lang w:val="en-US" w:eastAsia="zh-CN" w:bidi="ar"/>
              </w:rPr>
              <w:t>废沥青</w:t>
            </w:r>
            <w:r>
              <w:rPr>
                <w:rFonts w:hint="eastAsia" w:ascii="Times New Roman" w:hAnsi="Times New Roman" w:eastAsia="宋体" w:cs="宋体"/>
                <w:color w:val="auto"/>
                <w:kern w:val="0"/>
                <w:sz w:val="24"/>
                <w:szCs w:val="24"/>
                <w:highlight w:val="none"/>
                <w:lang w:val="en-US" w:eastAsia="zh-CN" w:bidi="ar"/>
              </w:rPr>
              <w:t>，</w:t>
            </w:r>
            <w:r>
              <w:rPr>
                <w:rFonts w:hint="eastAsia" w:cs="宋体"/>
                <w:color w:val="auto"/>
                <w:kern w:val="0"/>
                <w:sz w:val="24"/>
                <w:szCs w:val="24"/>
                <w:highlight w:val="none"/>
                <w:lang w:val="en-US" w:eastAsia="zh-CN" w:bidi="ar"/>
              </w:rPr>
              <w:t>废沥青清洗剂，废水中和收集桶</w:t>
            </w:r>
            <w:r>
              <w:rPr>
                <w:rFonts w:hint="eastAsia" w:ascii="Times New Roman" w:hAnsi="Times New Roman" w:eastAsia="宋体" w:cs="宋体"/>
                <w:color w:val="auto"/>
                <w:kern w:val="0"/>
                <w:sz w:val="24"/>
                <w:szCs w:val="24"/>
                <w:highlight w:val="none"/>
                <w:lang w:val="en-US" w:eastAsia="zh-CN" w:bidi="ar"/>
              </w:rPr>
              <w:t>沉渣等。产生的危险废物暂存于危废暂存间内，定期委托有资质单位清运处理。</w:t>
            </w:r>
          </w:p>
          <w:p w14:paraId="04C39DF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eastAsia" w:ascii="Times New Roman" w:hAnsi="Times New Roman" w:eastAsia="宋体" w:cs="宋体"/>
                <w:color w:val="auto"/>
                <w:kern w:val="0"/>
                <w:sz w:val="24"/>
                <w:szCs w:val="24"/>
                <w:highlight w:val="none"/>
                <w:lang w:val="en-US" w:eastAsia="zh-CN" w:bidi="ar"/>
              </w:rPr>
              <w:t>危险废物外运时需要严格按照《危险废物转移联单管理办法》的相关规定报批危险废物转移计划，应做到不沿途抛洒。在转移行为发生时应执行危险废物转移联单制度。危险废物产生者和危险废物贮存设施均须如实做好危险废物情况的记录，转入及转出记录上须注明危险废物的名称、种类、来源、数量、特性和包装容器的类别、入库日期、存放入库、负责人、废物出库日期及接收单位名称。建立危险废物的记录台账并悬挂于危废暂存间内，危废台账和货单应保留五年。</w:t>
            </w:r>
          </w:p>
          <w:p w14:paraId="7A9942C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eastAsia" w:ascii="Times New Roman" w:hAnsi="Times New Roman" w:eastAsia="宋体" w:cs="宋体"/>
                <w:color w:val="auto"/>
                <w:kern w:val="0"/>
                <w:sz w:val="24"/>
                <w:szCs w:val="24"/>
                <w:highlight w:val="none"/>
                <w:lang w:val="en-US" w:eastAsia="zh-CN" w:bidi="ar"/>
              </w:rPr>
              <w:t>综上所述，</w:t>
            </w:r>
            <w:r>
              <w:rPr>
                <w:rFonts w:hint="eastAsia" w:cs="宋体"/>
                <w:color w:val="auto"/>
                <w:kern w:val="0"/>
                <w:sz w:val="24"/>
                <w:szCs w:val="24"/>
                <w:highlight w:val="none"/>
                <w:lang w:val="en-US" w:eastAsia="zh-CN" w:bidi="ar"/>
              </w:rPr>
              <w:t>项</w:t>
            </w:r>
            <w:r>
              <w:rPr>
                <w:rFonts w:hint="eastAsia" w:ascii="Times New Roman" w:hAnsi="Times New Roman" w:eastAsia="宋体" w:cs="宋体"/>
                <w:color w:val="auto"/>
                <w:kern w:val="0"/>
                <w:sz w:val="24"/>
                <w:szCs w:val="24"/>
                <w:highlight w:val="none"/>
                <w:lang w:val="en-US" w:eastAsia="zh-CN" w:bidi="ar"/>
              </w:rPr>
              <w:t>目固体废弃物全部得到妥善处置。从环保角度考虑固体废弃物防止措施可行，对周边环境影响较小。</w:t>
            </w:r>
          </w:p>
          <w:p w14:paraId="0277C6E0">
            <w:pPr>
              <w:keepNext w:val="0"/>
              <w:keepLines w:val="0"/>
              <w:widowControl w:val="0"/>
              <w:suppressLineNumbers w:val="0"/>
              <w:adjustRightInd w:val="0"/>
              <w:snapToGrid w:val="0"/>
              <w:spacing w:before="120" w:beforeLines="50" w:beforeAutospacing="0" w:after="0" w:afterAutospacing="0" w:line="360" w:lineRule="auto"/>
              <w:ind w:left="0" w:right="0" w:firstLine="482" w:firstLineChars="200"/>
              <w:jc w:val="both"/>
              <w:rPr>
                <w:rFonts w:hint="default"/>
                <w:b/>
                <w:bCs/>
                <w:color w:val="auto"/>
                <w:sz w:val="24"/>
                <w:szCs w:val="24"/>
                <w:highlight w:val="none"/>
                <w:lang w:val="en-US"/>
              </w:rPr>
            </w:pPr>
            <w:r>
              <w:rPr>
                <w:rFonts w:hint="eastAsia" w:ascii="Times New Roman" w:hAnsi="Times New Roman" w:eastAsia="宋体" w:cs="宋体"/>
                <w:b/>
                <w:bCs/>
                <w:color w:val="auto"/>
                <w:kern w:val="2"/>
                <w:sz w:val="24"/>
                <w:szCs w:val="24"/>
                <w:highlight w:val="none"/>
                <w:lang w:val="en-US" w:eastAsia="zh-CN" w:bidi="ar"/>
              </w:rPr>
              <w:t>（</w:t>
            </w:r>
            <w:r>
              <w:rPr>
                <w:rFonts w:hint="default" w:ascii="Times New Roman" w:hAnsi="Times New Roman" w:eastAsia="宋体" w:cs="Times New Roman"/>
                <w:b/>
                <w:bCs/>
                <w:color w:val="auto"/>
                <w:kern w:val="2"/>
                <w:sz w:val="24"/>
                <w:szCs w:val="24"/>
                <w:highlight w:val="none"/>
                <w:lang w:val="en-US" w:eastAsia="zh-CN" w:bidi="ar"/>
              </w:rPr>
              <w:t>3</w:t>
            </w:r>
            <w:r>
              <w:rPr>
                <w:rFonts w:hint="eastAsia" w:ascii="Times New Roman" w:hAnsi="Times New Roman" w:eastAsia="宋体" w:cs="宋体"/>
                <w:b/>
                <w:bCs/>
                <w:color w:val="auto"/>
                <w:kern w:val="2"/>
                <w:sz w:val="24"/>
                <w:szCs w:val="24"/>
                <w:highlight w:val="none"/>
                <w:lang w:val="en-US" w:eastAsia="zh-CN" w:bidi="ar"/>
              </w:rPr>
              <w:t>）环境管理要求</w:t>
            </w:r>
          </w:p>
          <w:p w14:paraId="21B6ACF6">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eastAsia" w:ascii="Times New Roman" w:hAnsi="Times New Roman" w:eastAsia="宋体" w:cs="宋体"/>
                <w:color w:val="auto"/>
                <w:kern w:val="0"/>
                <w:sz w:val="24"/>
                <w:szCs w:val="24"/>
                <w:highlight w:val="none"/>
                <w:lang w:val="en-US" w:eastAsia="zh-CN" w:bidi="ar"/>
              </w:rPr>
              <w:t>根据《危险废物贮存污染控制标准》（</w:t>
            </w:r>
            <w:r>
              <w:rPr>
                <w:rFonts w:hint="default" w:ascii="Times New Roman" w:hAnsi="Times New Roman" w:eastAsia="宋体" w:cs="Times New Roman"/>
                <w:color w:val="auto"/>
                <w:kern w:val="0"/>
                <w:sz w:val="24"/>
                <w:szCs w:val="24"/>
                <w:highlight w:val="none"/>
                <w:lang w:val="en-US" w:eastAsia="zh-CN" w:bidi="ar"/>
              </w:rPr>
              <w:t>GB18597-2023</w:t>
            </w:r>
            <w:r>
              <w:rPr>
                <w:rFonts w:hint="eastAsia" w:ascii="Times New Roman" w:hAnsi="Times New Roman" w:eastAsia="宋体" w:cs="宋体"/>
                <w:color w:val="auto"/>
                <w:kern w:val="0"/>
                <w:sz w:val="24"/>
                <w:szCs w:val="24"/>
                <w:highlight w:val="none"/>
                <w:lang w:val="en-US" w:eastAsia="zh-CN" w:bidi="ar"/>
              </w:rPr>
              <w:t>），危险废物收集和贮存应符合以下要求：</w:t>
            </w:r>
          </w:p>
          <w:p w14:paraId="5411206B">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b/>
                <w:bCs w:val="0"/>
                <w:color w:val="auto"/>
                <w:kern w:val="0"/>
                <w:sz w:val="24"/>
                <w:szCs w:val="24"/>
                <w:highlight w:val="none"/>
                <w:lang w:val="en-US"/>
              </w:rPr>
            </w:pPr>
            <w:r>
              <w:rPr>
                <w:rFonts w:hint="eastAsia" w:ascii="Times New Roman" w:hAnsi="Times New Roman" w:eastAsia="宋体" w:cs="宋体"/>
                <w:b/>
                <w:bCs w:val="0"/>
                <w:color w:val="auto"/>
                <w:kern w:val="0"/>
                <w:sz w:val="24"/>
                <w:szCs w:val="24"/>
                <w:highlight w:val="none"/>
                <w:lang w:val="en-US" w:eastAsia="zh-CN" w:bidi="ar"/>
              </w:rPr>
              <w:t>污染控制要求</w:t>
            </w:r>
          </w:p>
          <w:p w14:paraId="026E55C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1</w:t>
            </w:r>
            <w:r>
              <w:rPr>
                <w:rFonts w:hint="eastAsia" w:ascii="Times New Roman" w:hAnsi="Times New Roman" w:eastAsia="宋体" w:cs="宋体"/>
                <w:color w:val="auto"/>
                <w:kern w:val="0"/>
                <w:sz w:val="24"/>
                <w:szCs w:val="24"/>
                <w:highlight w:val="none"/>
                <w:lang w:val="en-US" w:eastAsia="zh-CN" w:bidi="ar"/>
              </w:rPr>
              <w:t>）危废暂存间地面、墙面裙脚、堵截泄漏的围堰、接触危险废物的隔板和墙体等应采用坚固的材料建造，表面无裂缝。</w:t>
            </w:r>
          </w:p>
          <w:p w14:paraId="248C52F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2</w:t>
            </w:r>
            <w:r>
              <w:rPr>
                <w:rFonts w:hint="eastAsia" w:ascii="Times New Roman" w:hAnsi="Times New Roman" w:eastAsia="宋体" w:cs="宋体"/>
                <w:color w:val="auto"/>
                <w:kern w:val="0"/>
                <w:sz w:val="24"/>
                <w:szCs w:val="24"/>
                <w:highlight w:val="none"/>
                <w:lang w:val="en-US" w:eastAsia="zh-CN" w:bidi="ar"/>
              </w:rPr>
              <w:t>）危废暂存间地面与裙脚应采取表面防渗措施；表面防渗材料应与所接触的物料或污染物相容，可采用抗渗混凝土、高密度聚乙烯膜、钠基膨润土防水毯或其他防渗性能等效的材料</w:t>
            </w:r>
            <w:r>
              <w:rPr>
                <w:rFonts w:hint="eastAsia" w:cs="宋体"/>
                <w:color w:val="auto"/>
                <w:kern w:val="0"/>
                <w:sz w:val="24"/>
                <w:szCs w:val="24"/>
                <w:highlight w:val="none"/>
                <w:lang w:val="en-US" w:eastAsia="zh-CN" w:bidi="ar"/>
              </w:rPr>
              <w:t>，</w:t>
            </w:r>
            <w:r>
              <w:rPr>
                <w:rFonts w:hint="eastAsia" w:eastAsiaTheme="minorEastAsia"/>
                <w:color w:val="auto"/>
                <w:kern w:val="0"/>
                <w:sz w:val="24"/>
              </w:rPr>
              <w:t>渗透系数≤10</w:t>
            </w:r>
            <w:r>
              <w:rPr>
                <w:rFonts w:hint="eastAsia" w:eastAsiaTheme="minorEastAsia"/>
                <w:color w:val="auto"/>
                <w:kern w:val="0"/>
                <w:sz w:val="24"/>
                <w:vertAlign w:val="superscript"/>
              </w:rPr>
              <w:t>-10</w:t>
            </w:r>
            <w:r>
              <w:rPr>
                <w:rFonts w:hint="eastAsia" w:eastAsiaTheme="minorEastAsia"/>
                <w:color w:val="auto"/>
                <w:kern w:val="0"/>
                <w:sz w:val="24"/>
              </w:rPr>
              <w:t>cm/s。</w:t>
            </w:r>
          </w:p>
          <w:p w14:paraId="74A660B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3</w:t>
            </w:r>
            <w:r>
              <w:rPr>
                <w:rFonts w:hint="eastAsia" w:ascii="Times New Roman" w:hAnsi="Times New Roman" w:eastAsia="宋体" w:cs="宋体"/>
                <w:color w:val="auto"/>
                <w:kern w:val="0"/>
                <w:sz w:val="24"/>
                <w:szCs w:val="24"/>
                <w:highlight w:val="none"/>
                <w:lang w:val="en-US" w:eastAsia="zh-CN" w:bidi="ar"/>
              </w:rPr>
              <w:t>）危废暂存间应采取技术和管理措施防止无关人员进入。</w:t>
            </w:r>
          </w:p>
          <w:p w14:paraId="7AB6F63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4</w:t>
            </w:r>
            <w:r>
              <w:rPr>
                <w:rFonts w:hint="eastAsia" w:ascii="Times New Roman" w:hAnsi="Times New Roman" w:eastAsia="宋体" w:cs="宋体"/>
                <w:color w:val="auto"/>
                <w:kern w:val="0"/>
                <w:sz w:val="24"/>
                <w:szCs w:val="24"/>
                <w:highlight w:val="none"/>
                <w:lang w:val="en-US" w:eastAsia="zh-CN" w:bidi="ar"/>
              </w:rPr>
              <w:t>）容器和包装物材质、内衬应与盛装的危险废物相容。</w:t>
            </w:r>
          </w:p>
          <w:p w14:paraId="31C70AD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5</w:t>
            </w:r>
            <w:r>
              <w:rPr>
                <w:rFonts w:hint="eastAsia" w:ascii="Times New Roman" w:hAnsi="Times New Roman" w:eastAsia="宋体" w:cs="宋体"/>
                <w:color w:val="auto"/>
                <w:kern w:val="0"/>
                <w:sz w:val="24"/>
                <w:szCs w:val="24"/>
                <w:highlight w:val="none"/>
                <w:lang w:val="en-US" w:eastAsia="zh-CN" w:bidi="ar"/>
              </w:rPr>
              <w:t>）不同类别、形态、物理化学性质的危险废物，应分类收集，其容器和包装物应满足相应的防渗、防漏、防腐和强度等要求。</w:t>
            </w:r>
          </w:p>
          <w:p w14:paraId="30F3D75F">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6</w:t>
            </w:r>
            <w:r>
              <w:rPr>
                <w:rFonts w:hint="eastAsia" w:ascii="Times New Roman" w:hAnsi="Times New Roman" w:eastAsia="宋体" w:cs="宋体"/>
                <w:color w:val="auto"/>
                <w:kern w:val="0"/>
                <w:sz w:val="24"/>
                <w:szCs w:val="24"/>
                <w:highlight w:val="none"/>
                <w:lang w:val="en-US" w:eastAsia="zh-CN" w:bidi="ar"/>
              </w:rPr>
              <w:t>）硬质容器和包装物及其支护结构堆叠码放时不应有明显变形，无破损泄漏。</w:t>
            </w:r>
          </w:p>
          <w:p w14:paraId="624444C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7</w:t>
            </w:r>
            <w:r>
              <w:rPr>
                <w:rFonts w:hint="eastAsia" w:ascii="Times New Roman" w:hAnsi="Times New Roman" w:eastAsia="宋体" w:cs="宋体"/>
                <w:color w:val="auto"/>
                <w:kern w:val="0"/>
                <w:sz w:val="24"/>
                <w:szCs w:val="24"/>
                <w:highlight w:val="none"/>
                <w:lang w:val="en-US" w:eastAsia="zh-CN" w:bidi="ar"/>
              </w:rPr>
              <w:t>）柔性容器和包装物堆叠码放时应封口严密，无破损泄漏。</w:t>
            </w:r>
          </w:p>
          <w:p w14:paraId="5530E8E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8</w:t>
            </w:r>
            <w:r>
              <w:rPr>
                <w:rFonts w:hint="eastAsia" w:ascii="Times New Roman" w:hAnsi="Times New Roman" w:eastAsia="宋体" w:cs="宋体"/>
                <w:color w:val="auto"/>
                <w:kern w:val="0"/>
                <w:sz w:val="24"/>
                <w:szCs w:val="24"/>
                <w:highlight w:val="none"/>
                <w:lang w:val="en-US" w:eastAsia="zh-CN" w:bidi="ar"/>
              </w:rPr>
              <w:t>）使用容器盛装液态、半固态危险废物时，容器内部应留有适当的空间，以适应因温度变化等可能引发的收缩和膨胀，防止其导致容器渗漏或永久变形。</w:t>
            </w:r>
          </w:p>
          <w:p w14:paraId="04DD439C">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9</w:t>
            </w:r>
            <w:r>
              <w:rPr>
                <w:rFonts w:hint="eastAsia" w:ascii="Times New Roman" w:hAnsi="Times New Roman" w:eastAsia="宋体" w:cs="宋体"/>
                <w:color w:val="auto"/>
                <w:kern w:val="0"/>
                <w:sz w:val="24"/>
                <w:szCs w:val="24"/>
                <w:highlight w:val="none"/>
                <w:lang w:val="en-US" w:eastAsia="zh-CN" w:bidi="ar"/>
              </w:rPr>
              <w:t>）容器和包装物外表面应保持清洁。</w:t>
            </w:r>
          </w:p>
          <w:p w14:paraId="2E3F430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宋体"/>
                <w:color w:val="auto"/>
                <w:kern w:val="0"/>
                <w:sz w:val="24"/>
                <w:szCs w:val="24"/>
                <w:highlight w:val="none"/>
                <w:lang w:val="en-US" w:eastAsia="zh-CN" w:bidi="ar"/>
              </w:rPr>
              <w:t>）液态危险废物应装入容器内贮存，</w:t>
            </w:r>
          </w:p>
          <w:p w14:paraId="3AE2B37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11</w:t>
            </w:r>
            <w:r>
              <w:rPr>
                <w:rFonts w:hint="eastAsia" w:ascii="Times New Roman" w:hAnsi="Times New Roman" w:eastAsia="宋体" w:cs="宋体"/>
                <w:color w:val="auto"/>
                <w:kern w:val="0"/>
                <w:sz w:val="24"/>
                <w:szCs w:val="24"/>
                <w:highlight w:val="none"/>
                <w:lang w:val="en-US" w:eastAsia="zh-CN" w:bidi="ar"/>
              </w:rPr>
              <w:t>）易产生粉尘、</w:t>
            </w:r>
            <w:r>
              <w:rPr>
                <w:rFonts w:hint="default" w:ascii="Times New Roman" w:hAnsi="Times New Roman" w:eastAsia="宋体" w:cs="Times New Roman"/>
                <w:color w:val="auto"/>
                <w:kern w:val="0"/>
                <w:sz w:val="24"/>
                <w:szCs w:val="24"/>
                <w:highlight w:val="none"/>
                <w:lang w:val="en-US" w:eastAsia="zh-CN" w:bidi="ar"/>
              </w:rPr>
              <w:t>VOCs</w:t>
            </w:r>
            <w:r>
              <w:rPr>
                <w:rFonts w:hint="eastAsia" w:ascii="Times New Roman" w:hAnsi="Times New Roman" w:eastAsia="宋体" w:cs="宋体"/>
                <w:color w:val="auto"/>
                <w:kern w:val="0"/>
                <w:sz w:val="24"/>
                <w:szCs w:val="24"/>
                <w:highlight w:val="none"/>
                <w:lang w:val="en-US" w:eastAsia="zh-CN" w:bidi="ar"/>
              </w:rPr>
              <w:t>、酸雾、有毒有害大气污染物和刺激性气味气体的危险废物应装入闭口容器或包装物内贮存。</w:t>
            </w:r>
          </w:p>
          <w:p w14:paraId="0FC143A3">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b/>
                <w:bCs w:val="0"/>
                <w:color w:val="auto"/>
                <w:kern w:val="0"/>
                <w:sz w:val="24"/>
                <w:szCs w:val="24"/>
                <w:highlight w:val="none"/>
                <w:lang w:val="en-US"/>
              </w:rPr>
            </w:pPr>
            <w:r>
              <w:rPr>
                <w:rFonts w:hint="eastAsia" w:ascii="Times New Roman" w:hAnsi="Times New Roman" w:eastAsia="宋体" w:cs="宋体"/>
                <w:b/>
                <w:bCs w:val="0"/>
                <w:color w:val="auto"/>
                <w:kern w:val="0"/>
                <w:sz w:val="24"/>
                <w:szCs w:val="24"/>
                <w:highlight w:val="none"/>
                <w:lang w:val="en-US" w:eastAsia="zh-CN" w:bidi="ar"/>
              </w:rPr>
              <w:t>环境应急要求：</w:t>
            </w:r>
          </w:p>
          <w:p w14:paraId="7251998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1</w:t>
            </w:r>
            <w:r>
              <w:rPr>
                <w:rFonts w:hint="eastAsia" w:ascii="Times New Roman" w:hAnsi="Times New Roman" w:eastAsia="宋体" w:cs="宋体"/>
                <w:color w:val="auto"/>
                <w:kern w:val="0"/>
                <w:sz w:val="24"/>
                <w:szCs w:val="24"/>
                <w:highlight w:val="none"/>
                <w:lang w:val="en-US" w:eastAsia="zh-CN" w:bidi="ar"/>
              </w:rPr>
              <w:t>）贮存设施所有者或运营者应按照国家有关规定编制突发环境事件应急预案，定期开展必要的培训和环境应急演练，并做好培训、演练记录。</w:t>
            </w:r>
          </w:p>
          <w:p w14:paraId="7667F72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2</w:t>
            </w:r>
            <w:r>
              <w:rPr>
                <w:rFonts w:hint="eastAsia" w:ascii="Times New Roman" w:hAnsi="Times New Roman" w:eastAsia="宋体" w:cs="宋体"/>
                <w:color w:val="auto"/>
                <w:kern w:val="0"/>
                <w:sz w:val="24"/>
                <w:szCs w:val="24"/>
                <w:highlight w:val="none"/>
                <w:lang w:val="en-US" w:eastAsia="zh-CN" w:bidi="ar"/>
              </w:rPr>
              <w:t>）贮存设施所有者或运营者应配备满足其突发环境事件应急要求的应急人员、装备和物资，并应设置应急照明系统。</w:t>
            </w:r>
          </w:p>
          <w:p w14:paraId="03283031">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b/>
                <w:bCs w:val="0"/>
                <w:color w:val="auto"/>
                <w:kern w:val="0"/>
                <w:sz w:val="24"/>
                <w:szCs w:val="24"/>
                <w:highlight w:val="none"/>
                <w:lang w:val="en-US"/>
              </w:rPr>
            </w:pPr>
            <w:r>
              <w:rPr>
                <w:rFonts w:hint="eastAsia" w:ascii="Times New Roman" w:hAnsi="Times New Roman" w:eastAsia="宋体" w:cs="宋体"/>
                <w:b/>
                <w:bCs w:val="0"/>
                <w:color w:val="auto"/>
                <w:kern w:val="0"/>
                <w:sz w:val="24"/>
                <w:szCs w:val="24"/>
                <w:highlight w:val="none"/>
                <w:lang w:val="en-US" w:eastAsia="zh-CN" w:bidi="ar"/>
              </w:rPr>
              <w:t>运行管理要求：</w:t>
            </w:r>
          </w:p>
          <w:p w14:paraId="7103D5C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1</w:t>
            </w:r>
            <w:r>
              <w:rPr>
                <w:rFonts w:hint="eastAsia" w:ascii="Times New Roman" w:hAnsi="Times New Roman" w:eastAsia="宋体" w:cs="宋体"/>
                <w:color w:val="auto"/>
                <w:kern w:val="0"/>
                <w:sz w:val="24"/>
                <w:szCs w:val="24"/>
                <w:highlight w:val="none"/>
                <w:lang w:val="en-US" w:eastAsia="zh-CN" w:bidi="ar"/>
              </w:rPr>
              <w:t>）危险废物存入贮存设施前应对危险废物类别和特性与危险废物标签等危险废物识别标志的一致性进行核验，不一致的或类别、特性不明的不应存入。</w:t>
            </w:r>
          </w:p>
          <w:p w14:paraId="4789D01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2</w:t>
            </w:r>
            <w:r>
              <w:rPr>
                <w:rFonts w:hint="eastAsia" w:ascii="Times New Roman" w:hAnsi="Times New Roman" w:eastAsia="宋体" w:cs="宋体"/>
                <w:color w:val="auto"/>
                <w:kern w:val="0"/>
                <w:sz w:val="24"/>
                <w:szCs w:val="24"/>
                <w:highlight w:val="none"/>
                <w:lang w:val="en-US" w:eastAsia="zh-CN" w:bidi="ar"/>
              </w:rPr>
              <w:t>）应定期检查危险废物的贮存状况，及时清理贮存设施地面，更换破损泄漏的危险废物贮存容器和包装物，保证堆存危险废物的防雨、防风、防扬尘等设施功能完好。</w:t>
            </w:r>
          </w:p>
          <w:p w14:paraId="78A5FCE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3</w:t>
            </w:r>
            <w:r>
              <w:rPr>
                <w:rFonts w:hint="eastAsia" w:ascii="Times New Roman" w:hAnsi="Times New Roman" w:eastAsia="宋体" w:cs="宋体"/>
                <w:color w:val="auto"/>
                <w:kern w:val="0"/>
                <w:sz w:val="24"/>
                <w:szCs w:val="24"/>
                <w:highlight w:val="none"/>
                <w:lang w:val="en-US" w:eastAsia="zh-CN" w:bidi="ar"/>
              </w:rPr>
              <w:t>）作业设备及车辆等结束作业离开贮存设施时，应对其残留的危险废物进行清理，清理的废物或清洗废水应收集处理。</w:t>
            </w:r>
          </w:p>
          <w:p w14:paraId="6A9D76F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4</w:t>
            </w:r>
            <w:r>
              <w:rPr>
                <w:rFonts w:hint="eastAsia" w:ascii="Times New Roman" w:hAnsi="Times New Roman" w:eastAsia="宋体" w:cs="宋体"/>
                <w:color w:val="auto"/>
                <w:kern w:val="0"/>
                <w:sz w:val="24"/>
                <w:szCs w:val="24"/>
                <w:highlight w:val="none"/>
                <w:lang w:val="en-US" w:eastAsia="zh-CN" w:bidi="ar"/>
              </w:rPr>
              <w:t>）贮存设施运行期间，应按国家有关标准和规定建立危险废物管理台账并保存。</w:t>
            </w:r>
          </w:p>
          <w:p w14:paraId="2D0F7C2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5</w:t>
            </w:r>
            <w:r>
              <w:rPr>
                <w:rFonts w:hint="eastAsia" w:ascii="Times New Roman" w:hAnsi="Times New Roman"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Times New Roman" w:hAnsi="Times New Roman" w:eastAsia="宋体" w:cs="宋体"/>
                <w:color w:val="auto"/>
                <w:kern w:val="0"/>
                <w:sz w:val="24"/>
                <w:szCs w:val="24"/>
                <w:highlight w:val="none"/>
                <w:lang w:val="en-US" w:eastAsia="zh-CN" w:bidi="ar"/>
              </w:rPr>
              <w:t>贮存设施所有者或运营者应建立贮存设施环境管理制度、管理人员岗位职责制度、设施运行操作制度、人员岗位培训制度等。</w:t>
            </w:r>
          </w:p>
          <w:p w14:paraId="1B842CB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6</w:t>
            </w:r>
            <w:r>
              <w:rPr>
                <w:rFonts w:hint="eastAsia" w:ascii="Times New Roman" w:hAnsi="Times New Roman" w:eastAsia="宋体" w:cs="宋体"/>
                <w:color w:val="auto"/>
                <w:kern w:val="0"/>
                <w:sz w:val="24"/>
                <w:szCs w:val="24"/>
                <w:highlight w:val="none"/>
                <w:lang w:val="en-US" w:eastAsia="zh-CN" w:bidi="ar"/>
              </w:rPr>
              <w:t>）贮存设施所有者或运营者应建立贮存设施全部档案，包括设计、施工、验收、运行、监测和环境应急等，应按国家有关档案管理的法律法规进行整理和归档。</w:t>
            </w:r>
          </w:p>
          <w:p w14:paraId="4A7CEF7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eastAsiaTheme="minorEastAsia"/>
                <w:color w:val="auto"/>
                <w:kern w:val="0"/>
                <w:sz w:val="24"/>
                <w:highlight w:val="none"/>
              </w:rPr>
            </w:pPr>
            <w:r>
              <w:rPr>
                <w:rFonts w:hint="eastAsia" w:ascii="Times New Roman" w:hAnsi="Times New Roman" w:eastAsia="宋体" w:cs="宋体"/>
                <w:color w:val="auto"/>
                <w:kern w:val="0"/>
                <w:sz w:val="24"/>
                <w:szCs w:val="24"/>
                <w:highlight w:val="none"/>
                <w:lang w:val="en-US" w:eastAsia="zh-CN" w:bidi="ar"/>
              </w:rPr>
              <w:t>综上所述，项目危险废物暂存间应按规范要求建设，并定制相关管理制度，严格按照制度进行管理</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Times New Roman" w:hAnsi="Times New Roman" w:eastAsia="宋体" w:cs="宋体"/>
                <w:color w:val="auto"/>
                <w:kern w:val="0"/>
                <w:sz w:val="24"/>
                <w:szCs w:val="24"/>
                <w:highlight w:val="none"/>
                <w:lang w:val="en-US" w:eastAsia="zh-CN" w:bidi="ar"/>
              </w:rPr>
              <w:t>，固体废弃物即可全部得到妥善处置，从环保角度考虑，固体废物防止措施可行，对周围环境影响较小。</w:t>
            </w:r>
          </w:p>
          <w:p w14:paraId="6F05FEA6">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5.地下水影响分析</w:t>
            </w:r>
          </w:p>
          <w:p w14:paraId="76AD6B4E">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根据《环境影响评价技术导则地下水环境》（HJ610-2016）本项目属于“Ⅴ社会事业与服务业，163 专业实验室，其他-报告表”，地下水环境影响评价类别属于Ⅳ类建设项目，可不开展地下水环境影响评价工作，不进行地下水监测。</w:t>
            </w:r>
          </w:p>
          <w:p w14:paraId="404B6E6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color w:val="auto"/>
                <w:kern w:val="0"/>
                <w:sz w:val="24"/>
                <w:szCs w:val="24"/>
                <w:lang w:val="en-US"/>
              </w:rPr>
            </w:pPr>
            <w:r>
              <w:rPr>
                <w:rFonts w:hint="eastAsia" w:ascii="Times New Roman" w:hAnsi="Times New Roman" w:eastAsia="宋体" w:cs="宋体"/>
                <w:color w:val="auto"/>
                <w:kern w:val="0"/>
                <w:sz w:val="24"/>
                <w:szCs w:val="24"/>
                <w:lang w:val="en-US" w:eastAsia="zh-CN" w:bidi="ar"/>
              </w:rPr>
              <w:t>根据《环境影响评价技术导则</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宋体"/>
                <w:color w:val="auto"/>
                <w:kern w:val="0"/>
                <w:sz w:val="24"/>
                <w:szCs w:val="24"/>
                <w:lang w:val="en-US" w:eastAsia="zh-CN" w:bidi="ar"/>
              </w:rPr>
              <w:t>地下水环境》（</w:t>
            </w:r>
            <w:r>
              <w:rPr>
                <w:rFonts w:hint="default" w:ascii="Times New Roman" w:hAnsi="Times New Roman" w:eastAsia="宋体" w:cs="Times New Roman"/>
                <w:color w:val="auto"/>
                <w:kern w:val="0"/>
                <w:sz w:val="24"/>
                <w:szCs w:val="24"/>
                <w:lang w:val="en-US" w:eastAsia="zh-CN" w:bidi="ar"/>
              </w:rPr>
              <w:t>HJ610-2016</w:t>
            </w:r>
            <w:r>
              <w:rPr>
                <w:rFonts w:hint="eastAsia" w:ascii="Times New Roman" w:hAnsi="Times New Roman" w:eastAsia="宋体" w:cs="宋体"/>
                <w:color w:val="auto"/>
                <w:kern w:val="0"/>
                <w:sz w:val="24"/>
                <w:szCs w:val="24"/>
                <w:lang w:val="en-US" w:eastAsia="zh-CN" w:bidi="ar"/>
              </w:rPr>
              <w:t>），根据项目装置、单元特点及污染控制难易程度，项目区可划分为重点防渗区和简单防渗区，危废暂存间作为重点防渗区，其他区域作为简单防渗区进行地面硬化处理。分区防渗要求根据《危险废物贮存污染控制标准》（</w:t>
            </w:r>
            <w:r>
              <w:rPr>
                <w:rFonts w:hint="default" w:ascii="Times New Roman" w:hAnsi="Times New Roman" w:eastAsia="宋体" w:cs="Times New Roman"/>
                <w:color w:val="auto"/>
                <w:kern w:val="0"/>
                <w:sz w:val="24"/>
                <w:szCs w:val="24"/>
                <w:lang w:val="en-US" w:eastAsia="zh-CN" w:bidi="ar"/>
              </w:rPr>
              <w:t>GB18597-2023</w:t>
            </w:r>
            <w:r>
              <w:rPr>
                <w:rFonts w:hint="eastAsia" w:ascii="Times New Roman" w:hAnsi="Times New Roman" w:eastAsia="宋体" w:cs="宋体"/>
                <w:color w:val="auto"/>
                <w:kern w:val="0"/>
                <w:sz w:val="24"/>
                <w:szCs w:val="24"/>
                <w:lang w:val="en-US" w:eastAsia="zh-CN" w:bidi="ar"/>
              </w:rPr>
              <w:t>）的要求进行，具体如下：</w:t>
            </w:r>
          </w:p>
          <w:p w14:paraId="76AE16CF">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表4-1</w:t>
            </w:r>
            <w:r>
              <w:rPr>
                <w:rFonts w:hint="eastAsia" w:eastAsiaTheme="minorEastAsia"/>
                <w:b/>
                <w:color w:val="auto"/>
                <w:kern w:val="0"/>
                <w:szCs w:val="21"/>
                <w:lang w:val="en-US" w:eastAsia="zh-CN"/>
              </w:rPr>
              <w:t>6</w:t>
            </w:r>
            <w:r>
              <w:rPr>
                <w:rFonts w:hint="default" w:eastAsiaTheme="minorEastAsia"/>
                <w:b/>
                <w:color w:val="auto"/>
                <w:kern w:val="0"/>
                <w:szCs w:val="21"/>
              </w:rPr>
              <w:t xml:space="preserve">   地下水污染防治分区</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416"/>
              <w:gridCol w:w="1134"/>
              <w:gridCol w:w="4304"/>
            </w:tblGrid>
            <w:tr w14:paraId="2ECF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14:paraId="0C1B909C">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名称</w:t>
                  </w:r>
                </w:p>
              </w:tc>
              <w:tc>
                <w:tcPr>
                  <w:tcW w:w="868" w:type="pct"/>
                  <w:vAlign w:val="center"/>
                </w:tcPr>
                <w:p w14:paraId="6D5A5601">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位置</w:t>
                  </w:r>
                </w:p>
              </w:tc>
              <w:tc>
                <w:tcPr>
                  <w:tcW w:w="695" w:type="pct"/>
                  <w:vAlign w:val="center"/>
                </w:tcPr>
                <w:p w14:paraId="62C1E60E">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类别</w:t>
                  </w:r>
                </w:p>
              </w:tc>
              <w:tc>
                <w:tcPr>
                  <w:tcW w:w="2637" w:type="pct"/>
                  <w:vAlign w:val="center"/>
                </w:tcPr>
                <w:p w14:paraId="47477001">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要求</w:t>
                  </w:r>
                </w:p>
              </w:tc>
            </w:tr>
            <w:tr w14:paraId="07CC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14:paraId="68DDD069">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危废暂存间</w:t>
                  </w:r>
                </w:p>
              </w:tc>
              <w:tc>
                <w:tcPr>
                  <w:tcW w:w="868" w:type="pct"/>
                  <w:vAlign w:val="center"/>
                </w:tcPr>
                <w:p w14:paraId="56CFDB5C">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危废暂存间地面及墙面</w:t>
                  </w:r>
                </w:p>
              </w:tc>
              <w:tc>
                <w:tcPr>
                  <w:tcW w:w="695" w:type="pct"/>
                  <w:vAlign w:val="center"/>
                </w:tcPr>
                <w:p w14:paraId="503081C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重点防渗</w:t>
                  </w:r>
                </w:p>
              </w:tc>
              <w:tc>
                <w:tcPr>
                  <w:tcW w:w="2637" w:type="pct"/>
                  <w:vAlign w:val="center"/>
                </w:tcPr>
                <w:p w14:paraId="143EC6D1">
                  <w:pPr>
                    <w:keepNext w:val="0"/>
                    <w:keepLines w:val="0"/>
                    <w:widowControl w:val="0"/>
                    <w:suppressLineNumbers w:val="0"/>
                    <w:spacing w:before="0" w:beforeAutospacing="0" w:after="0" w:afterAutospacing="0"/>
                    <w:ind w:left="0" w:right="0"/>
                    <w:jc w:val="both"/>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a</w:t>
                  </w:r>
                  <w:r>
                    <w:rPr>
                      <w:rFonts w:hint="eastAsia" w:ascii="Times New Roman" w:hAnsi="Times New Roman" w:eastAsia="宋体" w:cs="宋体"/>
                      <w:bCs/>
                      <w:color w:val="auto"/>
                      <w:kern w:val="2"/>
                      <w:sz w:val="21"/>
                      <w:szCs w:val="21"/>
                      <w:lang w:val="en-US" w:eastAsia="zh-CN" w:bidi="ar"/>
                    </w:rPr>
                    <w:t>、地面与裙脚要用坚固、防渗的材料建造，建筑材料必须与危险废物相容，防渗系数</w:t>
                  </w:r>
                  <w:r>
                    <w:rPr>
                      <w:rFonts w:hint="default" w:ascii="Times New Roman" w:hAnsi="Times New Roman" w:eastAsia="宋体" w:cs="Times New Roman"/>
                      <w:bCs/>
                      <w:color w:val="auto"/>
                      <w:kern w:val="2"/>
                      <w:sz w:val="21"/>
                      <w:szCs w:val="21"/>
                      <w:lang w:val="en-US" w:eastAsia="zh-CN" w:bidi="ar"/>
                    </w:rPr>
                    <w:t>≤10</w:t>
                  </w:r>
                  <w:r>
                    <w:rPr>
                      <w:rFonts w:hint="default" w:ascii="Times New Roman" w:hAnsi="Times New Roman" w:eastAsia="宋体" w:cs="Times New Roman"/>
                      <w:bCs/>
                      <w:color w:val="auto"/>
                      <w:kern w:val="2"/>
                      <w:sz w:val="21"/>
                      <w:szCs w:val="21"/>
                      <w:vertAlign w:val="superscript"/>
                      <w:lang w:val="en-US" w:eastAsia="zh-CN" w:bidi="ar"/>
                    </w:rPr>
                    <w:t>-10</w:t>
                  </w:r>
                  <w:r>
                    <w:rPr>
                      <w:rFonts w:hint="default" w:ascii="Times New Roman" w:hAnsi="Times New Roman" w:eastAsia="宋体" w:cs="Times New Roman"/>
                      <w:bCs/>
                      <w:color w:val="auto"/>
                      <w:kern w:val="2"/>
                      <w:sz w:val="21"/>
                      <w:szCs w:val="21"/>
                      <w:lang w:val="en-US" w:eastAsia="zh-CN" w:bidi="ar"/>
                    </w:rPr>
                    <w:t>cm/s</w:t>
                  </w:r>
                  <w:r>
                    <w:rPr>
                      <w:rFonts w:hint="eastAsia" w:ascii="Times New Roman" w:hAnsi="Times New Roman" w:eastAsia="宋体" w:cs="宋体"/>
                      <w:bCs/>
                      <w:color w:val="auto"/>
                      <w:kern w:val="2"/>
                      <w:sz w:val="21"/>
                      <w:szCs w:val="21"/>
                      <w:lang w:val="en-US" w:eastAsia="zh-CN" w:bidi="ar"/>
                    </w:rPr>
                    <w:t>，配套防火器材、要求废机油防渗漏。</w:t>
                  </w:r>
                </w:p>
                <w:p w14:paraId="3614E82F">
                  <w:pPr>
                    <w:keepNext w:val="0"/>
                    <w:keepLines w:val="0"/>
                    <w:widowControl w:val="0"/>
                    <w:suppressLineNumbers w:val="0"/>
                    <w:spacing w:before="0" w:beforeAutospacing="0" w:after="0" w:afterAutospacing="0"/>
                    <w:ind w:left="0" w:right="0"/>
                    <w:jc w:val="both"/>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b</w:t>
                  </w:r>
                  <w:r>
                    <w:rPr>
                      <w:rFonts w:hint="eastAsia" w:ascii="Times New Roman" w:hAnsi="Times New Roman" w:eastAsia="宋体" w:cs="宋体"/>
                      <w:bCs/>
                      <w:color w:val="auto"/>
                      <w:kern w:val="2"/>
                      <w:sz w:val="21"/>
                      <w:szCs w:val="21"/>
                      <w:lang w:val="en-US" w:eastAsia="zh-CN" w:bidi="ar"/>
                    </w:rPr>
                    <w:t>、必须有泄漏液体收集装置。</w:t>
                  </w:r>
                </w:p>
                <w:p w14:paraId="69C48466">
                  <w:pPr>
                    <w:keepNext w:val="0"/>
                    <w:keepLines w:val="0"/>
                    <w:widowControl w:val="0"/>
                    <w:suppressLineNumbers w:val="0"/>
                    <w:spacing w:before="0" w:beforeAutospacing="0" w:after="0" w:afterAutospacing="0"/>
                    <w:ind w:left="0" w:right="0"/>
                    <w:jc w:val="both"/>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c</w:t>
                  </w:r>
                  <w:r>
                    <w:rPr>
                      <w:rFonts w:hint="eastAsia" w:ascii="Times New Roman" w:hAnsi="Times New Roman" w:eastAsia="宋体" w:cs="宋体"/>
                      <w:bCs/>
                      <w:color w:val="auto"/>
                      <w:kern w:val="2"/>
                      <w:sz w:val="21"/>
                      <w:szCs w:val="21"/>
                      <w:lang w:val="en-US" w:eastAsia="zh-CN" w:bidi="ar"/>
                    </w:rPr>
                    <w:t>、贮存间内要有安全照明设施。</w:t>
                  </w:r>
                </w:p>
                <w:p w14:paraId="159D81AA">
                  <w:pPr>
                    <w:keepNext w:val="0"/>
                    <w:keepLines w:val="0"/>
                    <w:widowControl w:val="0"/>
                    <w:suppressLineNumbers w:val="0"/>
                    <w:spacing w:before="0" w:beforeAutospacing="0" w:after="0" w:afterAutospacing="0"/>
                    <w:ind w:left="0" w:right="0"/>
                    <w:jc w:val="both"/>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d</w:t>
                  </w:r>
                  <w:r>
                    <w:rPr>
                      <w:rFonts w:hint="eastAsia" w:ascii="Times New Roman" w:hAnsi="Times New Roman" w:eastAsia="宋体" w:cs="宋体"/>
                      <w:bCs/>
                      <w:color w:val="auto"/>
                      <w:kern w:val="2"/>
                      <w:sz w:val="21"/>
                      <w:szCs w:val="21"/>
                      <w:lang w:val="en-US" w:eastAsia="zh-CN" w:bidi="ar"/>
                    </w:rPr>
                    <w:t>、用以存放装载液体、半固体危险废物容器的地方，必须有耐腐蚀的硬化地面，且表面无裂隙。</w:t>
                  </w:r>
                </w:p>
                <w:p w14:paraId="0541C966">
                  <w:pPr>
                    <w:keepNext w:val="0"/>
                    <w:keepLines w:val="0"/>
                    <w:widowControl/>
                    <w:suppressLineNumbers w:val="0"/>
                    <w:spacing w:before="0" w:beforeAutospacing="0" w:after="0" w:afterAutospacing="0"/>
                    <w:ind w:left="0" w:right="0"/>
                    <w:jc w:val="left"/>
                    <w:rPr>
                      <w:rFonts w:hint="default" w:eastAsiaTheme="minorEastAsia"/>
                      <w:color w:val="auto"/>
                      <w:kern w:val="0"/>
                      <w:szCs w:val="21"/>
                    </w:rPr>
                  </w:pPr>
                  <w:r>
                    <w:rPr>
                      <w:rFonts w:hint="default" w:ascii="Times New Roman" w:hAnsi="Times New Roman" w:eastAsia="宋体" w:cs="Times New Roman"/>
                      <w:bCs/>
                      <w:color w:val="auto"/>
                      <w:kern w:val="2"/>
                      <w:sz w:val="21"/>
                      <w:szCs w:val="21"/>
                      <w:lang w:val="en-US" w:eastAsia="zh-CN" w:bidi="ar"/>
                    </w:rPr>
                    <w:t>e</w:t>
                  </w:r>
                  <w:r>
                    <w:rPr>
                      <w:rFonts w:hint="eastAsia" w:ascii="Times New Roman" w:hAnsi="Times New Roman" w:eastAsia="宋体" w:cs="Times New Roman"/>
                      <w:bCs/>
                      <w:color w:val="auto"/>
                      <w:kern w:val="2"/>
                      <w:sz w:val="21"/>
                      <w:szCs w:val="21"/>
                      <w:lang w:val="en-US" w:eastAsia="zh-CN" w:bidi="ar"/>
                    </w:rPr>
                    <w:t>、不相容的危险废物必须分开存放，并设有隔离间隔断。</w:t>
                  </w:r>
                </w:p>
              </w:tc>
            </w:tr>
            <w:tr w14:paraId="6EB1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14:paraId="4B67BAB8">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其他区域</w:t>
                  </w:r>
                </w:p>
              </w:tc>
              <w:tc>
                <w:tcPr>
                  <w:tcW w:w="868" w:type="pct"/>
                  <w:vAlign w:val="center"/>
                </w:tcPr>
                <w:p w14:paraId="35DD55C6">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w:t>
                  </w:r>
                </w:p>
              </w:tc>
              <w:tc>
                <w:tcPr>
                  <w:tcW w:w="695" w:type="pct"/>
                  <w:vAlign w:val="center"/>
                </w:tcPr>
                <w:p w14:paraId="5F0EB23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简单防渗</w:t>
                  </w:r>
                </w:p>
              </w:tc>
              <w:tc>
                <w:tcPr>
                  <w:tcW w:w="2637" w:type="pct"/>
                  <w:vAlign w:val="center"/>
                </w:tcPr>
                <w:p w14:paraId="4D63FA66">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一般硬化</w:t>
                  </w:r>
                </w:p>
              </w:tc>
            </w:tr>
          </w:tbl>
          <w:p w14:paraId="042B2106">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6.土壤环境影响分析</w:t>
            </w:r>
          </w:p>
          <w:p w14:paraId="2918DCB4">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根据《环境影响评价技术导则土壤环境（试行）》（HJ964-2018）附录A，本项目属于“其他行业”，土壤环境影响评价类别属于Ⅳ类建设项目，可不开展土壤环境影响评价工作，不进行土壤监测工作。</w:t>
            </w:r>
          </w:p>
          <w:p w14:paraId="165CDEC5">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7.生态环境影响分析</w:t>
            </w:r>
          </w:p>
          <w:p w14:paraId="081AFB2C">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项目位于</w:t>
            </w:r>
            <w:r>
              <w:rPr>
                <w:rFonts w:hint="default"/>
                <w:color w:val="auto"/>
                <w:sz w:val="24"/>
              </w:rPr>
              <w:t>云南省昆明市盘龙区茨坝街道昆机社区龙泉路714号附1号（昆明机床厂劳动服务公司），</w:t>
            </w:r>
            <w:r>
              <w:rPr>
                <w:rFonts w:hint="default" w:eastAsiaTheme="minorEastAsia"/>
                <w:color w:val="auto"/>
                <w:kern w:val="0"/>
                <w:sz w:val="24"/>
              </w:rPr>
              <w:t>不会破坏城市生态环境。项目所在区域为城市建成区，无天然植被。目前，区域内植被为人工绿化草坪和树木。</w:t>
            </w:r>
          </w:p>
          <w:p w14:paraId="230798DF">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8.环境风险影评价</w:t>
            </w:r>
          </w:p>
          <w:p w14:paraId="07597D11">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8.1 环境风险调查</w:t>
            </w:r>
          </w:p>
          <w:p w14:paraId="454A440F">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sz w:val="24"/>
              </w:rPr>
            </w:pPr>
            <w:r>
              <w:rPr>
                <w:rFonts w:hint="default"/>
                <w:b/>
                <w:bCs/>
                <w:color w:val="auto"/>
                <w:sz w:val="24"/>
              </w:rPr>
              <w:t>（1）风险调查</w:t>
            </w:r>
          </w:p>
          <w:p w14:paraId="488CC96A">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color w:val="auto"/>
                <w:sz w:val="24"/>
              </w:rPr>
              <w:t>根据建设单位提供原辅材料，结合《建设项目环境风险评价技术导则》（HJ169-2018）附录B及企业突发环境事件风险分级方法附录A，对项目运营期涉及的原辅材料进行风险识别分析，项目使用风险物质情况下见表</w:t>
            </w:r>
            <w:r>
              <w:rPr>
                <w:rFonts w:hint="default" w:eastAsiaTheme="minorEastAsia"/>
                <w:color w:val="auto"/>
                <w:kern w:val="0"/>
                <w:sz w:val="24"/>
              </w:rPr>
              <w:t>。</w:t>
            </w:r>
          </w:p>
          <w:p w14:paraId="1D1DA441">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表4-1</w:t>
            </w:r>
            <w:r>
              <w:rPr>
                <w:rFonts w:hint="eastAsia" w:eastAsiaTheme="minorEastAsia"/>
                <w:b/>
                <w:color w:val="auto"/>
                <w:kern w:val="0"/>
                <w:szCs w:val="21"/>
                <w:lang w:val="en-US" w:eastAsia="zh-CN"/>
              </w:rPr>
              <w:t xml:space="preserve">7 </w:t>
            </w:r>
            <w:r>
              <w:rPr>
                <w:rFonts w:hint="default" w:eastAsiaTheme="minorEastAsia"/>
                <w:b/>
                <w:color w:val="auto"/>
                <w:kern w:val="0"/>
                <w:szCs w:val="21"/>
              </w:rPr>
              <w:t xml:space="preserve">  项目风险物质贮存量及临界量一览表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374"/>
              <w:gridCol w:w="1374"/>
              <w:gridCol w:w="904"/>
              <w:gridCol w:w="689"/>
              <w:gridCol w:w="1022"/>
              <w:gridCol w:w="806"/>
              <w:gridCol w:w="945"/>
            </w:tblGrid>
            <w:tr w14:paraId="3A56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Align w:val="center"/>
                </w:tcPr>
                <w:p w14:paraId="5520B6E4">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原辅材料名称</w:t>
                  </w:r>
                </w:p>
              </w:tc>
              <w:tc>
                <w:tcPr>
                  <w:tcW w:w="842" w:type="pct"/>
                  <w:vAlign w:val="center"/>
                </w:tcPr>
                <w:p w14:paraId="0F84E193">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CAS号</w:t>
                  </w:r>
                </w:p>
              </w:tc>
              <w:tc>
                <w:tcPr>
                  <w:tcW w:w="842" w:type="pct"/>
                  <w:vAlign w:val="center"/>
                </w:tcPr>
                <w:p w14:paraId="103C798E">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规格</w:t>
                  </w:r>
                </w:p>
              </w:tc>
              <w:tc>
                <w:tcPr>
                  <w:tcW w:w="554" w:type="pct"/>
                  <w:vAlign w:val="center"/>
                </w:tcPr>
                <w:p w14:paraId="2EEB21B2">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最大储存量（瓶）</w:t>
                  </w:r>
                </w:p>
              </w:tc>
              <w:tc>
                <w:tcPr>
                  <w:tcW w:w="422" w:type="pct"/>
                  <w:vAlign w:val="center"/>
                </w:tcPr>
                <w:p w14:paraId="67896FBC">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密度</w:t>
                  </w:r>
                </w:p>
              </w:tc>
              <w:tc>
                <w:tcPr>
                  <w:tcW w:w="626" w:type="pct"/>
                  <w:vAlign w:val="center"/>
                </w:tcPr>
                <w:p w14:paraId="5D366DD8">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最大储存量（吨）</w:t>
                  </w:r>
                </w:p>
              </w:tc>
              <w:tc>
                <w:tcPr>
                  <w:tcW w:w="494" w:type="pct"/>
                  <w:vAlign w:val="center"/>
                </w:tcPr>
                <w:p w14:paraId="5FED39FC">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存储方式</w:t>
                  </w:r>
                </w:p>
              </w:tc>
              <w:tc>
                <w:tcPr>
                  <w:tcW w:w="579" w:type="pct"/>
                  <w:vAlign w:val="center"/>
                </w:tcPr>
                <w:p w14:paraId="42F97455">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储存位置</w:t>
                  </w:r>
                </w:p>
              </w:tc>
            </w:tr>
            <w:tr w14:paraId="6E8D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Align w:val="center"/>
                </w:tcPr>
                <w:p w14:paraId="5E50BE5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硫酸</w:t>
                  </w:r>
                </w:p>
              </w:tc>
              <w:tc>
                <w:tcPr>
                  <w:tcW w:w="842" w:type="pct"/>
                  <w:vAlign w:val="center"/>
                </w:tcPr>
                <w:p w14:paraId="160129C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7664-93-9</w:t>
                  </w:r>
                </w:p>
              </w:tc>
              <w:tc>
                <w:tcPr>
                  <w:tcW w:w="842" w:type="pct"/>
                  <w:vAlign w:val="center"/>
                </w:tcPr>
                <w:p w14:paraId="7D4D0C0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AR，500mL/瓶</w:t>
                  </w:r>
                </w:p>
              </w:tc>
              <w:tc>
                <w:tcPr>
                  <w:tcW w:w="554" w:type="pct"/>
                  <w:vAlign w:val="center"/>
                </w:tcPr>
                <w:p w14:paraId="37E24E4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w:t>
                  </w:r>
                </w:p>
              </w:tc>
              <w:tc>
                <w:tcPr>
                  <w:tcW w:w="422" w:type="pct"/>
                  <w:vAlign w:val="center"/>
                </w:tcPr>
                <w:p w14:paraId="7CC96CC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1.84</w:t>
                  </w:r>
                </w:p>
              </w:tc>
              <w:tc>
                <w:tcPr>
                  <w:tcW w:w="626" w:type="pct"/>
                  <w:vAlign w:val="center"/>
                </w:tcPr>
                <w:p w14:paraId="79D4405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0.00368</w:t>
                  </w:r>
                </w:p>
              </w:tc>
              <w:tc>
                <w:tcPr>
                  <w:tcW w:w="494" w:type="pct"/>
                  <w:vAlign w:val="center"/>
                </w:tcPr>
                <w:p w14:paraId="7259D22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瓶装</w:t>
                  </w:r>
                </w:p>
              </w:tc>
              <w:tc>
                <w:tcPr>
                  <w:tcW w:w="579" w:type="pct"/>
                  <w:vAlign w:val="center"/>
                </w:tcPr>
                <w:p w14:paraId="7764BAE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试剂室</w:t>
                  </w:r>
                </w:p>
              </w:tc>
            </w:tr>
            <w:tr w14:paraId="3FE7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Align w:val="center"/>
                </w:tcPr>
                <w:p w14:paraId="1006FE3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盐酸</w:t>
                  </w:r>
                </w:p>
              </w:tc>
              <w:tc>
                <w:tcPr>
                  <w:tcW w:w="842" w:type="pct"/>
                  <w:vAlign w:val="center"/>
                </w:tcPr>
                <w:p w14:paraId="0A9FC31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7647-01-0</w:t>
                  </w:r>
                </w:p>
              </w:tc>
              <w:tc>
                <w:tcPr>
                  <w:tcW w:w="842" w:type="pct"/>
                  <w:vAlign w:val="center"/>
                </w:tcPr>
                <w:p w14:paraId="220B91B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AR500mL/瓶</w:t>
                  </w:r>
                </w:p>
              </w:tc>
              <w:tc>
                <w:tcPr>
                  <w:tcW w:w="554" w:type="pct"/>
                  <w:vAlign w:val="center"/>
                </w:tcPr>
                <w:p w14:paraId="391CDA6F">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w:t>
                  </w:r>
                </w:p>
              </w:tc>
              <w:tc>
                <w:tcPr>
                  <w:tcW w:w="422" w:type="pct"/>
                  <w:vAlign w:val="center"/>
                </w:tcPr>
                <w:p w14:paraId="7CCA6B9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1.19</w:t>
                  </w:r>
                </w:p>
              </w:tc>
              <w:tc>
                <w:tcPr>
                  <w:tcW w:w="626" w:type="pct"/>
                  <w:vAlign w:val="center"/>
                </w:tcPr>
                <w:p w14:paraId="125DB23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0.00119</w:t>
                  </w:r>
                </w:p>
              </w:tc>
              <w:tc>
                <w:tcPr>
                  <w:tcW w:w="494" w:type="pct"/>
                  <w:vAlign w:val="center"/>
                </w:tcPr>
                <w:p w14:paraId="14F169A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瓶装</w:t>
                  </w:r>
                </w:p>
              </w:tc>
              <w:tc>
                <w:tcPr>
                  <w:tcW w:w="579" w:type="pct"/>
                  <w:vAlign w:val="center"/>
                </w:tcPr>
                <w:p w14:paraId="01DC032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试剂室</w:t>
                  </w:r>
                </w:p>
              </w:tc>
            </w:tr>
            <w:tr w14:paraId="4BFC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Align w:val="center"/>
                </w:tcPr>
                <w:p w14:paraId="25F1882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乙醇</w:t>
                  </w:r>
                </w:p>
              </w:tc>
              <w:tc>
                <w:tcPr>
                  <w:tcW w:w="842" w:type="pct"/>
                  <w:vAlign w:val="center"/>
                </w:tcPr>
                <w:p w14:paraId="0DF1541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64-17-5</w:t>
                  </w:r>
                </w:p>
              </w:tc>
              <w:tc>
                <w:tcPr>
                  <w:tcW w:w="842" w:type="pct"/>
                  <w:vAlign w:val="center"/>
                </w:tcPr>
                <w:p w14:paraId="641C3B0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AR，500mL/瓶</w:t>
                  </w:r>
                </w:p>
              </w:tc>
              <w:tc>
                <w:tcPr>
                  <w:tcW w:w="554" w:type="pct"/>
                  <w:vAlign w:val="center"/>
                </w:tcPr>
                <w:p w14:paraId="6E7A7ED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w:t>
                  </w:r>
                </w:p>
              </w:tc>
              <w:tc>
                <w:tcPr>
                  <w:tcW w:w="422" w:type="pct"/>
                  <w:vAlign w:val="center"/>
                </w:tcPr>
                <w:p w14:paraId="13C8C9C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0.789</w:t>
                  </w:r>
                </w:p>
              </w:tc>
              <w:tc>
                <w:tcPr>
                  <w:tcW w:w="626" w:type="pct"/>
                  <w:vAlign w:val="center"/>
                </w:tcPr>
                <w:p w14:paraId="5F7EAC7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0.00158</w:t>
                  </w:r>
                </w:p>
              </w:tc>
              <w:tc>
                <w:tcPr>
                  <w:tcW w:w="494" w:type="pct"/>
                  <w:vAlign w:val="center"/>
                </w:tcPr>
                <w:p w14:paraId="04D693B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瓶装</w:t>
                  </w:r>
                </w:p>
              </w:tc>
              <w:tc>
                <w:tcPr>
                  <w:tcW w:w="579" w:type="pct"/>
                  <w:vAlign w:val="center"/>
                </w:tcPr>
                <w:p w14:paraId="6C10CEE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药品室</w:t>
                  </w:r>
                </w:p>
              </w:tc>
            </w:tr>
            <w:tr w14:paraId="073B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Align w:val="center"/>
                </w:tcPr>
                <w:p w14:paraId="7CF4185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氨水</w:t>
                  </w:r>
                </w:p>
              </w:tc>
              <w:tc>
                <w:tcPr>
                  <w:tcW w:w="842" w:type="pct"/>
                  <w:vAlign w:val="center"/>
                </w:tcPr>
                <w:p w14:paraId="4692976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1336-21-6</w:t>
                  </w:r>
                </w:p>
              </w:tc>
              <w:tc>
                <w:tcPr>
                  <w:tcW w:w="842" w:type="pct"/>
                  <w:vAlign w:val="center"/>
                </w:tcPr>
                <w:p w14:paraId="3F1C08A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AR，500mL/瓶</w:t>
                  </w:r>
                </w:p>
              </w:tc>
              <w:tc>
                <w:tcPr>
                  <w:tcW w:w="554" w:type="pct"/>
                  <w:vAlign w:val="center"/>
                </w:tcPr>
                <w:p w14:paraId="30A3161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w:t>
                  </w:r>
                </w:p>
              </w:tc>
              <w:tc>
                <w:tcPr>
                  <w:tcW w:w="422" w:type="pct"/>
                  <w:vAlign w:val="center"/>
                </w:tcPr>
                <w:p w14:paraId="2B6D8F6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0.91</w:t>
                  </w:r>
                </w:p>
              </w:tc>
              <w:tc>
                <w:tcPr>
                  <w:tcW w:w="626" w:type="pct"/>
                  <w:vAlign w:val="center"/>
                </w:tcPr>
                <w:p w14:paraId="4BF78AB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0.00182</w:t>
                  </w:r>
                </w:p>
              </w:tc>
              <w:tc>
                <w:tcPr>
                  <w:tcW w:w="494" w:type="pct"/>
                  <w:vAlign w:val="center"/>
                </w:tcPr>
                <w:p w14:paraId="1420306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瓶装</w:t>
                  </w:r>
                </w:p>
              </w:tc>
              <w:tc>
                <w:tcPr>
                  <w:tcW w:w="579" w:type="pct"/>
                  <w:vAlign w:val="center"/>
                </w:tcPr>
                <w:p w14:paraId="69327E0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药品室</w:t>
                  </w:r>
                </w:p>
              </w:tc>
            </w:tr>
            <w:tr w14:paraId="28A4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Align w:val="center"/>
                </w:tcPr>
                <w:p w14:paraId="079FCCAE">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氢氧化钠</w:t>
                  </w:r>
                </w:p>
              </w:tc>
              <w:tc>
                <w:tcPr>
                  <w:tcW w:w="842" w:type="pct"/>
                  <w:vAlign w:val="center"/>
                </w:tcPr>
                <w:p w14:paraId="4B5495E9">
                  <w:pPr>
                    <w:keepNext w:val="0"/>
                    <w:keepLines w:val="0"/>
                    <w:suppressLineNumbers w:val="0"/>
                    <w:spacing w:before="0" w:beforeAutospacing="0" w:after="0" w:afterAutospacing="0"/>
                    <w:ind w:left="0" w:right="0"/>
                    <w:jc w:val="center"/>
                    <w:rPr>
                      <w:rFonts w:hint="default"/>
                      <w:color w:val="auto"/>
                      <w:szCs w:val="21"/>
                    </w:rPr>
                  </w:pPr>
                  <w:r>
                    <w:rPr>
                      <w:rFonts w:hint="eastAsia" w:eastAsiaTheme="minorEastAsia"/>
                      <w:color w:val="auto"/>
                      <w:szCs w:val="21"/>
                    </w:rPr>
                    <w:t>1310-73-2</w:t>
                  </w:r>
                </w:p>
              </w:tc>
              <w:tc>
                <w:tcPr>
                  <w:tcW w:w="842" w:type="pct"/>
                  <w:vAlign w:val="center"/>
                </w:tcPr>
                <w:p w14:paraId="67129CD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AR，500</w:t>
                  </w:r>
                  <w:r>
                    <w:rPr>
                      <w:rFonts w:hint="eastAsia"/>
                      <w:color w:val="auto"/>
                      <w:szCs w:val="21"/>
                      <w:lang w:val="en-US" w:eastAsia="zh-CN"/>
                    </w:rPr>
                    <w:t>g</w:t>
                  </w:r>
                  <w:r>
                    <w:rPr>
                      <w:rFonts w:hint="default"/>
                      <w:color w:val="auto"/>
                      <w:szCs w:val="21"/>
                    </w:rPr>
                    <w:t>/瓶</w:t>
                  </w:r>
                </w:p>
              </w:tc>
              <w:tc>
                <w:tcPr>
                  <w:tcW w:w="554" w:type="pct"/>
                  <w:vAlign w:val="center"/>
                </w:tcPr>
                <w:p w14:paraId="3C76366C">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1</w:t>
                  </w:r>
                </w:p>
              </w:tc>
              <w:tc>
                <w:tcPr>
                  <w:tcW w:w="422" w:type="pct"/>
                  <w:vAlign w:val="center"/>
                </w:tcPr>
                <w:p w14:paraId="669CEBC6">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2.12</w:t>
                  </w:r>
                </w:p>
              </w:tc>
              <w:tc>
                <w:tcPr>
                  <w:tcW w:w="626" w:type="pct"/>
                  <w:vAlign w:val="center"/>
                </w:tcPr>
                <w:p w14:paraId="41812A6C">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0.0005</w:t>
                  </w:r>
                </w:p>
              </w:tc>
              <w:tc>
                <w:tcPr>
                  <w:tcW w:w="806" w:type="dxa"/>
                  <w:vAlign w:val="center"/>
                </w:tcPr>
                <w:p w14:paraId="409B8AB0">
                  <w:pPr>
                    <w:keepNext w:val="0"/>
                    <w:keepLines w:val="0"/>
                    <w:suppressLineNumbers w:val="0"/>
                    <w:spacing w:before="0" w:beforeAutospacing="0" w:after="0" w:afterAutospacing="0"/>
                    <w:ind w:left="0" w:leftChars="0" w:right="0" w:rightChars="0"/>
                    <w:jc w:val="center"/>
                    <w:rPr>
                      <w:rFonts w:hint="default"/>
                      <w:color w:val="auto"/>
                      <w:szCs w:val="21"/>
                    </w:rPr>
                  </w:pPr>
                  <w:r>
                    <w:rPr>
                      <w:rFonts w:hint="default"/>
                      <w:color w:val="auto"/>
                      <w:szCs w:val="21"/>
                    </w:rPr>
                    <w:t>瓶装</w:t>
                  </w:r>
                </w:p>
              </w:tc>
              <w:tc>
                <w:tcPr>
                  <w:tcW w:w="945" w:type="dxa"/>
                  <w:vAlign w:val="center"/>
                </w:tcPr>
                <w:p w14:paraId="795F16BA">
                  <w:pPr>
                    <w:keepNext w:val="0"/>
                    <w:keepLines w:val="0"/>
                    <w:suppressLineNumbers w:val="0"/>
                    <w:spacing w:before="0" w:beforeAutospacing="0" w:after="0" w:afterAutospacing="0"/>
                    <w:ind w:left="0" w:leftChars="0" w:right="0" w:rightChars="0"/>
                    <w:jc w:val="center"/>
                    <w:rPr>
                      <w:rFonts w:hint="default"/>
                      <w:color w:val="auto"/>
                      <w:szCs w:val="21"/>
                    </w:rPr>
                  </w:pPr>
                  <w:r>
                    <w:rPr>
                      <w:rFonts w:hint="default"/>
                      <w:color w:val="auto"/>
                      <w:szCs w:val="21"/>
                    </w:rPr>
                    <w:t>药品室</w:t>
                  </w:r>
                </w:p>
              </w:tc>
            </w:tr>
          </w:tbl>
          <w:p w14:paraId="21835B91">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rPr>
            </w:pPr>
            <w:r>
              <w:rPr>
                <w:rFonts w:hint="default"/>
                <w:b/>
                <w:color w:val="auto"/>
                <w:kern w:val="0"/>
                <w:sz w:val="24"/>
              </w:rPr>
              <w:t>（2）风险潜势及评价等级判定</w:t>
            </w:r>
          </w:p>
          <w:p w14:paraId="01831BA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根据《建设项目环境风险评价技术导则》（HJ169-2018）中危险物质及工艺系统危险性P分级</w:t>
            </w:r>
            <w:r>
              <w:rPr>
                <w:rFonts w:hint="eastAsia" w:ascii="宋体" w:hAnsi="宋体" w:cs="宋体"/>
                <w:color w:val="auto"/>
                <w:sz w:val="24"/>
              </w:rPr>
              <w:t>∶</w:t>
            </w:r>
          </w:p>
          <w:p w14:paraId="4A5664F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当只涉及一种危险物质时，计算该物质的总量与其临界量比值，即为Q；</w:t>
            </w:r>
          </w:p>
          <w:p w14:paraId="6CBC608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当存在多种危险物质时，则按下式计算物质总量与其临界量比值（Q）：</w:t>
            </w:r>
          </w:p>
          <w:p w14:paraId="5F096F1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式中：q</w:t>
            </w:r>
            <w:r>
              <w:rPr>
                <w:rFonts w:hint="default"/>
                <w:color w:val="auto"/>
                <w:sz w:val="24"/>
                <w:vertAlign w:val="subscript"/>
              </w:rPr>
              <w:t>1</w:t>
            </w:r>
            <w:r>
              <w:rPr>
                <w:rFonts w:hint="default"/>
                <w:color w:val="auto"/>
                <w:sz w:val="24"/>
              </w:rPr>
              <w:t>，q</w:t>
            </w:r>
            <w:r>
              <w:rPr>
                <w:rFonts w:hint="default"/>
                <w:color w:val="auto"/>
                <w:sz w:val="24"/>
                <w:vertAlign w:val="subscript"/>
              </w:rPr>
              <w:t>2</w:t>
            </w:r>
            <w:r>
              <w:rPr>
                <w:rFonts w:hint="default"/>
                <w:color w:val="auto"/>
                <w:sz w:val="24"/>
              </w:rPr>
              <w:t>，q</w:t>
            </w:r>
            <w:r>
              <w:rPr>
                <w:rFonts w:hint="default"/>
                <w:color w:val="auto"/>
                <w:sz w:val="24"/>
                <w:vertAlign w:val="subscript"/>
              </w:rPr>
              <w:t>n</w:t>
            </w:r>
            <w:r>
              <w:rPr>
                <w:rFonts w:hint="default"/>
                <w:color w:val="auto"/>
                <w:sz w:val="24"/>
              </w:rPr>
              <w:t>--每种危险物质的最大存在总量，t。</w:t>
            </w:r>
          </w:p>
          <w:p w14:paraId="0DDB68E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Q</w:t>
            </w:r>
            <w:r>
              <w:rPr>
                <w:rFonts w:hint="default"/>
                <w:color w:val="auto"/>
                <w:sz w:val="24"/>
                <w:vertAlign w:val="subscript"/>
              </w:rPr>
              <w:t>1</w:t>
            </w:r>
            <w:r>
              <w:rPr>
                <w:rFonts w:hint="default"/>
                <w:color w:val="auto"/>
                <w:sz w:val="24"/>
              </w:rPr>
              <w:t>，Q</w:t>
            </w:r>
            <w:r>
              <w:rPr>
                <w:rFonts w:hint="default"/>
                <w:color w:val="auto"/>
                <w:sz w:val="24"/>
                <w:vertAlign w:val="subscript"/>
              </w:rPr>
              <w:t>2</w:t>
            </w:r>
            <w:r>
              <w:rPr>
                <w:rFonts w:hint="default"/>
                <w:color w:val="auto"/>
                <w:sz w:val="24"/>
              </w:rPr>
              <w:t>，Q</w:t>
            </w:r>
            <w:r>
              <w:rPr>
                <w:rFonts w:hint="default"/>
                <w:color w:val="auto"/>
                <w:sz w:val="24"/>
                <w:vertAlign w:val="subscript"/>
              </w:rPr>
              <w:t>n</w:t>
            </w:r>
            <w:r>
              <w:rPr>
                <w:rFonts w:hint="default"/>
                <w:color w:val="auto"/>
                <w:sz w:val="24"/>
              </w:rPr>
              <w:t xml:space="preserve"> --每种危险物质的临界量，t。</w:t>
            </w:r>
          </w:p>
          <w:p w14:paraId="4170BF7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Q=q</w:t>
            </w:r>
            <w:r>
              <w:rPr>
                <w:rFonts w:hint="default"/>
                <w:color w:val="auto"/>
                <w:sz w:val="24"/>
                <w:vertAlign w:val="subscript"/>
              </w:rPr>
              <w:t>1</w:t>
            </w:r>
            <w:r>
              <w:rPr>
                <w:rFonts w:hint="default"/>
                <w:color w:val="auto"/>
                <w:sz w:val="24"/>
              </w:rPr>
              <w:t>/Q</w:t>
            </w:r>
            <w:r>
              <w:rPr>
                <w:rFonts w:hint="default"/>
                <w:color w:val="auto"/>
                <w:sz w:val="24"/>
                <w:vertAlign w:val="subscript"/>
              </w:rPr>
              <w:t>1</w:t>
            </w:r>
            <w:r>
              <w:rPr>
                <w:rFonts w:hint="default"/>
                <w:color w:val="auto"/>
                <w:sz w:val="24"/>
              </w:rPr>
              <w:t>+q</w:t>
            </w:r>
            <w:r>
              <w:rPr>
                <w:rFonts w:hint="default"/>
                <w:color w:val="auto"/>
                <w:sz w:val="24"/>
                <w:vertAlign w:val="subscript"/>
              </w:rPr>
              <w:t>2</w:t>
            </w:r>
            <w:r>
              <w:rPr>
                <w:rFonts w:hint="default"/>
                <w:color w:val="auto"/>
                <w:sz w:val="24"/>
              </w:rPr>
              <w:t>/Q</w:t>
            </w:r>
            <w:r>
              <w:rPr>
                <w:rFonts w:hint="default"/>
                <w:color w:val="auto"/>
                <w:sz w:val="24"/>
                <w:vertAlign w:val="subscript"/>
              </w:rPr>
              <w:t>2</w:t>
            </w:r>
            <w:r>
              <w:rPr>
                <w:rFonts w:hint="default"/>
                <w:color w:val="auto"/>
                <w:sz w:val="24"/>
              </w:rPr>
              <w:t>+……+q</w:t>
            </w:r>
            <w:r>
              <w:rPr>
                <w:rFonts w:hint="default"/>
                <w:color w:val="auto"/>
                <w:sz w:val="24"/>
                <w:vertAlign w:val="subscript"/>
              </w:rPr>
              <w:t>n</w:t>
            </w:r>
            <w:r>
              <w:rPr>
                <w:rFonts w:hint="default"/>
                <w:color w:val="auto"/>
                <w:sz w:val="24"/>
              </w:rPr>
              <w:t>/Q</w:t>
            </w:r>
            <w:r>
              <w:rPr>
                <w:rFonts w:hint="default"/>
                <w:color w:val="auto"/>
                <w:sz w:val="24"/>
                <w:vertAlign w:val="subscript"/>
              </w:rPr>
              <w:t>n</w:t>
            </w:r>
          </w:p>
          <w:p w14:paraId="2349B915">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当Q＜1，该项目风险潜势为Ⅰ；</w:t>
            </w:r>
          </w:p>
          <w:p w14:paraId="3996920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当Q≥1，将Q 值划分为：（1）1≤Q＜10；（2）10≤Q＜100；（3）Q≥100。</w:t>
            </w:r>
          </w:p>
          <w:p w14:paraId="2ECC0865">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本项目涉及的危险物质与临界量比值Q计算结果见下表。</w:t>
            </w:r>
          </w:p>
          <w:p w14:paraId="0FD18CCE">
            <w:pPr>
              <w:keepNext w:val="0"/>
              <w:keepLines w:val="0"/>
              <w:suppressLineNumbers w:val="0"/>
              <w:spacing w:before="0" w:beforeAutospacing="0" w:after="0" w:afterAutospacing="0"/>
              <w:ind w:left="0" w:right="0"/>
              <w:contextualSpacing/>
              <w:jc w:val="center"/>
              <w:rPr>
                <w:rFonts w:hint="default"/>
                <w:b/>
                <w:bCs/>
                <w:color w:val="auto"/>
                <w:szCs w:val="21"/>
              </w:rPr>
            </w:pPr>
            <w:r>
              <w:rPr>
                <w:rFonts w:hint="default"/>
                <w:b/>
                <w:bCs/>
                <w:color w:val="auto"/>
                <w:szCs w:val="21"/>
              </w:rPr>
              <w:t>表 4-</w:t>
            </w:r>
            <w:r>
              <w:rPr>
                <w:rFonts w:hint="eastAsia"/>
                <w:b/>
                <w:bCs/>
                <w:color w:val="auto"/>
                <w:szCs w:val="21"/>
                <w:lang w:val="en-US" w:eastAsia="zh-CN"/>
              </w:rPr>
              <w:t>18</w:t>
            </w:r>
            <w:r>
              <w:rPr>
                <w:rFonts w:hint="default"/>
                <w:b/>
                <w:bCs/>
                <w:color w:val="auto"/>
                <w:szCs w:val="21"/>
              </w:rPr>
              <w:t xml:space="preserve">   实验室项目危险物质名称与临界值比值（Q）</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841"/>
              <w:gridCol w:w="1878"/>
              <w:gridCol w:w="1214"/>
              <w:gridCol w:w="1642"/>
            </w:tblGrid>
            <w:tr w14:paraId="5C64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vAlign w:val="center"/>
                </w:tcPr>
                <w:p w14:paraId="1122E484">
                  <w:pPr>
                    <w:keepNext w:val="0"/>
                    <w:keepLines w:val="0"/>
                    <w:suppressLineNumbers w:val="0"/>
                    <w:spacing w:before="0" w:beforeAutospacing="0" w:after="0" w:afterAutospacing="0" w:line="240" w:lineRule="exact"/>
                    <w:ind w:left="0" w:right="0"/>
                    <w:jc w:val="center"/>
                    <w:rPr>
                      <w:rFonts w:hint="default"/>
                      <w:b/>
                      <w:color w:val="auto"/>
                      <w:szCs w:val="21"/>
                    </w:rPr>
                  </w:pPr>
                  <w:r>
                    <w:rPr>
                      <w:rFonts w:hint="default"/>
                      <w:b/>
                      <w:color w:val="auto"/>
                      <w:szCs w:val="21"/>
                    </w:rPr>
                    <w:t>风险物质</w:t>
                  </w:r>
                </w:p>
              </w:tc>
              <w:tc>
                <w:tcPr>
                  <w:tcW w:w="1128" w:type="pct"/>
                  <w:vAlign w:val="center"/>
                </w:tcPr>
                <w:p w14:paraId="33A2D20A">
                  <w:pPr>
                    <w:keepNext w:val="0"/>
                    <w:keepLines w:val="0"/>
                    <w:suppressLineNumbers w:val="0"/>
                    <w:spacing w:before="0" w:beforeAutospacing="0" w:after="0" w:afterAutospacing="0" w:line="240" w:lineRule="exact"/>
                    <w:ind w:left="0" w:right="0"/>
                    <w:jc w:val="center"/>
                    <w:rPr>
                      <w:rFonts w:hint="default"/>
                      <w:b/>
                      <w:color w:val="auto"/>
                      <w:szCs w:val="21"/>
                    </w:rPr>
                  </w:pPr>
                  <w:r>
                    <w:rPr>
                      <w:rFonts w:hint="default"/>
                      <w:b/>
                      <w:color w:val="auto"/>
                      <w:szCs w:val="21"/>
                    </w:rPr>
                    <w:t>CAS号</w:t>
                  </w:r>
                </w:p>
              </w:tc>
              <w:tc>
                <w:tcPr>
                  <w:tcW w:w="1151" w:type="pct"/>
                  <w:vAlign w:val="center"/>
                </w:tcPr>
                <w:p w14:paraId="42F05E53">
                  <w:pPr>
                    <w:keepNext w:val="0"/>
                    <w:keepLines w:val="0"/>
                    <w:suppressLineNumbers w:val="0"/>
                    <w:spacing w:before="0" w:beforeAutospacing="0" w:after="0" w:afterAutospacing="0" w:line="240" w:lineRule="exact"/>
                    <w:ind w:left="0" w:right="0"/>
                    <w:jc w:val="center"/>
                    <w:rPr>
                      <w:rFonts w:hint="default"/>
                      <w:b/>
                      <w:color w:val="auto"/>
                      <w:szCs w:val="21"/>
                    </w:rPr>
                  </w:pPr>
                  <w:r>
                    <w:rPr>
                      <w:rFonts w:hint="default"/>
                      <w:b/>
                      <w:color w:val="auto"/>
                      <w:szCs w:val="21"/>
                    </w:rPr>
                    <w:t>最大储存量（t）</w:t>
                  </w:r>
                </w:p>
              </w:tc>
              <w:tc>
                <w:tcPr>
                  <w:tcW w:w="744" w:type="pct"/>
                  <w:vAlign w:val="center"/>
                </w:tcPr>
                <w:p w14:paraId="7EC13BD1">
                  <w:pPr>
                    <w:keepNext w:val="0"/>
                    <w:keepLines w:val="0"/>
                    <w:suppressLineNumbers w:val="0"/>
                    <w:spacing w:before="0" w:beforeAutospacing="0" w:after="0" w:afterAutospacing="0" w:line="240" w:lineRule="exact"/>
                    <w:ind w:left="0" w:right="0"/>
                    <w:jc w:val="center"/>
                    <w:rPr>
                      <w:rFonts w:hint="default"/>
                      <w:b/>
                      <w:color w:val="auto"/>
                      <w:szCs w:val="21"/>
                    </w:rPr>
                  </w:pPr>
                  <w:r>
                    <w:rPr>
                      <w:rFonts w:hint="default"/>
                      <w:b/>
                      <w:color w:val="auto"/>
                      <w:szCs w:val="21"/>
                    </w:rPr>
                    <w:t>临界量（t）</w:t>
                  </w:r>
                </w:p>
              </w:tc>
              <w:tc>
                <w:tcPr>
                  <w:tcW w:w="1006" w:type="pct"/>
                  <w:vAlign w:val="center"/>
                </w:tcPr>
                <w:p w14:paraId="410AE457">
                  <w:pPr>
                    <w:keepNext w:val="0"/>
                    <w:keepLines w:val="0"/>
                    <w:suppressLineNumbers w:val="0"/>
                    <w:spacing w:before="0" w:beforeAutospacing="0" w:after="0" w:afterAutospacing="0" w:line="240" w:lineRule="exact"/>
                    <w:ind w:left="0" w:right="0"/>
                    <w:jc w:val="center"/>
                    <w:rPr>
                      <w:rFonts w:hint="default"/>
                      <w:b/>
                      <w:color w:val="auto"/>
                      <w:szCs w:val="21"/>
                    </w:rPr>
                  </w:pPr>
                  <w:r>
                    <w:rPr>
                      <w:rFonts w:hint="default"/>
                      <w:b/>
                      <w:color w:val="auto"/>
                      <w:szCs w:val="21"/>
                    </w:rPr>
                    <w:t>临界量比值（Q）</w:t>
                  </w:r>
                </w:p>
              </w:tc>
            </w:tr>
            <w:tr w14:paraId="4BF1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vAlign w:val="center"/>
                </w:tcPr>
                <w:p w14:paraId="1EDE0B3C">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硫酸</w:t>
                  </w:r>
                </w:p>
              </w:tc>
              <w:tc>
                <w:tcPr>
                  <w:tcW w:w="1128" w:type="pct"/>
                  <w:vAlign w:val="center"/>
                </w:tcPr>
                <w:p w14:paraId="28AF84EE">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7664-93-9</w:t>
                  </w:r>
                </w:p>
              </w:tc>
              <w:tc>
                <w:tcPr>
                  <w:tcW w:w="1151" w:type="pct"/>
                  <w:vAlign w:val="center"/>
                </w:tcPr>
                <w:p w14:paraId="58F05236">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0.00368</w:t>
                  </w:r>
                </w:p>
              </w:tc>
              <w:tc>
                <w:tcPr>
                  <w:tcW w:w="744" w:type="pct"/>
                  <w:vAlign w:val="center"/>
                </w:tcPr>
                <w:p w14:paraId="446B0E42">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10</w:t>
                  </w:r>
                </w:p>
              </w:tc>
              <w:tc>
                <w:tcPr>
                  <w:tcW w:w="1006" w:type="pct"/>
                  <w:vAlign w:val="center"/>
                </w:tcPr>
                <w:p w14:paraId="02C62010">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0.000368</w:t>
                  </w:r>
                </w:p>
              </w:tc>
            </w:tr>
            <w:tr w14:paraId="4543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vAlign w:val="center"/>
                </w:tcPr>
                <w:p w14:paraId="21BAB574">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盐酸</w:t>
                  </w:r>
                </w:p>
              </w:tc>
              <w:tc>
                <w:tcPr>
                  <w:tcW w:w="1128" w:type="pct"/>
                  <w:vAlign w:val="center"/>
                </w:tcPr>
                <w:p w14:paraId="0BBF759D">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7647-01-0</w:t>
                  </w:r>
                </w:p>
              </w:tc>
              <w:tc>
                <w:tcPr>
                  <w:tcW w:w="1151" w:type="pct"/>
                  <w:vAlign w:val="center"/>
                </w:tcPr>
                <w:p w14:paraId="27C97046">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0.00119</w:t>
                  </w:r>
                </w:p>
              </w:tc>
              <w:tc>
                <w:tcPr>
                  <w:tcW w:w="744" w:type="pct"/>
                  <w:vAlign w:val="center"/>
                </w:tcPr>
                <w:p w14:paraId="2ADDE904">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7.5</w:t>
                  </w:r>
                </w:p>
              </w:tc>
              <w:tc>
                <w:tcPr>
                  <w:tcW w:w="1006" w:type="pct"/>
                  <w:vAlign w:val="center"/>
                </w:tcPr>
                <w:p w14:paraId="2154345B">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 xml:space="preserve">0.000158 </w:t>
                  </w:r>
                </w:p>
              </w:tc>
            </w:tr>
            <w:tr w14:paraId="100D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vAlign w:val="center"/>
                </w:tcPr>
                <w:p w14:paraId="42ABA439">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乙醇</w:t>
                  </w:r>
                </w:p>
              </w:tc>
              <w:tc>
                <w:tcPr>
                  <w:tcW w:w="1128" w:type="pct"/>
                  <w:vAlign w:val="center"/>
                </w:tcPr>
                <w:p w14:paraId="104F59B0">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64-17-5</w:t>
                  </w:r>
                </w:p>
              </w:tc>
              <w:tc>
                <w:tcPr>
                  <w:tcW w:w="1151" w:type="pct"/>
                  <w:vAlign w:val="center"/>
                </w:tcPr>
                <w:p w14:paraId="0005609B">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0.00158</w:t>
                  </w:r>
                </w:p>
              </w:tc>
              <w:tc>
                <w:tcPr>
                  <w:tcW w:w="744" w:type="pct"/>
                  <w:vAlign w:val="center"/>
                </w:tcPr>
                <w:p w14:paraId="1294F3F6">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500</w:t>
                  </w:r>
                </w:p>
              </w:tc>
              <w:tc>
                <w:tcPr>
                  <w:tcW w:w="1006" w:type="pct"/>
                  <w:vAlign w:val="center"/>
                </w:tcPr>
                <w:p w14:paraId="10F3663F">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0.00000316</w:t>
                  </w:r>
                </w:p>
              </w:tc>
            </w:tr>
            <w:tr w14:paraId="637F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vAlign w:val="center"/>
                </w:tcPr>
                <w:p w14:paraId="27C2212A">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氨水</w:t>
                  </w:r>
                </w:p>
              </w:tc>
              <w:tc>
                <w:tcPr>
                  <w:tcW w:w="1128" w:type="pct"/>
                  <w:vAlign w:val="center"/>
                </w:tcPr>
                <w:p w14:paraId="017BFE40">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1336-21-6</w:t>
                  </w:r>
                </w:p>
              </w:tc>
              <w:tc>
                <w:tcPr>
                  <w:tcW w:w="1151" w:type="pct"/>
                  <w:vAlign w:val="center"/>
                </w:tcPr>
                <w:p w14:paraId="3015792D">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0.00182</w:t>
                  </w:r>
                </w:p>
              </w:tc>
              <w:tc>
                <w:tcPr>
                  <w:tcW w:w="744" w:type="pct"/>
                  <w:vAlign w:val="center"/>
                </w:tcPr>
                <w:p w14:paraId="169FA65A">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10</w:t>
                  </w:r>
                </w:p>
              </w:tc>
              <w:tc>
                <w:tcPr>
                  <w:tcW w:w="1006" w:type="pct"/>
                  <w:vAlign w:val="center"/>
                </w:tcPr>
                <w:p w14:paraId="4E3E64FE">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0.000182</w:t>
                  </w:r>
                </w:p>
              </w:tc>
            </w:tr>
            <w:tr w14:paraId="5037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vAlign w:val="center"/>
                </w:tcPr>
                <w:p w14:paraId="56D19E3F">
                  <w:pPr>
                    <w:keepNext w:val="0"/>
                    <w:keepLines w:val="0"/>
                    <w:suppressLineNumbers w:val="0"/>
                    <w:spacing w:before="0" w:beforeAutospacing="0" w:after="0" w:afterAutospacing="0" w:line="240" w:lineRule="exact"/>
                    <w:ind w:left="0" w:right="0"/>
                    <w:jc w:val="center"/>
                    <w:rPr>
                      <w:rFonts w:hint="eastAsia" w:eastAsia="宋体"/>
                      <w:color w:val="auto"/>
                      <w:szCs w:val="21"/>
                      <w:lang w:val="en-US" w:eastAsia="zh-CN"/>
                    </w:rPr>
                  </w:pPr>
                  <w:r>
                    <w:rPr>
                      <w:rFonts w:hint="eastAsia"/>
                      <w:color w:val="auto"/>
                      <w:szCs w:val="21"/>
                      <w:lang w:val="en-US" w:eastAsia="zh-CN"/>
                    </w:rPr>
                    <w:t>氢氧化钠</w:t>
                  </w:r>
                </w:p>
              </w:tc>
              <w:tc>
                <w:tcPr>
                  <w:tcW w:w="1841" w:type="dxa"/>
                  <w:vAlign w:val="center"/>
                </w:tcPr>
                <w:p w14:paraId="18FD7D7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eastAsiaTheme="minorEastAsia"/>
                      <w:color w:val="auto"/>
                      <w:szCs w:val="21"/>
                    </w:rPr>
                    <w:t>1310-73-2</w:t>
                  </w:r>
                </w:p>
              </w:tc>
              <w:tc>
                <w:tcPr>
                  <w:tcW w:w="1878" w:type="dxa"/>
                  <w:vAlign w:val="center"/>
                </w:tcPr>
                <w:p w14:paraId="79A21A2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lang w:val="en-US" w:eastAsia="zh-CN"/>
                    </w:rPr>
                    <w:t>0.0005</w:t>
                  </w:r>
                </w:p>
              </w:tc>
              <w:tc>
                <w:tcPr>
                  <w:tcW w:w="1214" w:type="dxa"/>
                  <w:vAlign w:val="center"/>
                </w:tcPr>
                <w:p w14:paraId="69DE6EE7">
                  <w:pPr>
                    <w:pStyle w:val="73"/>
                    <w:keepNext w:val="0"/>
                    <w:keepLines w:val="0"/>
                    <w:suppressLineNumbers w:val="0"/>
                    <w:adjustRightInd w:val="0"/>
                    <w:snapToGrid w:val="0"/>
                    <w:spacing w:before="0" w:beforeAutospacing="0" w:after="0" w:afterAutospacing="0"/>
                    <w:ind w:left="0" w:right="0"/>
                    <w:rPr>
                      <w:rFonts w:hint="eastAsia" w:eastAsia="宋体"/>
                      <w:color w:val="auto"/>
                      <w:szCs w:val="21"/>
                      <w:lang w:eastAsia="zh-CN"/>
                    </w:rPr>
                  </w:pPr>
                  <w:r>
                    <w:rPr>
                      <w:rFonts w:hint="eastAsia" w:eastAsiaTheme="minorEastAsia"/>
                      <w:color w:val="auto"/>
                      <w:szCs w:val="21"/>
                      <w:lang w:val="en-US" w:eastAsia="zh-CN"/>
                    </w:rPr>
                    <w:t>/</w:t>
                  </w:r>
                </w:p>
              </w:tc>
              <w:tc>
                <w:tcPr>
                  <w:tcW w:w="1642" w:type="dxa"/>
                  <w:vAlign w:val="center"/>
                </w:tcPr>
                <w:p w14:paraId="1314DA65">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eastAsiaTheme="minorEastAsia"/>
                      <w:color w:val="auto"/>
                      <w:szCs w:val="21"/>
                    </w:rPr>
                    <w:t>/</w:t>
                  </w:r>
                </w:p>
              </w:tc>
            </w:tr>
            <w:tr w14:paraId="1AFC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4" w:type="pct"/>
                  <w:gridSpan w:val="4"/>
                  <w:vAlign w:val="center"/>
                </w:tcPr>
                <w:p w14:paraId="1E3A562B">
                  <w:pPr>
                    <w:keepNext w:val="0"/>
                    <w:keepLines w:val="0"/>
                    <w:suppressLineNumbers w:val="0"/>
                    <w:spacing w:before="0" w:beforeAutospacing="0" w:after="0" w:afterAutospacing="0" w:line="240" w:lineRule="exact"/>
                    <w:ind w:left="0" w:right="0"/>
                    <w:jc w:val="center"/>
                    <w:rPr>
                      <w:rFonts w:hint="default"/>
                      <w:b/>
                      <w:color w:val="auto"/>
                      <w:szCs w:val="21"/>
                    </w:rPr>
                  </w:pPr>
                  <w:r>
                    <w:rPr>
                      <w:rFonts w:hint="default"/>
                      <w:b/>
                      <w:color w:val="auto"/>
                      <w:szCs w:val="21"/>
                    </w:rPr>
                    <w:t>合计</w:t>
                  </w:r>
                </w:p>
              </w:tc>
              <w:tc>
                <w:tcPr>
                  <w:tcW w:w="1006" w:type="pct"/>
                  <w:vAlign w:val="center"/>
                </w:tcPr>
                <w:p w14:paraId="10A140DC">
                  <w:pPr>
                    <w:keepNext w:val="0"/>
                    <w:keepLines w:val="0"/>
                    <w:suppressLineNumbers w:val="0"/>
                    <w:spacing w:before="0" w:beforeAutospacing="0" w:after="0" w:afterAutospacing="0" w:line="240" w:lineRule="exact"/>
                    <w:ind w:left="0" w:right="0"/>
                    <w:jc w:val="center"/>
                    <w:rPr>
                      <w:rFonts w:hint="default"/>
                      <w:b/>
                      <w:color w:val="auto"/>
                      <w:szCs w:val="21"/>
                    </w:rPr>
                  </w:pPr>
                  <w:r>
                    <w:rPr>
                      <w:rFonts w:hint="default"/>
                      <w:b/>
                      <w:color w:val="auto"/>
                      <w:szCs w:val="21"/>
                    </w:rPr>
                    <w:t>0.000711</w:t>
                  </w:r>
                </w:p>
              </w:tc>
            </w:tr>
          </w:tbl>
          <w:p w14:paraId="0674855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根据上表可知，项目风险物质最大存储量与临界量比值的和为Q=0.000711＜1，综合判定项目风险潜势均为Ⅰ。</w:t>
            </w:r>
          </w:p>
          <w:p w14:paraId="6FC0987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根据《建设项目环境风险评价技术导则》（HJ/T169-2018）评价工作等级划分标准，项目环境风险潜势均为Ⅰ，环境风险评价作等级均为：简单分析。</w:t>
            </w:r>
          </w:p>
          <w:p w14:paraId="2D1283A5">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rPr>
            </w:pPr>
            <w:r>
              <w:rPr>
                <w:rFonts w:hint="default"/>
                <w:b/>
                <w:color w:val="auto"/>
                <w:kern w:val="0"/>
                <w:sz w:val="24"/>
              </w:rPr>
              <w:t>（3）环境风险影响途径</w:t>
            </w:r>
          </w:p>
          <w:p w14:paraId="0789978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①</w:t>
            </w:r>
            <w:r>
              <w:rPr>
                <w:rFonts w:hint="default"/>
                <w:color w:val="auto"/>
                <w:sz w:val="24"/>
              </w:rPr>
              <w:t>项目使用的原料乙醇属于易燃物质，遇到明火，可能导致火灾甚至爆炸，造成次生环境灾害。</w:t>
            </w:r>
          </w:p>
          <w:p w14:paraId="130A6DF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②</w:t>
            </w:r>
            <w:r>
              <w:rPr>
                <w:rFonts w:hint="default"/>
                <w:color w:val="auto"/>
                <w:sz w:val="24"/>
              </w:rPr>
              <w:t>项目使用的原料硫酸、盐酸、氨水等，在原料装卸、储存及使用过程泄漏存在发生皮肤腐蚀、刺激的隐患。虽然发生皮肤腐蚀、刺激的概率很低，但一旦发生，将对环境、周围人群健康安全造成影响。</w:t>
            </w:r>
          </w:p>
          <w:p w14:paraId="15706DA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③</w:t>
            </w:r>
            <w:r>
              <w:rPr>
                <w:rFonts w:hint="default"/>
                <w:color w:val="auto"/>
                <w:sz w:val="24"/>
              </w:rPr>
              <w:t>废气治理设施产生故障导致有机废气废气未经有效处置排入大气环境，将会对周围环境造成一定影响。</w:t>
            </w:r>
          </w:p>
          <w:p w14:paraId="28C3E4E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本项目为检测实验室，根据项目的建设特点，大气污染物、废水、噪声等无论从浓度还是排放量上均较低，即使处理设施一旦发生事故，也不会对环境造成太大影响。</w:t>
            </w:r>
          </w:p>
          <w:p w14:paraId="515CC83C">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rPr>
            </w:pPr>
            <w:r>
              <w:rPr>
                <w:rFonts w:hint="default"/>
                <w:b/>
                <w:color w:val="auto"/>
                <w:kern w:val="0"/>
                <w:sz w:val="24"/>
              </w:rPr>
              <w:t>（4）环境风险影响分析</w:t>
            </w:r>
          </w:p>
          <w:p w14:paraId="5DA92445">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存在的环境风险主要是实验试剂的泄漏可能引起的腐蚀、中毒和火灾。在储存和使用过程中，由于操作不当等因素，可能会导致实验试剂的泄漏。由于项目使用化学品数量较少，可及时收集全部泄漏物，并转移到空置的容器内；或是可及时用抹布或专用醮布进行擦洗，不会引起泄漏污染。当发生火灾或爆炸时，会对项目所在建筑产生大的影响。但由于可燃物量小，只是小面积的影响，可及时快速处理，发生火灾爆炸的风险极小。对于有毒物质、腐蚀性物质和强氧化剂，只要进行快速收集处理，操作人员也注意事先做好防护工作，则产生较严重环境污染和人员健康损害事故的可能性很小，仅对事故区域周围近距离范围内环境空气有一定影响。</w:t>
            </w:r>
          </w:p>
          <w:p w14:paraId="489228A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实验过程中所涉及的各类试剂按理化性质分类存放于室内，正常操作情况下，废液均收集于专用容器内，不会对地表水环境造成影响。若发生泄漏，由于使用量少，并且实验室采用耐腐蚀地面；如及时采取有效措施进行清理，不随意冲洗地面，泄漏物质不会对周边水体和土壤造成影响。</w:t>
            </w:r>
          </w:p>
          <w:p w14:paraId="79ED68D6">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rPr>
            </w:pPr>
            <w:r>
              <w:rPr>
                <w:rFonts w:hint="default"/>
                <w:b/>
                <w:color w:val="auto"/>
                <w:kern w:val="0"/>
                <w:sz w:val="24"/>
              </w:rPr>
              <w:t>（5）环境风险防范措施</w:t>
            </w:r>
          </w:p>
          <w:p w14:paraId="55D5A803">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rPr>
            </w:pPr>
            <w:r>
              <w:rPr>
                <w:rFonts w:hint="default"/>
                <w:b/>
                <w:color w:val="auto"/>
                <w:sz w:val="24"/>
              </w:rPr>
              <w:t>1）危险化学品防范措施</w:t>
            </w:r>
          </w:p>
          <w:p w14:paraId="033084B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项目在实验过程中将使用到多种常见化学试剂，如硫酸、盐酸、乙醇等，所有危险化学品集中存储于药品室。实验室药品管理要求如下：</w:t>
            </w:r>
          </w:p>
          <w:p w14:paraId="06489FB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①</w:t>
            </w:r>
            <w:r>
              <w:rPr>
                <w:rFonts w:hint="default"/>
                <w:color w:val="auto"/>
                <w:sz w:val="24"/>
              </w:rPr>
              <w:t>贮存区应有与生产规模相适应的面积和空间用于存放试剂，避免差错和交叉污染，易燃易爆试剂设置防爆安全柜存放。</w:t>
            </w:r>
          </w:p>
          <w:p w14:paraId="05F2FE2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②</w:t>
            </w:r>
            <w:r>
              <w:rPr>
                <w:rFonts w:hint="default"/>
                <w:color w:val="auto"/>
                <w:sz w:val="24"/>
              </w:rPr>
              <w:t>化学试剂应指定专人保管，并有帐目。在固体试剂和液体试剂及化学性质不同或灭火方法相抵触的化学试剂应分柜存放。剧毒试剂应专柜存放，双人双锁保管。试剂使用应有记录，剧毒试剂的领用需实验室负责人签字。项目液体试剂存放柜内应设有托盘，将液体试剂存放于托盘上，避免试剂破损后的泄漏产生。</w:t>
            </w:r>
          </w:p>
          <w:p w14:paraId="1FB6424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③</w:t>
            </w:r>
            <w:r>
              <w:rPr>
                <w:rFonts w:hint="default"/>
                <w:color w:val="auto"/>
                <w:sz w:val="24"/>
              </w:rPr>
              <w:t>配制的试剂应贴标识，注明试剂名称、浓度、配制时间、有效期及配制人，配制的试剂除有特殊规定外，存放期不应超过三个月。定期检查试剂是否过期，过期试剂应及时妥善处置。</w:t>
            </w:r>
          </w:p>
          <w:p w14:paraId="28B82CB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④</w:t>
            </w:r>
            <w:r>
              <w:rPr>
                <w:rFonts w:hint="default"/>
                <w:color w:val="auto"/>
                <w:sz w:val="24"/>
              </w:rPr>
              <w:t>化学药品必须根据化质分类存放，易燃、易爆、剧毒学性、强腐蚀品不得混放。化学药品要存放在专用橱（柜）内，有存放专用橱（柜）的储藏室。易燃易爆物应远离火源。易挥发试剂应贮放在有通风设备的房间内。</w:t>
            </w:r>
          </w:p>
          <w:p w14:paraId="1A65C1E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⑤</w:t>
            </w:r>
            <w:r>
              <w:rPr>
                <w:rFonts w:hint="default"/>
                <w:color w:val="auto"/>
                <w:sz w:val="24"/>
              </w:rPr>
              <w:t>危险物品的采购和提运按公安部门和交通运输部门的有关规定办理。危险物品要单独存放，由双人双锁专人管理。存放剧毒物品的药品柜应坚固、保险，要健全严格的领取使用登记。</w:t>
            </w:r>
          </w:p>
          <w:p w14:paraId="134F5D4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⑥</w:t>
            </w:r>
            <w:r>
              <w:rPr>
                <w:rFonts w:hint="default"/>
                <w:color w:val="auto"/>
                <w:sz w:val="24"/>
              </w:rPr>
              <w:t>要经常检查危险物品，防止因变质、分解造成自燃、自爆事故。对剧毒物品的容器、变质料、废渣及废水等应予妥善处理。</w:t>
            </w:r>
          </w:p>
          <w:p w14:paraId="30478D05">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⑦</w:t>
            </w:r>
            <w:r>
              <w:rPr>
                <w:rFonts w:hint="default"/>
                <w:color w:val="auto"/>
                <w:sz w:val="24"/>
              </w:rPr>
              <w:t>火灾危害的控制</w:t>
            </w:r>
          </w:p>
          <w:p w14:paraId="505CC68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a、实验室消防器材应放置在靠近门边、走廊和过道的适当位置。灭火器要定期进行检查和维护，使其维持在有效期内。</w:t>
            </w:r>
          </w:p>
          <w:p w14:paraId="26E6609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b、在房间、走廊以及过道中应设置显著的火警标志</w:t>
            </w:r>
            <w:r>
              <w:rPr>
                <w:rFonts w:hint="eastAsia"/>
                <w:color w:val="auto"/>
                <w:sz w:val="24"/>
                <w:lang w:eastAsia="zh-CN"/>
              </w:rPr>
              <w:t>以及</w:t>
            </w:r>
            <w:r>
              <w:rPr>
                <w:rFonts w:hint="default"/>
                <w:color w:val="auto"/>
                <w:sz w:val="24"/>
              </w:rPr>
              <w:t>紧急通道标志，并应备有辅助出口确保人员可从实验室安全撤离。</w:t>
            </w:r>
          </w:p>
          <w:p w14:paraId="398EFA0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c、要加强对火源的管理。化学药品储藏室（橱）周围及内部严禁火源；实验室的火源要远离易燃、易爆物品，有火源时，不能离人。</w:t>
            </w:r>
          </w:p>
          <w:p w14:paraId="1384AD5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⑧</w:t>
            </w:r>
            <w:r>
              <w:rPr>
                <w:rFonts w:hint="default"/>
                <w:color w:val="auto"/>
                <w:sz w:val="24"/>
              </w:rPr>
              <w:t>“三废”处理</w:t>
            </w:r>
          </w:p>
          <w:p w14:paraId="236C630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回收的实验废液应分别用洁净的容器盛装，禁止混合贮存，以免发生剧烈化学反应而造成事故。分析人员可根据不同分析项目对废液分别收集、处理。项目实验过程配液及实验过程均在通风橱/集气罩内进行，通风橱/集气罩能将微量的挥发性气体收集，经净化装置处理后，通过通风管输送到本项目楼顶排放。废弃的有害固体药品严禁倒在生活垃圾处，必须经处理后作为危险废物处置。</w:t>
            </w:r>
          </w:p>
          <w:p w14:paraId="4A3AFEF0">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rPr>
            </w:pPr>
            <w:r>
              <w:rPr>
                <w:rFonts w:hint="default"/>
                <w:b/>
                <w:color w:val="auto"/>
                <w:sz w:val="24"/>
              </w:rPr>
              <w:t>2）危险化学品应急处置措施</w:t>
            </w:r>
          </w:p>
          <w:p w14:paraId="6F19925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①</w:t>
            </w:r>
            <w:r>
              <w:rPr>
                <w:rFonts w:hint="default"/>
                <w:color w:val="auto"/>
                <w:sz w:val="24"/>
              </w:rPr>
              <w:t>隔离事故区域、限制无关人员出入。</w:t>
            </w:r>
          </w:p>
          <w:p w14:paraId="37C782B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②</w:t>
            </w:r>
            <w:r>
              <w:rPr>
                <w:rFonts w:hint="default"/>
                <w:color w:val="auto"/>
                <w:sz w:val="24"/>
              </w:rPr>
              <w:t>应急人员必须戴好防毒面具（全面罩），穿好防护服（防毒服）对扩散出来的危险废物进行清理，禁止直接接触泄漏物。</w:t>
            </w:r>
          </w:p>
          <w:p w14:paraId="35994A1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③</w:t>
            </w:r>
            <w:r>
              <w:rPr>
                <w:rFonts w:hint="default"/>
                <w:color w:val="auto"/>
                <w:sz w:val="24"/>
              </w:rPr>
              <w:t>洒漏在地面的液体危险物质由责任部门（相关方由相关负责部门监督）用棉纱清除，棉纱放在危废收集容器内，作为危废处置。</w:t>
            </w:r>
          </w:p>
          <w:p w14:paraId="350AC8C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④</w:t>
            </w:r>
            <w:r>
              <w:rPr>
                <w:rFonts w:hint="default"/>
                <w:color w:val="auto"/>
                <w:sz w:val="24"/>
              </w:rPr>
              <w:t>洒漏的固体危险物质，立即进行妥善收集。</w:t>
            </w:r>
          </w:p>
          <w:p w14:paraId="77A6141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⑤</w:t>
            </w:r>
            <w:r>
              <w:rPr>
                <w:rFonts w:hint="default"/>
                <w:color w:val="auto"/>
                <w:sz w:val="24"/>
              </w:rPr>
              <w:t>对被危险废物污染的场地用清水处理，并将处理水进行收集处理；危险废物清理完成后需对受污染的地表水进行监测，并根据污染程度采取修复措施。</w:t>
            </w:r>
          </w:p>
          <w:p w14:paraId="4C2289E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⑥</w:t>
            </w:r>
            <w:r>
              <w:rPr>
                <w:rFonts w:hint="default"/>
                <w:color w:val="auto"/>
                <w:sz w:val="24"/>
              </w:rPr>
              <w:t>如原料发生外漏事故，则应避免扬尘，用清洁的铲子收集于干燥、洁净、有盖的容器中，转移回收至原料库；收集处理后对被污染的场地进行专门处理。</w:t>
            </w:r>
          </w:p>
          <w:p w14:paraId="1D3A3A2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⑦</w:t>
            </w:r>
            <w:r>
              <w:rPr>
                <w:rFonts w:hint="default"/>
                <w:color w:val="auto"/>
                <w:sz w:val="24"/>
              </w:rPr>
              <w:t>意外事故受伤就地隔离治疗，密切观察接触者，必要时请医院医生协助救治，由办公室负责。</w:t>
            </w:r>
          </w:p>
          <w:p w14:paraId="429A255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⑧</w:t>
            </w:r>
            <w:r>
              <w:rPr>
                <w:rFonts w:hint="default"/>
                <w:color w:val="auto"/>
                <w:sz w:val="24"/>
              </w:rPr>
              <w:t>危废仓应急设施有：消防沙、碎步或棉纱等。</w:t>
            </w:r>
          </w:p>
          <w:p w14:paraId="0E3FD404">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kern w:val="0"/>
                <w:sz w:val="24"/>
              </w:rPr>
            </w:pPr>
            <w:r>
              <w:rPr>
                <w:rFonts w:hint="default"/>
                <w:b/>
                <w:color w:val="auto"/>
                <w:kern w:val="0"/>
                <w:sz w:val="24"/>
              </w:rPr>
              <w:t>（6）应急预案</w:t>
            </w:r>
          </w:p>
          <w:p w14:paraId="13723FA2">
            <w:pPr>
              <w:keepNext w:val="0"/>
              <w:keepLines w:val="0"/>
              <w:suppressLineNumbers w:val="0"/>
              <w:autoSpaceDE w:val="0"/>
              <w:autoSpaceDN w:val="0"/>
              <w:adjustRightInd w:val="0"/>
              <w:spacing w:before="0" w:beforeAutospacing="0" w:after="0" w:afterAutospacing="0" w:line="360" w:lineRule="auto"/>
              <w:ind w:left="0" w:right="0" w:firstLine="480"/>
              <w:rPr>
                <w:rFonts w:hint="default"/>
                <w:b/>
                <w:color w:val="auto"/>
                <w:kern w:val="0"/>
                <w:sz w:val="24"/>
                <w:szCs w:val="20"/>
              </w:rPr>
            </w:pPr>
            <w:r>
              <w:rPr>
                <w:rFonts w:hint="default"/>
                <w:color w:val="auto"/>
                <w:kern w:val="0"/>
                <w:sz w:val="24"/>
                <w:szCs w:val="20"/>
              </w:rPr>
              <w:t>按照《建设项目环境风险评价技术导则》和《突发环境事件应急预案管理暂行办法》的通知（环发【2010】113号）的要求，</w:t>
            </w:r>
            <w:r>
              <w:rPr>
                <w:rFonts w:hint="default"/>
                <w:color w:val="auto"/>
                <w:sz w:val="24"/>
              </w:rPr>
              <w:t>云南勘中达岩土工程质量检测有限公司</w:t>
            </w:r>
            <w:r>
              <w:rPr>
                <w:rFonts w:hint="default"/>
                <w:color w:val="auto"/>
                <w:kern w:val="0"/>
                <w:sz w:val="24"/>
                <w:szCs w:val="20"/>
              </w:rPr>
              <w:t>应编环境事件应急预案，并报送当地生态环境部门备案，应急预案发布实施后及时公示并开展演练。</w:t>
            </w:r>
          </w:p>
          <w:p w14:paraId="03DA1856">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kern w:val="0"/>
                <w:sz w:val="24"/>
              </w:rPr>
            </w:pPr>
            <w:r>
              <w:rPr>
                <w:rFonts w:hint="default"/>
                <w:b/>
                <w:color w:val="auto"/>
                <w:kern w:val="0"/>
                <w:sz w:val="24"/>
              </w:rPr>
              <w:t>（7）风险评价结论</w:t>
            </w:r>
          </w:p>
          <w:p w14:paraId="414BDCE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rPr>
            </w:pPr>
            <w:r>
              <w:rPr>
                <w:rFonts w:hint="default"/>
                <w:color w:val="auto"/>
                <w:kern w:val="0"/>
                <w:sz w:val="24"/>
              </w:rPr>
              <w:t>综上所述，</w:t>
            </w:r>
            <w:r>
              <w:rPr>
                <w:rFonts w:hint="default"/>
                <w:color w:val="auto"/>
                <w:sz w:val="24"/>
              </w:rPr>
              <w:t>项目</w:t>
            </w:r>
            <w:r>
              <w:rPr>
                <w:rFonts w:hint="default"/>
                <w:color w:val="auto"/>
                <w:kern w:val="0"/>
                <w:sz w:val="24"/>
              </w:rPr>
              <w:t>通过采取本报告中的一些措施后，可在较大程度上避免风险的产生。同时项目建设方应针对本报告提出的环境风险，制定相应的应急预案，可在较短时间内控制风险对环境的影响范围和程度，避免危害周围环境和人群健康。在采取严格的风险防范措施和应急措施后，项目的环境风险是可控的。</w:t>
            </w:r>
          </w:p>
          <w:p w14:paraId="11525E1B">
            <w:pPr>
              <w:keepNext w:val="0"/>
              <w:keepLines w:val="0"/>
              <w:suppressLineNumbers w:val="0"/>
              <w:spacing w:before="0" w:beforeAutospacing="0" w:after="0" w:afterAutospacing="0"/>
              <w:ind w:left="0" w:right="0"/>
              <w:contextualSpacing/>
              <w:jc w:val="center"/>
              <w:rPr>
                <w:rFonts w:hint="default"/>
                <w:b/>
                <w:bCs/>
                <w:color w:val="auto"/>
                <w:szCs w:val="21"/>
              </w:rPr>
            </w:pPr>
            <w:r>
              <w:rPr>
                <w:rFonts w:hint="default"/>
                <w:b/>
                <w:bCs/>
                <w:color w:val="auto"/>
                <w:szCs w:val="21"/>
              </w:rPr>
              <w:t>表4-1</w:t>
            </w:r>
            <w:r>
              <w:rPr>
                <w:rFonts w:hint="eastAsia"/>
                <w:b/>
                <w:bCs/>
                <w:color w:val="auto"/>
                <w:szCs w:val="21"/>
                <w:lang w:val="en-US" w:eastAsia="zh-CN"/>
              </w:rPr>
              <w:t>9</w:t>
            </w:r>
            <w:r>
              <w:rPr>
                <w:rFonts w:hint="default"/>
                <w:b/>
                <w:bCs/>
                <w:color w:val="auto"/>
                <w:szCs w:val="21"/>
              </w:rPr>
              <w:t xml:space="preserve">  项目环境风险简单分析内容表</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Layout w:type="fixed"/>
              <w:tblCellMar>
                <w:top w:w="0" w:type="dxa"/>
                <w:left w:w="108" w:type="dxa"/>
                <w:bottom w:w="0" w:type="dxa"/>
                <w:right w:w="108" w:type="dxa"/>
              </w:tblCellMar>
            </w:tblPr>
            <w:tblGrid>
              <w:gridCol w:w="1530"/>
              <w:gridCol w:w="767"/>
              <w:gridCol w:w="1660"/>
              <w:gridCol w:w="889"/>
              <w:gridCol w:w="3313"/>
            </w:tblGrid>
            <w:tr w14:paraId="4F1ED926">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jc w:val="center"/>
              </w:trPr>
              <w:tc>
                <w:tcPr>
                  <w:tcW w:w="938" w:type="pct"/>
                  <w:vAlign w:val="center"/>
                </w:tcPr>
                <w:p w14:paraId="741274D2">
                  <w:pPr>
                    <w:keepNext w:val="0"/>
                    <w:keepLines w:val="0"/>
                    <w:suppressLineNumbers w:val="0"/>
                    <w:spacing w:before="0" w:beforeAutospacing="0" w:after="0" w:afterAutospacing="0"/>
                    <w:ind w:left="0" w:right="0"/>
                    <w:jc w:val="center"/>
                    <w:rPr>
                      <w:rFonts w:hint="default"/>
                      <w:b/>
                      <w:color w:val="auto"/>
                      <w:szCs w:val="21"/>
                    </w:rPr>
                  </w:pPr>
                  <w:r>
                    <w:rPr>
                      <w:rFonts w:hint="default"/>
                      <w:color w:val="auto"/>
                      <w:szCs w:val="21"/>
                    </w:rPr>
                    <w:t>建设项目名称</w:t>
                  </w:r>
                </w:p>
              </w:tc>
              <w:tc>
                <w:tcPr>
                  <w:tcW w:w="4062" w:type="pct"/>
                  <w:gridSpan w:val="4"/>
                  <w:vAlign w:val="center"/>
                </w:tcPr>
                <w:p w14:paraId="10A71259">
                  <w:pPr>
                    <w:keepNext w:val="0"/>
                    <w:keepLines w:val="0"/>
                    <w:suppressLineNumbers w:val="0"/>
                    <w:snapToGrid w:val="0"/>
                    <w:spacing w:before="0" w:beforeAutospacing="0" w:after="0" w:afterAutospacing="0"/>
                    <w:ind w:left="0" w:right="0"/>
                    <w:jc w:val="center"/>
                    <w:rPr>
                      <w:rFonts w:hint="default"/>
                      <w:b/>
                      <w:color w:val="auto"/>
                      <w:szCs w:val="21"/>
                    </w:rPr>
                  </w:pPr>
                  <w:r>
                    <w:rPr>
                      <w:rFonts w:hint="default" w:eastAsiaTheme="minorEastAsia"/>
                      <w:color w:val="auto"/>
                      <w:szCs w:val="21"/>
                    </w:rPr>
                    <w:t>云南</w:t>
                  </w:r>
                  <w:r>
                    <w:rPr>
                      <w:rFonts w:hint="eastAsia" w:eastAsiaTheme="minorEastAsia"/>
                      <w:color w:val="auto"/>
                      <w:szCs w:val="21"/>
                      <w:lang w:eastAsia="zh-CN"/>
                    </w:rPr>
                    <w:t>勘</w:t>
                  </w:r>
                  <w:r>
                    <w:rPr>
                      <w:rFonts w:hint="default" w:eastAsiaTheme="minorEastAsia"/>
                      <w:color w:val="auto"/>
                      <w:szCs w:val="21"/>
                    </w:rPr>
                    <w:t>中达岩土工程质量检测有限公司实验室建设项目</w:t>
                  </w:r>
                </w:p>
              </w:tc>
            </w:tr>
            <w:tr w14:paraId="3AFF86F9">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jc w:val="center"/>
              </w:trPr>
              <w:tc>
                <w:tcPr>
                  <w:tcW w:w="938" w:type="pct"/>
                  <w:vAlign w:val="center"/>
                </w:tcPr>
                <w:p w14:paraId="070DD7B4">
                  <w:pPr>
                    <w:keepNext w:val="0"/>
                    <w:keepLines w:val="0"/>
                    <w:suppressLineNumbers w:val="0"/>
                    <w:spacing w:before="0" w:beforeAutospacing="0" w:after="0" w:afterAutospacing="0"/>
                    <w:ind w:left="0" w:right="0"/>
                    <w:jc w:val="center"/>
                    <w:rPr>
                      <w:rFonts w:hint="default"/>
                      <w:b/>
                      <w:color w:val="auto"/>
                      <w:szCs w:val="21"/>
                    </w:rPr>
                  </w:pPr>
                  <w:r>
                    <w:rPr>
                      <w:rFonts w:hint="default"/>
                      <w:color w:val="auto"/>
                      <w:szCs w:val="21"/>
                    </w:rPr>
                    <w:t>建设地点</w:t>
                  </w:r>
                </w:p>
              </w:tc>
              <w:tc>
                <w:tcPr>
                  <w:tcW w:w="470" w:type="pct"/>
                  <w:vAlign w:val="center"/>
                </w:tcPr>
                <w:p w14:paraId="47F07145">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云南省</w:t>
                  </w:r>
                </w:p>
              </w:tc>
              <w:tc>
                <w:tcPr>
                  <w:tcW w:w="1017" w:type="pct"/>
                  <w:vAlign w:val="center"/>
                </w:tcPr>
                <w:p w14:paraId="15753D9C">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昆明市</w:t>
                  </w:r>
                </w:p>
              </w:tc>
              <w:tc>
                <w:tcPr>
                  <w:tcW w:w="545" w:type="pct"/>
                  <w:vAlign w:val="center"/>
                </w:tcPr>
                <w:p w14:paraId="2CE885F8">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盘龙区</w:t>
                  </w:r>
                </w:p>
              </w:tc>
              <w:tc>
                <w:tcPr>
                  <w:tcW w:w="2030" w:type="pct"/>
                  <w:vAlign w:val="center"/>
                </w:tcPr>
                <w:p w14:paraId="07D4D953">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茨坝街道昆机社区龙泉路714号附1号（昆明机床厂劳动服务公司）</w:t>
                  </w:r>
                </w:p>
              </w:tc>
            </w:tr>
            <w:tr w14:paraId="0DE98040">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jc w:val="center"/>
              </w:trPr>
              <w:tc>
                <w:tcPr>
                  <w:tcW w:w="938" w:type="pct"/>
                  <w:vAlign w:val="center"/>
                </w:tcPr>
                <w:p w14:paraId="47F1291C">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地理坐标</w:t>
                  </w:r>
                </w:p>
              </w:tc>
              <w:tc>
                <w:tcPr>
                  <w:tcW w:w="470" w:type="pct"/>
                  <w:vAlign w:val="center"/>
                </w:tcPr>
                <w:p w14:paraId="5D44AB0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经度</w:t>
                  </w:r>
                </w:p>
              </w:tc>
              <w:tc>
                <w:tcPr>
                  <w:tcW w:w="1017" w:type="pct"/>
                  <w:vAlign w:val="center"/>
                </w:tcPr>
                <w:p w14:paraId="4F8B03E3">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102°44′1.076″</w:t>
                  </w:r>
                </w:p>
              </w:tc>
              <w:tc>
                <w:tcPr>
                  <w:tcW w:w="545" w:type="pct"/>
                  <w:vAlign w:val="center"/>
                </w:tcPr>
                <w:p w14:paraId="3282D1CD">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纬度</w:t>
                  </w:r>
                </w:p>
              </w:tc>
              <w:tc>
                <w:tcPr>
                  <w:tcW w:w="2030" w:type="pct"/>
                  <w:vAlign w:val="center"/>
                </w:tcPr>
                <w:p w14:paraId="2150C308">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25°9′7.445″</w:t>
                  </w:r>
                </w:p>
              </w:tc>
            </w:tr>
            <w:tr w14:paraId="05D463FB">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jc w:val="center"/>
              </w:trPr>
              <w:tc>
                <w:tcPr>
                  <w:tcW w:w="938" w:type="pct"/>
                  <w:vAlign w:val="center"/>
                </w:tcPr>
                <w:p w14:paraId="4BDDBA75">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主要危险物质及分布</w:t>
                  </w:r>
                </w:p>
              </w:tc>
              <w:tc>
                <w:tcPr>
                  <w:tcW w:w="4062" w:type="pct"/>
                  <w:gridSpan w:val="4"/>
                  <w:vAlign w:val="center"/>
                </w:tcPr>
                <w:p w14:paraId="7EED6770">
                  <w:pPr>
                    <w:keepNext w:val="0"/>
                    <w:keepLines w:val="0"/>
                    <w:suppressLineNumbers w:val="0"/>
                    <w:snapToGrid w:val="0"/>
                    <w:spacing w:before="0" w:beforeAutospacing="0" w:after="0" w:afterAutospacing="0"/>
                    <w:ind w:left="0" w:right="0"/>
                    <w:rPr>
                      <w:rFonts w:hint="default"/>
                      <w:color w:val="auto"/>
                      <w:szCs w:val="21"/>
                    </w:rPr>
                  </w:pPr>
                  <w:r>
                    <w:rPr>
                      <w:rFonts w:hint="default"/>
                      <w:color w:val="auto"/>
                      <w:szCs w:val="21"/>
                    </w:rPr>
                    <w:t>硫酸、盐酸、氨水、乙醇</w:t>
                  </w:r>
                  <w:r>
                    <w:rPr>
                      <w:rFonts w:hint="eastAsia"/>
                      <w:color w:val="auto"/>
                      <w:szCs w:val="21"/>
                      <w:lang w:eastAsia="zh-CN"/>
                    </w:rPr>
                    <w:t>、</w:t>
                  </w:r>
                  <w:r>
                    <w:rPr>
                      <w:rFonts w:hint="eastAsia"/>
                      <w:color w:val="auto"/>
                      <w:szCs w:val="21"/>
                      <w:lang w:val="en-US" w:eastAsia="zh-CN"/>
                    </w:rPr>
                    <w:t>氢氧化钠</w:t>
                  </w:r>
                  <w:r>
                    <w:rPr>
                      <w:rFonts w:hint="default"/>
                      <w:color w:val="auto"/>
                      <w:szCs w:val="21"/>
                    </w:rPr>
                    <w:t>等。</w:t>
                  </w:r>
                </w:p>
              </w:tc>
            </w:tr>
            <w:tr w14:paraId="117E3EE7">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jc w:val="center"/>
              </w:trPr>
              <w:tc>
                <w:tcPr>
                  <w:tcW w:w="938" w:type="pct"/>
                  <w:vAlign w:val="center"/>
                </w:tcPr>
                <w:p w14:paraId="1CADFC04">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环境影响途径及危害后果（大气、地表水、地下水）</w:t>
                  </w:r>
                </w:p>
              </w:tc>
              <w:tc>
                <w:tcPr>
                  <w:tcW w:w="4062" w:type="pct"/>
                  <w:gridSpan w:val="4"/>
                  <w:vAlign w:val="center"/>
                </w:tcPr>
                <w:p w14:paraId="4D89D0BF">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ascii="宋体" w:hAnsi="宋体" w:cs="宋体"/>
                      <w:color w:val="auto"/>
                      <w:szCs w:val="21"/>
                    </w:rPr>
                    <w:t>①</w:t>
                  </w:r>
                  <w:r>
                    <w:rPr>
                      <w:rFonts w:hint="default"/>
                      <w:color w:val="auto"/>
                      <w:szCs w:val="21"/>
                    </w:rPr>
                    <w:t>项目使用的原料乙醇属于易燃物质，遇到明火，可能导致火灾甚至爆炸，造成次生环境灾害。</w:t>
                  </w:r>
                </w:p>
                <w:p w14:paraId="27F641A5">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ascii="宋体" w:hAnsi="宋体" w:cs="宋体"/>
                      <w:color w:val="auto"/>
                      <w:szCs w:val="21"/>
                    </w:rPr>
                    <w:t>②</w:t>
                  </w:r>
                  <w:r>
                    <w:rPr>
                      <w:rFonts w:hint="default"/>
                      <w:color w:val="auto"/>
                      <w:szCs w:val="21"/>
                    </w:rPr>
                    <w:t>项目使用的原料硫酸、盐酸、氨水等，在原料装卸、储存及使用过程泄漏存在发生皮肤腐蚀、刺激的隐患。虽然发生皮肤腐蚀、刺激的概率很低，但一旦发生，将对环境、周围人群健康安全造成影响。</w:t>
                  </w:r>
                </w:p>
                <w:p w14:paraId="2D6C3477">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ascii="宋体" w:hAnsi="宋体" w:cs="宋体"/>
                      <w:color w:val="auto"/>
                      <w:szCs w:val="21"/>
                    </w:rPr>
                    <w:t>③</w:t>
                  </w:r>
                  <w:r>
                    <w:rPr>
                      <w:rFonts w:hint="default"/>
                      <w:color w:val="auto"/>
                      <w:szCs w:val="21"/>
                    </w:rPr>
                    <w:t>废气治理设施产生故障导致有机废气废气未经有效处置排入大气环境，将会对周围环境造成一定影响。</w:t>
                  </w:r>
                </w:p>
              </w:tc>
            </w:tr>
            <w:tr w14:paraId="7BD43532">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jc w:val="center"/>
              </w:trPr>
              <w:tc>
                <w:tcPr>
                  <w:tcW w:w="938" w:type="pct"/>
                  <w:vAlign w:val="center"/>
                </w:tcPr>
                <w:p w14:paraId="732763C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风险防范措施要求</w:t>
                  </w:r>
                </w:p>
              </w:tc>
              <w:tc>
                <w:tcPr>
                  <w:tcW w:w="4062" w:type="pct"/>
                  <w:gridSpan w:val="4"/>
                  <w:vAlign w:val="center"/>
                </w:tcPr>
                <w:p w14:paraId="6FC5246D">
                  <w:pPr>
                    <w:pStyle w:val="41"/>
                    <w:keepNext w:val="0"/>
                    <w:keepLines w:val="0"/>
                    <w:numPr>
                      <w:ilvl w:val="0"/>
                      <w:numId w:val="2"/>
                    </w:numPr>
                    <w:suppressLineNumbers w:val="0"/>
                    <w:snapToGrid w:val="0"/>
                    <w:spacing w:before="0" w:beforeAutospacing="0" w:after="0" w:afterAutospacing="0"/>
                    <w:ind w:right="0" w:firstLineChars="0"/>
                    <w:rPr>
                      <w:rFonts w:hint="default"/>
                      <w:color w:val="auto"/>
                      <w:szCs w:val="21"/>
                    </w:rPr>
                  </w:pPr>
                  <w:r>
                    <w:rPr>
                      <w:rFonts w:hint="default"/>
                      <w:color w:val="auto"/>
                      <w:szCs w:val="21"/>
                    </w:rPr>
                    <w:t>危险化学品防范措施</w:t>
                  </w:r>
                </w:p>
                <w:p w14:paraId="1AB92E48">
                  <w:pPr>
                    <w:keepNext w:val="0"/>
                    <w:keepLines w:val="0"/>
                    <w:suppressLineNumbers w:val="0"/>
                    <w:snapToGrid w:val="0"/>
                    <w:spacing w:before="0" w:beforeAutospacing="0" w:after="0" w:afterAutospacing="0"/>
                    <w:ind w:left="0" w:right="0"/>
                    <w:rPr>
                      <w:rFonts w:hint="default"/>
                      <w:color w:val="auto"/>
                      <w:szCs w:val="21"/>
                    </w:rPr>
                  </w:pPr>
                  <w:r>
                    <w:rPr>
                      <w:rFonts w:hint="default"/>
                      <w:color w:val="auto"/>
                      <w:szCs w:val="21"/>
                    </w:rPr>
                    <w:t>项目在实验过程中将使用到多种常见化学试剂，如硫酸、盐酸等，所有危险化学品集中存储于试剂室。实验室药品管理要求如下：</w:t>
                  </w:r>
                </w:p>
                <w:p w14:paraId="21D2DC03">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①</w:t>
                  </w:r>
                  <w:r>
                    <w:rPr>
                      <w:rFonts w:hint="default"/>
                      <w:color w:val="auto"/>
                      <w:szCs w:val="21"/>
                    </w:rPr>
                    <w:t>贮存区应有与生产规模相适应的面积和空间用于存放试剂，避免差错和交叉污染，易燃易爆试剂设置防爆安全柜存放。</w:t>
                  </w:r>
                </w:p>
                <w:p w14:paraId="32DA9981">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②</w:t>
                  </w:r>
                  <w:r>
                    <w:rPr>
                      <w:rFonts w:hint="default"/>
                      <w:color w:val="auto"/>
                      <w:szCs w:val="21"/>
                    </w:rPr>
                    <w:t>化学试剂应指定专人保管，并有帐目。在固体试剂和液体试剂及化学性质不同或灭火方法相抵触的化学试剂应分柜存放。剧毒试剂应专柜存放，双人双锁保管。试剂使用应有记录，剧毒试剂的领用需实验室负责人签字。项目液体试剂存放柜内应设有托盘，将液体试剂存放于托盘上，避免试剂破损后的泄漏产生。</w:t>
                  </w:r>
                </w:p>
                <w:p w14:paraId="0FA480D0">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③</w:t>
                  </w:r>
                  <w:r>
                    <w:rPr>
                      <w:rFonts w:hint="default"/>
                      <w:color w:val="auto"/>
                      <w:szCs w:val="21"/>
                    </w:rPr>
                    <w:t>配制的试剂应贴标识，注明试剂名称、浓度、配制时间、有效期及配制人，配制的试剂除有特殊规定外，存放期不应超过三个月。定期检查试剂是否过期，过期试剂应及时妥善处置。</w:t>
                  </w:r>
                </w:p>
                <w:p w14:paraId="386084AB">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④</w:t>
                  </w:r>
                  <w:r>
                    <w:rPr>
                      <w:rFonts w:hint="default"/>
                      <w:color w:val="auto"/>
                      <w:szCs w:val="21"/>
                    </w:rPr>
                    <w:t>化学药品必须根据化质分类存放，易燃、易爆、剧毒学性、强腐蚀品不得混放。化学药品要存放在专用橱（柜）内，有存放专用橱（柜）的储藏室。易燃易爆物应远离火源。易挥发试剂应贮放在有通风设备的房间内。</w:t>
                  </w:r>
                </w:p>
                <w:p w14:paraId="6A7B4851">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⑤</w:t>
                  </w:r>
                  <w:r>
                    <w:rPr>
                      <w:rFonts w:hint="default"/>
                      <w:color w:val="auto"/>
                      <w:szCs w:val="21"/>
                    </w:rPr>
                    <w:t>危险物品的采购和提运按公安部门和交通运输部门的有关规定办理。危险物品要单独存放，由双人双锁专人管理。存放剧毒物品的药品柜应坚固、保险，要健全严格的领取使用登记。</w:t>
                  </w:r>
                </w:p>
                <w:p w14:paraId="37BF1B8A">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⑥</w:t>
                  </w:r>
                  <w:r>
                    <w:rPr>
                      <w:rFonts w:hint="default"/>
                      <w:color w:val="auto"/>
                      <w:szCs w:val="21"/>
                    </w:rPr>
                    <w:t>要经常检查危险物品，防止因变质、分解造成自燃、自爆事故。对剧毒物品的容器、变质料、废渣及废水等应予妥善处理。</w:t>
                  </w:r>
                </w:p>
                <w:p w14:paraId="791D7534">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⑦</w:t>
                  </w:r>
                  <w:r>
                    <w:rPr>
                      <w:rFonts w:hint="default"/>
                      <w:color w:val="auto"/>
                      <w:szCs w:val="21"/>
                    </w:rPr>
                    <w:t>火灾危害的控制</w:t>
                  </w:r>
                </w:p>
                <w:p w14:paraId="6E57E933">
                  <w:pPr>
                    <w:keepNext w:val="0"/>
                    <w:keepLines w:val="0"/>
                    <w:suppressLineNumbers w:val="0"/>
                    <w:snapToGrid w:val="0"/>
                    <w:spacing w:before="0" w:beforeAutospacing="0" w:after="0" w:afterAutospacing="0"/>
                    <w:ind w:left="0" w:right="0"/>
                    <w:rPr>
                      <w:rFonts w:hint="default"/>
                      <w:color w:val="auto"/>
                      <w:szCs w:val="21"/>
                    </w:rPr>
                  </w:pPr>
                  <w:r>
                    <w:rPr>
                      <w:rFonts w:hint="default"/>
                      <w:color w:val="auto"/>
                      <w:szCs w:val="21"/>
                    </w:rPr>
                    <w:t>a、实验室消防器材应放置在靠近门边、走廊和过道的适当位置。灭火器要定期进行检查和维护，使其维持在有效期内。</w:t>
                  </w:r>
                </w:p>
                <w:p w14:paraId="3CBB77BB">
                  <w:pPr>
                    <w:keepNext w:val="0"/>
                    <w:keepLines w:val="0"/>
                    <w:suppressLineNumbers w:val="0"/>
                    <w:snapToGrid w:val="0"/>
                    <w:spacing w:before="0" w:beforeAutospacing="0" w:after="0" w:afterAutospacing="0"/>
                    <w:ind w:left="0" w:right="0"/>
                    <w:rPr>
                      <w:rFonts w:hint="default"/>
                      <w:color w:val="auto"/>
                      <w:szCs w:val="21"/>
                    </w:rPr>
                  </w:pPr>
                  <w:r>
                    <w:rPr>
                      <w:rFonts w:hint="default"/>
                      <w:color w:val="auto"/>
                      <w:szCs w:val="21"/>
                    </w:rPr>
                    <w:t>b、在房间、走廊以及过道中应设置显著的火警标志</w:t>
                  </w:r>
                  <w:r>
                    <w:rPr>
                      <w:rFonts w:hint="eastAsia"/>
                      <w:color w:val="auto"/>
                      <w:szCs w:val="21"/>
                      <w:lang w:eastAsia="zh-CN"/>
                    </w:rPr>
                    <w:t>以及</w:t>
                  </w:r>
                  <w:r>
                    <w:rPr>
                      <w:rFonts w:hint="default"/>
                      <w:color w:val="auto"/>
                      <w:szCs w:val="21"/>
                    </w:rPr>
                    <w:t>紧急通道标志，并应备有辅助出口确保人员可从实验室安全撤离。</w:t>
                  </w:r>
                </w:p>
                <w:p w14:paraId="4FF925A5">
                  <w:pPr>
                    <w:keepNext w:val="0"/>
                    <w:keepLines w:val="0"/>
                    <w:suppressLineNumbers w:val="0"/>
                    <w:snapToGrid w:val="0"/>
                    <w:spacing w:before="0" w:beforeAutospacing="0" w:after="0" w:afterAutospacing="0"/>
                    <w:ind w:left="0" w:right="0"/>
                    <w:rPr>
                      <w:rFonts w:hint="default"/>
                      <w:color w:val="auto"/>
                      <w:szCs w:val="21"/>
                    </w:rPr>
                  </w:pPr>
                  <w:r>
                    <w:rPr>
                      <w:rFonts w:hint="default"/>
                      <w:color w:val="auto"/>
                      <w:szCs w:val="21"/>
                    </w:rPr>
                    <w:t>c、要加强对火源的管理。化学药品储藏室（橱）周围及内部严禁火源；实验室的火源要远离易燃、易爆物品，有火源时，不能离人。</w:t>
                  </w:r>
                </w:p>
                <w:p w14:paraId="0668A5F7">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⑧</w:t>
                  </w:r>
                  <w:r>
                    <w:rPr>
                      <w:rFonts w:hint="default"/>
                      <w:color w:val="auto"/>
                      <w:szCs w:val="21"/>
                    </w:rPr>
                    <w:t>“三废”处理</w:t>
                  </w:r>
                </w:p>
                <w:p w14:paraId="6EF7994D">
                  <w:pPr>
                    <w:keepNext w:val="0"/>
                    <w:keepLines w:val="0"/>
                    <w:suppressLineNumbers w:val="0"/>
                    <w:snapToGrid w:val="0"/>
                    <w:spacing w:before="0" w:beforeAutospacing="0" w:after="0" w:afterAutospacing="0"/>
                    <w:ind w:left="0" w:right="0"/>
                    <w:rPr>
                      <w:rFonts w:hint="default"/>
                      <w:color w:val="auto"/>
                      <w:szCs w:val="21"/>
                    </w:rPr>
                  </w:pPr>
                  <w:r>
                    <w:rPr>
                      <w:rFonts w:hint="default"/>
                      <w:color w:val="auto"/>
                      <w:szCs w:val="21"/>
                    </w:rPr>
                    <w:t>回收的实验废液应分别用洁净的容器盛装，禁止混合贮存，以免发生剧烈化学反应而造成事故。分析人员可根据不同分析项目对废液分别收集、处理。项目实验过程配液及实验过程均在通风橱/集气罩内进行，通风橱/集气罩能将微量的挥发性气体收集，经净化装置处理后，通过通风管输送到本项目楼顶排放。废弃的有害固体药品严禁倒在生活垃圾处，必须经处理后作为危险废物处置。</w:t>
                  </w:r>
                </w:p>
                <w:p w14:paraId="44C43EBC">
                  <w:pPr>
                    <w:keepNext w:val="0"/>
                    <w:keepLines w:val="0"/>
                    <w:suppressLineNumbers w:val="0"/>
                    <w:snapToGrid w:val="0"/>
                    <w:spacing w:before="0" w:beforeAutospacing="0" w:after="0" w:afterAutospacing="0"/>
                    <w:ind w:left="0" w:right="0"/>
                    <w:rPr>
                      <w:rFonts w:hint="default"/>
                      <w:color w:val="auto"/>
                      <w:szCs w:val="21"/>
                    </w:rPr>
                  </w:pPr>
                  <w:r>
                    <w:rPr>
                      <w:rFonts w:hint="default"/>
                      <w:color w:val="auto"/>
                      <w:szCs w:val="21"/>
                    </w:rPr>
                    <w:t>2）危险化学品应急处置措施</w:t>
                  </w:r>
                </w:p>
                <w:p w14:paraId="54685AB0">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①</w:t>
                  </w:r>
                  <w:r>
                    <w:rPr>
                      <w:rFonts w:hint="default"/>
                      <w:color w:val="auto"/>
                      <w:szCs w:val="21"/>
                    </w:rPr>
                    <w:t>隔离事故区域、限制无关人员出入。</w:t>
                  </w:r>
                </w:p>
                <w:p w14:paraId="615217BF">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②</w:t>
                  </w:r>
                  <w:r>
                    <w:rPr>
                      <w:rFonts w:hint="default"/>
                      <w:color w:val="auto"/>
                      <w:szCs w:val="21"/>
                    </w:rPr>
                    <w:t>应急人员必须戴好防毒面具（全面罩），穿好防护服（防毒服）对扩散出来的危险废物进行清理，禁止直接接触泄漏物。</w:t>
                  </w:r>
                </w:p>
                <w:p w14:paraId="330E59C1">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③</w:t>
                  </w:r>
                  <w:r>
                    <w:rPr>
                      <w:rFonts w:hint="default"/>
                      <w:color w:val="auto"/>
                      <w:szCs w:val="21"/>
                    </w:rPr>
                    <w:t>洒漏在地面的液体危险物质由责任部门（相关方由相关负责部门监督）用棉纱清除，棉纱放在危废收集容器内，作为危废处置。</w:t>
                  </w:r>
                </w:p>
                <w:p w14:paraId="71A002F7">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④</w:t>
                  </w:r>
                  <w:r>
                    <w:rPr>
                      <w:rFonts w:hint="default"/>
                      <w:color w:val="auto"/>
                      <w:szCs w:val="21"/>
                    </w:rPr>
                    <w:t>洒漏的固体危险物质，立即进行妥善收集。</w:t>
                  </w:r>
                </w:p>
                <w:p w14:paraId="6CFE55C7">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⑤</w:t>
                  </w:r>
                  <w:r>
                    <w:rPr>
                      <w:rFonts w:hint="default"/>
                      <w:color w:val="auto"/>
                      <w:szCs w:val="21"/>
                    </w:rPr>
                    <w:t>对被危险废物污染的场地用清水处理，并将处理水进行收集处理；危险废物清理完成后需对受污染的地表水进行监测，并根据污染程度采取修复措施。</w:t>
                  </w:r>
                </w:p>
                <w:p w14:paraId="1555EC5B">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⑥</w:t>
                  </w:r>
                  <w:r>
                    <w:rPr>
                      <w:rFonts w:hint="default"/>
                      <w:color w:val="auto"/>
                      <w:szCs w:val="21"/>
                    </w:rPr>
                    <w:t>如原料发生外漏事故，则应避免扬尘，用清洁的铲子收集于干燥、洁净、有盖的容器中，转移回收至原料库；收集处理后对被污染的场地进行专门处理。</w:t>
                  </w:r>
                </w:p>
                <w:p w14:paraId="4DE99003">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⑦</w:t>
                  </w:r>
                  <w:r>
                    <w:rPr>
                      <w:rFonts w:hint="default"/>
                      <w:color w:val="auto"/>
                      <w:szCs w:val="21"/>
                    </w:rPr>
                    <w:t>意外事故受伤就地隔离治疗，密切观察接触者，必要时请医院医生协助救治，由办公室负责。</w:t>
                  </w:r>
                </w:p>
                <w:p w14:paraId="552D55E9">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⑧</w:t>
                  </w:r>
                  <w:r>
                    <w:rPr>
                      <w:rFonts w:hint="default"/>
                      <w:color w:val="auto"/>
                      <w:szCs w:val="21"/>
                    </w:rPr>
                    <w:t>危废仓应急设施有：消防沙、碎步或棉纱等。</w:t>
                  </w:r>
                </w:p>
              </w:tc>
            </w:tr>
            <w:tr w14:paraId="405A1573">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5"/>
                  <w:vAlign w:val="center"/>
                </w:tcPr>
                <w:p w14:paraId="2E87590D">
                  <w:pPr>
                    <w:keepNext w:val="0"/>
                    <w:keepLines w:val="0"/>
                    <w:suppressLineNumbers w:val="0"/>
                    <w:snapToGrid w:val="0"/>
                    <w:spacing w:before="0" w:beforeAutospacing="0" w:after="0" w:afterAutospacing="0"/>
                    <w:ind w:left="0" w:right="0"/>
                    <w:rPr>
                      <w:rFonts w:hint="default"/>
                      <w:color w:val="auto"/>
                      <w:szCs w:val="21"/>
                    </w:rPr>
                  </w:pPr>
                  <w:r>
                    <w:rPr>
                      <w:rFonts w:hint="default"/>
                      <w:color w:val="auto"/>
                      <w:szCs w:val="21"/>
                    </w:rPr>
                    <w:t>填表说明（列出项目相关信息及评价说明）：根据项目 Q 值计算，判定环境风险潜势为 I，项目环境风险为简单分析。</w:t>
                  </w:r>
                </w:p>
              </w:tc>
            </w:tr>
          </w:tbl>
          <w:p w14:paraId="3172B83E">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default"/>
                <w:b/>
                <w:color w:val="auto"/>
                <w:kern w:val="0"/>
                <w:sz w:val="24"/>
              </w:rPr>
            </w:pPr>
            <w:r>
              <w:rPr>
                <w:rFonts w:hint="default"/>
                <w:b/>
                <w:color w:val="auto"/>
                <w:kern w:val="0"/>
                <w:sz w:val="24"/>
              </w:rPr>
              <w:t>9.环保竣工验收</w:t>
            </w:r>
          </w:p>
          <w:p w14:paraId="7F4C46E1">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表4-</w:t>
            </w:r>
            <w:r>
              <w:rPr>
                <w:rFonts w:hint="eastAsia" w:eastAsiaTheme="minorEastAsia"/>
                <w:b/>
                <w:color w:val="auto"/>
                <w:kern w:val="0"/>
                <w:szCs w:val="21"/>
                <w:lang w:val="en-US" w:eastAsia="zh-CN"/>
              </w:rPr>
              <w:t>20</w:t>
            </w:r>
            <w:r>
              <w:rPr>
                <w:rFonts w:hint="default" w:eastAsiaTheme="minorEastAsia"/>
                <w:b/>
                <w:color w:val="auto"/>
                <w:kern w:val="0"/>
                <w:szCs w:val="21"/>
              </w:rPr>
              <w:t xml:space="preserve">   环保设施竣工验收一览表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278"/>
              <w:gridCol w:w="465"/>
              <w:gridCol w:w="955"/>
              <w:gridCol w:w="1282"/>
              <w:gridCol w:w="1363"/>
              <w:gridCol w:w="929"/>
              <w:gridCol w:w="1765"/>
              <w:gridCol w:w="694"/>
            </w:tblGrid>
            <w:tr w14:paraId="55FF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17" w:type="pct"/>
                  <w:gridSpan w:val="3"/>
                  <w:vMerge w:val="restart"/>
                  <w:vAlign w:val="center"/>
                </w:tcPr>
                <w:p w14:paraId="3BF9FC72">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污染源项</w:t>
                  </w:r>
                </w:p>
              </w:tc>
              <w:tc>
                <w:tcPr>
                  <w:tcW w:w="1370" w:type="pct"/>
                  <w:gridSpan w:val="2"/>
                  <w:vAlign w:val="center"/>
                </w:tcPr>
                <w:p w14:paraId="79C4A78B">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污染因子</w:t>
                  </w:r>
                </w:p>
              </w:tc>
              <w:tc>
                <w:tcPr>
                  <w:tcW w:w="835" w:type="pct"/>
                  <w:vMerge w:val="restart"/>
                  <w:vAlign w:val="center"/>
                </w:tcPr>
                <w:p w14:paraId="06CA338A">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治理措施</w:t>
                  </w:r>
                </w:p>
              </w:tc>
              <w:tc>
                <w:tcPr>
                  <w:tcW w:w="569" w:type="pct"/>
                  <w:vMerge w:val="restart"/>
                  <w:vAlign w:val="center"/>
                </w:tcPr>
                <w:p w14:paraId="1B0FCDEF">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环保措施</w:t>
                  </w:r>
                </w:p>
              </w:tc>
              <w:tc>
                <w:tcPr>
                  <w:tcW w:w="1081" w:type="pct"/>
                  <w:vMerge w:val="restart"/>
                  <w:vAlign w:val="center"/>
                </w:tcPr>
                <w:p w14:paraId="0505757C">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验收标准</w:t>
                  </w:r>
                </w:p>
              </w:tc>
              <w:tc>
                <w:tcPr>
                  <w:tcW w:w="425" w:type="pct"/>
                  <w:vMerge w:val="restart"/>
                  <w:vAlign w:val="center"/>
                </w:tcPr>
                <w:p w14:paraId="24BEF739">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验收监测点</w:t>
                  </w:r>
                </w:p>
              </w:tc>
            </w:tr>
            <w:tr w14:paraId="1A0D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17" w:type="pct"/>
                  <w:gridSpan w:val="3"/>
                  <w:vMerge w:val="continue"/>
                  <w:vAlign w:val="center"/>
                </w:tcPr>
                <w:p w14:paraId="7BFDF20D">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color w:val="auto"/>
                      <w:kern w:val="0"/>
                      <w:sz w:val="18"/>
                      <w:szCs w:val="18"/>
                    </w:rPr>
                  </w:pPr>
                </w:p>
              </w:tc>
              <w:tc>
                <w:tcPr>
                  <w:tcW w:w="585" w:type="pct"/>
                  <w:vAlign w:val="center"/>
                </w:tcPr>
                <w:p w14:paraId="28FE009A">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污染源</w:t>
                  </w:r>
                </w:p>
              </w:tc>
              <w:tc>
                <w:tcPr>
                  <w:tcW w:w="785" w:type="pct"/>
                  <w:vAlign w:val="center"/>
                </w:tcPr>
                <w:p w14:paraId="636308C6">
                  <w:pPr>
                    <w:keepNext w:val="0"/>
                    <w:keepLines w:val="0"/>
                    <w:suppressLineNumbers w:val="0"/>
                    <w:adjustRightInd w:val="0"/>
                    <w:snapToGrid w:val="0"/>
                    <w:spacing w:before="0" w:beforeAutospacing="0" w:after="0" w:afterAutospacing="0"/>
                    <w:ind w:left="0" w:right="0"/>
                    <w:jc w:val="center"/>
                    <w:rPr>
                      <w:rFonts w:hint="default" w:eastAsiaTheme="minorEastAsia"/>
                      <w:b/>
                      <w:color w:val="auto"/>
                      <w:kern w:val="0"/>
                      <w:szCs w:val="21"/>
                    </w:rPr>
                  </w:pPr>
                  <w:r>
                    <w:rPr>
                      <w:rFonts w:hint="default" w:eastAsiaTheme="minorEastAsia"/>
                      <w:b/>
                      <w:color w:val="auto"/>
                      <w:kern w:val="0"/>
                      <w:szCs w:val="21"/>
                    </w:rPr>
                    <w:t>污染物</w:t>
                  </w:r>
                </w:p>
              </w:tc>
              <w:tc>
                <w:tcPr>
                  <w:tcW w:w="835" w:type="pct"/>
                  <w:vMerge w:val="continue"/>
                  <w:vAlign w:val="center"/>
                </w:tcPr>
                <w:p w14:paraId="03EAD1AA">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color w:val="auto"/>
                      <w:kern w:val="0"/>
                      <w:sz w:val="18"/>
                      <w:szCs w:val="18"/>
                    </w:rPr>
                  </w:pPr>
                </w:p>
              </w:tc>
              <w:tc>
                <w:tcPr>
                  <w:tcW w:w="569" w:type="pct"/>
                  <w:vMerge w:val="continue"/>
                  <w:vAlign w:val="center"/>
                </w:tcPr>
                <w:p w14:paraId="4FC84C94">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color w:val="auto"/>
                      <w:kern w:val="0"/>
                      <w:sz w:val="18"/>
                      <w:szCs w:val="18"/>
                    </w:rPr>
                  </w:pPr>
                </w:p>
              </w:tc>
              <w:tc>
                <w:tcPr>
                  <w:tcW w:w="1081" w:type="pct"/>
                  <w:vMerge w:val="continue"/>
                  <w:vAlign w:val="center"/>
                </w:tcPr>
                <w:p w14:paraId="216C6ADC">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color w:val="auto"/>
                      <w:kern w:val="0"/>
                      <w:sz w:val="18"/>
                      <w:szCs w:val="18"/>
                    </w:rPr>
                  </w:pPr>
                </w:p>
              </w:tc>
              <w:tc>
                <w:tcPr>
                  <w:tcW w:w="425" w:type="pct"/>
                  <w:vMerge w:val="continue"/>
                  <w:vAlign w:val="center"/>
                </w:tcPr>
                <w:p w14:paraId="28D5E8AF">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color w:val="auto"/>
                      <w:kern w:val="0"/>
                      <w:sz w:val="18"/>
                      <w:szCs w:val="18"/>
                    </w:rPr>
                  </w:pPr>
                </w:p>
              </w:tc>
            </w:tr>
            <w:tr w14:paraId="315B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Merge w:val="restart"/>
                  <w:vAlign w:val="center"/>
                </w:tcPr>
                <w:p w14:paraId="2123C786">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w:t>
                  </w:r>
                </w:p>
              </w:tc>
              <w:tc>
                <w:tcPr>
                  <w:tcW w:w="455" w:type="pct"/>
                  <w:gridSpan w:val="2"/>
                  <w:vMerge w:val="restart"/>
                  <w:vAlign w:val="center"/>
                </w:tcPr>
                <w:p w14:paraId="3857D8A7">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DA001排气筒</w:t>
                  </w:r>
                </w:p>
              </w:tc>
              <w:tc>
                <w:tcPr>
                  <w:tcW w:w="585" w:type="pct"/>
                  <w:vMerge w:val="restart"/>
                  <w:vAlign w:val="center"/>
                </w:tcPr>
                <w:p w14:paraId="595B7D72">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化学实验室</w:t>
                  </w:r>
                </w:p>
              </w:tc>
              <w:tc>
                <w:tcPr>
                  <w:tcW w:w="785" w:type="pct"/>
                  <w:vAlign w:val="center"/>
                </w:tcPr>
                <w:p w14:paraId="770EBCFE">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非甲烷总烃</w:t>
                  </w:r>
                  <w:r>
                    <w:rPr>
                      <w:rFonts w:hint="default" w:ascii="Times New Roman" w:hAnsi="Times New Roman" w:eastAsia="宋体" w:cs="Times New Roman"/>
                      <w:color w:val="auto"/>
                      <w:kern w:val="0"/>
                      <w:sz w:val="18"/>
                      <w:szCs w:val="18"/>
                    </w:rPr>
                    <w:t>、氯化氢、硫酸雾</w:t>
                  </w:r>
                </w:p>
              </w:tc>
              <w:tc>
                <w:tcPr>
                  <w:tcW w:w="835" w:type="pct"/>
                  <w:vMerge w:val="restart"/>
                  <w:vAlign w:val="center"/>
                </w:tcPr>
                <w:p w14:paraId="0306D4AD">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通风橱、集气罩收集+喷淋</w:t>
                  </w:r>
                  <w:r>
                    <w:rPr>
                      <w:rFonts w:hint="default" w:ascii="Times New Roman" w:hAnsi="Times New Roman" w:eastAsia="宋体" w:cs="Times New Roman"/>
                      <w:color w:val="auto"/>
                      <w:kern w:val="0"/>
                      <w:sz w:val="18"/>
                      <w:szCs w:val="18"/>
                      <w:lang w:val="en-US" w:eastAsia="zh-CN"/>
                    </w:rPr>
                    <w:t>设施</w:t>
                  </w:r>
                  <w:r>
                    <w:rPr>
                      <w:rFonts w:hint="default" w:ascii="Times New Roman" w:hAnsi="Times New Roman" w:eastAsia="宋体" w:cs="Times New Roman"/>
                      <w:color w:val="auto"/>
                      <w:kern w:val="0"/>
                      <w:sz w:val="18"/>
                      <w:szCs w:val="18"/>
                    </w:rPr>
                    <w:t>+</w:t>
                  </w:r>
                  <w:r>
                    <w:rPr>
                      <w:rFonts w:hint="eastAsia" w:cs="Times New Roman"/>
                      <w:color w:val="auto"/>
                      <w:kern w:val="0"/>
                      <w:sz w:val="18"/>
                      <w:szCs w:val="18"/>
                      <w:lang w:val="en-US" w:eastAsia="zh-CN"/>
                    </w:rPr>
                    <w:t>1#二级</w:t>
                  </w:r>
                  <w:r>
                    <w:rPr>
                      <w:rFonts w:hint="default" w:ascii="Times New Roman" w:hAnsi="Times New Roman" w:eastAsia="宋体" w:cs="Times New Roman"/>
                      <w:color w:val="auto"/>
                      <w:kern w:val="0"/>
                      <w:sz w:val="18"/>
                      <w:szCs w:val="18"/>
                    </w:rPr>
                    <w:t>活性炭吸附装置</w:t>
                  </w:r>
                </w:p>
              </w:tc>
              <w:tc>
                <w:tcPr>
                  <w:tcW w:w="569" w:type="pct"/>
                  <w:vMerge w:val="restart"/>
                  <w:vAlign w:val="center"/>
                </w:tcPr>
                <w:p w14:paraId="13439436">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1根15m高排气筒</w:t>
                  </w:r>
                </w:p>
              </w:tc>
              <w:tc>
                <w:tcPr>
                  <w:tcW w:w="1081" w:type="pct"/>
                  <w:vAlign w:val="center"/>
                </w:tcPr>
                <w:p w14:paraId="281E2905">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《大气污染物综合排放标准》（GB16297-1996）表2二级排放限值严格50%。</w:t>
                  </w:r>
                </w:p>
              </w:tc>
              <w:tc>
                <w:tcPr>
                  <w:tcW w:w="425" w:type="pct"/>
                  <w:vMerge w:val="restart"/>
                  <w:vAlign w:val="center"/>
                </w:tcPr>
                <w:p w14:paraId="60199A0E">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排气口</w:t>
                  </w:r>
                </w:p>
              </w:tc>
            </w:tr>
            <w:tr w14:paraId="1C89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Merge w:val="continue"/>
                  <w:vAlign w:val="center"/>
                </w:tcPr>
                <w:p w14:paraId="00256F7C">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18"/>
                      <w:szCs w:val="18"/>
                    </w:rPr>
                  </w:pPr>
                </w:p>
              </w:tc>
              <w:tc>
                <w:tcPr>
                  <w:tcW w:w="455" w:type="pct"/>
                  <w:gridSpan w:val="2"/>
                  <w:vMerge w:val="continue"/>
                  <w:vAlign w:val="center"/>
                </w:tcPr>
                <w:p w14:paraId="754E501F">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18"/>
                      <w:szCs w:val="18"/>
                    </w:rPr>
                  </w:pPr>
                </w:p>
              </w:tc>
              <w:tc>
                <w:tcPr>
                  <w:tcW w:w="585" w:type="pct"/>
                  <w:vMerge w:val="continue"/>
                  <w:vAlign w:val="center"/>
                </w:tcPr>
                <w:p w14:paraId="5FDE4672">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18"/>
                      <w:szCs w:val="18"/>
                    </w:rPr>
                  </w:pPr>
                </w:p>
              </w:tc>
              <w:tc>
                <w:tcPr>
                  <w:tcW w:w="785" w:type="pct"/>
                  <w:vAlign w:val="center"/>
                </w:tcPr>
                <w:p w14:paraId="3935B442">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rPr>
                    <w:t>氨</w:t>
                  </w:r>
                </w:p>
              </w:tc>
              <w:tc>
                <w:tcPr>
                  <w:tcW w:w="835" w:type="pct"/>
                  <w:vMerge w:val="continue"/>
                  <w:vAlign w:val="center"/>
                </w:tcPr>
                <w:p w14:paraId="48658AEF">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18"/>
                      <w:szCs w:val="18"/>
                    </w:rPr>
                  </w:pPr>
                </w:p>
              </w:tc>
              <w:tc>
                <w:tcPr>
                  <w:tcW w:w="569" w:type="pct"/>
                  <w:vMerge w:val="continue"/>
                  <w:vAlign w:val="center"/>
                </w:tcPr>
                <w:p w14:paraId="60DB9208">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18"/>
                      <w:szCs w:val="18"/>
                    </w:rPr>
                  </w:pPr>
                </w:p>
              </w:tc>
              <w:tc>
                <w:tcPr>
                  <w:tcW w:w="1081" w:type="pct"/>
                  <w:vAlign w:val="center"/>
                </w:tcPr>
                <w:p w14:paraId="3FE40B99">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18"/>
                      <w:szCs w:val="18"/>
                    </w:rPr>
                  </w:pPr>
                  <w:r>
                    <w:rPr>
                      <w:rFonts w:hint="default" w:ascii="Times New Roman" w:cs="Times New Roman"/>
                      <w:color w:val="auto"/>
                      <w:sz w:val="18"/>
                      <w:szCs w:val="18"/>
                    </w:rPr>
                    <w:t>《恶臭污染物排放标准》（</w:t>
                  </w:r>
                  <w:r>
                    <w:rPr>
                      <w:rFonts w:hint="default" w:ascii="Times New Roman" w:hAnsi="Times New Roman" w:cs="Times New Roman"/>
                      <w:color w:val="auto"/>
                      <w:sz w:val="18"/>
                      <w:szCs w:val="18"/>
                    </w:rPr>
                    <w:t>GB14554-93</w:t>
                  </w:r>
                  <w:r>
                    <w:rPr>
                      <w:rFonts w:hint="default" w:ascii="Times New Roman" w:cs="Times New Roman"/>
                      <w:color w:val="auto"/>
                      <w:sz w:val="18"/>
                      <w:szCs w:val="18"/>
                    </w:rPr>
                    <w:t>）表</w:t>
                  </w:r>
                  <w:r>
                    <w:rPr>
                      <w:rFonts w:hint="default" w:ascii="Times New Roman" w:hAnsi="Times New Roman" w:cs="Times New Roman"/>
                      <w:color w:val="auto"/>
                      <w:sz w:val="18"/>
                      <w:szCs w:val="18"/>
                    </w:rPr>
                    <w:t>2</w:t>
                  </w:r>
                  <w:r>
                    <w:rPr>
                      <w:rFonts w:hint="default" w:ascii="Times New Roman" w:cs="Times New Roman"/>
                      <w:color w:val="auto"/>
                      <w:sz w:val="18"/>
                      <w:szCs w:val="18"/>
                    </w:rPr>
                    <w:t>相关排放标准限值。</w:t>
                  </w:r>
                </w:p>
              </w:tc>
              <w:tc>
                <w:tcPr>
                  <w:tcW w:w="425" w:type="pct"/>
                  <w:vMerge w:val="continue"/>
                  <w:vAlign w:val="center"/>
                </w:tcPr>
                <w:p w14:paraId="31A0106D">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18"/>
                      <w:szCs w:val="18"/>
                    </w:rPr>
                  </w:pPr>
                </w:p>
              </w:tc>
            </w:tr>
            <w:tr w14:paraId="4961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62" w:type="pct"/>
                  <w:vMerge w:val="continue"/>
                  <w:vAlign w:val="center"/>
                </w:tcPr>
                <w:p w14:paraId="625DC429">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p>
              </w:tc>
              <w:tc>
                <w:tcPr>
                  <w:tcW w:w="455" w:type="pct"/>
                  <w:gridSpan w:val="2"/>
                  <w:vAlign w:val="center"/>
                </w:tcPr>
                <w:p w14:paraId="6BD08FE7">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color w:val="auto"/>
                      <w:sz w:val="18"/>
                      <w:szCs w:val="18"/>
                    </w:rPr>
                    <w:t>DA002排气筒</w:t>
                  </w:r>
                </w:p>
              </w:tc>
              <w:tc>
                <w:tcPr>
                  <w:tcW w:w="585" w:type="pct"/>
                  <w:vAlign w:val="center"/>
                </w:tcPr>
                <w:p w14:paraId="2FE56A25">
                  <w:pPr>
                    <w:keepNext w:val="0"/>
                    <w:keepLines w:val="0"/>
                    <w:suppressLineNumbers w:val="0"/>
                    <w:adjustRightInd w:val="0"/>
                    <w:snapToGrid w:val="0"/>
                    <w:spacing w:before="0" w:beforeAutospacing="0" w:after="0" w:afterAutospacing="0" w:line="240" w:lineRule="exact"/>
                    <w:ind w:left="0" w:right="0"/>
                    <w:jc w:val="center"/>
                    <w:rPr>
                      <w:rFonts w:hint="eastAsia" w:eastAsia="宋体"/>
                      <w:color w:val="auto"/>
                      <w:kern w:val="0"/>
                      <w:sz w:val="18"/>
                      <w:szCs w:val="18"/>
                      <w:lang w:eastAsia="zh-CN"/>
                    </w:rPr>
                  </w:pPr>
                  <w:r>
                    <w:rPr>
                      <w:rFonts w:hint="default"/>
                      <w:color w:val="auto"/>
                      <w:sz w:val="18"/>
                      <w:szCs w:val="18"/>
                    </w:rPr>
                    <w:t>沥青实</w:t>
                  </w:r>
                  <w:r>
                    <w:rPr>
                      <w:rFonts w:hint="eastAsia"/>
                      <w:color w:val="auto"/>
                      <w:sz w:val="18"/>
                      <w:szCs w:val="18"/>
                      <w:lang w:val="en-US" w:eastAsia="zh-CN"/>
                    </w:rPr>
                    <w:t>试验间</w:t>
                  </w:r>
                </w:p>
              </w:tc>
              <w:tc>
                <w:tcPr>
                  <w:tcW w:w="785" w:type="pct"/>
                  <w:vAlign w:val="center"/>
                </w:tcPr>
                <w:p w14:paraId="0986FC2C">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沥青烟、苯并[a]芘</w:t>
                  </w:r>
                </w:p>
              </w:tc>
              <w:tc>
                <w:tcPr>
                  <w:tcW w:w="835" w:type="pct"/>
                  <w:vAlign w:val="center"/>
                </w:tcPr>
                <w:p w14:paraId="010CE0D3">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通风橱、集气罩收集+</w:t>
                  </w:r>
                  <w:r>
                    <w:rPr>
                      <w:rFonts w:hint="eastAsia" w:eastAsiaTheme="minorEastAsia"/>
                      <w:color w:val="auto"/>
                      <w:kern w:val="0"/>
                      <w:sz w:val="18"/>
                      <w:szCs w:val="18"/>
                      <w:lang w:val="en-US" w:eastAsia="zh-CN"/>
                    </w:rPr>
                    <w:t>2#二级</w:t>
                  </w:r>
                  <w:r>
                    <w:rPr>
                      <w:rFonts w:hint="default" w:eastAsiaTheme="minorEastAsia"/>
                      <w:color w:val="auto"/>
                      <w:kern w:val="0"/>
                      <w:sz w:val="18"/>
                      <w:szCs w:val="18"/>
                    </w:rPr>
                    <w:t>活性炭吸附装置</w:t>
                  </w:r>
                </w:p>
              </w:tc>
              <w:tc>
                <w:tcPr>
                  <w:tcW w:w="569" w:type="pct"/>
                  <w:vAlign w:val="center"/>
                </w:tcPr>
                <w:p w14:paraId="67BC4626">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1根15m高排气筒</w:t>
                  </w:r>
                </w:p>
              </w:tc>
              <w:tc>
                <w:tcPr>
                  <w:tcW w:w="1081" w:type="pct"/>
                  <w:vAlign w:val="center"/>
                </w:tcPr>
                <w:p w14:paraId="715B2C12">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ascii="Times New Roman" w:hAnsi="Times New Roman" w:eastAsia="宋体" w:cs="Times New Roman"/>
                      <w:color w:val="auto"/>
                      <w:sz w:val="18"/>
                      <w:szCs w:val="18"/>
                    </w:rPr>
                    <w:t>《大气污染物综合排放标准》（GB16297-1996）表2二级排放限值严格50%。</w:t>
                  </w:r>
                </w:p>
              </w:tc>
              <w:tc>
                <w:tcPr>
                  <w:tcW w:w="425" w:type="pct"/>
                  <w:vAlign w:val="center"/>
                </w:tcPr>
                <w:p w14:paraId="32978EC4">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排气口</w:t>
                  </w:r>
                </w:p>
              </w:tc>
            </w:tr>
            <w:tr w14:paraId="126C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62" w:type="pct"/>
                  <w:vMerge w:val="continue"/>
                  <w:vAlign w:val="center"/>
                </w:tcPr>
                <w:p w14:paraId="259181E4">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55" w:type="pct"/>
                  <w:gridSpan w:val="2"/>
                  <w:vMerge w:val="restart"/>
                  <w:vAlign w:val="center"/>
                </w:tcPr>
                <w:p w14:paraId="6345112F">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实验室</w:t>
                  </w:r>
                </w:p>
              </w:tc>
              <w:tc>
                <w:tcPr>
                  <w:tcW w:w="585" w:type="pct"/>
                  <w:vMerge w:val="restart"/>
                  <w:vAlign w:val="center"/>
                </w:tcPr>
                <w:p w14:paraId="5047922E">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lang w:val="en-US" w:eastAsia="zh-CN"/>
                    </w:rPr>
                  </w:pPr>
                  <w:r>
                    <w:rPr>
                      <w:rFonts w:hint="eastAsia" w:eastAsiaTheme="minorEastAsia"/>
                      <w:color w:val="auto"/>
                      <w:kern w:val="0"/>
                      <w:sz w:val="18"/>
                      <w:szCs w:val="18"/>
                      <w:lang w:val="en-US" w:eastAsia="zh-CN"/>
                    </w:rPr>
                    <w:t>化学实验</w:t>
                  </w:r>
                </w:p>
              </w:tc>
              <w:tc>
                <w:tcPr>
                  <w:tcW w:w="785" w:type="pct"/>
                  <w:vAlign w:val="center"/>
                </w:tcPr>
                <w:p w14:paraId="19FF3A89">
                  <w:pPr>
                    <w:keepNext w:val="0"/>
                    <w:keepLines w:val="0"/>
                    <w:suppressLineNumbers w:val="0"/>
                    <w:adjustRightInd w:val="0"/>
                    <w:snapToGrid w:val="0"/>
                    <w:spacing w:before="0" w:beforeAutospacing="0" w:after="0" w:afterAutospacing="0" w:line="240" w:lineRule="exact"/>
                    <w:ind w:left="0" w:right="0"/>
                    <w:jc w:val="center"/>
                    <w:rPr>
                      <w:rFonts w:hint="default" w:eastAsia="宋体"/>
                      <w:color w:val="auto"/>
                      <w:kern w:val="0"/>
                      <w:sz w:val="18"/>
                      <w:szCs w:val="18"/>
                      <w:lang w:val="en-US" w:eastAsia="zh-CN"/>
                    </w:rPr>
                  </w:pPr>
                  <w:r>
                    <w:rPr>
                      <w:rFonts w:hint="eastAsia" w:ascii="Times New Roman" w:hAnsi="Times New Roman" w:cs="Times New Roman"/>
                      <w:color w:val="auto"/>
                      <w:kern w:val="0"/>
                      <w:sz w:val="18"/>
                      <w:szCs w:val="18"/>
                    </w:rPr>
                    <w:t>氨</w:t>
                  </w:r>
                  <w:r>
                    <w:rPr>
                      <w:rFonts w:hint="eastAsia" w:ascii="Times New Roman" w:hAnsi="Times New Roman" w:cs="Times New Roman"/>
                      <w:color w:val="auto"/>
                      <w:kern w:val="0"/>
                      <w:sz w:val="18"/>
                      <w:szCs w:val="18"/>
                      <w:lang w:eastAsia="zh-CN"/>
                    </w:rPr>
                    <w:t>、</w:t>
                  </w:r>
                  <w:r>
                    <w:rPr>
                      <w:rFonts w:hint="eastAsia" w:ascii="Times New Roman" w:hAnsi="Times New Roman" w:cs="Times New Roman"/>
                      <w:color w:val="auto"/>
                      <w:kern w:val="0"/>
                      <w:sz w:val="18"/>
                      <w:szCs w:val="18"/>
                      <w:lang w:val="en-US" w:eastAsia="zh-CN"/>
                    </w:rPr>
                    <w:t>臭气浓度</w:t>
                  </w:r>
                </w:p>
              </w:tc>
              <w:tc>
                <w:tcPr>
                  <w:tcW w:w="835" w:type="pct"/>
                  <w:vMerge w:val="restart"/>
                  <w:vAlign w:val="center"/>
                </w:tcPr>
                <w:p w14:paraId="11F3B782">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在通风橱内</w:t>
                  </w:r>
                  <w:r>
                    <w:rPr>
                      <w:rFonts w:hint="default" w:eastAsiaTheme="minorEastAsia"/>
                      <w:color w:val="auto"/>
                      <w:sz w:val="18"/>
                      <w:szCs w:val="18"/>
                    </w:rPr>
                    <w:t>、</w:t>
                  </w:r>
                  <w:r>
                    <w:rPr>
                      <w:rFonts w:hint="default" w:eastAsiaTheme="minorEastAsia"/>
                      <w:color w:val="auto"/>
                      <w:kern w:val="0"/>
                      <w:sz w:val="18"/>
                      <w:szCs w:val="18"/>
                    </w:rPr>
                    <w:t>密闭环境下规范操作，自然扩散。</w:t>
                  </w:r>
                </w:p>
              </w:tc>
              <w:tc>
                <w:tcPr>
                  <w:tcW w:w="569" w:type="pct"/>
                  <w:vAlign w:val="center"/>
                </w:tcPr>
                <w:p w14:paraId="72FA2BB8">
                  <w:pPr>
                    <w:keepNext w:val="0"/>
                    <w:keepLines w:val="0"/>
                    <w:suppressLineNumbers w:val="0"/>
                    <w:adjustRightInd w:val="0"/>
                    <w:snapToGrid w:val="0"/>
                    <w:spacing w:before="0" w:beforeAutospacing="0" w:after="0" w:afterAutospacing="0" w:line="240" w:lineRule="exact"/>
                    <w:ind w:left="0" w:right="0"/>
                    <w:jc w:val="center"/>
                    <w:rPr>
                      <w:rFonts w:hint="eastAsia" w:eastAsiaTheme="minorEastAsia"/>
                      <w:color w:val="auto"/>
                      <w:kern w:val="0"/>
                      <w:sz w:val="18"/>
                      <w:szCs w:val="18"/>
                      <w:lang w:val="en-US" w:eastAsia="zh-CN"/>
                    </w:rPr>
                  </w:pPr>
                  <w:r>
                    <w:rPr>
                      <w:rFonts w:hint="eastAsia" w:eastAsiaTheme="minorEastAsia"/>
                      <w:color w:val="auto"/>
                      <w:kern w:val="0"/>
                      <w:sz w:val="18"/>
                      <w:szCs w:val="18"/>
                      <w:lang w:val="en-US" w:eastAsia="zh-CN"/>
                    </w:rPr>
                    <w:t>/</w:t>
                  </w:r>
                </w:p>
              </w:tc>
              <w:tc>
                <w:tcPr>
                  <w:tcW w:w="1081" w:type="pct"/>
                  <w:vAlign w:val="center"/>
                </w:tcPr>
                <w:p w14:paraId="10E76C00">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ascii="Times New Roman" w:cs="Times New Roman"/>
                      <w:color w:val="auto"/>
                      <w:sz w:val="18"/>
                      <w:szCs w:val="18"/>
                    </w:rPr>
                    <w:t>《恶臭污染物排放标准》（</w:t>
                  </w:r>
                  <w:r>
                    <w:rPr>
                      <w:rFonts w:hint="default" w:ascii="Times New Roman" w:hAnsi="Times New Roman" w:cs="Times New Roman"/>
                      <w:color w:val="auto"/>
                      <w:sz w:val="18"/>
                      <w:szCs w:val="18"/>
                    </w:rPr>
                    <w:t>GB14554-93</w:t>
                  </w:r>
                  <w:r>
                    <w:rPr>
                      <w:rFonts w:hint="default" w:ascii="Times New Roman" w:cs="Times New Roman"/>
                      <w:color w:val="auto"/>
                      <w:sz w:val="18"/>
                      <w:szCs w:val="18"/>
                    </w:rPr>
                    <w:t>）表</w:t>
                  </w:r>
                  <w:r>
                    <w:rPr>
                      <w:rFonts w:hint="default" w:ascii="Times New Roman" w:hAnsi="Times New Roman" w:cs="Times New Roman"/>
                      <w:color w:val="auto"/>
                      <w:sz w:val="18"/>
                      <w:szCs w:val="18"/>
                    </w:rPr>
                    <w:t>1</w:t>
                  </w:r>
                  <w:r>
                    <w:rPr>
                      <w:rFonts w:hint="default" w:ascii="Times New Roman" w:cs="Times New Roman"/>
                      <w:color w:val="auto"/>
                      <w:sz w:val="18"/>
                      <w:szCs w:val="18"/>
                    </w:rPr>
                    <w:t>相关排放标准限值。</w:t>
                  </w:r>
                </w:p>
              </w:tc>
              <w:tc>
                <w:tcPr>
                  <w:tcW w:w="425" w:type="pct"/>
                  <w:vAlign w:val="center"/>
                </w:tcPr>
                <w:p w14:paraId="3E65B085">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厂界</w:t>
                  </w:r>
                </w:p>
              </w:tc>
            </w:tr>
            <w:tr w14:paraId="5CA3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62" w:type="pct"/>
                  <w:vMerge w:val="continue"/>
                  <w:vAlign w:val="center"/>
                </w:tcPr>
                <w:p w14:paraId="6C6D3E90">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55" w:type="pct"/>
                  <w:gridSpan w:val="2"/>
                  <w:vMerge w:val="continue"/>
                  <w:vAlign w:val="center"/>
                </w:tcPr>
                <w:p w14:paraId="44F7404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Merge w:val="continue"/>
                  <w:vAlign w:val="center"/>
                </w:tcPr>
                <w:p w14:paraId="769AC741">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lang w:val="en-US" w:eastAsia="zh-CN"/>
                    </w:rPr>
                  </w:pPr>
                </w:p>
              </w:tc>
              <w:tc>
                <w:tcPr>
                  <w:tcW w:w="785" w:type="pct"/>
                  <w:vAlign w:val="center"/>
                </w:tcPr>
                <w:p w14:paraId="0CC3E07E">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氯化氢、硫酸雾</w:t>
                  </w:r>
                </w:p>
              </w:tc>
              <w:tc>
                <w:tcPr>
                  <w:tcW w:w="835" w:type="pct"/>
                  <w:vMerge w:val="continue"/>
                  <w:vAlign w:val="center"/>
                </w:tcPr>
                <w:p w14:paraId="0A41D044">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69" w:type="pct"/>
                  <w:vAlign w:val="center"/>
                </w:tcPr>
                <w:p w14:paraId="69D0D455">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w:t>
                  </w:r>
                </w:p>
              </w:tc>
              <w:tc>
                <w:tcPr>
                  <w:tcW w:w="1081" w:type="pct"/>
                  <w:vMerge w:val="restart"/>
                  <w:vAlign w:val="center"/>
                </w:tcPr>
                <w:p w14:paraId="1EE7100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color w:val="auto"/>
                      <w:sz w:val="18"/>
                      <w:szCs w:val="18"/>
                    </w:rPr>
                    <w:t>《大气污染物综合排放标准》(GB16297-1996)表2无组织排放要求。</w:t>
                  </w:r>
                </w:p>
              </w:tc>
              <w:tc>
                <w:tcPr>
                  <w:tcW w:w="425" w:type="pct"/>
                  <w:vAlign w:val="center"/>
                </w:tcPr>
                <w:p w14:paraId="45E0E373">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厂界</w:t>
                  </w:r>
                </w:p>
              </w:tc>
            </w:tr>
            <w:tr w14:paraId="4B96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62" w:type="pct"/>
                  <w:vMerge w:val="continue"/>
                  <w:vAlign w:val="center"/>
                </w:tcPr>
                <w:p w14:paraId="2C7207D4">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55" w:type="pct"/>
                  <w:gridSpan w:val="2"/>
                  <w:vMerge w:val="continue"/>
                  <w:vAlign w:val="center"/>
                </w:tcPr>
                <w:p w14:paraId="3A8530E4">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Merge w:val="continue"/>
                  <w:vAlign w:val="center"/>
                </w:tcPr>
                <w:p w14:paraId="102E696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785" w:type="pct"/>
                  <w:vMerge w:val="restart"/>
                  <w:vAlign w:val="center"/>
                </w:tcPr>
                <w:p w14:paraId="559352E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非甲烷总烃</w:t>
                  </w:r>
                </w:p>
              </w:tc>
              <w:tc>
                <w:tcPr>
                  <w:tcW w:w="835" w:type="pct"/>
                  <w:vMerge w:val="continue"/>
                  <w:vAlign w:val="center"/>
                </w:tcPr>
                <w:p w14:paraId="2EE8D1A7">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69" w:type="pct"/>
                  <w:vMerge w:val="restart"/>
                  <w:vAlign w:val="center"/>
                </w:tcPr>
                <w:p w14:paraId="29122771">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w:t>
                  </w:r>
                </w:p>
              </w:tc>
              <w:tc>
                <w:tcPr>
                  <w:tcW w:w="1081" w:type="pct"/>
                  <w:vMerge w:val="continue"/>
                  <w:vAlign w:val="center"/>
                </w:tcPr>
                <w:p w14:paraId="32AF581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25" w:type="pct"/>
                  <w:vAlign w:val="center"/>
                </w:tcPr>
                <w:p w14:paraId="12BCAF6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厂界</w:t>
                  </w:r>
                </w:p>
              </w:tc>
            </w:tr>
            <w:tr w14:paraId="3EF87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62" w:type="pct"/>
                  <w:vMerge w:val="continue"/>
                  <w:vAlign w:val="center"/>
                </w:tcPr>
                <w:p w14:paraId="4D2B0C65">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55" w:type="pct"/>
                  <w:gridSpan w:val="2"/>
                  <w:vMerge w:val="continue"/>
                  <w:vAlign w:val="center"/>
                </w:tcPr>
                <w:p w14:paraId="1CFA3DE7">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Merge w:val="continue"/>
                  <w:vAlign w:val="center"/>
                </w:tcPr>
                <w:p w14:paraId="1D079B0F">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785" w:type="pct"/>
                  <w:vMerge w:val="continue"/>
                  <w:vAlign w:val="center"/>
                </w:tcPr>
                <w:p w14:paraId="77E3F830">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835" w:type="pct"/>
                  <w:vMerge w:val="continue"/>
                  <w:vAlign w:val="center"/>
                </w:tcPr>
                <w:p w14:paraId="7F14A03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69" w:type="pct"/>
                  <w:vMerge w:val="continue"/>
                  <w:vAlign w:val="center"/>
                </w:tcPr>
                <w:p w14:paraId="7DDBB9D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1081" w:type="pct"/>
                  <w:vAlign w:val="center"/>
                </w:tcPr>
                <w:p w14:paraId="7B4E8E4A">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color w:val="auto"/>
                      <w:sz w:val="18"/>
                      <w:szCs w:val="18"/>
                    </w:rPr>
                    <w:t>《挥发性有机物无组织排放控制标准》(GB37822-2019)的要求。</w:t>
                  </w:r>
                </w:p>
              </w:tc>
              <w:tc>
                <w:tcPr>
                  <w:tcW w:w="425" w:type="pct"/>
                  <w:vAlign w:val="center"/>
                </w:tcPr>
                <w:p w14:paraId="45F54681">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在厂房外</w:t>
                  </w:r>
                </w:p>
              </w:tc>
            </w:tr>
            <w:tr w14:paraId="0F14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62" w:type="pct"/>
                  <w:vMerge w:val="continue"/>
                  <w:vAlign w:val="center"/>
                </w:tcPr>
                <w:p w14:paraId="19BF7A5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55" w:type="pct"/>
                  <w:gridSpan w:val="2"/>
                  <w:vMerge w:val="continue"/>
                  <w:vAlign w:val="center"/>
                </w:tcPr>
                <w:p w14:paraId="292340A5">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Align w:val="center"/>
                </w:tcPr>
                <w:p w14:paraId="433E80E1">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沥青试验</w:t>
                  </w:r>
                </w:p>
              </w:tc>
              <w:tc>
                <w:tcPr>
                  <w:tcW w:w="785" w:type="pct"/>
                  <w:vAlign w:val="center"/>
                </w:tcPr>
                <w:p w14:paraId="463436DA">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沥青烟、苯并[a]芘</w:t>
                  </w:r>
                </w:p>
              </w:tc>
              <w:tc>
                <w:tcPr>
                  <w:tcW w:w="835" w:type="pct"/>
                  <w:vAlign w:val="center"/>
                </w:tcPr>
                <w:p w14:paraId="2253A0D4">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sz w:val="18"/>
                      <w:szCs w:val="18"/>
                    </w:rPr>
                  </w:pPr>
                  <w:r>
                    <w:rPr>
                      <w:rFonts w:hint="default" w:eastAsiaTheme="minorEastAsia"/>
                      <w:color w:val="auto"/>
                      <w:kern w:val="0"/>
                      <w:sz w:val="18"/>
                      <w:szCs w:val="18"/>
                    </w:rPr>
                    <w:t>在通风橱内，密闭环境下规范操作，自然扩散</w:t>
                  </w:r>
                  <w:r>
                    <w:rPr>
                      <w:rFonts w:hint="default"/>
                      <w:color w:val="auto"/>
                      <w:sz w:val="18"/>
                      <w:szCs w:val="18"/>
                    </w:rPr>
                    <w:t>。</w:t>
                  </w:r>
                </w:p>
              </w:tc>
              <w:tc>
                <w:tcPr>
                  <w:tcW w:w="569" w:type="pct"/>
                  <w:vAlign w:val="center"/>
                </w:tcPr>
                <w:p w14:paraId="66B5FC2F">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w:t>
                  </w:r>
                </w:p>
              </w:tc>
              <w:tc>
                <w:tcPr>
                  <w:tcW w:w="1081" w:type="pct"/>
                  <w:vMerge w:val="restart"/>
                  <w:vAlign w:val="center"/>
                </w:tcPr>
                <w:p w14:paraId="3757FE2F">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《大气污染物综合排放标准》(GB16297-1996)表2无组织排放要求。</w:t>
                  </w:r>
                </w:p>
              </w:tc>
              <w:tc>
                <w:tcPr>
                  <w:tcW w:w="425" w:type="pct"/>
                  <w:vMerge w:val="restart"/>
                  <w:vAlign w:val="center"/>
                </w:tcPr>
                <w:p w14:paraId="173778E0">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eastAsiaTheme="minorEastAsia"/>
                      <w:color w:val="auto"/>
                      <w:kern w:val="0"/>
                      <w:sz w:val="18"/>
                      <w:szCs w:val="18"/>
                    </w:rPr>
                    <w:t>厂界</w:t>
                  </w:r>
                </w:p>
              </w:tc>
            </w:tr>
            <w:tr w14:paraId="1A48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62" w:type="pct"/>
                  <w:vMerge w:val="continue"/>
                  <w:vAlign w:val="center"/>
                </w:tcPr>
                <w:p w14:paraId="4537B296">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55" w:type="pct"/>
                  <w:gridSpan w:val="2"/>
                  <w:vMerge w:val="continue"/>
                  <w:vAlign w:val="center"/>
                </w:tcPr>
                <w:p w14:paraId="34901DA0">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Align w:val="center"/>
                </w:tcPr>
                <w:p w14:paraId="02B04733">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sz w:val="18"/>
                      <w:szCs w:val="18"/>
                    </w:rPr>
                    <w:t>物理实验</w:t>
                  </w:r>
                </w:p>
              </w:tc>
              <w:tc>
                <w:tcPr>
                  <w:tcW w:w="785" w:type="pct"/>
                  <w:vAlign w:val="center"/>
                </w:tcPr>
                <w:p w14:paraId="701D817E">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sz w:val="18"/>
                      <w:szCs w:val="18"/>
                    </w:rPr>
                    <w:t>粉尘</w:t>
                  </w:r>
                </w:p>
              </w:tc>
              <w:tc>
                <w:tcPr>
                  <w:tcW w:w="835" w:type="pct"/>
                  <w:vAlign w:val="center"/>
                </w:tcPr>
                <w:p w14:paraId="46E84E6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color w:val="auto"/>
                      <w:sz w:val="18"/>
                      <w:szCs w:val="18"/>
                    </w:rPr>
                    <w:t>室内沉降、植被吸附。</w:t>
                  </w:r>
                </w:p>
              </w:tc>
              <w:tc>
                <w:tcPr>
                  <w:tcW w:w="569" w:type="pct"/>
                  <w:vAlign w:val="center"/>
                </w:tcPr>
                <w:p w14:paraId="24A78C93">
                  <w:pPr>
                    <w:keepNext w:val="0"/>
                    <w:keepLines w:val="0"/>
                    <w:suppressLineNumbers w:val="0"/>
                    <w:adjustRightInd w:val="0"/>
                    <w:snapToGri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w:t>
                  </w:r>
                </w:p>
              </w:tc>
              <w:tc>
                <w:tcPr>
                  <w:tcW w:w="1081" w:type="pct"/>
                  <w:vMerge w:val="continue"/>
                  <w:vAlign w:val="center"/>
                </w:tcPr>
                <w:p w14:paraId="07544090">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p>
              </w:tc>
              <w:tc>
                <w:tcPr>
                  <w:tcW w:w="425" w:type="pct"/>
                  <w:vMerge w:val="continue"/>
                  <w:vAlign w:val="center"/>
                </w:tcPr>
                <w:p w14:paraId="6389FFC0">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p>
              </w:tc>
            </w:tr>
            <w:tr w14:paraId="45F6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262" w:type="pct"/>
                  <w:vMerge w:val="restart"/>
                  <w:vAlign w:val="center"/>
                </w:tcPr>
                <w:p w14:paraId="1C099191">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废水</w:t>
                  </w:r>
                </w:p>
              </w:tc>
              <w:tc>
                <w:tcPr>
                  <w:tcW w:w="455" w:type="pct"/>
                  <w:gridSpan w:val="2"/>
                  <w:vAlign w:val="center"/>
                </w:tcPr>
                <w:p w14:paraId="14DA8EB1">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化粪池</w:t>
                  </w:r>
                </w:p>
              </w:tc>
              <w:tc>
                <w:tcPr>
                  <w:tcW w:w="585" w:type="pct"/>
                  <w:vAlign w:val="center"/>
                </w:tcPr>
                <w:p w14:paraId="239A5060">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食堂废水、办公生活废水、地面清洁水</w:t>
                  </w:r>
                </w:p>
              </w:tc>
              <w:tc>
                <w:tcPr>
                  <w:tcW w:w="785" w:type="pct"/>
                  <w:vAlign w:val="center"/>
                </w:tcPr>
                <w:p w14:paraId="6E92F1FC">
                  <w:pPr>
                    <w:keepNext w:val="0"/>
                    <w:keepLines w:val="0"/>
                    <w:suppressLineNumbers w:val="0"/>
                    <w:adjustRightInd w:val="0"/>
                    <w:snapToGrid w:val="0"/>
                    <w:spacing w:before="0" w:beforeAutospacing="0" w:after="0" w:afterAutospacing="0" w:line="240" w:lineRule="exact"/>
                    <w:ind w:left="0" w:right="0"/>
                    <w:jc w:val="center"/>
                    <w:rPr>
                      <w:rFonts w:hint="default" w:eastAsia="宋体"/>
                      <w:color w:val="auto"/>
                      <w:kern w:val="0"/>
                      <w:sz w:val="18"/>
                      <w:szCs w:val="18"/>
                      <w:lang w:val="en-US" w:eastAsia="zh-CN"/>
                    </w:rPr>
                  </w:pPr>
                  <w:r>
                    <w:rPr>
                      <w:rFonts w:hint="default"/>
                      <w:color w:val="auto"/>
                      <w:sz w:val="18"/>
                      <w:szCs w:val="18"/>
                    </w:rPr>
                    <w:t>CODcr、BOD</w:t>
                  </w:r>
                  <w:r>
                    <w:rPr>
                      <w:rFonts w:hint="default"/>
                      <w:color w:val="auto"/>
                      <w:sz w:val="18"/>
                      <w:szCs w:val="18"/>
                      <w:vertAlign w:val="subscript"/>
                    </w:rPr>
                    <w:t>5</w:t>
                  </w:r>
                  <w:r>
                    <w:rPr>
                      <w:rFonts w:hint="default"/>
                      <w:color w:val="auto"/>
                      <w:sz w:val="18"/>
                      <w:szCs w:val="18"/>
                    </w:rPr>
                    <w:t>、SS、氨氮、总磷、</w:t>
                  </w:r>
                  <w:r>
                    <w:rPr>
                      <w:rFonts w:hint="eastAsia"/>
                      <w:color w:val="auto"/>
                      <w:sz w:val="18"/>
                      <w:szCs w:val="18"/>
                      <w:lang w:val="en-US" w:eastAsia="zh-CN"/>
                    </w:rPr>
                    <w:t>动植物油</w:t>
                  </w:r>
                </w:p>
              </w:tc>
              <w:tc>
                <w:tcPr>
                  <w:tcW w:w="835" w:type="pct"/>
                  <w:vAlign w:val="center"/>
                </w:tcPr>
                <w:p w14:paraId="7F0D3FBA">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sz w:val="18"/>
                      <w:szCs w:val="18"/>
                    </w:rPr>
                    <w:t>化粪池、隔油池。</w:t>
                  </w:r>
                </w:p>
              </w:tc>
              <w:tc>
                <w:tcPr>
                  <w:tcW w:w="569" w:type="pct"/>
                  <w:vAlign w:val="center"/>
                </w:tcPr>
                <w:p w14:paraId="6D14D97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化粪池、隔油池容积不小于</w:t>
                  </w:r>
                  <w:r>
                    <w:rPr>
                      <w:rFonts w:hint="eastAsia" w:eastAsiaTheme="minorEastAsia"/>
                      <w:color w:val="auto"/>
                      <w:kern w:val="0"/>
                      <w:sz w:val="18"/>
                      <w:szCs w:val="18"/>
                      <w:lang w:val="en-US" w:eastAsia="zh-CN"/>
                    </w:rPr>
                    <w:t>1</w:t>
                  </w:r>
                  <w:r>
                    <w:rPr>
                      <w:rFonts w:hint="default" w:eastAsiaTheme="minorEastAsia"/>
                      <w:color w:val="auto"/>
                      <w:kern w:val="0"/>
                      <w:sz w:val="18"/>
                      <w:szCs w:val="18"/>
                    </w:rPr>
                    <w:t>m</w:t>
                  </w:r>
                  <w:r>
                    <w:rPr>
                      <w:rFonts w:hint="default" w:eastAsiaTheme="minorEastAsia"/>
                      <w:color w:val="auto"/>
                      <w:kern w:val="0"/>
                      <w:sz w:val="18"/>
                      <w:szCs w:val="18"/>
                      <w:vertAlign w:val="superscript"/>
                    </w:rPr>
                    <w:t>3</w:t>
                  </w:r>
                </w:p>
              </w:tc>
              <w:tc>
                <w:tcPr>
                  <w:tcW w:w="1081" w:type="pct"/>
                  <w:vMerge w:val="restart"/>
                  <w:vAlign w:val="center"/>
                </w:tcPr>
                <w:p w14:paraId="46417018">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sz w:val="18"/>
                      <w:szCs w:val="18"/>
                    </w:rPr>
                  </w:pPr>
                  <w:r>
                    <w:rPr>
                      <w:rFonts w:hint="default"/>
                      <w:color w:val="auto"/>
                      <w:sz w:val="18"/>
                      <w:szCs w:val="18"/>
                    </w:rPr>
                    <w:t>《污水排入城镇下水道水质标准》（GB/T31962-2015）表1中A等级标准</w:t>
                  </w:r>
                </w:p>
              </w:tc>
              <w:tc>
                <w:tcPr>
                  <w:tcW w:w="425" w:type="pct"/>
                  <w:vMerge w:val="restart"/>
                  <w:vAlign w:val="center"/>
                </w:tcPr>
                <w:p w14:paraId="484C320A">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企业总排口</w:t>
                  </w:r>
                </w:p>
              </w:tc>
            </w:tr>
            <w:tr w14:paraId="00D8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262" w:type="pct"/>
                  <w:vMerge w:val="continue"/>
                  <w:vAlign w:val="center"/>
                </w:tcPr>
                <w:p w14:paraId="7033A33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55" w:type="pct"/>
                  <w:gridSpan w:val="2"/>
                  <w:tcBorders>
                    <w:bottom w:val="single" w:color="auto" w:sz="4" w:space="0"/>
                  </w:tcBorders>
                  <w:vAlign w:val="center"/>
                </w:tcPr>
                <w:p w14:paraId="48D17650">
                  <w:pPr>
                    <w:keepNext w:val="0"/>
                    <w:keepLines w:val="0"/>
                    <w:suppressLineNumbers w:val="0"/>
                    <w:adjustRightInd w:val="0"/>
                    <w:snapToGrid w:val="0"/>
                    <w:spacing w:before="0" w:beforeAutospacing="0" w:after="0" w:afterAutospacing="0" w:line="240" w:lineRule="exact"/>
                    <w:ind w:left="0" w:right="0"/>
                    <w:jc w:val="center"/>
                    <w:rPr>
                      <w:rFonts w:hint="default" w:eastAsia="宋体"/>
                      <w:color w:val="auto"/>
                      <w:sz w:val="18"/>
                      <w:szCs w:val="18"/>
                      <w:lang w:val="en-US" w:eastAsia="zh-CN"/>
                    </w:rPr>
                  </w:pPr>
                  <w:r>
                    <w:rPr>
                      <w:rFonts w:hint="eastAsia"/>
                      <w:color w:val="auto"/>
                      <w:sz w:val="18"/>
                      <w:szCs w:val="18"/>
                      <w:lang w:val="en-US" w:eastAsia="zh-CN"/>
                    </w:rPr>
                    <w:t>三级沉淀池</w:t>
                  </w:r>
                </w:p>
              </w:tc>
              <w:tc>
                <w:tcPr>
                  <w:tcW w:w="585" w:type="pct"/>
                  <w:tcBorders>
                    <w:bottom w:val="single" w:color="auto" w:sz="4" w:space="0"/>
                  </w:tcBorders>
                  <w:vAlign w:val="center"/>
                </w:tcPr>
                <w:p w14:paraId="4A0107F4">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eastAsia" w:eastAsiaTheme="minorEastAsia"/>
                      <w:color w:val="auto"/>
                      <w:kern w:val="0"/>
                      <w:sz w:val="18"/>
                      <w:szCs w:val="18"/>
                      <w:lang w:val="en-US" w:eastAsia="zh-CN"/>
                    </w:rPr>
                    <w:t>物理</w:t>
                  </w:r>
                  <w:r>
                    <w:rPr>
                      <w:rFonts w:hint="default" w:eastAsiaTheme="minorEastAsia"/>
                      <w:color w:val="auto"/>
                      <w:kern w:val="0"/>
                      <w:sz w:val="18"/>
                      <w:szCs w:val="18"/>
                    </w:rPr>
                    <w:t>实验废水、</w:t>
                  </w:r>
                  <w:r>
                    <w:rPr>
                      <w:rFonts w:hint="eastAsia" w:eastAsiaTheme="minorEastAsia"/>
                      <w:color w:val="auto"/>
                      <w:kern w:val="0"/>
                      <w:sz w:val="18"/>
                      <w:szCs w:val="18"/>
                      <w:lang w:val="en-US" w:eastAsia="zh-CN"/>
                    </w:rPr>
                    <w:t>化学实验室第三次及以后器皿清洁水、实验器具润洗废水</w:t>
                  </w:r>
                  <w:r>
                    <w:rPr>
                      <w:rFonts w:hint="default" w:eastAsiaTheme="minorEastAsia"/>
                      <w:color w:val="auto"/>
                      <w:kern w:val="0"/>
                      <w:sz w:val="18"/>
                      <w:szCs w:val="18"/>
                    </w:rPr>
                    <w:t>、纯水制备废水</w:t>
                  </w:r>
                </w:p>
              </w:tc>
              <w:tc>
                <w:tcPr>
                  <w:tcW w:w="785" w:type="pct"/>
                  <w:tcBorders>
                    <w:bottom w:val="single" w:color="auto" w:sz="4" w:space="0"/>
                  </w:tcBorders>
                  <w:vAlign w:val="center"/>
                </w:tcPr>
                <w:p w14:paraId="1FAEEB0C">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color w:val="auto"/>
                      <w:sz w:val="18"/>
                      <w:szCs w:val="18"/>
                    </w:rPr>
                    <w:t>pH、CODcr、BOD</w:t>
                  </w:r>
                  <w:r>
                    <w:rPr>
                      <w:rFonts w:hint="default"/>
                      <w:color w:val="auto"/>
                      <w:sz w:val="18"/>
                      <w:szCs w:val="18"/>
                      <w:vertAlign w:val="subscript"/>
                    </w:rPr>
                    <w:t>5</w:t>
                  </w:r>
                  <w:r>
                    <w:rPr>
                      <w:rFonts w:hint="default"/>
                      <w:color w:val="auto"/>
                      <w:sz w:val="18"/>
                      <w:szCs w:val="18"/>
                    </w:rPr>
                    <w:t>、SS、氨氮、总磷</w:t>
                  </w:r>
                </w:p>
              </w:tc>
              <w:tc>
                <w:tcPr>
                  <w:tcW w:w="835" w:type="pct"/>
                  <w:tcBorders>
                    <w:bottom w:val="single" w:color="auto" w:sz="4" w:space="0"/>
                  </w:tcBorders>
                  <w:vAlign w:val="center"/>
                </w:tcPr>
                <w:p w14:paraId="0A74BD8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sz w:val="18"/>
                      <w:szCs w:val="18"/>
                    </w:rPr>
                  </w:pPr>
                  <w:r>
                    <w:rPr>
                      <w:rFonts w:hint="eastAsia" w:eastAsiaTheme="minorEastAsia"/>
                      <w:color w:val="auto"/>
                      <w:sz w:val="18"/>
                      <w:szCs w:val="18"/>
                      <w:lang w:val="en-US" w:eastAsia="zh-CN"/>
                    </w:rPr>
                    <w:t>三级</w:t>
                  </w:r>
                  <w:r>
                    <w:rPr>
                      <w:rFonts w:hint="default" w:eastAsiaTheme="minorEastAsia"/>
                      <w:color w:val="auto"/>
                      <w:sz w:val="18"/>
                      <w:szCs w:val="18"/>
                    </w:rPr>
                    <w:t>沉淀池</w:t>
                  </w:r>
                </w:p>
              </w:tc>
              <w:tc>
                <w:tcPr>
                  <w:tcW w:w="569" w:type="pct"/>
                  <w:tcBorders>
                    <w:bottom w:val="single" w:color="auto" w:sz="4" w:space="0"/>
                  </w:tcBorders>
                  <w:vAlign w:val="center"/>
                </w:tcPr>
                <w:p w14:paraId="2BAC2487">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eastAsia" w:eastAsiaTheme="minorEastAsia"/>
                      <w:color w:val="auto"/>
                      <w:kern w:val="0"/>
                      <w:sz w:val="18"/>
                      <w:szCs w:val="18"/>
                      <w:lang w:val="en-US" w:eastAsia="zh-CN"/>
                    </w:rPr>
                    <w:t>三级</w:t>
                  </w:r>
                  <w:r>
                    <w:rPr>
                      <w:rFonts w:hint="default" w:eastAsiaTheme="minorEastAsia"/>
                      <w:color w:val="auto"/>
                      <w:kern w:val="0"/>
                      <w:sz w:val="18"/>
                      <w:szCs w:val="18"/>
                    </w:rPr>
                    <w:t>沉淀池容积不小于2m</w:t>
                  </w:r>
                  <w:r>
                    <w:rPr>
                      <w:rFonts w:hint="default" w:eastAsiaTheme="minorEastAsia"/>
                      <w:color w:val="auto"/>
                      <w:kern w:val="0"/>
                      <w:sz w:val="18"/>
                      <w:szCs w:val="18"/>
                      <w:vertAlign w:val="superscript"/>
                    </w:rPr>
                    <w:t>3</w:t>
                  </w:r>
                </w:p>
              </w:tc>
              <w:tc>
                <w:tcPr>
                  <w:tcW w:w="1081" w:type="pct"/>
                  <w:vMerge w:val="continue"/>
                  <w:tcBorders>
                    <w:bottom w:val="single" w:color="auto" w:sz="4" w:space="0"/>
                  </w:tcBorders>
                  <w:vAlign w:val="center"/>
                </w:tcPr>
                <w:p w14:paraId="5894142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sz w:val="18"/>
                      <w:szCs w:val="18"/>
                    </w:rPr>
                  </w:pPr>
                </w:p>
              </w:tc>
              <w:tc>
                <w:tcPr>
                  <w:tcW w:w="425" w:type="pct"/>
                  <w:vMerge w:val="continue"/>
                  <w:tcBorders>
                    <w:bottom w:val="single" w:color="auto" w:sz="4" w:space="0"/>
                  </w:tcBorders>
                  <w:vAlign w:val="center"/>
                </w:tcPr>
                <w:p w14:paraId="6048F9D6">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p>
              </w:tc>
            </w:tr>
            <w:tr w14:paraId="732F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pct"/>
                  <w:gridSpan w:val="3"/>
                  <w:vAlign w:val="center"/>
                </w:tcPr>
                <w:p w14:paraId="399547E2">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噪声</w:t>
                  </w:r>
                </w:p>
              </w:tc>
              <w:tc>
                <w:tcPr>
                  <w:tcW w:w="585" w:type="pct"/>
                  <w:vAlign w:val="center"/>
                </w:tcPr>
                <w:p w14:paraId="34B15E81">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设备噪声</w:t>
                  </w:r>
                </w:p>
              </w:tc>
              <w:tc>
                <w:tcPr>
                  <w:tcW w:w="1620" w:type="pct"/>
                  <w:gridSpan w:val="2"/>
                  <w:vAlign w:val="center"/>
                </w:tcPr>
                <w:p w14:paraId="2CDAAA07">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sz w:val="18"/>
                      <w:szCs w:val="18"/>
                    </w:rPr>
                    <w:t>等效A声级，</w:t>
                  </w:r>
                  <w:r>
                    <w:rPr>
                      <w:rFonts w:hint="default" w:eastAsiaTheme="minorEastAsia"/>
                      <w:color w:val="auto"/>
                      <w:kern w:val="0"/>
                      <w:sz w:val="18"/>
                      <w:szCs w:val="18"/>
                    </w:rPr>
                    <w:t>Lep（A）</w:t>
                  </w:r>
                </w:p>
              </w:tc>
              <w:tc>
                <w:tcPr>
                  <w:tcW w:w="569" w:type="pct"/>
                  <w:vAlign w:val="center"/>
                </w:tcPr>
                <w:p w14:paraId="7358957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color w:val="auto"/>
                      <w:sz w:val="18"/>
                      <w:szCs w:val="18"/>
                    </w:rPr>
                    <w:t>基础减震、建筑隔声</w:t>
                  </w:r>
                </w:p>
              </w:tc>
              <w:tc>
                <w:tcPr>
                  <w:tcW w:w="1081" w:type="pct"/>
                  <w:vAlign w:val="center"/>
                </w:tcPr>
                <w:p w14:paraId="0BD14C0B">
                  <w:pPr>
                    <w:keepNext w:val="0"/>
                    <w:keepLines w:val="0"/>
                    <w:suppressLineNumbers w:val="0"/>
                    <w:adjustRightInd w:val="0"/>
                    <w:snapToGrid w:val="0"/>
                    <w:spacing w:before="0" w:beforeAutospacing="0" w:after="0" w:afterAutospacing="0" w:line="240" w:lineRule="exact"/>
                    <w:ind w:left="0" w:right="0"/>
                    <w:rPr>
                      <w:rFonts w:hint="default"/>
                      <w:color w:val="auto"/>
                      <w:sz w:val="18"/>
                      <w:szCs w:val="18"/>
                    </w:rPr>
                  </w:pPr>
                  <w:r>
                    <w:rPr>
                      <w:rFonts w:hint="default"/>
                      <w:color w:val="auto"/>
                      <w:sz w:val="18"/>
                      <w:szCs w:val="18"/>
                    </w:rPr>
                    <w:t>《工业企业厂界环境噪声排放标准》（GB12348-2008）中2类标准值要求。</w:t>
                  </w:r>
                </w:p>
              </w:tc>
              <w:tc>
                <w:tcPr>
                  <w:tcW w:w="425" w:type="pct"/>
                  <w:vAlign w:val="center"/>
                </w:tcPr>
                <w:p w14:paraId="619D01EC">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厂界</w:t>
                  </w:r>
                </w:p>
              </w:tc>
            </w:tr>
            <w:tr w14:paraId="4AAB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restart"/>
                  <w:vAlign w:val="center"/>
                </w:tcPr>
                <w:p w14:paraId="3B07F8B6">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固体废弃物</w:t>
                  </w:r>
                </w:p>
              </w:tc>
              <w:tc>
                <w:tcPr>
                  <w:tcW w:w="284" w:type="pct"/>
                  <w:vMerge w:val="restart"/>
                  <w:vAlign w:val="center"/>
                </w:tcPr>
                <w:p w14:paraId="2A44CD03">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一般</w:t>
                  </w:r>
                  <w:r>
                    <w:rPr>
                      <w:rFonts w:hint="eastAsia" w:eastAsiaTheme="minorEastAsia"/>
                      <w:color w:val="auto"/>
                      <w:kern w:val="0"/>
                      <w:sz w:val="18"/>
                      <w:szCs w:val="18"/>
                      <w:lang w:val="en-US" w:eastAsia="zh-CN"/>
                    </w:rPr>
                    <w:t>工业</w:t>
                  </w:r>
                  <w:r>
                    <w:rPr>
                      <w:rFonts w:hint="default" w:eastAsiaTheme="minorEastAsia"/>
                      <w:color w:val="auto"/>
                      <w:kern w:val="0"/>
                      <w:sz w:val="18"/>
                      <w:szCs w:val="18"/>
                    </w:rPr>
                    <w:t>固废</w:t>
                  </w:r>
                </w:p>
              </w:tc>
              <w:tc>
                <w:tcPr>
                  <w:tcW w:w="585" w:type="pct"/>
                  <w:vAlign w:val="center"/>
                </w:tcPr>
                <w:p w14:paraId="25D1EAB0">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员工生活</w:t>
                  </w:r>
                </w:p>
              </w:tc>
              <w:tc>
                <w:tcPr>
                  <w:tcW w:w="785" w:type="pct"/>
                  <w:vAlign w:val="center"/>
                </w:tcPr>
                <w:p w14:paraId="5DCB22C3">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生活垃圾</w:t>
                  </w:r>
                </w:p>
              </w:tc>
              <w:tc>
                <w:tcPr>
                  <w:tcW w:w="835" w:type="pct"/>
                  <w:vAlign w:val="center"/>
                </w:tcPr>
                <w:p w14:paraId="3C2E5C58">
                  <w:pPr>
                    <w:keepNext w:val="0"/>
                    <w:keepLines w:val="0"/>
                    <w:suppressLineNumbers w:val="0"/>
                    <w:adjustRightInd w:val="0"/>
                    <w:snapToGrid w:val="0"/>
                    <w:spacing w:before="0" w:beforeAutospacing="0" w:after="0" w:afterAutospacing="0" w:line="240" w:lineRule="exact"/>
                    <w:ind w:left="0" w:right="0"/>
                    <w:rPr>
                      <w:rFonts w:hint="default" w:eastAsiaTheme="minorEastAsia"/>
                      <w:color w:val="auto"/>
                      <w:kern w:val="0"/>
                      <w:sz w:val="18"/>
                      <w:szCs w:val="18"/>
                    </w:rPr>
                  </w:pPr>
                  <w:r>
                    <w:rPr>
                      <w:rFonts w:hint="default" w:eastAsiaTheme="minorEastAsia"/>
                      <w:color w:val="auto"/>
                      <w:kern w:val="0"/>
                      <w:sz w:val="18"/>
                      <w:szCs w:val="18"/>
                    </w:rPr>
                    <w:t>垃圾桶收集，委托环卫部门统一清运。</w:t>
                  </w:r>
                </w:p>
              </w:tc>
              <w:tc>
                <w:tcPr>
                  <w:tcW w:w="569" w:type="pct"/>
                  <w:vAlign w:val="center"/>
                </w:tcPr>
                <w:p w14:paraId="15C765DE">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w:t>
                  </w:r>
                </w:p>
              </w:tc>
              <w:tc>
                <w:tcPr>
                  <w:tcW w:w="1081" w:type="pct"/>
                  <w:vMerge w:val="restart"/>
                  <w:vAlign w:val="center"/>
                </w:tcPr>
                <w:p w14:paraId="4A10B2F9">
                  <w:pPr>
                    <w:keepNext w:val="0"/>
                    <w:keepLines w:val="0"/>
                    <w:suppressLineNumbers w:val="0"/>
                    <w:adjustRightInd w:val="0"/>
                    <w:snapToGrid w:val="0"/>
                    <w:spacing w:before="0" w:beforeAutospacing="0" w:after="0" w:afterAutospacing="0" w:line="240" w:lineRule="exact"/>
                    <w:ind w:left="0" w:right="0"/>
                    <w:rPr>
                      <w:rFonts w:hint="default" w:eastAsiaTheme="minorEastAsia"/>
                      <w:color w:val="auto"/>
                      <w:kern w:val="0"/>
                      <w:sz w:val="18"/>
                      <w:szCs w:val="18"/>
                    </w:rPr>
                  </w:pPr>
                  <w:r>
                    <w:rPr>
                      <w:rFonts w:hint="default" w:eastAsiaTheme="minorEastAsia"/>
                      <w:color w:val="auto"/>
                      <w:kern w:val="0"/>
                      <w:sz w:val="18"/>
                      <w:szCs w:val="18"/>
                    </w:rPr>
                    <w:t>处置率100%，处置方案及去向合理。</w:t>
                  </w:r>
                </w:p>
              </w:tc>
              <w:tc>
                <w:tcPr>
                  <w:tcW w:w="425" w:type="pct"/>
                  <w:vMerge w:val="restart"/>
                  <w:vAlign w:val="center"/>
                </w:tcPr>
                <w:p w14:paraId="033966B7">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w:t>
                  </w:r>
                </w:p>
              </w:tc>
            </w:tr>
            <w:tr w14:paraId="15A3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continue"/>
                  <w:vAlign w:val="center"/>
                </w:tcPr>
                <w:p w14:paraId="6557F432">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284" w:type="pct"/>
                  <w:vMerge w:val="continue"/>
                  <w:vAlign w:val="center"/>
                </w:tcPr>
                <w:p w14:paraId="06901986">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Merge w:val="restart"/>
                  <w:vAlign w:val="center"/>
                </w:tcPr>
                <w:p w14:paraId="6E5A35F0">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食堂</w:t>
                  </w:r>
                </w:p>
              </w:tc>
              <w:tc>
                <w:tcPr>
                  <w:tcW w:w="785" w:type="pct"/>
                  <w:vAlign w:val="center"/>
                </w:tcPr>
                <w:p w14:paraId="05684901">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厨余垃圾</w:t>
                  </w:r>
                </w:p>
              </w:tc>
              <w:tc>
                <w:tcPr>
                  <w:tcW w:w="835" w:type="pct"/>
                  <w:vAlign w:val="center"/>
                </w:tcPr>
                <w:p w14:paraId="5C5190B2">
                  <w:pPr>
                    <w:keepNext w:val="0"/>
                    <w:keepLines w:val="0"/>
                    <w:suppressLineNumbers w:val="0"/>
                    <w:adjustRightInd w:val="0"/>
                    <w:snapToGrid w:val="0"/>
                    <w:spacing w:before="0" w:beforeAutospacing="0" w:after="0" w:afterAutospacing="0"/>
                    <w:ind w:left="0" w:right="0"/>
                    <w:rPr>
                      <w:rFonts w:hint="default" w:eastAsiaTheme="minorEastAsia"/>
                      <w:color w:val="auto"/>
                      <w:kern w:val="0"/>
                      <w:sz w:val="18"/>
                      <w:szCs w:val="18"/>
                    </w:rPr>
                  </w:pPr>
                  <w:r>
                    <w:rPr>
                      <w:rFonts w:hint="default"/>
                      <w:color w:val="auto"/>
                      <w:kern w:val="0"/>
                      <w:sz w:val="18"/>
                      <w:szCs w:val="18"/>
                      <w:lang w:bidi="ar"/>
                    </w:rPr>
                    <w:t>收集之后委托相关回收单位每日清运</w:t>
                  </w:r>
                </w:p>
              </w:tc>
              <w:tc>
                <w:tcPr>
                  <w:tcW w:w="569" w:type="pct"/>
                  <w:vAlign w:val="center"/>
                </w:tcPr>
                <w:p w14:paraId="23E7A0C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w:t>
                  </w:r>
                </w:p>
              </w:tc>
              <w:tc>
                <w:tcPr>
                  <w:tcW w:w="1081" w:type="pct"/>
                  <w:vMerge w:val="continue"/>
                  <w:vAlign w:val="center"/>
                </w:tcPr>
                <w:p w14:paraId="5B8E6F9E">
                  <w:pPr>
                    <w:keepNext w:val="0"/>
                    <w:keepLines w:val="0"/>
                    <w:suppressLineNumbers w:val="0"/>
                    <w:adjustRightInd w:val="0"/>
                    <w:snapToGrid w:val="0"/>
                    <w:spacing w:before="0" w:beforeAutospacing="0" w:after="0" w:afterAutospacing="0" w:line="240" w:lineRule="exact"/>
                    <w:ind w:left="0" w:right="0"/>
                    <w:rPr>
                      <w:rFonts w:hint="default" w:eastAsiaTheme="minorEastAsia"/>
                      <w:color w:val="auto"/>
                      <w:kern w:val="0"/>
                      <w:sz w:val="18"/>
                      <w:szCs w:val="18"/>
                    </w:rPr>
                  </w:pPr>
                </w:p>
              </w:tc>
              <w:tc>
                <w:tcPr>
                  <w:tcW w:w="425" w:type="pct"/>
                  <w:vMerge w:val="continue"/>
                  <w:vAlign w:val="center"/>
                </w:tcPr>
                <w:p w14:paraId="7CBC7080">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r>
            <w:tr w14:paraId="6DA3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continue"/>
                  <w:vAlign w:val="center"/>
                </w:tcPr>
                <w:p w14:paraId="5ED9C3D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284" w:type="pct"/>
                  <w:vMerge w:val="continue"/>
                  <w:vAlign w:val="center"/>
                </w:tcPr>
                <w:p w14:paraId="620E57F5">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Merge w:val="continue"/>
                  <w:vAlign w:val="center"/>
                </w:tcPr>
                <w:p w14:paraId="600246F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785" w:type="pct"/>
                  <w:vAlign w:val="center"/>
                </w:tcPr>
                <w:p w14:paraId="7D3A8D0C">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隔油池油污</w:t>
                  </w:r>
                </w:p>
              </w:tc>
              <w:tc>
                <w:tcPr>
                  <w:tcW w:w="835" w:type="pct"/>
                  <w:vAlign w:val="center"/>
                </w:tcPr>
                <w:p w14:paraId="07C2ADAB">
                  <w:pPr>
                    <w:keepNext w:val="0"/>
                    <w:keepLines w:val="0"/>
                    <w:suppressLineNumbers w:val="0"/>
                    <w:adjustRightInd w:val="0"/>
                    <w:snapToGrid w:val="0"/>
                    <w:spacing w:before="0" w:beforeAutospacing="0" w:after="0" w:afterAutospacing="0" w:line="240" w:lineRule="exact"/>
                    <w:ind w:left="0" w:right="0"/>
                    <w:rPr>
                      <w:rFonts w:hint="default" w:eastAsiaTheme="minorEastAsia"/>
                      <w:color w:val="auto"/>
                      <w:kern w:val="0"/>
                      <w:sz w:val="18"/>
                      <w:szCs w:val="18"/>
                    </w:rPr>
                  </w:pPr>
                  <w:r>
                    <w:rPr>
                      <w:rFonts w:hint="default"/>
                      <w:color w:val="auto"/>
                      <w:kern w:val="0"/>
                      <w:sz w:val="18"/>
                      <w:szCs w:val="18"/>
                      <w:lang w:bidi="ar"/>
                    </w:rPr>
                    <w:t>委托相关回收单位进行清掏处置。</w:t>
                  </w:r>
                </w:p>
              </w:tc>
              <w:tc>
                <w:tcPr>
                  <w:tcW w:w="569" w:type="pct"/>
                  <w:vAlign w:val="center"/>
                </w:tcPr>
                <w:p w14:paraId="1C906767">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w:t>
                  </w:r>
                </w:p>
              </w:tc>
              <w:tc>
                <w:tcPr>
                  <w:tcW w:w="1081" w:type="pct"/>
                  <w:vMerge w:val="continue"/>
                  <w:vAlign w:val="center"/>
                </w:tcPr>
                <w:p w14:paraId="0791E6AD">
                  <w:pPr>
                    <w:keepNext w:val="0"/>
                    <w:keepLines w:val="0"/>
                    <w:suppressLineNumbers w:val="0"/>
                    <w:adjustRightInd w:val="0"/>
                    <w:snapToGrid w:val="0"/>
                    <w:spacing w:before="0" w:beforeAutospacing="0" w:after="0" w:afterAutospacing="0" w:line="240" w:lineRule="exact"/>
                    <w:ind w:left="0" w:right="0"/>
                    <w:rPr>
                      <w:rFonts w:hint="default" w:eastAsiaTheme="minorEastAsia"/>
                      <w:color w:val="auto"/>
                      <w:kern w:val="0"/>
                      <w:sz w:val="18"/>
                      <w:szCs w:val="18"/>
                    </w:rPr>
                  </w:pPr>
                </w:p>
              </w:tc>
              <w:tc>
                <w:tcPr>
                  <w:tcW w:w="425" w:type="pct"/>
                  <w:vMerge w:val="continue"/>
                  <w:vAlign w:val="center"/>
                </w:tcPr>
                <w:p w14:paraId="6CE9BED2">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r>
            <w:tr w14:paraId="75E1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continue"/>
                  <w:vAlign w:val="center"/>
                </w:tcPr>
                <w:p w14:paraId="3B2613D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284" w:type="pct"/>
                  <w:vMerge w:val="continue"/>
                  <w:vAlign w:val="center"/>
                </w:tcPr>
                <w:p w14:paraId="50B1A050">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Merge w:val="restart"/>
                  <w:vAlign w:val="center"/>
                </w:tcPr>
                <w:p w14:paraId="13382394">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实验过程</w:t>
                  </w:r>
                </w:p>
              </w:tc>
              <w:tc>
                <w:tcPr>
                  <w:tcW w:w="785" w:type="pct"/>
                  <w:vAlign w:val="center"/>
                </w:tcPr>
                <w:p w14:paraId="1CE8FCE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检测废料</w:t>
                  </w:r>
                </w:p>
              </w:tc>
              <w:tc>
                <w:tcPr>
                  <w:tcW w:w="835" w:type="pct"/>
                  <w:vAlign w:val="center"/>
                </w:tcPr>
                <w:p w14:paraId="7BDAAA7D">
                  <w:pPr>
                    <w:keepNext w:val="0"/>
                    <w:keepLines w:val="0"/>
                    <w:suppressLineNumbers w:val="0"/>
                    <w:adjustRightInd w:val="0"/>
                    <w:snapToGrid w:val="0"/>
                    <w:spacing w:before="0" w:beforeAutospacing="0" w:after="0" w:afterAutospacing="0" w:line="240" w:lineRule="exact"/>
                    <w:ind w:left="0" w:right="0"/>
                    <w:rPr>
                      <w:rFonts w:hint="default" w:eastAsiaTheme="minorEastAsia"/>
                      <w:color w:val="auto"/>
                      <w:kern w:val="0"/>
                      <w:sz w:val="18"/>
                      <w:szCs w:val="18"/>
                    </w:rPr>
                  </w:pPr>
                  <w:r>
                    <w:rPr>
                      <w:rFonts w:hint="default" w:eastAsiaTheme="minorEastAsia"/>
                      <w:color w:val="auto"/>
                      <w:kern w:val="0"/>
                      <w:sz w:val="18"/>
                      <w:szCs w:val="18"/>
                    </w:rPr>
                    <w:t>可回收部分卖给废品收购站进行回收利用，不可回收部分同定期委托</w:t>
                  </w:r>
                  <w:r>
                    <w:rPr>
                      <w:rFonts w:hint="eastAsia" w:eastAsiaTheme="minorEastAsia"/>
                      <w:color w:val="auto"/>
                      <w:kern w:val="0"/>
                      <w:sz w:val="18"/>
                      <w:szCs w:val="18"/>
                      <w:lang w:val="en-US" w:eastAsia="zh-CN"/>
                    </w:rPr>
                    <w:t>相关单位</w:t>
                  </w:r>
                  <w:r>
                    <w:rPr>
                      <w:rFonts w:hint="default" w:eastAsiaTheme="minorEastAsia"/>
                      <w:color w:val="auto"/>
                      <w:kern w:val="0"/>
                      <w:sz w:val="18"/>
                      <w:szCs w:val="18"/>
                    </w:rPr>
                    <w:t>清运。</w:t>
                  </w:r>
                </w:p>
              </w:tc>
              <w:tc>
                <w:tcPr>
                  <w:tcW w:w="569" w:type="pct"/>
                  <w:vAlign w:val="center"/>
                </w:tcPr>
                <w:p w14:paraId="557319A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w:t>
                  </w:r>
                </w:p>
              </w:tc>
              <w:tc>
                <w:tcPr>
                  <w:tcW w:w="1081" w:type="pct"/>
                  <w:vMerge w:val="continue"/>
                  <w:vAlign w:val="center"/>
                </w:tcPr>
                <w:p w14:paraId="582758A0">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25" w:type="pct"/>
                  <w:vMerge w:val="continue"/>
                  <w:vAlign w:val="center"/>
                </w:tcPr>
                <w:p w14:paraId="679CD666">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r>
            <w:tr w14:paraId="38CC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continue"/>
                  <w:vAlign w:val="center"/>
                </w:tcPr>
                <w:p w14:paraId="2D6A8218">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284" w:type="pct"/>
                  <w:vMerge w:val="continue"/>
                  <w:vAlign w:val="center"/>
                </w:tcPr>
                <w:p w14:paraId="46D3B18A">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Merge w:val="continue"/>
                  <w:vAlign w:val="center"/>
                </w:tcPr>
                <w:p w14:paraId="365BD4E2">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785" w:type="pct"/>
                  <w:vAlign w:val="center"/>
                </w:tcPr>
                <w:p w14:paraId="7266D151">
                  <w:pPr>
                    <w:keepNext w:val="0"/>
                    <w:keepLines w:val="0"/>
                    <w:suppressLineNumbers w:val="0"/>
                    <w:spacing w:before="0" w:beforeAutospacing="0" w:after="0" w:afterAutospacing="0" w:line="240" w:lineRule="exact"/>
                    <w:ind w:left="0" w:right="0"/>
                    <w:contextualSpacing/>
                    <w:jc w:val="center"/>
                    <w:rPr>
                      <w:rFonts w:hint="default" w:eastAsiaTheme="minorEastAsia"/>
                      <w:color w:val="auto"/>
                      <w:kern w:val="0"/>
                      <w:sz w:val="18"/>
                      <w:szCs w:val="18"/>
                    </w:rPr>
                  </w:pPr>
                  <w:r>
                    <w:rPr>
                      <w:rFonts w:hint="default"/>
                      <w:color w:val="auto"/>
                      <w:sz w:val="18"/>
                      <w:szCs w:val="18"/>
                    </w:rPr>
                    <w:t>破碎玻璃（未沾染化学试剂）和废包装物</w:t>
                  </w:r>
                </w:p>
              </w:tc>
              <w:tc>
                <w:tcPr>
                  <w:tcW w:w="835" w:type="pct"/>
                  <w:vAlign w:val="center"/>
                </w:tcPr>
                <w:p w14:paraId="259BB841">
                  <w:pPr>
                    <w:keepNext w:val="0"/>
                    <w:keepLines w:val="0"/>
                    <w:suppressLineNumbers w:val="0"/>
                    <w:spacing w:before="0" w:beforeAutospacing="0" w:after="0" w:afterAutospacing="0" w:line="240" w:lineRule="exact"/>
                    <w:ind w:left="0" w:right="0"/>
                    <w:textAlignment w:val="baseline"/>
                    <w:rPr>
                      <w:rFonts w:hint="default" w:eastAsiaTheme="minorEastAsia"/>
                      <w:color w:val="auto"/>
                      <w:kern w:val="0"/>
                      <w:sz w:val="18"/>
                      <w:szCs w:val="18"/>
                    </w:rPr>
                  </w:pPr>
                  <w:r>
                    <w:rPr>
                      <w:rFonts w:hint="default"/>
                      <w:color w:val="auto"/>
                      <w:sz w:val="18"/>
                      <w:szCs w:val="18"/>
                    </w:rPr>
                    <w:t>分类收集，可回收部分卖给废品收购站进行回收利用，不可回收部分同生活垃圾一起处理。</w:t>
                  </w:r>
                </w:p>
              </w:tc>
              <w:tc>
                <w:tcPr>
                  <w:tcW w:w="569" w:type="pct"/>
                  <w:vAlign w:val="center"/>
                </w:tcPr>
                <w:p w14:paraId="2B9394CE">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1081" w:type="pct"/>
                  <w:vMerge w:val="continue"/>
                  <w:vAlign w:val="center"/>
                </w:tcPr>
                <w:p w14:paraId="3D7AFE8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25" w:type="pct"/>
                  <w:vMerge w:val="continue"/>
                  <w:vAlign w:val="center"/>
                </w:tcPr>
                <w:p w14:paraId="24A80143">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r>
            <w:tr w14:paraId="1587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continue"/>
                  <w:vAlign w:val="center"/>
                </w:tcPr>
                <w:p w14:paraId="322590B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284" w:type="pct"/>
                  <w:vMerge w:val="continue"/>
                  <w:vAlign w:val="center"/>
                </w:tcPr>
                <w:p w14:paraId="44F8518C">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Align w:val="center"/>
                </w:tcPr>
                <w:p w14:paraId="5ADB35B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eastAsia" w:eastAsiaTheme="minorEastAsia"/>
                      <w:color w:val="auto"/>
                      <w:kern w:val="0"/>
                      <w:sz w:val="18"/>
                      <w:szCs w:val="18"/>
                      <w:lang w:val="en-US" w:eastAsia="zh-CN"/>
                    </w:rPr>
                    <w:t>三级</w:t>
                  </w:r>
                  <w:r>
                    <w:rPr>
                      <w:rFonts w:hint="default" w:eastAsiaTheme="minorEastAsia"/>
                      <w:color w:val="auto"/>
                      <w:kern w:val="0"/>
                      <w:sz w:val="18"/>
                      <w:szCs w:val="18"/>
                    </w:rPr>
                    <w:t>沉淀池</w:t>
                  </w:r>
                </w:p>
              </w:tc>
              <w:tc>
                <w:tcPr>
                  <w:tcW w:w="785" w:type="pct"/>
                  <w:vAlign w:val="center"/>
                </w:tcPr>
                <w:p w14:paraId="41A7DAB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沉淀池污泥</w:t>
                  </w:r>
                </w:p>
              </w:tc>
              <w:tc>
                <w:tcPr>
                  <w:tcW w:w="835" w:type="pct"/>
                  <w:vAlign w:val="center"/>
                </w:tcPr>
                <w:p w14:paraId="72E55ECF">
                  <w:pPr>
                    <w:keepNext w:val="0"/>
                    <w:keepLines w:val="0"/>
                    <w:suppressLineNumbers w:val="0"/>
                    <w:adjustRightInd w:val="0"/>
                    <w:snapToGrid w:val="0"/>
                    <w:spacing w:before="0" w:beforeAutospacing="0" w:after="0" w:afterAutospacing="0" w:line="240" w:lineRule="exact"/>
                    <w:ind w:left="0" w:right="0"/>
                    <w:rPr>
                      <w:rFonts w:hint="default" w:eastAsiaTheme="minorEastAsia"/>
                      <w:color w:val="auto"/>
                      <w:kern w:val="0"/>
                      <w:sz w:val="18"/>
                      <w:szCs w:val="18"/>
                    </w:rPr>
                  </w:pPr>
                  <w:r>
                    <w:rPr>
                      <w:rFonts w:hint="default" w:eastAsiaTheme="minorEastAsia"/>
                      <w:color w:val="auto"/>
                      <w:kern w:val="0"/>
                      <w:sz w:val="18"/>
                      <w:szCs w:val="18"/>
                    </w:rPr>
                    <w:t>定期委托清掏。</w:t>
                  </w:r>
                </w:p>
              </w:tc>
              <w:tc>
                <w:tcPr>
                  <w:tcW w:w="569" w:type="pct"/>
                  <w:vAlign w:val="center"/>
                </w:tcPr>
                <w:p w14:paraId="574FAA61">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w:t>
                  </w:r>
                </w:p>
              </w:tc>
              <w:tc>
                <w:tcPr>
                  <w:tcW w:w="1081" w:type="pct"/>
                  <w:vMerge w:val="continue"/>
                  <w:vAlign w:val="center"/>
                </w:tcPr>
                <w:p w14:paraId="0462AC6F">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25" w:type="pct"/>
                  <w:vMerge w:val="continue"/>
                  <w:vAlign w:val="center"/>
                </w:tcPr>
                <w:p w14:paraId="07E97E9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r>
            <w:tr w14:paraId="016F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continue"/>
                  <w:vAlign w:val="center"/>
                </w:tcPr>
                <w:p w14:paraId="7F75E8AA">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284" w:type="pct"/>
                  <w:vMerge w:val="continue"/>
                  <w:vAlign w:val="center"/>
                </w:tcPr>
                <w:p w14:paraId="46FE110A">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Align w:val="center"/>
                </w:tcPr>
                <w:p w14:paraId="2918A244">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lang w:val="en-US" w:eastAsia="zh-CN"/>
                    </w:rPr>
                  </w:pPr>
                  <w:r>
                    <w:rPr>
                      <w:rFonts w:hint="eastAsia" w:eastAsiaTheme="minorEastAsia"/>
                      <w:color w:val="auto"/>
                      <w:kern w:val="0"/>
                      <w:sz w:val="18"/>
                      <w:szCs w:val="18"/>
                      <w:lang w:val="en-US" w:eastAsia="zh-CN"/>
                    </w:rPr>
                    <w:t>纯水制备</w:t>
                  </w:r>
                </w:p>
              </w:tc>
              <w:tc>
                <w:tcPr>
                  <w:tcW w:w="785" w:type="pct"/>
                  <w:vAlign w:val="center"/>
                </w:tcPr>
                <w:p w14:paraId="5F62BE8E">
                  <w:pPr>
                    <w:keepNext w:val="0"/>
                    <w:keepLines w:val="0"/>
                    <w:suppressLineNumbers w:val="0"/>
                    <w:spacing w:before="0" w:beforeAutospacing="0" w:after="0" w:afterAutospacing="0" w:line="240" w:lineRule="exact"/>
                    <w:ind w:left="0" w:right="0"/>
                    <w:contextualSpacing/>
                    <w:jc w:val="center"/>
                    <w:rPr>
                      <w:rFonts w:hint="default" w:eastAsiaTheme="minorEastAsia"/>
                      <w:color w:val="auto"/>
                      <w:kern w:val="0"/>
                      <w:sz w:val="18"/>
                      <w:szCs w:val="18"/>
                    </w:rPr>
                  </w:pPr>
                  <w:r>
                    <w:rPr>
                      <w:rFonts w:hint="eastAsia"/>
                      <w:color w:val="auto"/>
                      <w:sz w:val="18"/>
                      <w:szCs w:val="18"/>
                    </w:rPr>
                    <w:t>废滤芯及</w:t>
                  </w:r>
                  <w:r>
                    <w:rPr>
                      <w:rFonts w:hint="default"/>
                      <w:color w:val="auto"/>
                      <w:sz w:val="18"/>
                      <w:szCs w:val="18"/>
                    </w:rPr>
                    <w:t>废过滤膜</w:t>
                  </w:r>
                </w:p>
              </w:tc>
              <w:tc>
                <w:tcPr>
                  <w:tcW w:w="835" w:type="pct"/>
                  <w:vAlign w:val="center"/>
                </w:tcPr>
                <w:p w14:paraId="76BC6F95">
                  <w:pPr>
                    <w:keepNext w:val="0"/>
                    <w:keepLines w:val="0"/>
                    <w:suppressLineNumbers w:val="0"/>
                    <w:spacing w:before="0" w:beforeAutospacing="0" w:after="0" w:afterAutospacing="0" w:line="240" w:lineRule="exact"/>
                    <w:ind w:left="0" w:right="0"/>
                    <w:textAlignment w:val="baseline"/>
                    <w:rPr>
                      <w:rFonts w:hint="default" w:eastAsiaTheme="minorEastAsia"/>
                      <w:color w:val="auto"/>
                      <w:kern w:val="0"/>
                      <w:sz w:val="18"/>
                      <w:szCs w:val="18"/>
                    </w:rPr>
                  </w:pPr>
                  <w:r>
                    <w:rPr>
                      <w:rFonts w:hint="eastAsia" w:cs="宋体"/>
                      <w:bCs/>
                      <w:color w:val="auto"/>
                      <w:kern w:val="0"/>
                      <w:sz w:val="18"/>
                      <w:szCs w:val="18"/>
                    </w:rPr>
                    <w:t>定期更换，同生活垃圾一起处理。</w:t>
                  </w:r>
                </w:p>
              </w:tc>
              <w:tc>
                <w:tcPr>
                  <w:tcW w:w="569" w:type="pct"/>
                  <w:vAlign w:val="center"/>
                </w:tcPr>
                <w:p w14:paraId="003D0E15">
                  <w:pPr>
                    <w:keepNext w:val="0"/>
                    <w:keepLines w:val="0"/>
                    <w:suppressLineNumbers w:val="0"/>
                    <w:spacing w:before="0" w:beforeAutospacing="0" w:after="0" w:afterAutospacing="0" w:line="240" w:lineRule="exact"/>
                    <w:ind w:left="0" w:right="0"/>
                    <w:contextualSpacing/>
                    <w:jc w:val="center"/>
                    <w:rPr>
                      <w:rFonts w:hint="default" w:eastAsiaTheme="minorEastAsia"/>
                      <w:color w:val="auto"/>
                      <w:kern w:val="0"/>
                      <w:sz w:val="18"/>
                      <w:szCs w:val="18"/>
                      <w:lang w:val="en-US" w:eastAsia="zh-CN"/>
                    </w:rPr>
                  </w:pPr>
                  <w:r>
                    <w:rPr>
                      <w:rFonts w:hint="eastAsia" w:eastAsiaTheme="minorEastAsia"/>
                      <w:color w:val="auto"/>
                      <w:kern w:val="0"/>
                      <w:sz w:val="18"/>
                      <w:szCs w:val="18"/>
                      <w:lang w:val="en-US" w:eastAsia="zh-CN"/>
                    </w:rPr>
                    <w:t>/</w:t>
                  </w:r>
                </w:p>
              </w:tc>
              <w:tc>
                <w:tcPr>
                  <w:tcW w:w="1081" w:type="pct"/>
                  <w:vMerge w:val="continue"/>
                  <w:vAlign w:val="center"/>
                </w:tcPr>
                <w:p w14:paraId="533CBA0E">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25" w:type="pct"/>
                  <w:vMerge w:val="continue"/>
                  <w:vAlign w:val="center"/>
                </w:tcPr>
                <w:p w14:paraId="1C2E6D9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r>
            <w:tr w14:paraId="1ED0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continue"/>
                  <w:vAlign w:val="center"/>
                </w:tcPr>
                <w:p w14:paraId="51E1AB82">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284" w:type="pct"/>
                  <w:vMerge w:val="restart"/>
                  <w:vAlign w:val="center"/>
                </w:tcPr>
                <w:p w14:paraId="0AEE0CF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危险废物</w:t>
                  </w:r>
                </w:p>
              </w:tc>
              <w:tc>
                <w:tcPr>
                  <w:tcW w:w="585" w:type="pct"/>
                  <w:vMerge w:val="restart"/>
                  <w:vAlign w:val="center"/>
                </w:tcPr>
                <w:p w14:paraId="04F9F278">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实验过程</w:t>
                  </w:r>
                </w:p>
              </w:tc>
              <w:tc>
                <w:tcPr>
                  <w:tcW w:w="785" w:type="pct"/>
                  <w:vAlign w:val="center"/>
                </w:tcPr>
                <w:p w14:paraId="013F5F1E">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实验废液</w:t>
                  </w:r>
                </w:p>
              </w:tc>
              <w:tc>
                <w:tcPr>
                  <w:tcW w:w="835" w:type="pct"/>
                  <w:vMerge w:val="restart"/>
                  <w:vAlign w:val="center"/>
                </w:tcPr>
                <w:p w14:paraId="40395C77">
                  <w:pPr>
                    <w:keepNext w:val="0"/>
                    <w:keepLines w:val="0"/>
                    <w:suppressLineNumbers w:val="0"/>
                    <w:adjustRightInd w:val="0"/>
                    <w:snapToGrid w:val="0"/>
                    <w:spacing w:before="0" w:beforeAutospacing="0" w:after="0" w:afterAutospacing="0" w:line="240" w:lineRule="exact"/>
                    <w:ind w:left="0" w:right="0"/>
                    <w:rPr>
                      <w:rFonts w:hint="default" w:eastAsiaTheme="minorEastAsia"/>
                      <w:color w:val="auto"/>
                      <w:kern w:val="0"/>
                      <w:sz w:val="18"/>
                      <w:szCs w:val="18"/>
                    </w:rPr>
                  </w:pPr>
                  <w:r>
                    <w:rPr>
                      <w:rFonts w:hint="default" w:eastAsiaTheme="minorEastAsia"/>
                      <w:color w:val="auto"/>
                      <w:kern w:val="0"/>
                      <w:sz w:val="18"/>
                      <w:szCs w:val="18"/>
                    </w:rPr>
                    <w:t>集中收集至危废暂存间，委托有资质单位清运处置。</w:t>
                  </w:r>
                </w:p>
              </w:tc>
              <w:tc>
                <w:tcPr>
                  <w:tcW w:w="569" w:type="pct"/>
                  <w:vMerge w:val="restart"/>
                  <w:vAlign w:val="center"/>
                </w:tcPr>
                <w:p w14:paraId="6EBA609E">
                  <w:pPr>
                    <w:keepNext w:val="0"/>
                    <w:keepLines w:val="0"/>
                    <w:suppressLineNumbers w:val="0"/>
                    <w:adjustRightInd w:val="0"/>
                    <w:snapToGrid w:val="0"/>
                    <w:spacing w:before="0" w:beforeAutospacing="0" w:after="0" w:afterAutospacing="0" w:line="240" w:lineRule="exact"/>
                    <w:ind w:left="0" w:right="0"/>
                    <w:rPr>
                      <w:rFonts w:hint="default" w:eastAsiaTheme="minorEastAsia"/>
                      <w:color w:val="auto"/>
                      <w:kern w:val="0"/>
                      <w:sz w:val="18"/>
                      <w:szCs w:val="18"/>
                    </w:rPr>
                  </w:pPr>
                  <w:r>
                    <w:rPr>
                      <w:rFonts w:hint="default" w:eastAsiaTheme="minorEastAsia"/>
                      <w:color w:val="auto"/>
                      <w:kern w:val="0"/>
                      <w:sz w:val="18"/>
                      <w:szCs w:val="18"/>
                    </w:rPr>
                    <w:t xml:space="preserve">共1间，建筑面积5m²。 </w:t>
                  </w:r>
                </w:p>
              </w:tc>
              <w:tc>
                <w:tcPr>
                  <w:tcW w:w="1081" w:type="pct"/>
                  <w:vMerge w:val="continue"/>
                  <w:vAlign w:val="center"/>
                </w:tcPr>
                <w:p w14:paraId="39A7B3CC">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25" w:type="pct"/>
                  <w:vMerge w:val="continue"/>
                  <w:vAlign w:val="center"/>
                </w:tcPr>
                <w:p w14:paraId="7D9B4575">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r>
            <w:tr w14:paraId="538A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continue"/>
                  <w:vAlign w:val="center"/>
                </w:tcPr>
                <w:p w14:paraId="40AABD1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284" w:type="pct"/>
                  <w:vMerge w:val="continue"/>
                  <w:vAlign w:val="center"/>
                </w:tcPr>
                <w:p w14:paraId="33B131B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Merge w:val="continue"/>
                  <w:vAlign w:val="center"/>
                </w:tcPr>
                <w:p w14:paraId="3B8BB7C3">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785" w:type="pct"/>
                  <w:vAlign w:val="center"/>
                </w:tcPr>
                <w:p w14:paraId="0FBF139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实验</w:t>
                  </w:r>
                  <w:r>
                    <w:rPr>
                      <w:rFonts w:hint="eastAsia" w:eastAsiaTheme="minorEastAsia"/>
                      <w:color w:val="auto"/>
                      <w:kern w:val="0"/>
                      <w:sz w:val="18"/>
                      <w:szCs w:val="18"/>
                      <w:lang w:val="en-US" w:eastAsia="zh-CN"/>
                    </w:rPr>
                    <w:t>室第一、第二次</w:t>
                  </w:r>
                  <w:r>
                    <w:rPr>
                      <w:rFonts w:hint="default" w:eastAsiaTheme="minorEastAsia"/>
                      <w:color w:val="auto"/>
                      <w:kern w:val="0"/>
                      <w:sz w:val="18"/>
                      <w:szCs w:val="18"/>
                    </w:rPr>
                    <w:t>器皿清洗水</w:t>
                  </w:r>
                </w:p>
              </w:tc>
              <w:tc>
                <w:tcPr>
                  <w:tcW w:w="835" w:type="pct"/>
                  <w:vMerge w:val="continue"/>
                  <w:vAlign w:val="center"/>
                </w:tcPr>
                <w:p w14:paraId="62532EDF">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69" w:type="pct"/>
                  <w:vMerge w:val="continue"/>
                  <w:vAlign w:val="center"/>
                </w:tcPr>
                <w:p w14:paraId="3DC99D13">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1081" w:type="pct"/>
                  <w:vMerge w:val="continue"/>
                  <w:vAlign w:val="center"/>
                </w:tcPr>
                <w:p w14:paraId="02D58108">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25" w:type="pct"/>
                  <w:vMerge w:val="continue"/>
                  <w:vAlign w:val="center"/>
                </w:tcPr>
                <w:p w14:paraId="6EDA1D7E">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r>
            <w:tr w14:paraId="38F3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continue"/>
                  <w:vAlign w:val="center"/>
                </w:tcPr>
                <w:p w14:paraId="18A63E2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284" w:type="pct"/>
                  <w:vMerge w:val="continue"/>
                  <w:vAlign w:val="center"/>
                </w:tcPr>
                <w:p w14:paraId="664145B0">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Merge w:val="continue"/>
                  <w:vAlign w:val="center"/>
                </w:tcPr>
                <w:p w14:paraId="623DDDCA">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785" w:type="pct"/>
                  <w:vAlign w:val="center"/>
                </w:tcPr>
                <w:p w14:paraId="7FF07391">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过期试剂及废试剂瓶</w:t>
                  </w:r>
                </w:p>
              </w:tc>
              <w:tc>
                <w:tcPr>
                  <w:tcW w:w="835" w:type="pct"/>
                  <w:vMerge w:val="continue"/>
                  <w:vAlign w:val="center"/>
                </w:tcPr>
                <w:p w14:paraId="43834637">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69" w:type="pct"/>
                  <w:vMerge w:val="continue"/>
                  <w:vAlign w:val="center"/>
                </w:tcPr>
                <w:p w14:paraId="628FD7DE">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1081" w:type="pct"/>
                  <w:vMerge w:val="continue"/>
                  <w:vAlign w:val="center"/>
                </w:tcPr>
                <w:p w14:paraId="0B049757">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25" w:type="pct"/>
                  <w:vMerge w:val="continue"/>
                  <w:vAlign w:val="center"/>
                </w:tcPr>
                <w:p w14:paraId="02A9904F">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r>
            <w:tr w14:paraId="6819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continue"/>
                  <w:vAlign w:val="center"/>
                </w:tcPr>
                <w:p w14:paraId="0D099CAE">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284" w:type="pct"/>
                  <w:vMerge w:val="continue"/>
                  <w:vAlign w:val="center"/>
                </w:tcPr>
                <w:p w14:paraId="4CEA9A5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Merge w:val="continue"/>
                  <w:vAlign w:val="center"/>
                </w:tcPr>
                <w:p w14:paraId="734AAC97">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785" w:type="pct"/>
                  <w:vAlign w:val="center"/>
                </w:tcPr>
                <w:p w14:paraId="0A01F6C4">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检测废物（废沥青）</w:t>
                  </w:r>
                </w:p>
              </w:tc>
              <w:tc>
                <w:tcPr>
                  <w:tcW w:w="835" w:type="pct"/>
                  <w:vMerge w:val="continue"/>
                  <w:vAlign w:val="center"/>
                </w:tcPr>
                <w:p w14:paraId="6B75C858">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69" w:type="pct"/>
                  <w:vMerge w:val="continue"/>
                  <w:vAlign w:val="center"/>
                </w:tcPr>
                <w:p w14:paraId="70F75DE0">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1081" w:type="pct"/>
                  <w:vMerge w:val="continue"/>
                  <w:vAlign w:val="center"/>
                </w:tcPr>
                <w:p w14:paraId="3E8622B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25" w:type="pct"/>
                  <w:vMerge w:val="continue"/>
                  <w:vAlign w:val="center"/>
                </w:tcPr>
                <w:p w14:paraId="3549257C">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r>
            <w:tr w14:paraId="5964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continue"/>
                  <w:vAlign w:val="center"/>
                </w:tcPr>
                <w:p w14:paraId="59ABD32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284" w:type="pct"/>
                  <w:vMerge w:val="continue"/>
                  <w:vAlign w:val="center"/>
                </w:tcPr>
                <w:p w14:paraId="6E6484CA">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Align w:val="center"/>
                </w:tcPr>
                <w:p w14:paraId="54F8AAE2">
                  <w:pPr>
                    <w:keepNext w:val="0"/>
                    <w:keepLines w:val="0"/>
                    <w:suppressLineNumbers w:val="0"/>
                    <w:adjustRightInd w:val="0"/>
                    <w:snapToGrid w:val="0"/>
                    <w:spacing w:before="0" w:beforeAutospacing="0" w:after="0" w:afterAutospacing="0" w:line="240" w:lineRule="exact"/>
                    <w:ind w:left="0" w:leftChars="0" w:right="0" w:rightChars="0"/>
                    <w:jc w:val="center"/>
                    <w:rPr>
                      <w:rFonts w:hint="default" w:eastAsiaTheme="minorEastAsia"/>
                      <w:color w:val="auto"/>
                      <w:kern w:val="0"/>
                      <w:sz w:val="18"/>
                      <w:szCs w:val="18"/>
                      <w:lang w:val="en-US"/>
                    </w:rPr>
                  </w:pPr>
                  <w:r>
                    <w:rPr>
                      <w:rFonts w:hint="eastAsia" w:eastAsiaTheme="minorEastAsia"/>
                      <w:color w:val="auto"/>
                      <w:sz w:val="18"/>
                      <w:szCs w:val="18"/>
                      <w:lang w:val="en-US" w:eastAsia="zh-CN"/>
                    </w:rPr>
                    <w:t>废水中和收集桶</w:t>
                  </w:r>
                </w:p>
              </w:tc>
              <w:tc>
                <w:tcPr>
                  <w:tcW w:w="785" w:type="pct"/>
                  <w:vAlign w:val="center"/>
                </w:tcPr>
                <w:p w14:paraId="65721776">
                  <w:pPr>
                    <w:keepNext w:val="0"/>
                    <w:keepLines w:val="0"/>
                    <w:suppressLineNumbers w:val="0"/>
                    <w:adjustRightInd w:val="0"/>
                    <w:snapToGrid w:val="0"/>
                    <w:spacing w:before="0" w:beforeAutospacing="0" w:after="0" w:afterAutospacing="0" w:line="240" w:lineRule="exact"/>
                    <w:ind w:left="0" w:leftChars="0" w:right="0" w:rightChars="0"/>
                    <w:jc w:val="center"/>
                    <w:rPr>
                      <w:rFonts w:hint="default" w:eastAsiaTheme="minorEastAsia"/>
                      <w:color w:val="auto"/>
                      <w:kern w:val="0"/>
                      <w:sz w:val="18"/>
                      <w:szCs w:val="18"/>
                    </w:rPr>
                  </w:pPr>
                  <w:r>
                    <w:rPr>
                      <w:rFonts w:hint="eastAsia"/>
                      <w:color w:val="auto"/>
                      <w:sz w:val="18"/>
                      <w:szCs w:val="18"/>
                      <w:lang w:val="en-US" w:eastAsia="zh-CN"/>
                    </w:rPr>
                    <w:t>中和收集桶</w:t>
                  </w:r>
                  <w:r>
                    <w:rPr>
                      <w:rFonts w:hint="default"/>
                      <w:color w:val="auto"/>
                      <w:sz w:val="18"/>
                      <w:szCs w:val="18"/>
                    </w:rPr>
                    <w:t>沉渣</w:t>
                  </w:r>
                </w:p>
              </w:tc>
              <w:tc>
                <w:tcPr>
                  <w:tcW w:w="835" w:type="pct"/>
                  <w:vMerge w:val="continue"/>
                  <w:vAlign w:val="center"/>
                </w:tcPr>
                <w:p w14:paraId="3B1D8D52">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69" w:type="pct"/>
                  <w:vMerge w:val="continue"/>
                  <w:vAlign w:val="center"/>
                </w:tcPr>
                <w:p w14:paraId="3142112A">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1081" w:type="pct"/>
                  <w:vMerge w:val="continue"/>
                  <w:vAlign w:val="center"/>
                </w:tcPr>
                <w:p w14:paraId="5C2CDC16">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25" w:type="pct"/>
                  <w:vMerge w:val="continue"/>
                  <w:vAlign w:val="center"/>
                </w:tcPr>
                <w:p w14:paraId="3EFE9A41">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r>
            <w:tr w14:paraId="655F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continue"/>
                  <w:vAlign w:val="center"/>
                </w:tcPr>
                <w:p w14:paraId="22AFE3F2">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284" w:type="pct"/>
                  <w:vMerge w:val="continue"/>
                  <w:vAlign w:val="center"/>
                </w:tcPr>
                <w:p w14:paraId="3B14982E">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Align w:val="center"/>
                </w:tcPr>
                <w:p w14:paraId="6A827764">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lang w:val="en-US" w:eastAsia="zh-CN"/>
                    </w:rPr>
                  </w:pPr>
                  <w:r>
                    <w:rPr>
                      <w:rFonts w:hint="eastAsia" w:eastAsiaTheme="minorEastAsia"/>
                      <w:color w:val="auto"/>
                      <w:kern w:val="0"/>
                      <w:sz w:val="18"/>
                      <w:szCs w:val="18"/>
                      <w:lang w:val="en-US" w:eastAsia="zh-CN"/>
                    </w:rPr>
                    <w:t>设备清洗</w:t>
                  </w:r>
                </w:p>
              </w:tc>
              <w:tc>
                <w:tcPr>
                  <w:tcW w:w="785" w:type="pct"/>
                  <w:vAlign w:val="center"/>
                </w:tcPr>
                <w:p w14:paraId="30A50192">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废沥青</w:t>
                  </w:r>
                  <w:r>
                    <w:rPr>
                      <w:rFonts w:hint="default" w:eastAsiaTheme="minorEastAsia"/>
                      <w:color w:val="auto"/>
                      <w:kern w:val="0"/>
                      <w:sz w:val="18"/>
                      <w:szCs w:val="18"/>
                      <w:lang w:val="en-US" w:eastAsia="zh-CN"/>
                    </w:rPr>
                    <w:t>清洗</w:t>
                  </w:r>
                  <w:r>
                    <w:rPr>
                      <w:rFonts w:hint="eastAsia" w:eastAsiaTheme="minorEastAsia"/>
                      <w:color w:val="auto"/>
                      <w:kern w:val="0"/>
                      <w:sz w:val="18"/>
                      <w:szCs w:val="18"/>
                      <w:lang w:val="en-US" w:eastAsia="zh-CN"/>
                    </w:rPr>
                    <w:t>液</w:t>
                  </w:r>
                </w:p>
              </w:tc>
              <w:tc>
                <w:tcPr>
                  <w:tcW w:w="835" w:type="pct"/>
                  <w:vMerge w:val="continue"/>
                  <w:vAlign w:val="center"/>
                </w:tcPr>
                <w:p w14:paraId="6B07C800">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69" w:type="pct"/>
                  <w:vMerge w:val="continue"/>
                  <w:vAlign w:val="center"/>
                </w:tcPr>
                <w:p w14:paraId="6AEF246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1081" w:type="pct"/>
                  <w:vMerge w:val="continue"/>
                  <w:vAlign w:val="center"/>
                </w:tcPr>
                <w:p w14:paraId="22F52A59">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25" w:type="pct"/>
                  <w:vMerge w:val="continue"/>
                  <w:vAlign w:val="center"/>
                </w:tcPr>
                <w:p w14:paraId="3E46B23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r>
            <w:tr w14:paraId="7DAA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gridSpan w:val="2"/>
                  <w:vMerge w:val="continue"/>
                  <w:vAlign w:val="center"/>
                </w:tcPr>
                <w:p w14:paraId="32290581">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284" w:type="pct"/>
                  <w:vMerge w:val="continue"/>
                  <w:vAlign w:val="center"/>
                </w:tcPr>
                <w:p w14:paraId="51FFB7B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85" w:type="pct"/>
                  <w:vAlign w:val="center"/>
                </w:tcPr>
                <w:p w14:paraId="425B190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sz w:val="18"/>
                      <w:szCs w:val="18"/>
                    </w:rPr>
                    <w:t>有机废气处理</w:t>
                  </w:r>
                </w:p>
              </w:tc>
              <w:tc>
                <w:tcPr>
                  <w:tcW w:w="785" w:type="pct"/>
                  <w:vAlign w:val="center"/>
                </w:tcPr>
                <w:p w14:paraId="2609F9E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r>
                    <w:rPr>
                      <w:rFonts w:hint="default" w:eastAsiaTheme="minorEastAsia"/>
                      <w:color w:val="auto"/>
                      <w:kern w:val="0"/>
                      <w:sz w:val="18"/>
                      <w:szCs w:val="18"/>
                    </w:rPr>
                    <w:t>废活性炭</w:t>
                  </w:r>
                </w:p>
              </w:tc>
              <w:tc>
                <w:tcPr>
                  <w:tcW w:w="835" w:type="pct"/>
                  <w:vMerge w:val="continue"/>
                  <w:vAlign w:val="center"/>
                </w:tcPr>
                <w:p w14:paraId="4E54CE1B">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569" w:type="pct"/>
                  <w:vMerge w:val="continue"/>
                  <w:vAlign w:val="center"/>
                </w:tcPr>
                <w:p w14:paraId="192F7800">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1081" w:type="pct"/>
                  <w:vMerge w:val="continue"/>
                  <w:vAlign w:val="center"/>
                </w:tcPr>
                <w:p w14:paraId="4A877C4D">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c>
                <w:tcPr>
                  <w:tcW w:w="425" w:type="pct"/>
                  <w:vMerge w:val="continue"/>
                  <w:vAlign w:val="center"/>
                </w:tcPr>
                <w:p w14:paraId="0D5E49D7">
                  <w:pPr>
                    <w:keepNext w:val="0"/>
                    <w:keepLines w:val="0"/>
                    <w:suppressLineNumbers w:val="0"/>
                    <w:adjustRightInd w:val="0"/>
                    <w:snapToGrid w:val="0"/>
                    <w:spacing w:before="0" w:beforeAutospacing="0" w:after="0" w:afterAutospacing="0" w:line="240" w:lineRule="exact"/>
                    <w:ind w:left="0" w:right="0"/>
                    <w:jc w:val="center"/>
                    <w:rPr>
                      <w:rFonts w:hint="default" w:eastAsiaTheme="minorEastAsia"/>
                      <w:color w:val="auto"/>
                      <w:kern w:val="0"/>
                      <w:sz w:val="18"/>
                      <w:szCs w:val="18"/>
                    </w:rPr>
                  </w:pPr>
                </w:p>
              </w:tc>
            </w:tr>
          </w:tbl>
          <w:p w14:paraId="6981E471">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kern w:val="0"/>
                <w:sz w:val="24"/>
              </w:rPr>
            </w:pPr>
          </w:p>
          <w:p w14:paraId="72469CAD">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tc>
      </w:tr>
    </w:tbl>
    <w:p w14:paraId="18D670F2">
      <w:pPr>
        <w:adjustRightInd w:val="0"/>
        <w:snapToGrid w:val="0"/>
        <w:spacing w:line="360" w:lineRule="auto"/>
        <w:rPr>
          <w:rFonts w:eastAsiaTheme="minorEastAsia"/>
          <w:color w:val="auto"/>
          <w:kern w:val="0"/>
          <w:sz w:val="24"/>
        </w:rPr>
        <w:sectPr>
          <w:pgSz w:w="11906" w:h="16838"/>
          <w:pgMar w:top="1701" w:right="1531" w:bottom="1701" w:left="1531" w:header="851" w:footer="851" w:gutter="0"/>
          <w:pgNumType w:fmt="decimal"/>
          <w:cols w:space="720" w:num="1"/>
          <w:docGrid w:linePitch="312" w:charSpace="0"/>
        </w:sectPr>
      </w:pPr>
    </w:p>
    <w:p w14:paraId="772704BA">
      <w:pPr>
        <w:pStyle w:val="15"/>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12" w:name="_Hlk54167917"/>
      <w:r>
        <w:rPr>
          <w:rFonts w:ascii="Times New Roman" w:hAnsi="Times New Roman" w:eastAsia="黑体"/>
          <w:snapToGrid w:val="0"/>
          <w:color w:val="auto"/>
          <w:sz w:val="30"/>
          <w:szCs w:val="30"/>
        </w:rPr>
        <w:t>环境保护措施监督检查清单</w:t>
      </w:r>
      <w:bookmarkEnd w:id="12"/>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010"/>
        <w:gridCol w:w="975"/>
        <w:gridCol w:w="1300"/>
        <w:gridCol w:w="1640"/>
        <w:gridCol w:w="2337"/>
      </w:tblGrid>
      <w:tr w14:paraId="0CEF62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l2br w:val="single" w:color="auto" w:sz="4" w:space="0"/>
            </w:tcBorders>
          </w:tcPr>
          <w:p w14:paraId="1F649C48">
            <w:pPr>
              <w:keepNext w:val="0"/>
              <w:keepLines w:val="0"/>
              <w:suppressLineNumbers w:val="0"/>
              <w:adjustRightInd w:val="0"/>
              <w:snapToGrid w:val="0"/>
              <w:spacing w:before="0" w:beforeAutospacing="0" w:after="0" w:afterAutospacing="0"/>
              <w:ind w:left="0" w:right="0" w:firstLine="840"/>
              <w:rPr>
                <w:rFonts w:hint="default"/>
                <w:color w:val="auto"/>
                <w:szCs w:val="21"/>
              </w:rPr>
            </w:pPr>
            <w:r>
              <w:rPr>
                <w:rFonts w:hint="default"/>
                <w:color w:val="auto"/>
                <w:szCs w:val="21"/>
              </w:rPr>
              <w:t>内容</w:t>
            </w:r>
          </w:p>
          <w:p w14:paraId="1C8E41F1">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color w:val="auto"/>
                <w:szCs w:val="21"/>
              </w:rPr>
              <w:t>要素</w:t>
            </w:r>
          </w:p>
        </w:tc>
        <w:tc>
          <w:tcPr>
            <w:tcW w:w="1985" w:type="dxa"/>
            <w:gridSpan w:val="2"/>
            <w:vAlign w:val="center"/>
          </w:tcPr>
          <w:p w14:paraId="68FFD80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排放口(编号、</w:t>
            </w:r>
          </w:p>
          <w:p w14:paraId="5A0CBB9C">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名称)/污染源</w:t>
            </w:r>
          </w:p>
        </w:tc>
        <w:tc>
          <w:tcPr>
            <w:tcW w:w="1300" w:type="dxa"/>
            <w:vAlign w:val="center"/>
          </w:tcPr>
          <w:p w14:paraId="3E1B7EBD">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污染物项目</w:t>
            </w:r>
          </w:p>
        </w:tc>
        <w:tc>
          <w:tcPr>
            <w:tcW w:w="1640" w:type="dxa"/>
            <w:vAlign w:val="center"/>
          </w:tcPr>
          <w:p w14:paraId="7407FC79">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环境保护措施</w:t>
            </w:r>
          </w:p>
        </w:tc>
        <w:tc>
          <w:tcPr>
            <w:tcW w:w="2337" w:type="dxa"/>
            <w:vAlign w:val="center"/>
          </w:tcPr>
          <w:p w14:paraId="1482ED63">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执行标准</w:t>
            </w:r>
          </w:p>
        </w:tc>
      </w:tr>
      <w:tr w14:paraId="646138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8" w:type="dxa"/>
            <w:vMerge w:val="restart"/>
            <w:vAlign w:val="center"/>
          </w:tcPr>
          <w:p w14:paraId="188A5495">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大气环境</w:t>
            </w:r>
          </w:p>
        </w:tc>
        <w:tc>
          <w:tcPr>
            <w:tcW w:w="1010" w:type="dxa"/>
            <w:vMerge w:val="restart"/>
            <w:vAlign w:val="center"/>
          </w:tcPr>
          <w:p w14:paraId="22171F53">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化学实验室废气</w:t>
            </w:r>
          </w:p>
        </w:tc>
        <w:tc>
          <w:tcPr>
            <w:tcW w:w="975" w:type="dxa"/>
            <w:vMerge w:val="restart"/>
            <w:vAlign w:val="center"/>
          </w:tcPr>
          <w:p w14:paraId="65BAA18F">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有组织排气筒（DA001）</w:t>
            </w:r>
          </w:p>
        </w:tc>
        <w:tc>
          <w:tcPr>
            <w:tcW w:w="1300" w:type="dxa"/>
            <w:vAlign w:val="center"/>
          </w:tcPr>
          <w:p w14:paraId="41DA492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kern w:val="0"/>
                <w:szCs w:val="21"/>
              </w:rPr>
              <w:t>非甲烷总烃、</w:t>
            </w:r>
            <w:r>
              <w:rPr>
                <w:rFonts w:hint="default"/>
                <w:color w:val="auto"/>
                <w:szCs w:val="21"/>
              </w:rPr>
              <w:t>硫酸雾、氯化氢</w:t>
            </w:r>
          </w:p>
        </w:tc>
        <w:tc>
          <w:tcPr>
            <w:tcW w:w="1640" w:type="dxa"/>
            <w:vMerge w:val="restart"/>
            <w:vAlign w:val="center"/>
          </w:tcPr>
          <w:p w14:paraId="032D6E26">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通风橱、集气罩收集+</w:t>
            </w:r>
            <w:r>
              <w:rPr>
                <w:rFonts w:hint="eastAsia"/>
                <w:color w:val="auto"/>
                <w:szCs w:val="21"/>
                <w:lang w:val="en-US" w:eastAsia="zh-CN"/>
              </w:rPr>
              <w:t>喷淋设施</w:t>
            </w:r>
            <w:r>
              <w:rPr>
                <w:rFonts w:hint="default"/>
                <w:color w:val="auto"/>
                <w:szCs w:val="21"/>
              </w:rPr>
              <w:t>+</w:t>
            </w:r>
            <w:r>
              <w:rPr>
                <w:rFonts w:hint="eastAsia"/>
                <w:color w:val="auto"/>
                <w:szCs w:val="21"/>
                <w:lang w:val="en-US" w:eastAsia="zh-CN"/>
              </w:rPr>
              <w:t>1#二级</w:t>
            </w:r>
            <w:r>
              <w:rPr>
                <w:rFonts w:hint="default"/>
                <w:color w:val="auto"/>
                <w:szCs w:val="21"/>
              </w:rPr>
              <w:t>活性炭吸附装置+15m高排气筒（DA001）</w:t>
            </w:r>
          </w:p>
        </w:tc>
        <w:tc>
          <w:tcPr>
            <w:tcW w:w="2337" w:type="dxa"/>
            <w:vAlign w:val="center"/>
          </w:tcPr>
          <w:p w14:paraId="18A60E17">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color w:val="auto"/>
                <w:szCs w:val="21"/>
              </w:rPr>
              <w:t>《大气污染物综合排放标准》（GB16297-1996）表2二级排放限值严格50%。</w:t>
            </w:r>
          </w:p>
        </w:tc>
      </w:tr>
      <w:tr w14:paraId="449DB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538" w:type="dxa"/>
            <w:vMerge w:val="continue"/>
            <w:vAlign w:val="center"/>
          </w:tcPr>
          <w:p w14:paraId="4EB62975">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010" w:type="dxa"/>
            <w:vMerge w:val="continue"/>
            <w:vAlign w:val="center"/>
          </w:tcPr>
          <w:p w14:paraId="7A1E85E0">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975" w:type="dxa"/>
            <w:vMerge w:val="continue"/>
            <w:vAlign w:val="center"/>
          </w:tcPr>
          <w:p w14:paraId="2BB075F1">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300" w:type="dxa"/>
            <w:vAlign w:val="center"/>
          </w:tcPr>
          <w:p w14:paraId="573D82C9">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氨</w:t>
            </w:r>
          </w:p>
        </w:tc>
        <w:tc>
          <w:tcPr>
            <w:tcW w:w="1640" w:type="dxa"/>
            <w:vMerge w:val="continue"/>
            <w:vAlign w:val="center"/>
          </w:tcPr>
          <w:p w14:paraId="3F431BCD">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2337" w:type="dxa"/>
            <w:vAlign w:val="center"/>
          </w:tcPr>
          <w:p w14:paraId="6977DC6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《恶臭污染物排放标准》（GB14554-93）表2相关排放标准限值。</w:t>
            </w:r>
          </w:p>
        </w:tc>
      </w:tr>
      <w:tr w14:paraId="24774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vAlign w:val="center"/>
          </w:tcPr>
          <w:p w14:paraId="23DF66E4">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010" w:type="dxa"/>
            <w:vAlign w:val="center"/>
          </w:tcPr>
          <w:p w14:paraId="2D52710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沥青实验室废气</w:t>
            </w:r>
          </w:p>
        </w:tc>
        <w:tc>
          <w:tcPr>
            <w:tcW w:w="975" w:type="dxa"/>
            <w:vAlign w:val="center"/>
          </w:tcPr>
          <w:p w14:paraId="3AB4537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有组织排气筒（DA002）</w:t>
            </w:r>
          </w:p>
        </w:tc>
        <w:tc>
          <w:tcPr>
            <w:tcW w:w="1300" w:type="dxa"/>
            <w:vAlign w:val="center"/>
          </w:tcPr>
          <w:p w14:paraId="64B3D475">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沥青烟、苯并[a]芘</w:t>
            </w:r>
          </w:p>
        </w:tc>
        <w:tc>
          <w:tcPr>
            <w:tcW w:w="1640" w:type="dxa"/>
            <w:vAlign w:val="center"/>
          </w:tcPr>
          <w:p w14:paraId="6A4C196A">
            <w:pPr>
              <w:keepNext w:val="0"/>
              <w:keepLines w:val="0"/>
              <w:suppressLineNumbers w:val="0"/>
              <w:adjustRightInd w:val="0"/>
              <w:snapToGrid w:val="0"/>
              <w:spacing w:before="0" w:beforeAutospacing="0" w:after="0" w:afterAutospacing="0"/>
              <w:ind w:left="0" w:right="0"/>
              <w:jc w:val="both"/>
              <w:rPr>
                <w:rFonts w:hint="default"/>
                <w:color w:val="auto"/>
                <w:szCs w:val="21"/>
              </w:rPr>
            </w:pPr>
            <w:r>
              <w:rPr>
                <w:rFonts w:hint="default"/>
                <w:color w:val="auto"/>
                <w:szCs w:val="21"/>
              </w:rPr>
              <w:t>通风橱+</w:t>
            </w:r>
            <w:r>
              <w:rPr>
                <w:rFonts w:hint="eastAsia"/>
                <w:color w:val="auto"/>
                <w:szCs w:val="21"/>
                <w:lang w:val="en-US" w:eastAsia="zh-CN"/>
              </w:rPr>
              <w:t>2#二级</w:t>
            </w:r>
            <w:r>
              <w:rPr>
                <w:rFonts w:hint="default"/>
                <w:color w:val="auto"/>
                <w:szCs w:val="21"/>
              </w:rPr>
              <w:t>活性炭吸附装置+15m高排气筒（DA002）</w:t>
            </w:r>
          </w:p>
        </w:tc>
        <w:tc>
          <w:tcPr>
            <w:tcW w:w="2337" w:type="dxa"/>
            <w:vAlign w:val="center"/>
          </w:tcPr>
          <w:p w14:paraId="4AF5F223">
            <w:pPr>
              <w:keepNext w:val="0"/>
              <w:keepLines w:val="0"/>
              <w:suppressLineNumbers w:val="0"/>
              <w:adjustRightInd w:val="0"/>
              <w:snapToGrid w:val="0"/>
              <w:spacing w:before="0" w:beforeAutospacing="0" w:after="0" w:afterAutospacing="0"/>
              <w:ind w:left="0" w:right="0"/>
              <w:jc w:val="both"/>
              <w:rPr>
                <w:rFonts w:hint="default"/>
                <w:color w:val="auto"/>
                <w:szCs w:val="21"/>
              </w:rPr>
            </w:pPr>
            <w:r>
              <w:rPr>
                <w:rFonts w:hint="default"/>
                <w:color w:val="auto"/>
                <w:szCs w:val="21"/>
              </w:rPr>
              <w:t>《大气污染物综合排放标准》（GB16297-1996）表2二级排放限值严格50%。</w:t>
            </w:r>
          </w:p>
        </w:tc>
      </w:tr>
      <w:tr w14:paraId="623F8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vAlign w:val="center"/>
          </w:tcPr>
          <w:p w14:paraId="079F7F3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985" w:type="dxa"/>
            <w:gridSpan w:val="2"/>
            <w:vAlign w:val="center"/>
          </w:tcPr>
          <w:p w14:paraId="16C318F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食堂油烟</w:t>
            </w:r>
          </w:p>
        </w:tc>
        <w:tc>
          <w:tcPr>
            <w:tcW w:w="1300" w:type="dxa"/>
            <w:vAlign w:val="center"/>
          </w:tcPr>
          <w:p w14:paraId="4279B49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油烟废气</w:t>
            </w:r>
          </w:p>
        </w:tc>
        <w:tc>
          <w:tcPr>
            <w:tcW w:w="1640" w:type="dxa"/>
            <w:vAlign w:val="center"/>
          </w:tcPr>
          <w:p w14:paraId="5CDD8763">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color w:val="auto"/>
                <w:szCs w:val="21"/>
              </w:rPr>
              <w:t>1套油烟净化器+专用烟道</w:t>
            </w:r>
          </w:p>
        </w:tc>
        <w:tc>
          <w:tcPr>
            <w:tcW w:w="2337" w:type="dxa"/>
            <w:vAlign w:val="center"/>
          </w:tcPr>
          <w:p w14:paraId="77021C37">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color w:val="auto"/>
                <w:sz w:val="21"/>
                <w:szCs w:val="21"/>
              </w:rPr>
              <w:t>《餐饮业油烟污染物排放要求》（</w:t>
            </w:r>
            <w:r>
              <w:rPr>
                <w:rFonts w:hint="eastAsia"/>
                <w:color w:val="auto"/>
                <w:sz w:val="21"/>
                <w:szCs w:val="21"/>
              </w:rPr>
              <w:t>DB5301/T 50-2021</w:t>
            </w:r>
            <w:r>
              <w:rPr>
                <w:rFonts w:hint="default"/>
                <w:color w:val="auto"/>
                <w:sz w:val="21"/>
                <w:szCs w:val="21"/>
              </w:rPr>
              <w:t>）</w:t>
            </w:r>
          </w:p>
        </w:tc>
      </w:tr>
      <w:tr w14:paraId="6606BE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vAlign w:val="center"/>
          </w:tcPr>
          <w:p w14:paraId="7A203BB1">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010" w:type="dxa"/>
            <w:vMerge w:val="restart"/>
            <w:vAlign w:val="center"/>
          </w:tcPr>
          <w:p w14:paraId="1AC411B5">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实验室废气</w:t>
            </w:r>
          </w:p>
        </w:tc>
        <w:tc>
          <w:tcPr>
            <w:tcW w:w="975" w:type="dxa"/>
            <w:vMerge w:val="restart"/>
            <w:vAlign w:val="center"/>
          </w:tcPr>
          <w:p w14:paraId="2DF07DAB">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eastAsia="zh-CN"/>
              </w:rPr>
            </w:pPr>
            <w:r>
              <w:rPr>
                <w:rFonts w:hint="eastAsia"/>
                <w:color w:val="auto"/>
                <w:szCs w:val="21"/>
                <w:lang w:val="en-US" w:eastAsia="zh-CN"/>
              </w:rPr>
              <w:t>厂界外</w:t>
            </w:r>
          </w:p>
        </w:tc>
        <w:tc>
          <w:tcPr>
            <w:tcW w:w="1300" w:type="dxa"/>
            <w:vAlign w:val="center"/>
          </w:tcPr>
          <w:p w14:paraId="340960A2">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lang w:val="en-US" w:eastAsia="zh-CN"/>
              </w:rPr>
            </w:pPr>
            <w:r>
              <w:rPr>
                <w:rFonts w:hint="default"/>
                <w:color w:val="auto"/>
                <w:szCs w:val="21"/>
              </w:rPr>
              <w:t>硫酸雾、氯化氢、</w:t>
            </w:r>
            <w:r>
              <w:rPr>
                <w:rFonts w:hint="default" w:eastAsiaTheme="minorEastAsia"/>
                <w:color w:val="auto"/>
                <w:kern w:val="0"/>
                <w:szCs w:val="21"/>
              </w:rPr>
              <w:t>非甲烷总烃、沥青烟、苯并芘</w:t>
            </w:r>
            <w:r>
              <w:rPr>
                <w:rFonts w:hint="eastAsia" w:eastAsiaTheme="minorEastAsia"/>
                <w:color w:val="auto"/>
                <w:kern w:val="0"/>
                <w:szCs w:val="21"/>
                <w:lang w:eastAsia="zh-CN"/>
              </w:rPr>
              <w:t>、</w:t>
            </w:r>
          </w:p>
        </w:tc>
        <w:tc>
          <w:tcPr>
            <w:tcW w:w="1640" w:type="dxa"/>
            <w:vMerge w:val="restart"/>
            <w:vAlign w:val="center"/>
          </w:tcPr>
          <w:p w14:paraId="53127D70">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rPr>
              <w:t>自然扩散、大气稀释、绿化吸收</w:t>
            </w:r>
          </w:p>
        </w:tc>
        <w:tc>
          <w:tcPr>
            <w:tcW w:w="2337" w:type="dxa"/>
            <w:vAlign w:val="center"/>
          </w:tcPr>
          <w:p w14:paraId="1D2FFCDC">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color w:val="auto"/>
                <w:szCs w:val="21"/>
              </w:rPr>
              <w:t>《大气污染物综合排放标准》(GB16297-1996)表2无组织排放要求。</w:t>
            </w:r>
          </w:p>
        </w:tc>
      </w:tr>
      <w:tr w14:paraId="7A7B4E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vAlign w:val="center"/>
          </w:tcPr>
          <w:p w14:paraId="0152116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010" w:type="dxa"/>
            <w:vMerge w:val="continue"/>
            <w:vAlign w:val="center"/>
          </w:tcPr>
          <w:p w14:paraId="7E2049DC">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975" w:type="dxa"/>
            <w:vMerge w:val="continue"/>
            <w:vAlign w:val="center"/>
          </w:tcPr>
          <w:p w14:paraId="399976A2">
            <w:pPr>
              <w:keepNext w:val="0"/>
              <w:keepLines w:val="0"/>
              <w:suppressLineNumbers w:val="0"/>
              <w:adjustRightInd w:val="0"/>
              <w:snapToGrid w:val="0"/>
              <w:spacing w:before="0" w:beforeAutospacing="0" w:after="0" w:afterAutospacing="0"/>
              <w:ind w:left="0" w:right="0"/>
              <w:jc w:val="center"/>
              <w:rPr>
                <w:rFonts w:hint="eastAsia"/>
                <w:color w:val="auto"/>
                <w:szCs w:val="21"/>
                <w:lang w:val="en-US" w:eastAsia="zh-CN"/>
              </w:rPr>
            </w:pPr>
          </w:p>
        </w:tc>
        <w:tc>
          <w:tcPr>
            <w:tcW w:w="1300" w:type="dxa"/>
            <w:vAlign w:val="center"/>
          </w:tcPr>
          <w:p w14:paraId="5BFEA94B">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氨、臭气浓度</w:t>
            </w:r>
          </w:p>
        </w:tc>
        <w:tc>
          <w:tcPr>
            <w:tcW w:w="1640" w:type="dxa"/>
            <w:vMerge w:val="continue"/>
            <w:vAlign w:val="center"/>
          </w:tcPr>
          <w:p w14:paraId="67081165">
            <w:pPr>
              <w:keepNext w:val="0"/>
              <w:keepLines w:val="0"/>
              <w:suppressLineNumbers w:val="0"/>
              <w:adjustRightInd w:val="0"/>
              <w:snapToGrid w:val="0"/>
              <w:spacing w:before="0" w:beforeAutospacing="0" w:after="0" w:afterAutospacing="0"/>
              <w:ind w:left="0" w:right="0"/>
              <w:jc w:val="center"/>
              <w:rPr>
                <w:rFonts w:hint="eastAsia"/>
                <w:color w:val="auto"/>
                <w:szCs w:val="21"/>
              </w:rPr>
            </w:pPr>
          </w:p>
        </w:tc>
        <w:tc>
          <w:tcPr>
            <w:tcW w:w="2337" w:type="dxa"/>
            <w:vAlign w:val="center"/>
          </w:tcPr>
          <w:p w14:paraId="18C8B90A">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color w:val="auto"/>
                <w:szCs w:val="21"/>
              </w:rPr>
              <w:t>《恶臭污染物排放标准》（GB14554-93）表1相关排放标准限值。</w:t>
            </w:r>
          </w:p>
        </w:tc>
      </w:tr>
      <w:tr w14:paraId="6F8B28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vAlign w:val="center"/>
          </w:tcPr>
          <w:p w14:paraId="47CE4911">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010" w:type="dxa"/>
            <w:vMerge w:val="continue"/>
            <w:vAlign w:val="center"/>
          </w:tcPr>
          <w:p w14:paraId="45149EF6">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975" w:type="dxa"/>
            <w:vAlign w:val="center"/>
          </w:tcPr>
          <w:p w14:paraId="19DB9BA2">
            <w:pPr>
              <w:keepNext w:val="0"/>
              <w:keepLines w:val="0"/>
              <w:suppressLineNumbers w:val="0"/>
              <w:adjustRightInd w:val="0"/>
              <w:snapToGrid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厂界内</w:t>
            </w:r>
          </w:p>
        </w:tc>
        <w:tc>
          <w:tcPr>
            <w:tcW w:w="1300" w:type="dxa"/>
            <w:vAlign w:val="center"/>
          </w:tcPr>
          <w:p w14:paraId="7D73F03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kern w:val="0"/>
                <w:szCs w:val="21"/>
              </w:rPr>
              <w:t>非甲烷总烃</w:t>
            </w:r>
          </w:p>
        </w:tc>
        <w:tc>
          <w:tcPr>
            <w:tcW w:w="1640" w:type="dxa"/>
            <w:vMerge w:val="continue"/>
            <w:vAlign w:val="center"/>
          </w:tcPr>
          <w:p w14:paraId="17D30C2A">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2337" w:type="dxa"/>
            <w:vAlign w:val="center"/>
          </w:tcPr>
          <w:p w14:paraId="7231410A">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color w:val="auto"/>
                <w:szCs w:val="21"/>
              </w:rPr>
              <w:t>《挥发性有机物无组织排放控制标准》（</w:t>
            </w:r>
            <w:r>
              <w:rPr>
                <w:rFonts w:hint="default"/>
                <w:color w:val="auto"/>
                <w:szCs w:val="21"/>
              </w:rPr>
              <w:t>GB37822-2019</w:t>
            </w:r>
            <w:r>
              <w:rPr>
                <w:rFonts w:hint="eastAsia"/>
                <w:color w:val="auto"/>
                <w:szCs w:val="21"/>
              </w:rPr>
              <w:t>）中无组织排放限值要求。</w:t>
            </w:r>
          </w:p>
        </w:tc>
      </w:tr>
      <w:tr w14:paraId="5796F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vAlign w:val="center"/>
          </w:tcPr>
          <w:p w14:paraId="69CF5BEB">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985" w:type="dxa"/>
            <w:gridSpan w:val="2"/>
            <w:vAlign w:val="center"/>
          </w:tcPr>
          <w:p w14:paraId="59C10D78">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物理实验室</w:t>
            </w:r>
          </w:p>
        </w:tc>
        <w:tc>
          <w:tcPr>
            <w:tcW w:w="1300" w:type="dxa"/>
            <w:vAlign w:val="center"/>
          </w:tcPr>
          <w:p w14:paraId="51B6F1E0">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lang w:val="en-US" w:eastAsia="zh-CN"/>
              </w:rPr>
            </w:pPr>
            <w:r>
              <w:rPr>
                <w:rFonts w:hint="eastAsia" w:eastAsiaTheme="minorEastAsia"/>
                <w:color w:val="auto"/>
                <w:szCs w:val="21"/>
                <w:lang w:val="en-US" w:eastAsia="zh-CN"/>
              </w:rPr>
              <w:t>TSP</w:t>
            </w:r>
          </w:p>
        </w:tc>
        <w:tc>
          <w:tcPr>
            <w:tcW w:w="1640" w:type="dxa"/>
            <w:vAlign w:val="center"/>
          </w:tcPr>
          <w:p w14:paraId="067EAAF0">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default"/>
                <w:color w:val="auto"/>
                <w:szCs w:val="21"/>
              </w:rPr>
              <w:t>室内沉降、植被吸附。</w:t>
            </w:r>
          </w:p>
        </w:tc>
        <w:tc>
          <w:tcPr>
            <w:tcW w:w="2337" w:type="dxa"/>
            <w:vAlign w:val="center"/>
          </w:tcPr>
          <w:p w14:paraId="15EAD680">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eastAsiaTheme="minorEastAsia"/>
                <w:color w:val="auto"/>
                <w:kern w:val="0"/>
                <w:szCs w:val="21"/>
              </w:rPr>
              <w:t>厂界达到</w:t>
            </w:r>
            <w:r>
              <w:rPr>
                <w:rFonts w:hint="default"/>
                <w:color w:val="auto"/>
                <w:szCs w:val="21"/>
              </w:rPr>
              <w:t>《大气污染物综合排放标准》(GB16297-1996)二级标准无组织监控限值。</w:t>
            </w:r>
          </w:p>
        </w:tc>
      </w:tr>
      <w:tr w14:paraId="2F26E4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538" w:type="dxa"/>
            <w:vMerge w:val="restart"/>
            <w:vAlign w:val="center"/>
          </w:tcPr>
          <w:p w14:paraId="21088336">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地表水环境</w:t>
            </w:r>
          </w:p>
        </w:tc>
        <w:tc>
          <w:tcPr>
            <w:tcW w:w="1010" w:type="dxa"/>
            <w:vAlign w:val="center"/>
          </w:tcPr>
          <w:p w14:paraId="162EF984">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实验楼废水</w:t>
            </w:r>
          </w:p>
        </w:tc>
        <w:tc>
          <w:tcPr>
            <w:tcW w:w="975" w:type="dxa"/>
            <w:vMerge w:val="restart"/>
            <w:vAlign w:val="center"/>
          </w:tcPr>
          <w:p w14:paraId="4A59DF5D">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lang w:val="en-US" w:eastAsia="zh-CN"/>
              </w:rPr>
              <w:t>企业总排口</w:t>
            </w:r>
            <w:r>
              <w:rPr>
                <w:rFonts w:hint="default"/>
                <w:color w:val="auto"/>
                <w:szCs w:val="21"/>
              </w:rPr>
              <w:t>（DW00</w:t>
            </w:r>
            <w:r>
              <w:rPr>
                <w:rFonts w:hint="eastAsia"/>
                <w:color w:val="auto"/>
                <w:szCs w:val="21"/>
                <w:lang w:val="en-US" w:eastAsia="zh-CN"/>
              </w:rPr>
              <w:t>1</w:t>
            </w:r>
            <w:r>
              <w:rPr>
                <w:rFonts w:hint="default"/>
                <w:color w:val="auto"/>
                <w:szCs w:val="21"/>
              </w:rPr>
              <w:t>）</w:t>
            </w:r>
          </w:p>
        </w:tc>
        <w:tc>
          <w:tcPr>
            <w:tcW w:w="1300" w:type="dxa"/>
            <w:vMerge w:val="restart"/>
            <w:vAlign w:val="center"/>
          </w:tcPr>
          <w:p w14:paraId="49381D38">
            <w:pPr>
              <w:keepNext w:val="0"/>
              <w:keepLines w:val="0"/>
              <w:suppressLineNumbers w:val="0"/>
              <w:adjustRightInd w:val="0"/>
              <w:snapToGrid w:val="0"/>
              <w:spacing w:before="0" w:beforeAutospacing="0" w:after="0" w:afterAutospacing="0"/>
              <w:ind w:left="0" w:right="0"/>
              <w:jc w:val="center"/>
              <w:rPr>
                <w:rFonts w:hint="eastAsia" w:eastAsia="宋体"/>
                <w:color w:val="auto"/>
                <w:kern w:val="0"/>
                <w:szCs w:val="21"/>
                <w:lang w:eastAsia="zh-CN"/>
              </w:rPr>
            </w:pPr>
            <w:r>
              <w:rPr>
                <w:rFonts w:hint="default"/>
                <w:color w:val="auto"/>
                <w:szCs w:val="21"/>
              </w:rPr>
              <w:t>pH、CODcr、BOD</w:t>
            </w:r>
            <w:r>
              <w:rPr>
                <w:rFonts w:hint="default"/>
                <w:color w:val="auto"/>
                <w:szCs w:val="21"/>
                <w:vertAlign w:val="subscript"/>
              </w:rPr>
              <w:t>5</w:t>
            </w:r>
            <w:r>
              <w:rPr>
                <w:rFonts w:hint="default"/>
                <w:color w:val="auto"/>
                <w:szCs w:val="21"/>
              </w:rPr>
              <w:t>、SS、氨氮、总磷、</w:t>
            </w:r>
            <w:r>
              <w:rPr>
                <w:rFonts w:hint="eastAsia"/>
                <w:color w:val="auto"/>
                <w:szCs w:val="21"/>
                <w:lang w:val="en-US" w:eastAsia="zh-CN"/>
              </w:rPr>
              <w:t>动植物油</w:t>
            </w:r>
          </w:p>
        </w:tc>
        <w:tc>
          <w:tcPr>
            <w:tcW w:w="1640" w:type="dxa"/>
            <w:vAlign w:val="center"/>
          </w:tcPr>
          <w:p w14:paraId="0CF57EB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lang w:val="en-US" w:eastAsia="zh-CN"/>
              </w:rPr>
              <w:t>废水中和收集桶+三级</w:t>
            </w:r>
            <w:r>
              <w:rPr>
                <w:rFonts w:hint="default"/>
                <w:color w:val="auto"/>
                <w:szCs w:val="21"/>
              </w:rPr>
              <w:t>沉淀池</w:t>
            </w:r>
          </w:p>
        </w:tc>
        <w:tc>
          <w:tcPr>
            <w:tcW w:w="2337" w:type="dxa"/>
            <w:vMerge w:val="restart"/>
            <w:vAlign w:val="center"/>
          </w:tcPr>
          <w:p w14:paraId="0E70AADE">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color w:val="auto"/>
                <w:szCs w:val="21"/>
              </w:rPr>
              <w:t>《污水排入城镇下水道水质标准》（GB/T31962-2015）表1中A等级标准。</w:t>
            </w:r>
          </w:p>
        </w:tc>
      </w:tr>
      <w:tr w14:paraId="57355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538" w:type="dxa"/>
            <w:vMerge w:val="continue"/>
            <w:vAlign w:val="center"/>
          </w:tcPr>
          <w:p w14:paraId="3FCB3262">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010" w:type="dxa"/>
            <w:vAlign w:val="center"/>
          </w:tcPr>
          <w:p w14:paraId="2069969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生活污水、地面清洁废水</w:t>
            </w:r>
          </w:p>
        </w:tc>
        <w:tc>
          <w:tcPr>
            <w:tcW w:w="975" w:type="dxa"/>
            <w:vMerge w:val="continue"/>
            <w:vAlign w:val="center"/>
          </w:tcPr>
          <w:p w14:paraId="7C9EF0DF">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300" w:type="dxa"/>
            <w:vMerge w:val="continue"/>
            <w:vAlign w:val="center"/>
          </w:tcPr>
          <w:p w14:paraId="553EAF9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p>
        </w:tc>
        <w:tc>
          <w:tcPr>
            <w:tcW w:w="1640" w:type="dxa"/>
            <w:vAlign w:val="center"/>
          </w:tcPr>
          <w:p w14:paraId="1A65D5A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color w:val="auto"/>
                <w:szCs w:val="21"/>
                <w:lang w:val="en-US" w:eastAsia="zh-CN"/>
              </w:rPr>
              <w:t>隔油池+</w:t>
            </w:r>
            <w:r>
              <w:rPr>
                <w:rFonts w:hint="default"/>
                <w:color w:val="auto"/>
                <w:szCs w:val="21"/>
              </w:rPr>
              <w:t>化粪池</w:t>
            </w:r>
          </w:p>
        </w:tc>
        <w:tc>
          <w:tcPr>
            <w:tcW w:w="2337" w:type="dxa"/>
            <w:vMerge w:val="continue"/>
            <w:vAlign w:val="center"/>
          </w:tcPr>
          <w:p w14:paraId="1929449F">
            <w:pPr>
              <w:keepNext w:val="0"/>
              <w:keepLines w:val="0"/>
              <w:suppressLineNumbers w:val="0"/>
              <w:adjustRightInd w:val="0"/>
              <w:snapToGrid w:val="0"/>
              <w:spacing w:before="0" w:beforeAutospacing="0" w:after="0" w:afterAutospacing="0"/>
              <w:ind w:left="0" w:right="0"/>
              <w:rPr>
                <w:rFonts w:hint="default"/>
                <w:color w:val="auto"/>
                <w:szCs w:val="21"/>
              </w:rPr>
            </w:pPr>
          </w:p>
        </w:tc>
      </w:tr>
      <w:tr w14:paraId="0A499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Align w:val="center"/>
          </w:tcPr>
          <w:p w14:paraId="3938651C">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声环境</w:t>
            </w:r>
          </w:p>
        </w:tc>
        <w:tc>
          <w:tcPr>
            <w:tcW w:w="1985" w:type="dxa"/>
            <w:gridSpan w:val="2"/>
            <w:vAlign w:val="center"/>
          </w:tcPr>
          <w:p w14:paraId="11B0ACD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风机、通风橱、实验设备</w:t>
            </w:r>
          </w:p>
        </w:tc>
        <w:tc>
          <w:tcPr>
            <w:tcW w:w="1300" w:type="dxa"/>
            <w:vAlign w:val="center"/>
          </w:tcPr>
          <w:p w14:paraId="414906E9">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等效A声级，</w:t>
            </w:r>
            <w:r>
              <w:rPr>
                <w:rFonts w:hint="default" w:eastAsiaTheme="minorEastAsia"/>
                <w:color w:val="auto"/>
                <w:kern w:val="0"/>
                <w:szCs w:val="21"/>
              </w:rPr>
              <w:t>Lep（A）</w:t>
            </w:r>
          </w:p>
        </w:tc>
        <w:tc>
          <w:tcPr>
            <w:tcW w:w="1640" w:type="dxa"/>
            <w:vAlign w:val="center"/>
          </w:tcPr>
          <w:p w14:paraId="39C7DB43">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基础减震、建筑隔声</w:t>
            </w:r>
          </w:p>
        </w:tc>
        <w:tc>
          <w:tcPr>
            <w:tcW w:w="2337" w:type="dxa"/>
            <w:vAlign w:val="center"/>
          </w:tcPr>
          <w:p w14:paraId="752B5A51">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color w:val="auto"/>
                <w:szCs w:val="21"/>
              </w:rPr>
              <w:t>执行《工业企业厂界环境噪声排放标准》（GB12348-2008）中2类标准值要求。</w:t>
            </w:r>
          </w:p>
        </w:tc>
      </w:tr>
      <w:tr w14:paraId="44911B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Align w:val="center"/>
          </w:tcPr>
          <w:p w14:paraId="0B25C62E">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电磁辐射</w:t>
            </w:r>
          </w:p>
        </w:tc>
        <w:tc>
          <w:tcPr>
            <w:tcW w:w="1985" w:type="dxa"/>
            <w:gridSpan w:val="2"/>
            <w:vAlign w:val="center"/>
          </w:tcPr>
          <w:p w14:paraId="10D00628">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w:t>
            </w:r>
          </w:p>
        </w:tc>
        <w:tc>
          <w:tcPr>
            <w:tcW w:w="1300" w:type="dxa"/>
            <w:vAlign w:val="center"/>
          </w:tcPr>
          <w:p w14:paraId="2B832DBA">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w:t>
            </w:r>
          </w:p>
        </w:tc>
        <w:tc>
          <w:tcPr>
            <w:tcW w:w="1640" w:type="dxa"/>
            <w:vAlign w:val="center"/>
          </w:tcPr>
          <w:p w14:paraId="10C20AF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w:t>
            </w:r>
          </w:p>
        </w:tc>
        <w:tc>
          <w:tcPr>
            <w:tcW w:w="2337" w:type="dxa"/>
            <w:vAlign w:val="center"/>
          </w:tcPr>
          <w:p w14:paraId="3C1A07EB">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w:t>
            </w:r>
          </w:p>
        </w:tc>
      </w:tr>
      <w:tr w14:paraId="05E0D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38" w:type="dxa"/>
            <w:vAlign w:val="center"/>
          </w:tcPr>
          <w:p w14:paraId="459EAC02">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固体废物</w:t>
            </w:r>
          </w:p>
        </w:tc>
        <w:tc>
          <w:tcPr>
            <w:tcW w:w="7262" w:type="dxa"/>
            <w:gridSpan w:val="5"/>
            <w:vAlign w:val="center"/>
          </w:tcPr>
          <w:p w14:paraId="6373D4A3">
            <w:pPr>
              <w:keepNext w:val="0"/>
              <w:keepLines w:val="0"/>
              <w:suppressLineNumbers w:val="0"/>
              <w:adjustRightInd w:val="0"/>
              <w:snapToGrid w:val="0"/>
              <w:spacing w:before="0" w:beforeAutospacing="0" w:after="0" w:afterAutospacing="0"/>
              <w:ind w:left="0" w:right="0"/>
              <w:rPr>
                <w:rFonts w:hint="default" w:eastAsiaTheme="minorEastAsia"/>
                <w:color w:val="auto"/>
                <w:kern w:val="0"/>
                <w:szCs w:val="21"/>
              </w:rPr>
            </w:pPr>
            <w:r>
              <w:rPr>
                <w:rFonts w:hint="default" w:eastAsiaTheme="minorEastAsia"/>
                <w:color w:val="auto"/>
                <w:kern w:val="0"/>
                <w:szCs w:val="21"/>
              </w:rPr>
              <w:t>一般</w:t>
            </w:r>
            <w:r>
              <w:rPr>
                <w:rFonts w:hint="eastAsia" w:eastAsiaTheme="minorEastAsia"/>
                <w:color w:val="auto"/>
                <w:kern w:val="0"/>
                <w:szCs w:val="21"/>
                <w:lang w:val="en-US" w:eastAsia="zh-CN"/>
              </w:rPr>
              <w:t>工业</w:t>
            </w:r>
            <w:r>
              <w:rPr>
                <w:rFonts w:hint="default" w:eastAsiaTheme="minorEastAsia"/>
                <w:color w:val="auto"/>
                <w:kern w:val="0"/>
                <w:szCs w:val="21"/>
              </w:rPr>
              <w:t>固废：生活垃圾、委托环卫部门统一清运；食堂泔水和隔油池油污收集后委托相关回收单位清运；</w:t>
            </w:r>
            <w:r>
              <w:rPr>
                <w:rFonts w:hint="default" w:eastAsiaTheme="minorEastAsia"/>
                <w:color w:val="auto"/>
                <w:szCs w:val="21"/>
              </w:rPr>
              <w:t>检测废料</w:t>
            </w:r>
            <w:r>
              <w:rPr>
                <w:rFonts w:hint="default" w:eastAsiaTheme="minorEastAsia"/>
                <w:color w:val="auto"/>
                <w:kern w:val="0"/>
                <w:szCs w:val="21"/>
              </w:rPr>
              <w:t xml:space="preserve">可回收部分卖给废品回收站，不可回收部分委托清运处置；沉淀池污泥定期清掏，委托环卫部门统一清运； </w:t>
            </w:r>
          </w:p>
          <w:p w14:paraId="22CA903A">
            <w:pPr>
              <w:keepNext w:val="0"/>
              <w:keepLines w:val="0"/>
              <w:suppressLineNumbers w:val="0"/>
              <w:adjustRightInd w:val="0"/>
              <w:snapToGrid w:val="0"/>
              <w:spacing w:before="0" w:beforeAutospacing="0" w:after="0" w:afterAutospacing="0"/>
              <w:ind w:left="0" w:right="0"/>
              <w:rPr>
                <w:rFonts w:hint="default" w:eastAsiaTheme="minorEastAsia"/>
                <w:color w:val="auto"/>
                <w:kern w:val="0"/>
                <w:szCs w:val="21"/>
              </w:rPr>
            </w:pPr>
            <w:r>
              <w:rPr>
                <w:rFonts w:hint="default" w:eastAsiaTheme="minorEastAsia"/>
                <w:color w:val="auto"/>
                <w:kern w:val="0"/>
                <w:szCs w:val="21"/>
              </w:rPr>
              <w:t>危险废物：废活性炭由厂家更换回收处理；报废化学试剂、沾有试剂的废包装瓶和废实验器材、实验废液、实验</w:t>
            </w:r>
            <w:r>
              <w:rPr>
                <w:rFonts w:hint="eastAsia" w:eastAsiaTheme="minorEastAsia"/>
                <w:color w:val="auto"/>
                <w:kern w:val="0"/>
                <w:szCs w:val="21"/>
                <w:lang w:val="en-US" w:eastAsia="zh-CN"/>
              </w:rPr>
              <w:t>室第一、二次</w:t>
            </w:r>
            <w:r>
              <w:rPr>
                <w:rFonts w:hint="default" w:eastAsiaTheme="minorEastAsia"/>
                <w:color w:val="auto"/>
                <w:kern w:val="0"/>
                <w:szCs w:val="21"/>
              </w:rPr>
              <w:t>器皿清洗水、检测废物（废沥青），集中收集至危废暂存间，定期交由有资质单位清运处置。</w:t>
            </w:r>
          </w:p>
          <w:p w14:paraId="0ECFF791">
            <w:pPr>
              <w:keepNext w:val="0"/>
              <w:keepLines w:val="0"/>
              <w:suppressLineNumbers w:val="0"/>
              <w:adjustRightInd w:val="0"/>
              <w:snapToGrid w:val="0"/>
              <w:spacing w:before="0" w:beforeAutospacing="0" w:after="0" w:afterAutospacing="0"/>
              <w:ind w:left="0" w:right="0"/>
              <w:rPr>
                <w:rFonts w:hint="default" w:eastAsiaTheme="minorEastAsia"/>
                <w:color w:val="auto"/>
                <w:kern w:val="0"/>
                <w:szCs w:val="21"/>
              </w:rPr>
            </w:pPr>
            <w:r>
              <w:rPr>
                <w:rFonts w:hint="default" w:eastAsiaTheme="minorEastAsia"/>
                <w:color w:val="auto"/>
                <w:kern w:val="0"/>
                <w:szCs w:val="21"/>
              </w:rPr>
              <w:t>通过采取上述措施后，固体废物处置率100%。</w:t>
            </w:r>
          </w:p>
        </w:tc>
      </w:tr>
      <w:tr w14:paraId="426C8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38" w:type="dxa"/>
            <w:vAlign w:val="center"/>
          </w:tcPr>
          <w:p w14:paraId="07CBB933">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土壤及地下水</w:t>
            </w:r>
          </w:p>
          <w:p w14:paraId="1A7C1137">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污染防治措施</w:t>
            </w:r>
          </w:p>
        </w:tc>
        <w:tc>
          <w:tcPr>
            <w:tcW w:w="7262" w:type="dxa"/>
            <w:gridSpan w:val="5"/>
            <w:vAlign w:val="center"/>
          </w:tcPr>
          <w:p w14:paraId="44C24031">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cs="宋体"/>
                <w:bCs/>
                <w:color w:val="auto"/>
                <w:kern w:val="0"/>
                <w:szCs w:val="21"/>
              </w:rPr>
              <w:t>危废暂存</w:t>
            </w:r>
            <w:r>
              <w:rPr>
                <w:rFonts w:hint="eastAsia" w:cs="宋体"/>
                <w:bCs/>
                <w:color w:val="auto"/>
                <w:kern w:val="0"/>
                <w:szCs w:val="21"/>
              </w:rPr>
              <w:t>区</w:t>
            </w:r>
            <w:r>
              <w:rPr>
                <w:rFonts w:hint="default" w:cs="宋体"/>
                <w:bCs/>
                <w:color w:val="auto"/>
                <w:kern w:val="0"/>
                <w:szCs w:val="21"/>
              </w:rPr>
              <w:t>采取重点防渗，地面与裙脚要用坚固、防渗的材料建造，建筑材料必须与危险废物相容，防渗系数≤10</w:t>
            </w:r>
            <w:r>
              <w:rPr>
                <w:rFonts w:hint="default" w:cs="宋体"/>
                <w:bCs/>
                <w:color w:val="auto"/>
                <w:kern w:val="0"/>
                <w:szCs w:val="21"/>
                <w:vertAlign w:val="superscript"/>
              </w:rPr>
              <w:t>-10</w:t>
            </w:r>
            <w:r>
              <w:rPr>
                <w:rFonts w:hint="default" w:cs="宋体"/>
                <w:bCs/>
                <w:color w:val="auto"/>
                <w:kern w:val="0"/>
                <w:szCs w:val="21"/>
              </w:rPr>
              <w:t>cm/s，防止实验废液等危废下渗污染地下水水质和土壤环境。</w:t>
            </w:r>
          </w:p>
        </w:tc>
      </w:tr>
      <w:tr w14:paraId="05E21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38" w:type="dxa"/>
            <w:vAlign w:val="center"/>
          </w:tcPr>
          <w:p w14:paraId="61478A04">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生态保护措施</w:t>
            </w:r>
          </w:p>
        </w:tc>
        <w:tc>
          <w:tcPr>
            <w:tcW w:w="7262" w:type="dxa"/>
            <w:gridSpan w:val="5"/>
            <w:vAlign w:val="center"/>
          </w:tcPr>
          <w:p w14:paraId="67F15E29">
            <w:pPr>
              <w:keepNext w:val="0"/>
              <w:keepLines w:val="0"/>
              <w:suppressLineNumbers w:val="0"/>
              <w:adjustRightInd w:val="0"/>
              <w:snapToGrid w:val="0"/>
              <w:spacing w:before="0" w:beforeAutospacing="0" w:after="0" w:afterAutospacing="0"/>
              <w:ind w:left="0" w:right="0"/>
              <w:jc w:val="both"/>
              <w:rPr>
                <w:rFonts w:hint="default"/>
                <w:color w:val="auto"/>
                <w:szCs w:val="21"/>
              </w:rPr>
            </w:pPr>
            <w:r>
              <w:rPr>
                <w:rFonts w:hint="eastAsia"/>
                <w:color w:val="auto"/>
                <w:kern w:val="0"/>
                <w:szCs w:val="21"/>
              </w:rPr>
              <w:t>项目不涉及新增用地，不会对周边生态环境造成明显不良影响。</w:t>
            </w:r>
          </w:p>
        </w:tc>
      </w:tr>
      <w:tr w14:paraId="3D5DA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538" w:type="dxa"/>
            <w:vAlign w:val="center"/>
          </w:tcPr>
          <w:p w14:paraId="63B58BDA">
            <w:pPr>
              <w:keepNext w:val="0"/>
              <w:keepLines w:val="0"/>
              <w:suppressLineNumbers w:val="0"/>
              <w:adjustRightInd w:val="0"/>
              <w:snapToGrid w:val="0"/>
              <w:spacing w:before="0" w:beforeAutospacing="0" w:after="0" w:afterAutospacing="0"/>
              <w:ind w:left="0" w:right="0"/>
              <w:jc w:val="center"/>
              <w:rPr>
                <w:rFonts w:hint="default"/>
                <w:color w:val="auto"/>
                <w:spacing w:val="-8"/>
                <w:szCs w:val="21"/>
              </w:rPr>
            </w:pPr>
            <w:r>
              <w:rPr>
                <w:rFonts w:hint="default"/>
                <w:color w:val="auto"/>
                <w:spacing w:val="-8"/>
                <w:szCs w:val="21"/>
              </w:rPr>
              <w:t>环境风险</w:t>
            </w:r>
          </w:p>
          <w:p w14:paraId="34B877F1">
            <w:pPr>
              <w:keepNext w:val="0"/>
              <w:keepLines w:val="0"/>
              <w:suppressLineNumbers w:val="0"/>
              <w:adjustRightInd w:val="0"/>
              <w:snapToGrid w:val="0"/>
              <w:spacing w:before="0" w:beforeAutospacing="0" w:after="0" w:afterAutospacing="0"/>
              <w:ind w:left="0" w:right="0"/>
              <w:jc w:val="center"/>
              <w:rPr>
                <w:rFonts w:hint="default"/>
                <w:color w:val="auto"/>
                <w:spacing w:val="-8"/>
                <w:szCs w:val="21"/>
              </w:rPr>
            </w:pPr>
            <w:r>
              <w:rPr>
                <w:rFonts w:hint="default"/>
                <w:color w:val="auto"/>
                <w:spacing w:val="-8"/>
                <w:szCs w:val="21"/>
              </w:rPr>
              <w:t>防范措施</w:t>
            </w:r>
          </w:p>
        </w:tc>
        <w:tc>
          <w:tcPr>
            <w:tcW w:w="7262" w:type="dxa"/>
            <w:gridSpan w:val="5"/>
            <w:vAlign w:val="center"/>
          </w:tcPr>
          <w:p w14:paraId="55347A2D">
            <w:pPr>
              <w:pStyle w:val="41"/>
              <w:keepNext w:val="0"/>
              <w:keepLines w:val="0"/>
              <w:numPr>
                <w:ilvl w:val="0"/>
                <w:numId w:val="0"/>
              </w:numPr>
              <w:suppressLineNumbers w:val="0"/>
              <w:snapToGrid w:val="0"/>
              <w:spacing w:before="0" w:beforeAutospacing="0" w:after="0" w:afterAutospacing="0"/>
              <w:ind w:left="0" w:leftChars="0" w:right="0" w:rightChars="0"/>
              <w:rPr>
                <w:rFonts w:hint="default"/>
                <w:b/>
                <w:bCs/>
                <w:color w:val="auto"/>
                <w:szCs w:val="21"/>
              </w:rPr>
            </w:pPr>
            <w:r>
              <w:rPr>
                <w:rFonts w:hint="eastAsia"/>
                <w:b/>
                <w:bCs/>
                <w:color w:val="auto"/>
                <w:szCs w:val="21"/>
                <w:lang w:val="en-US" w:eastAsia="zh-CN"/>
              </w:rPr>
              <w:t>1）</w:t>
            </w:r>
            <w:r>
              <w:rPr>
                <w:rFonts w:hint="default"/>
                <w:b/>
                <w:bCs/>
                <w:color w:val="auto"/>
                <w:szCs w:val="21"/>
              </w:rPr>
              <w:t>危险化学品防范措施</w:t>
            </w:r>
          </w:p>
          <w:p w14:paraId="35A44DA5">
            <w:pPr>
              <w:keepNext w:val="0"/>
              <w:keepLines w:val="0"/>
              <w:suppressLineNumbers w:val="0"/>
              <w:snapToGrid w:val="0"/>
              <w:spacing w:before="0" w:beforeAutospacing="0" w:after="0" w:afterAutospacing="0"/>
              <w:ind w:left="0" w:right="0"/>
              <w:rPr>
                <w:rFonts w:hint="default"/>
                <w:color w:val="auto"/>
                <w:szCs w:val="21"/>
              </w:rPr>
            </w:pPr>
            <w:r>
              <w:rPr>
                <w:rFonts w:hint="default"/>
                <w:color w:val="auto"/>
                <w:szCs w:val="21"/>
              </w:rPr>
              <w:t>项目在实验过程中将使用到多种常见化学试剂，如硫酸、盐酸等，所有危险化学品集中存储于试剂室。实验室药品管理要求如下：</w:t>
            </w:r>
          </w:p>
          <w:p w14:paraId="5E843A47">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①</w:t>
            </w:r>
            <w:r>
              <w:rPr>
                <w:rFonts w:hint="default"/>
                <w:color w:val="auto"/>
                <w:szCs w:val="21"/>
              </w:rPr>
              <w:t>贮存区应有与生产规模相适应的面积和空间用于存放试剂，避免差错和交叉污染，易燃易爆试剂设置防爆安全柜存放。</w:t>
            </w:r>
          </w:p>
          <w:p w14:paraId="1B36A3E4">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②</w:t>
            </w:r>
            <w:r>
              <w:rPr>
                <w:rFonts w:hint="default"/>
                <w:color w:val="auto"/>
                <w:szCs w:val="21"/>
              </w:rPr>
              <w:t>化学试剂应指定专人保管，并有帐目。在固体试剂和液体试剂及化学性质不同或灭火方法相抵触的化学试剂应分柜存放。剧毒试剂应专柜存放，双人双锁保管。试剂使用应有记录，剧毒试剂的领用需实验室负责人签字。项目液体试剂存放柜内应设有托盘，将液体试剂存放于托盘上，避免试剂破损后的泄漏产生。</w:t>
            </w:r>
          </w:p>
          <w:p w14:paraId="62124962">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③</w:t>
            </w:r>
            <w:r>
              <w:rPr>
                <w:rFonts w:hint="default"/>
                <w:color w:val="auto"/>
                <w:szCs w:val="21"/>
              </w:rPr>
              <w:t>配制的试剂应贴标识，注明试剂名称、浓度、配制时间、有效期及配制人，配制的试剂除有特殊规定外，存放期不应超过三个月。定期检查试剂是否过期，过期试剂应及时妥善处置。</w:t>
            </w:r>
          </w:p>
          <w:p w14:paraId="583A304C">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④</w:t>
            </w:r>
            <w:r>
              <w:rPr>
                <w:rFonts w:hint="default"/>
                <w:color w:val="auto"/>
                <w:szCs w:val="21"/>
              </w:rPr>
              <w:t>化学药品必须根据化质分类存放，易燃、易爆、剧毒学性、强腐蚀品不得混放。化学药品要存放在专用橱（柜）内，有存放专用橱（柜）的储藏室。易燃易爆物应远离火源。易挥发试剂应贮放在有通风设备的房间内。</w:t>
            </w:r>
          </w:p>
          <w:p w14:paraId="14E75BF5">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⑤</w:t>
            </w:r>
            <w:r>
              <w:rPr>
                <w:rFonts w:hint="default"/>
                <w:color w:val="auto"/>
                <w:szCs w:val="21"/>
              </w:rPr>
              <w:t>危险物品的采购和提运按公安部门和交通运输部门的有关规定办理。危险物品要单独存放，由双人双锁专人管理。存放剧毒物品的药品柜应坚固、保险，要健全严格的领取使用登记。</w:t>
            </w:r>
          </w:p>
          <w:p w14:paraId="1E9B8AF4">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⑥</w:t>
            </w:r>
            <w:r>
              <w:rPr>
                <w:rFonts w:hint="default"/>
                <w:color w:val="auto"/>
                <w:szCs w:val="21"/>
              </w:rPr>
              <w:t>要经常检查危险物品，防止因变质、分解造成自燃、自爆事故。对剧毒物品的容器、变质料、废渣及废水等应予妥善处理。</w:t>
            </w:r>
          </w:p>
          <w:p w14:paraId="1070C9E6">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⑦</w:t>
            </w:r>
            <w:r>
              <w:rPr>
                <w:rFonts w:hint="default"/>
                <w:color w:val="auto"/>
                <w:szCs w:val="21"/>
              </w:rPr>
              <w:t>火灾危害的控制</w:t>
            </w:r>
          </w:p>
          <w:p w14:paraId="30B1D5A8">
            <w:pPr>
              <w:keepNext w:val="0"/>
              <w:keepLines w:val="0"/>
              <w:suppressLineNumbers w:val="0"/>
              <w:snapToGrid w:val="0"/>
              <w:spacing w:before="0" w:beforeAutospacing="0" w:after="0" w:afterAutospacing="0"/>
              <w:ind w:left="0" w:right="0"/>
              <w:rPr>
                <w:rFonts w:hint="default"/>
                <w:color w:val="auto"/>
                <w:szCs w:val="21"/>
              </w:rPr>
            </w:pPr>
            <w:r>
              <w:rPr>
                <w:rFonts w:hint="default"/>
                <w:color w:val="auto"/>
                <w:szCs w:val="21"/>
              </w:rPr>
              <w:t>a、实验室消防器材应放置在靠近门边、走廊和过道的适当位置。灭火器要定期进行检查和维护，使其维持在有效期内。</w:t>
            </w:r>
          </w:p>
          <w:p w14:paraId="69613130">
            <w:pPr>
              <w:keepNext w:val="0"/>
              <w:keepLines w:val="0"/>
              <w:suppressLineNumbers w:val="0"/>
              <w:snapToGrid w:val="0"/>
              <w:spacing w:before="0" w:beforeAutospacing="0" w:after="0" w:afterAutospacing="0"/>
              <w:ind w:left="0" w:right="0"/>
              <w:rPr>
                <w:rFonts w:hint="default"/>
                <w:color w:val="auto"/>
                <w:szCs w:val="21"/>
              </w:rPr>
            </w:pPr>
            <w:r>
              <w:rPr>
                <w:rFonts w:hint="default"/>
                <w:color w:val="auto"/>
                <w:szCs w:val="21"/>
              </w:rPr>
              <w:t>b、在房间、走廊以及过道中应设置显著的火警标志</w:t>
            </w:r>
            <w:r>
              <w:rPr>
                <w:rFonts w:hint="eastAsia"/>
                <w:color w:val="auto"/>
                <w:szCs w:val="21"/>
                <w:lang w:eastAsia="zh-CN"/>
              </w:rPr>
              <w:t>以及</w:t>
            </w:r>
            <w:r>
              <w:rPr>
                <w:rFonts w:hint="default"/>
                <w:color w:val="auto"/>
                <w:szCs w:val="21"/>
              </w:rPr>
              <w:t>紧急通道标志，并应备有辅助出口确保人员可从实验室安全撤离。</w:t>
            </w:r>
          </w:p>
          <w:p w14:paraId="799CFB8A">
            <w:pPr>
              <w:keepNext w:val="0"/>
              <w:keepLines w:val="0"/>
              <w:suppressLineNumbers w:val="0"/>
              <w:snapToGrid w:val="0"/>
              <w:spacing w:before="0" w:beforeAutospacing="0" w:after="0" w:afterAutospacing="0"/>
              <w:ind w:left="0" w:right="0"/>
              <w:rPr>
                <w:rFonts w:hint="default"/>
                <w:color w:val="auto"/>
                <w:szCs w:val="21"/>
              </w:rPr>
            </w:pPr>
            <w:r>
              <w:rPr>
                <w:rFonts w:hint="default"/>
                <w:color w:val="auto"/>
                <w:szCs w:val="21"/>
              </w:rPr>
              <w:t>c、要加强对火源的管理。化学药品储藏室（橱）周围及内部严禁火源；实验室的火源要远离易燃、易爆物品，有火源时，不能离人。</w:t>
            </w:r>
          </w:p>
          <w:p w14:paraId="271271CF">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⑧</w:t>
            </w:r>
            <w:r>
              <w:rPr>
                <w:rFonts w:hint="default"/>
                <w:color w:val="auto"/>
                <w:szCs w:val="21"/>
              </w:rPr>
              <w:t>“三废”处理</w:t>
            </w:r>
          </w:p>
          <w:p w14:paraId="0187AF85">
            <w:pPr>
              <w:keepNext w:val="0"/>
              <w:keepLines w:val="0"/>
              <w:suppressLineNumbers w:val="0"/>
              <w:snapToGrid w:val="0"/>
              <w:spacing w:before="0" w:beforeAutospacing="0" w:after="0" w:afterAutospacing="0"/>
              <w:ind w:left="0" w:right="0"/>
              <w:rPr>
                <w:rFonts w:hint="default"/>
                <w:color w:val="auto"/>
                <w:szCs w:val="21"/>
              </w:rPr>
            </w:pPr>
            <w:r>
              <w:rPr>
                <w:rFonts w:hint="default"/>
                <w:color w:val="auto"/>
                <w:szCs w:val="21"/>
              </w:rPr>
              <w:t>回收的实验废液应分别用洁净的容器盛装，禁止混合贮存，以免发生剧烈化学反应而造成事故。分析人员可根据不同分析项目对废液分别收集、处理。项目实验过程配液及实验过程均在通风橱/集气罩内进行，通风橱/集气罩能将微量的挥发性气体收集，经净化装置处理后，通过通风管输送到本项目楼顶排放。废弃的有害固体药品严禁倒在生活垃圾处，必须经处理后作为危险废物处置。</w:t>
            </w:r>
          </w:p>
          <w:p w14:paraId="5852C624">
            <w:pPr>
              <w:keepNext w:val="0"/>
              <w:keepLines w:val="0"/>
              <w:suppressLineNumbers w:val="0"/>
              <w:snapToGrid w:val="0"/>
              <w:spacing w:before="0" w:beforeAutospacing="0" w:after="0" w:afterAutospacing="0"/>
              <w:ind w:left="0" w:right="0"/>
              <w:rPr>
                <w:rFonts w:hint="default"/>
                <w:b/>
                <w:bCs/>
                <w:color w:val="auto"/>
                <w:szCs w:val="21"/>
              </w:rPr>
            </w:pPr>
            <w:r>
              <w:rPr>
                <w:rFonts w:hint="default"/>
                <w:b/>
                <w:bCs/>
                <w:color w:val="auto"/>
                <w:szCs w:val="21"/>
              </w:rPr>
              <w:t>2）危险化学品应急处置措施</w:t>
            </w:r>
          </w:p>
          <w:p w14:paraId="6E117876">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①</w:t>
            </w:r>
            <w:r>
              <w:rPr>
                <w:rFonts w:hint="default"/>
                <w:color w:val="auto"/>
                <w:szCs w:val="21"/>
              </w:rPr>
              <w:t>隔离事故区域、限制无关人员出入。</w:t>
            </w:r>
          </w:p>
          <w:p w14:paraId="7E9E3625">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②</w:t>
            </w:r>
            <w:r>
              <w:rPr>
                <w:rFonts w:hint="default"/>
                <w:color w:val="auto"/>
                <w:szCs w:val="21"/>
              </w:rPr>
              <w:t>应急人员必须戴好防毒面具（全面罩），穿好防护服（防毒服）对扩散出来的危险废物进行清理，禁止直接接触泄漏物。</w:t>
            </w:r>
          </w:p>
          <w:p w14:paraId="448C7544">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③</w:t>
            </w:r>
            <w:r>
              <w:rPr>
                <w:rFonts w:hint="default"/>
                <w:color w:val="auto"/>
                <w:szCs w:val="21"/>
              </w:rPr>
              <w:t>洒漏在地面的液体危险物质由责任部门（相关方由相关负责部门监督）用棉纱清除，棉纱放在危废收集容器内，作为危废处置。</w:t>
            </w:r>
          </w:p>
          <w:p w14:paraId="32397324">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④</w:t>
            </w:r>
            <w:r>
              <w:rPr>
                <w:rFonts w:hint="default"/>
                <w:color w:val="auto"/>
                <w:szCs w:val="21"/>
              </w:rPr>
              <w:t>洒漏的固体危险物质，立即进行妥善收集。</w:t>
            </w:r>
          </w:p>
          <w:p w14:paraId="6CA7A1F1">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⑤</w:t>
            </w:r>
            <w:r>
              <w:rPr>
                <w:rFonts w:hint="default"/>
                <w:color w:val="auto"/>
                <w:szCs w:val="21"/>
              </w:rPr>
              <w:t>对被危险废物污染的场地用清水处理，并将处理水进行收集处理；危险废物清理完成后需对受污染的地表水进行监测，并根据污染程度采取修复措施。</w:t>
            </w:r>
          </w:p>
          <w:p w14:paraId="46514BAD">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⑥</w:t>
            </w:r>
            <w:r>
              <w:rPr>
                <w:rFonts w:hint="default"/>
                <w:color w:val="auto"/>
                <w:szCs w:val="21"/>
              </w:rPr>
              <w:t>如原料发生外漏事故，则应避免扬尘，用清洁的铲子收集于干燥、洁净、有盖的容器中，转移回收至原料库；收集处理后对被污染的场地进行专门处理。</w:t>
            </w:r>
          </w:p>
          <w:p w14:paraId="6D1781FC">
            <w:pPr>
              <w:keepNext w:val="0"/>
              <w:keepLines w:val="0"/>
              <w:suppressLineNumbers w:val="0"/>
              <w:snapToGrid w:val="0"/>
              <w:spacing w:before="0" w:beforeAutospacing="0" w:after="0" w:afterAutospacing="0"/>
              <w:ind w:left="0" w:right="0"/>
              <w:rPr>
                <w:rFonts w:hint="default"/>
                <w:color w:val="auto"/>
                <w:szCs w:val="21"/>
              </w:rPr>
            </w:pPr>
            <w:r>
              <w:rPr>
                <w:rFonts w:hint="eastAsia" w:ascii="宋体" w:hAnsi="宋体" w:cs="宋体"/>
                <w:color w:val="auto"/>
                <w:szCs w:val="21"/>
              </w:rPr>
              <w:t>⑦</w:t>
            </w:r>
            <w:r>
              <w:rPr>
                <w:rFonts w:hint="default"/>
                <w:color w:val="auto"/>
                <w:szCs w:val="21"/>
              </w:rPr>
              <w:t>意外事故受伤就地隔离治疗，密切观察接触者，必要时请医院医生协助救治，由办公室负责。</w:t>
            </w:r>
          </w:p>
          <w:p w14:paraId="6C44E9F8">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ascii="宋体" w:hAnsi="宋体" w:cs="宋体"/>
                <w:color w:val="auto"/>
                <w:szCs w:val="21"/>
              </w:rPr>
              <w:t>⑧</w:t>
            </w:r>
            <w:r>
              <w:rPr>
                <w:rFonts w:hint="default"/>
                <w:color w:val="auto"/>
                <w:szCs w:val="21"/>
              </w:rPr>
              <w:t>危废仓应急设施有：消防沙、碎步或棉纱等。</w:t>
            </w:r>
          </w:p>
        </w:tc>
      </w:tr>
      <w:tr w14:paraId="163FA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vAlign w:val="center"/>
          </w:tcPr>
          <w:p w14:paraId="779C3617">
            <w:pPr>
              <w:keepNext w:val="0"/>
              <w:keepLines w:val="0"/>
              <w:suppressLineNumbers w:val="0"/>
              <w:adjustRightInd w:val="0"/>
              <w:snapToGrid w:val="0"/>
              <w:spacing w:before="0" w:beforeAutospacing="0" w:after="0" w:afterAutospacing="0"/>
              <w:ind w:left="0" w:right="0"/>
              <w:jc w:val="center"/>
              <w:rPr>
                <w:rFonts w:hint="default"/>
                <w:color w:val="auto"/>
                <w:spacing w:val="-8"/>
                <w:szCs w:val="21"/>
              </w:rPr>
            </w:pPr>
            <w:r>
              <w:rPr>
                <w:rFonts w:hint="default"/>
                <w:color w:val="auto"/>
                <w:spacing w:val="-8"/>
                <w:szCs w:val="21"/>
              </w:rPr>
              <w:t>其他环境</w:t>
            </w:r>
          </w:p>
          <w:p w14:paraId="0C47DF66">
            <w:pPr>
              <w:keepNext w:val="0"/>
              <w:keepLines w:val="0"/>
              <w:suppressLineNumbers w:val="0"/>
              <w:adjustRightInd w:val="0"/>
              <w:snapToGrid w:val="0"/>
              <w:spacing w:before="0" w:beforeAutospacing="0" w:after="0" w:afterAutospacing="0"/>
              <w:ind w:left="0" w:right="0"/>
              <w:jc w:val="center"/>
              <w:rPr>
                <w:rFonts w:hint="default"/>
                <w:color w:val="auto"/>
                <w:spacing w:val="-8"/>
                <w:szCs w:val="21"/>
              </w:rPr>
            </w:pPr>
            <w:r>
              <w:rPr>
                <w:rFonts w:hint="default"/>
                <w:color w:val="auto"/>
                <w:spacing w:val="-8"/>
                <w:szCs w:val="21"/>
              </w:rPr>
              <w:t>管理要求</w:t>
            </w:r>
          </w:p>
        </w:tc>
        <w:tc>
          <w:tcPr>
            <w:tcW w:w="7262" w:type="dxa"/>
            <w:gridSpan w:val="5"/>
            <w:vAlign w:val="center"/>
          </w:tcPr>
          <w:p w14:paraId="5435402A">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color w:val="auto"/>
                <w:kern w:val="0"/>
                <w:szCs w:val="21"/>
              </w:rPr>
              <w:t>项目建设过程中必须严格执行“三同时”制度，落实本环境影响报告提出的各项措施，加强对各污染物治理，确保各项污染物达标排放，建成后及时进行竣工验收及排污许可证申报，并按照排污许可证要求定期进行监测；</w:t>
            </w:r>
          </w:p>
        </w:tc>
      </w:tr>
    </w:tbl>
    <w:p w14:paraId="31DB4DFC">
      <w:pPr>
        <w:pStyle w:val="15"/>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六、结论</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576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1956B5E">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r>
              <w:rPr>
                <w:rFonts w:hint="default" w:eastAsiaTheme="minorEastAsia"/>
                <w:color w:val="auto"/>
                <w:kern w:val="0"/>
                <w:sz w:val="24"/>
              </w:rPr>
              <w:t>本项目建设符合国家及地方产业政策，符合环境功能区划，选址合理可行，符合总量控制等评价原则的要求。通过对项目所在地区的环境现状以及项目产生的环境影响进行分析，废气、噪声、废水在采取环评提出的防治措施后，均可以做到达标排放，固体废弃物处置率100%，环境影响可以得到有效控制。在认真执行环评中提出的污染防治措施后，产生的污染物对环境的影响较小，从环境保护的角度分析，该项目的建设是可行的。</w:t>
            </w:r>
          </w:p>
          <w:p w14:paraId="473CE6C5">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723CB57C">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37839272">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74717968">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555555A3">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734840CC">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5E08F380">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568396E5">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1991B2F3">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2CCB900A">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5B5AA156">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1BACFD53">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2A9F676D">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197FB74A">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100116CD">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12FBDBFA">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1CEFCE82">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0FB7ABE2">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075A963F">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3B481238">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rPr>
            </w:pPr>
          </w:p>
          <w:p w14:paraId="4DF92A77">
            <w:pPr>
              <w:keepNext w:val="0"/>
              <w:keepLines w:val="0"/>
              <w:suppressLineNumbers w:val="0"/>
              <w:adjustRightInd w:val="0"/>
              <w:snapToGrid w:val="0"/>
              <w:spacing w:before="0" w:beforeAutospacing="0" w:after="0" w:afterAutospacing="0" w:line="360" w:lineRule="auto"/>
              <w:ind w:left="0" w:right="0" w:firstLine="600" w:firstLineChars="200"/>
              <w:rPr>
                <w:rFonts w:hint="default" w:eastAsia="黑体"/>
                <w:snapToGrid w:val="0"/>
                <w:color w:val="auto"/>
                <w:sz w:val="30"/>
                <w:szCs w:val="30"/>
              </w:rPr>
            </w:pPr>
          </w:p>
        </w:tc>
      </w:tr>
    </w:tbl>
    <w:p w14:paraId="4479464F">
      <w:pPr>
        <w:adjustRightInd w:val="0"/>
        <w:snapToGrid w:val="0"/>
        <w:spacing w:line="360" w:lineRule="auto"/>
        <w:ind w:firstLine="600" w:firstLineChars="200"/>
        <w:rPr>
          <w:rFonts w:eastAsia="黑体"/>
          <w:snapToGrid w:val="0"/>
          <w:color w:val="auto"/>
          <w:sz w:val="30"/>
          <w:szCs w:val="30"/>
        </w:rPr>
      </w:pPr>
    </w:p>
    <w:p w14:paraId="5B0DB49A">
      <w:pPr>
        <w:rPr>
          <w:color w:val="auto"/>
        </w:rPr>
        <w:sectPr>
          <w:pgSz w:w="11906" w:h="16838"/>
          <w:pgMar w:top="1701" w:right="1531" w:bottom="1701" w:left="1531" w:header="851" w:footer="851" w:gutter="0"/>
          <w:pgNumType w:fmt="decimal"/>
          <w:cols w:space="720" w:num="1"/>
          <w:docGrid w:linePitch="312" w:charSpace="0"/>
        </w:sectPr>
      </w:pPr>
    </w:p>
    <w:p w14:paraId="2623E461">
      <w:pPr>
        <w:pStyle w:val="15"/>
        <w:adjustRightInd w:val="0"/>
        <w:snapToGrid w:val="0"/>
        <w:spacing w:before="0" w:beforeAutospacing="0" w:after="0" w:afterAutospacing="0" w:line="648" w:lineRule="auto"/>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14:paraId="63F0B568">
      <w:pPr>
        <w:pStyle w:val="15"/>
        <w:adjustRightInd w:val="0"/>
        <w:snapToGrid w:val="0"/>
        <w:spacing w:before="0" w:beforeAutospacing="0" w:after="0" w:afterAutospacing="0" w:line="360" w:lineRule="auto"/>
        <w:jc w:val="center"/>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tbl>
      <w:tblPr>
        <w:tblStyle w:val="1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1951"/>
        <w:gridCol w:w="1701"/>
        <w:gridCol w:w="1276"/>
        <w:gridCol w:w="1701"/>
        <w:gridCol w:w="1701"/>
        <w:gridCol w:w="1417"/>
        <w:gridCol w:w="1701"/>
        <w:gridCol w:w="1286"/>
      </w:tblGrid>
      <w:tr w14:paraId="23CA1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54" w:type="dxa"/>
            <w:tcBorders>
              <w:tl2br w:val="single" w:color="auto" w:sz="4" w:space="0"/>
            </w:tcBorders>
            <w:tcMar>
              <w:left w:w="28" w:type="dxa"/>
              <w:right w:w="28" w:type="dxa"/>
            </w:tcMar>
            <w:vAlign w:val="center"/>
          </w:tcPr>
          <w:p w14:paraId="2B5398CB">
            <w:pPr>
              <w:pStyle w:val="31"/>
              <w:keepNext w:val="0"/>
              <w:keepLines w:val="0"/>
              <w:suppressLineNumbers w:val="0"/>
              <w:spacing w:before="0" w:beforeLines="0" w:beforeAutospacing="0" w:after="0" w:afterLines="0" w:afterAutospacing="0" w:line="240" w:lineRule="auto"/>
              <w:ind w:left="0" w:right="0"/>
              <w:jc w:val="right"/>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项目</w:t>
            </w:r>
          </w:p>
          <w:p w14:paraId="4D2B6739">
            <w:pPr>
              <w:pStyle w:val="31"/>
              <w:keepNext w:val="0"/>
              <w:keepLines w:val="0"/>
              <w:suppressLineNumbers w:val="0"/>
              <w:spacing w:before="0" w:beforeLines="0" w:beforeAutospacing="0" w:after="0" w:afterLines="0" w:afterAutospacing="0" w:line="240" w:lineRule="auto"/>
              <w:ind w:left="0" w:right="0"/>
              <w:jc w:val="left"/>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分类</w:t>
            </w:r>
          </w:p>
        </w:tc>
        <w:tc>
          <w:tcPr>
            <w:tcW w:w="1951" w:type="dxa"/>
            <w:tcMar>
              <w:left w:w="28" w:type="dxa"/>
              <w:right w:w="28" w:type="dxa"/>
            </w:tcMar>
            <w:vAlign w:val="center"/>
          </w:tcPr>
          <w:p w14:paraId="7797C31D">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污染物名称</w:t>
            </w:r>
          </w:p>
        </w:tc>
        <w:tc>
          <w:tcPr>
            <w:tcW w:w="1701" w:type="dxa"/>
            <w:tcMar>
              <w:left w:w="28" w:type="dxa"/>
              <w:right w:w="28" w:type="dxa"/>
            </w:tcMar>
            <w:vAlign w:val="center"/>
          </w:tcPr>
          <w:p w14:paraId="6907A544">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现有工程</w:t>
            </w:r>
          </w:p>
          <w:p w14:paraId="31D7854D">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排放量（固体废物产生量）</w:t>
            </w:r>
            <w:r>
              <w:rPr>
                <w:rFonts w:hint="default" w:ascii="Times New Roman" w:eastAsia="黑体"/>
                <w:snapToGrid w:val="0"/>
                <w:color w:val="auto"/>
                <w:spacing w:val="-6"/>
                <w:kern w:val="21"/>
                <w:szCs w:val="21"/>
              </w:rPr>
              <w:fldChar w:fldCharType="begin"/>
            </w:r>
            <w:r>
              <w:rPr>
                <w:rFonts w:hint="default" w:ascii="Times New Roman" w:eastAsia="黑体"/>
                <w:snapToGrid w:val="0"/>
                <w:color w:val="auto"/>
                <w:spacing w:val="-6"/>
                <w:kern w:val="21"/>
                <w:szCs w:val="21"/>
              </w:rPr>
              <w:instrText xml:space="preserve"> = 1 \* GB3 \* MERGEFORMAT </w:instrText>
            </w:r>
            <w:r>
              <w:rPr>
                <w:rFonts w:hint="default" w:ascii="Times New Roman" w:eastAsia="黑体"/>
                <w:snapToGrid w:val="0"/>
                <w:color w:val="auto"/>
                <w:spacing w:val="-6"/>
                <w:kern w:val="21"/>
                <w:szCs w:val="21"/>
              </w:rPr>
              <w:fldChar w:fldCharType="separate"/>
            </w:r>
            <w:r>
              <w:rPr>
                <w:rFonts w:hint="eastAsia" w:hAnsi="宋体" w:cs="宋体"/>
                <w:color w:val="auto"/>
                <w:kern w:val="2"/>
                <w:szCs w:val="21"/>
              </w:rPr>
              <w:t>①</w:t>
            </w:r>
            <w:r>
              <w:rPr>
                <w:rFonts w:hint="default" w:ascii="Times New Roman" w:eastAsia="黑体"/>
                <w:snapToGrid w:val="0"/>
                <w:color w:val="auto"/>
                <w:spacing w:val="-6"/>
                <w:kern w:val="21"/>
                <w:szCs w:val="21"/>
              </w:rPr>
              <w:fldChar w:fldCharType="end"/>
            </w:r>
          </w:p>
        </w:tc>
        <w:tc>
          <w:tcPr>
            <w:tcW w:w="1276" w:type="dxa"/>
            <w:tcMar>
              <w:left w:w="28" w:type="dxa"/>
              <w:right w:w="28" w:type="dxa"/>
            </w:tcMar>
            <w:vAlign w:val="center"/>
          </w:tcPr>
          <w:p w14:paraId="05C5A046">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现有工程</w:t>
            </w:r>
          </w:p>
          <w:p w14:paraId="1B7420DF">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许可排放量</w:t>
            </w:r>
          </w:p>
          <w:p w14:paraId="0F1724E1">
            <w:pPr>
              <w:pStyle w:val="31"/>
              <w:keepNext w:val="0"/>
              <w:keepLines w:val="0"/>
              <w:suppressLineNumbers w:val="0"/>
              <w:spacing w:before="0" w:beforeLines="0" w:beforeAutospacing="0" w:after="0" w:afterLines="0" w:afterAutospacing="0"/>
              <w:ind w:left="0" w:right="0"/>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fldChar w:fldCharType="begin"/>
            </w:r>
            <w:r>
              <w:rPr>
                <w:rFonts w:hint="default" w:ascii="Times New Roman" w:eastAsia="黑体"/>
                <w:snapToGrid w:val="0"/>
                <w:color w:val="auto"/>
                <w:spacing w:val="-6"/>
                <w:kern w:val="21"/>
                <w:szCs w:val="21"/>
              </w:rPr>
              <w:instrText xml:space="preserve"> = 2 \* GB3 \* MERGEFORMAT </w:instrText>
            </w:r>
            <w:r>
              <w:rPr>
                <w:rFonts w:hint="default" w:ascii="Times New Roman" w:eastAsia="黑体"/>
                <w:snapToGrid w:val="0"/>
                <w:color w:val="auto"/>
                <w:spacing w:val="-6"/>
                <w:kern w:val="21"/>
                <w:szCs w:val="21"/>
              </w:rPr>
              <w:fldChar w:fldCharType="separate"/>
            </w:r>
            <w:r>
              <w:rPr>
                <w:rFonts w:hint="eastAsia" w:hAnsi="宋体" w:cs="宋体"/>
                <w:snapToGrid w:val="0"/>
                <w:color w:val="auto"/>
                <w:spacing w:val="-6"/>
                <w:kern w:val="21"/>
                <w:szCs w:val="21"/>
              </w:rPr>
              <w:t>②</w:t>
            </w:r>
            <w:r>
              <w:rPr>
                <w:rFonts w:hint="default" w:ascii="Times New Roman" w:eastAsia="黑体"/>
                <w:snapToGrid w:val="0"/>
                <w:color w:val="auto"/>
                <w:spacing w:val="-6"/>
                <w:kern w:val="21"/>
                <w:szCs w:val="21"/>
              </w:rPr>
              <w:fldChar w:fldCharType="end"/>
            </w:r>
          </w:p>
        </w:tc>
        <w:tc>
          <w:tcPr>
            <w:tcW w:w="1701" w:type="dxa"/>
            <w:tcMar>
              <w:left w:w="28" w:type="dxa"/>
              <w:right w:w="28" w:type="dxa"/>
            </w:tcMar>
            <w:vAlign w:val="center"/>
          </w:tcPr>
          <w:p w14:paraId="6171528A">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在建工程</w:t>
            </w:r>
          </w:p>
          <w:p w14:paraId="13008C62">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排放量（固体废物产生量）</w:t>
            </w:r>
            <w:r>
              <w:rPr>
                <w:rFonts w:hint="default" w:ascii="Times New Roman" w:eastAsia="黑体"/>
                <w:snapToGrid w:val="0"/>
                <w:color w:val="auto"/>
                <w:spacing w:val="-6"/>
                <w:kern w:val="21"/>
                <w:szCs w:val="21"/>
              </w:rPr>
              <w:fldChar w:fldCharType="begin"/>
            </w:r>
            <w:r>
              <w:rPr>
                <w:rFonts w:hint="default" w:ascii="Times New Roman" w:eastAsia="黑体"/>
                <w:snapToGrid w:val="0"/>
                <w:color w:val="auto"/>
                <w:spacing w:val="-6"/>
                <w:kern w:val="21"/>
                <w:szCs w:val="21"/>
              </w:rPr>
              <w:instrText xml:space="preserve"> = 3 \* GB3 \* MERGEFORMAT </w:instrText>
            </w:r>
            <w:r>
              <w:rPr>
                <w:rFonts w:hint="default" w:ascii="Times New Roman" w:eastAsia="黑体"/>
                <w:snapToGrid w:val="0"/>
                <w:color w:val="auto"/>
                <w:spacing w:val="-6"/>
                <w:kern w:val="21"/>
                <w:szCs w:val="21"/>
              </w:rPr>
              <w:fldChar w:fldCharType="separate"/>
            </w:r>
            <w:r>
              <w:rPr>
                <w:rFonts w:hint="eastAsia" w:hAnsi="宋体" w:cs="宋体"/>
                <w:color w:val="auto"/>
                <w:kern w:val="2"/>
                <w:szCs w:val="21"/>
              </w:rPr>
              <w:t>③</w:t>
            </w:r>
            <w:r>
              <w:rPr>
                <w:rFonts w:hint="default" w:ascii="Times New Roman" w:eastAsia="黑体"/>
                <w:snapToGrid w:val="0"/>
                <w:color w:val="auto"/>
                <w:spacing w:val="-6"/>
                <w:kern w:val="21"/>
                <w:szCs w:val="21"/>
              </w:rPr>
              <w:fldChar w:fldCharType="end"/>
            </w:r>
          </w:p>
        </w:tc>
        <w:tc>
          <w:tcPr>
            <w:tcW w:w="1701" w:type="dxa"/>
            <w:tcMar>
              <w:left w:w="28" w:type="dxa"/>
              <w:right w:w="28" w:type="dxa"/>
            </w:tcMar>
            <w:vAlign w:val="center"/>
          </w:tcPr>
          <w:p w14:paraId="2BABCA26">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本项目</w:t>
            </w:r>
          </w:p>
          <w:p w14:paraId="64B5FA49">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排放量（固体废物产生量）</w:t>
            </w:r>
            <w:r>
              <w:rPr>
                <w:rFonts w:hint="default" w:ascii="Times New Roman" w:eastAsia="黑体"/>
                <w:snapToGrid w:val="0"/>
                <w:color w:val="auto"/>
                <w:spacing w:val="-6"/>
                <w:kern w:val="21"/>
                <w:szCs w:val="21"/>
              </w:rPr>
              <w:fldChar w:fldCharType="begin"/>
            </w:r>
            <w:r>
              <w:rPr>
                <w:rFonts w:hint="default" w:ascii="Times New Roman" w:eastAsia="黑体"/>
                <w:snapToGrid w:val="0"/>
                <w:color w:val="auto"/>
                <w:spacing w:val="-6"/>
                <w:kern w:val="21"/>
                <w:szCs w:val="21"/>
              </w:rPr>
              <w:instrText xml:space="preserve"> = 4 \* GB3 \* MERGEFORMAT </w:instrText>
            </w:r>
            <w:r>
              <w:rPr>
                <w:rFonts w:hint="default" w:ascii="Times New Roman" w:eastAsia="黑体"/>
                <w:snapToGrid w:val="0"/>
                <w:color w:val="auto"/>
                <w:spacing w:val="-6"/>
                <w:kern w:val="21"/>
                <w:szCs w:val="21"/>
              </w:rPr>
              <w:fldChar w:fldCharType="separate"/>
            </w:r>
            <w:r>
              <w:rPr>
                <w:rFonts w:hint="eastAsia" w:hAnsi="宋体" w:cs="宋体"/>
                <w:color w:val="auto"/>
                <w:kern w:val="2"/>
                <w:szCs w:val="21"/>
              </w:rPr>
              <w:t>④</w:t>
            </w:r>
            <w:r>
              <w:rPr>
                <w:rFonts w:hint="default" w:ascii="Times New Roman" w:eastAsia="黑体"/>
                <w:snapToGrid w:val="0"/>
                <w:color w:val="auto"/>
                <w:spacing w:val="-6"/>
                <w:kern w:val="21"/>
                <w:szCs w:val="21"/>
              </w:rPr>
              <w:fldChar w:fldCharType="end"/>
            </w:r>
          </w:p>
        </w:tc>
        <w:tc>
          <w:tcPr>
            <w:tcW w:w="1417" w:type="dxa"/>
            <w:tcMar>
              <w:left w:w="28" w:type="dxa"/>
              <w:right w:w="28" w:type="dxa"/>
            </w:tcMar>
            <w:vAlign w:val="center"/>
          </w:tcPr>
          <w:p w14:paraId="79A2713D">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Cs w:val="21"/>
              </w:rPr>
            </w:pPr>
            <w:r>
              <w:rPr>
                <w:rFonts w:hint="default" w:ascii="Times New Roman" w:eastAsia="黑体"/>
                <w:snapToGrid w:val="0"/>
                <w:color w:val="auto"/>
                <w:spacing w:val="-16"/>
                <w:kern w:val="21"/>
                <w:szCs w:val="21"/>
              </w:rPr>
              <w:t>以新带老削减量</w:t>
            </w:r>
          </w:p>
          <w:p w14:paraId="7C0E022A">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Cs w:val="21"/>
              </w:rPr>
            </w:pPr>
            <w:r>
              <w:rPr>
                <w:rFonts w:hint="default" w:ascii="Times New Roman" w:eastAsia="黑体"/>
                <w:snapToGrid w:val="0"/>
                <w:color w:val="auto"/>
                <w:spacing w:val="-16"/>
                <w:kern w:val="21"/>
                <w:szCs w:val="21"/>
              </w:rPr>
              <w:t>（新建项目不填）</w:t>
            </w:r>
            <w:r>
              <w:rPr>
                <w:rFonts w:hint="default" w:ascii="Times New Roman" w:eastAsia="黑体"/>
                <w:snapToGrid w:val="0"/>
                <w:color w:val="auto"/>
                <w:spacing w:val="-16"/>
                <w:kern w:val="21"/>
                <w:szCs w:val="21"/>
              </w:rPr>
              <w:fldChar w:fldCharType="begin"/>
            </w:r>
            <w:r>
              <w:rPr>
                <w:rFonts w:hint="default" w:ascii="Times New Roman" w:eastAsia="黑体"/>
                <w:snapToGrid w:val="0"/>
                <w:color w:val="auto"/>
                <w:spacing w:val="-16"/>
                <w:kern w:val="21"/>
                <w:szCs w:val="21"/>
              </w:rPr>
              <w:instrText xml:space="preserve"> = 5 \* GB3 \* MERGEFORMAT </w:instrText>
            </w:r>
            <w:r>
              <w:rPr>
                <w:rFonts w:hint="default" w:ascii="Times New Roman" w:eastAsia="黑体"/>
                <w:snapToGrid w:val="0"/>
                <w:color w:val="auto"/>
                <w:spacing w:val="-16"/>
                <w:kern w:val="21"/>
                <w:szCs w:val="21"/>
              </w:rPr>
              <w:fldChar w:fldCharType="separate"/>
            </w:r>
            <w:r>
              <w:rPr>
                <w:rFonts w:hint="eastAsia" w:hAnsi="宋体" w:cs="宋体"/>
                <w:color w:val="auto"/>
                <w:kern w:val="2"/>
                <w:szCs w:val="21"/>
              </w:rPr>
              <w:t>⑤</w:t>
            </w:r>
            <w:r>
              <w:rPr>
                <w:rFonts w:hint="default" w:ascii="Times New Roman" w:eastAsia="黑体"/>
                <w:snapToGrid w:val="0"/>
                <w:color w:val="auto"/>
                <w:spacing w:val="-16"/>
                <w:kern w:val="21"/>
                <w:szCs w:val="21"/>
              </w:rPr>
              <w:fldChar w:fldCharType="end"/>
            </w:r>
          </w:p>
        </w:tc>
        <w:tc>
          <w:tcPr>
            <w:tcW w:w="1701" w:type="dxa"/>
            <w:tcMar>
              <w:left w:w="28" w:type="dxa"/>
              <w:right w:w="28" w:type="dxa"/>
            </w:tcMar>
            <w:vAlign w:val="center"/>
          </w:tcPr>
          <w:p w14:paraId="3000B929">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Cs w:val="21"/>
              </w:rPr>
            </w:pPr>
            <w:r>
              <w:rPr>
                <w:rFonts w:hint="default" w:ascii="Times New Roman" w:eastAsia="黑体"/>
                <w:snapToGrid w:val="0"/>
                <w:color w:val="auto"/>
                <w:spacing w:val="-16"/>
                <w:kern w:val="21"/>
                <w:szCs w:val="21"/>
              </w:rPr>
              <w:t>本项目建成后</w:t>
            </w:r>
          </w:p>
          <w:p w14:paraId="1E8EFA33">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Cs w:val="21"/>
              </w:rPr>
            </w:pPr>
            <w:r>
              <w:rPr>
                <w:rFonts w:hint="default" w:ascii="Times New Roman" w:eastAsia="黑体"/>
                <w:snapToGrid w:val="0"/>
                <w:color w:val="auto"/>
                <w:spacing w:val="-16"/>
                <w:kern w:val="21"/>
                <w:szCs w:val="21"/>
              </w:rPr>
              <w:t>全厂排放量（固体废物产生量）</w:t>
            </w:r>
            <w:r>
              <w:rPr>
                <w:rFonts w:hint="default" w:ascii="Times New Roman" w:eastAsia="黑体"/>
                <w:snapToGrid w:val="0"/>
                <w:color w:val="auto"/>
                <w:spacing w:val="-16"/>
                <w:kern w:val="21"/>
                <w:szCs w:val="21"/>
              </w:rPr>
              <w:fldChar w:fldCharType="begin"/>
            </w:r>
            <w:r>
              <w:rPr>
                <w:rFonts w:hint="default" w:ascii="Times New Roman" w:eastAsia="黑体"/>
                <w:snapToGrid w:val="0"/>
                <w:color w:val="auto"/>
                <w:spacing w:val="-16"/>
                <w:kern w:val="21"/>
                <w:szCs w:val="21"/>
              </w:rPr>
              <w:instrText xml:space="preserve"> = 6 \* GB3 \* MERGEFORMAT </w:instrText>
            </w:r>
            <w:r>
              <w:rPr>
                <w:rFonts w:hint="default" w:ascii="Times New Roman" w:eastAsia="黑体"/>
                <w:snapToGrid w:val="0"/>
                <w:color w:val="auto"/>
                <w:spacing w:val="-16"/>
                <w:kern w:val="21"/>
                <w:szCs w:val="21"/>
              </w:rPr>
              <w:fldChar w:fldCharType="separate"/>
            </w:r>
            <w:r>
              <w:rPr>
                <w:rFonts w:hint="eastAsia" w:hAnsi="宋体" w:cs="宋体"/>
                <w:color w:val="auto"/>
                <w:kern w:val="2"/>
                <w:szCs w:val="21"/>
              </w:rPr>
              <w:t>⑥</w:t>
            </w:r>
            <w:r>
              <w:rPr>
                <w:rFonts w:hint="default" w:ascii="Times New Roman" w:eastAsia="黑体"/>
                <w:snapToGrid w:val="0"/>
                <w:color w:val="auto"/>
                <w:spacing w:val="-16"/>
                <w:kern w:val="21"/>
                <w:szCs w:val="21"/>
              </w:rPr>
              <w:fldChar w:fldCharType="end"/>
            </w:r>
          </w:p>
        </w:tc>
        <w:tc>
          <w:tcPr>
            <w:tcW w:w="1286" w:type="dxa"/>
            <w:tcMar>
              <w:left w:w="28" w:type="dxa"/>
              <w:right w:w="28" w:type="dxa"/>
            </w:tcMar>
            <w:vAlign w:val="center"/>
          </w:tcPr>
          <w:p w14:paraId="407622BC">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变化量</w:t>
            </w:r>
          </w:p>
          <w:p w14:paraId="6A95C690">
            <w:pPr>
              <w:pStyle w:val="31"/>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fldChar w:fldCharType="begin"/>
            </w:r>
            <w:r>
              <w:rPr>
                <w:rFonts w:hint="default" w:ascii="Times New Roman" w:eastAsia="黑体"/>
                <w:snapToGrid w:val="0"/>
                <w:color w:val="auto"/>
                <w:spacing w:val="-6"/>
                <w:kern w:val="21"/>
                <w:szCs w:val="21"/>
              </w:rPr>
              <w:instrText xml:space="preserve"> = 7 \* GB3 \* MERGEFORMAT </w:instrText>
            </w:r>
            <w:r>
              <w:rPr>
                <w:rFonts w:hint="default" w:ascii="Times New Roman" w:eastAsia="黑体"/>
                <w:snapToGrid w:val="0"/>
                <w:color w:val="auto"/>
                <w:spacing w:val="-6"/>
                <w:kern w:val="21"/>
                <w:szCs w:val="21"/>
              </w:rPr>
              <w:fldChar w:fldCharType="separate"/>
            </w:r>
            <w:r>
              <w:rPr>
                <w:rFonts w:hint="eastAsia" w:hAnsi="宋体" w:cs="宋体"/>
                <w:color w:val="auto"/>
                <w:kern w:val="2"/>
                <w:szCs w:val="21"/>
              </w:rPr>
              <w:t>⑦</w:t>
            </w:r>
            <w:r>
              <w:rPr>
                <w:rFonts w:hint="default" w:ascii="Times New Roman" w:eastAsia="黑体"/>
                <w:snapToGrid w:val="0"/>
                <w:color w:val="auto"/>
                <w:spacing w:val="-6"/>
                <w:kern w:val="21"/>
                <w:szCs w:val="21"/>
              </w:rPr>
              <w:fldChar w:fldCharType="end"/>
            </w:r>
          </w:p>
        </w:tc>
      </w:tr>
      <w:tr w14:paraId="396623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restart"/>
            <w:vAlign w:val="center"/>
          </w:tcPr>
          <w:p w14:paraId="72F877EA">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废气</w:t>
            </w:r>
          </w:p>
        </w:tc>
        <w:tc>
          <w:tcPr>
            <w:tcW w:w="1951" w:type="dxa"/>
            <w:vAlign w:val="center"/>
          </w:tcPr>
          <w:p w14:paraId="0C763D12">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非甲烷总烃</w:t>
            </w:r>
          </w:p>
        </w:tc>
        <w:tc>
          <w:tcPr>
            <w:tcW w:w="1701" w:type="dxa"/>
            <w:vAlign w:val="center"/>
          </w:tcPr>
          <w:p w14:paraId="545B9075">
            <w:pPr>
              <w:keepNext w:val="0"/>
              <w:keepLines w:val="0"/>
              <w:suppressLineNumbers w:val="0"/>
              <w:autoSpaceDE w:val="0"/>
              <w:autoSpaceDN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0</w:t>
            </w:r>
          </w:p>
        </w:tc>
        <w:tc>
          <w:tcPr>
            <w:tcW w:w="1276" w:type="dxa"/>
            <w:vAlign w:val="center"/>
          </w:tcPr>
          <w:p w14:paraId="1BB23BD1">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3F20205F">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1F103BF8">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lang w:val="en-US"/>
              </w:rPr>
            </w:pPr>
            <w:r>
              <w:rPr>
                <w:rFonts w:hint="default" w:ascii="Times New Roman" w:hAnsi="Times New Roman" w:cs="Times New Roman"/>
                <w:bCs w:val="0"/>
                <w:color w:val="auto"/>
                <w:szCs w:val="21"/>
                <w:highlight w:val="none"/>
              </w:rPr>
              <w:t>0.000</w:t>
            </w:r>
            <w:r>
              <w:rPr>
                <w:rFonts w:hint="eastAsia" w:cs="Times New Roman"/>
                <w:bCs w:val="0"/>
                <w:color w:val="auto"/>
                <w:szCs w:val="21"/>
                <w:highlight w:val="none"/>
                <w:lang w:val="en-US" w:eastAsia="zh-CN"/>
              </w:rPr>
              <w:t>0221</w:t>
            </w:r>
          </w:p>
        </w:tc>
        <w:tc>
          <w:tcPr>
            <w:tcW w:w="1417" w:type="dxa"/>
            <w:vAlign w:val="center"/>
          </w:tcPr>
          <w:p w14:paraId="0582BA64">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00081F4D">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ascii="Times New Roman" w:hAnsi="Times New Roman" w:cs="Times New Roman"/>
                <w:bCs w:val="0"/>
                <w:color w:val="auto"/>
                <w:szCs w:val="21"/>
                <w:highlight w:val="none"/>
              </w:rPr>
              <w:t>0.000</w:t>
            </w:r>
            <w:r>
              <w:rPr>
                <w:rFonts w:hint="eastAsia" w:cs="Times New Roman"/>
                <w:bCs w:val="0"/>
                <w:color w:val="auto"/>
                <w:szCs w:val="21"/>
                <w:highlight w:val="none"/>
                <w:lang w:val="en-US" w:eastAsia="zh-CN"/>
              </w:rPr>
              <w:t>0221</w:t>
            </w:r>
          </w:p>
        </w:tc>
        <w:tc>
          <w:tcPr>
            <w:tcW w:w="1286" w:type="dxa"/>
            <w:vAlign w:val="center"/>
          </w:tcPr>
          <w:p w14:paraId="1B7DC250">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color w:val="auto"/>
                <w:szCs w:val="21"/>
              </w:rPr>
              <w:t>+</w:t>
            </w:r>
            <w:r>
              <w:rPr>
                <w:rFonts w:hint="default" w:ascii="Times New Roman" w:hAnsi="Times New Roman" w:cs="Times New Roman"/>
                <w:bCs w:val="0"/>
                <w:color w:val="auto"/>
                <w:szCs w:val="21"/>
                <w:highlight w:val="none"/>
              </w:rPr>
              <w:t>0.000</w:t>
            </w:r>
            <w:r>
              <w:rPr>
                <w:rFonts w:hint="eastAsia" w:cs="Times New Roman"/>
                <w:bCs w:val="0"/>
                <w:color w:val="auto"/>
                <w:szCs w:val="21"/>
                <w:highlight w:val="none"/>
                <w:lang w:val="en-US" w:eastAsia="zh-CN"/>
              </w:rPr>
              <w:t>0221</w:t>
            </w:r>
          </w:p>
        </w:tc>
      </w:tr>
      <w:tr w14:paraId="3422A3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7FFDC81E">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448CC896">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氯化氢</w:t>
            </w:r>
          </w:p>
        </w:tc>
        <w:tc>
          <w:tcPr>
            <w:tcW w:w="1701" w:type="dxa"/>
            <w:vAlign w:val="center"/>
          </w:tcPr>
          <w:p w14:paraId="411203C5">
            <w:pPr>
              <w:keepNext w:val="0"/>
              <w:keepLines w:val="0"/>
              <w:suppressLineNumbers w:val="0"/>
              <w:autoSpaceDE w:val="0"/>
              <w:autoSpaceDN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0</w:t>
            </w:r>
          </w:p>
        </w:tc>
        <w:tc>
          <w:tcPr>
            <w:tcW w:w="1276" w:type="dxa"/>
            <w:vAlign w:val="center"/>
          </w:tcPr>
          <w:p w14:paraId="6324B56C">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540D9F3D">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186DC5B7">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ascii="Times New Roman" w:hAnsi="Times New Roman" w:cs="Times New Roman"/>
                <w:bCs w:val="0"/>
                <w:color w:val="auto"/>
                <w:szCs w:val="21"/>
                <w:highlight w:val="none"/>
              </w:rPr>
              <w:t>0.0000</w:t>
            </w:r>
            <w:r>
              <w:rPr>
                <w:rFonts w:hint="eastAsia" w:ascii="Times New Roman" w:hAnsi="Times New Roman" w:cs="Times New Roman"/>
                <w:bCs w:val="0"/>
                <w:color w:val="auto"/>
                <w:szCs w:val="21"/>
                <w:highlight w:val="none"/>
                <w:lang w:val="en-US" w:eastAsia="zh-CN"/>
              </w:rPr>
              <w:t>53</w:t>
            </w:r>
          </w:p>
        </w:tc>
        <w:tc>
          <w:tcPr>
            <w:tcW w:w="1417" w:type="dxa"/>
            <w:vAlign w:val="center"/>
          </w:tcPr>
          <w:p w14:paraId="032C84B4">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5AA07B63">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ascii="Times New Roman" w:hAnsi="Times New Roman" w:cs="Times New Roman"/>
                <w:bCs w:val="0"/>
                <w:color w:val="auto"/>
                <w:szCs w:val="21"/>
                <w:highlight w:val="none"/>
              </w:rPr>
              <w:t>0.0000</w:t>
            </w:r>
            <w:r>
              <w:rPr>
                <w:rFonts w:hint="eastAsia" w:ascii="Times New Roman" w:hAnsi="Times New Roman" w:cs="Times New Roman"/>
                <w:bCs w:val="0"/>
                <w:color w:val="auto"/>
                <w:szCs w:val="21"/>
                <w:highlight w:val="none"/>
                <w:lang w:val="en-US" w:eastAsia="zh-CN"/>
              </w:rPr>
              <w:t>53</w:t>
            </w:r>
          </w:p>
        </w:tc>
        <w:tc>
          <w:tcPr>
            <w:tcW w:w="1286" w:type="dxa"/>
            <w:vAlign w:val="center"/>
          </w:tcPr>
          <w:p w14:paraId="7DB690CD">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color w:val="auto"/>
                <w:szCs w:val="21"/>
              </w:rPr>
              <w:t>+</w:t>
            </w:r>
            <w:r>
              <w:rPr>
                <w:rFonts w:hint="default" w:ascii="Times New Roman" w:hAnsi="Times New Roman" w:cs="Times New Roman"/>
                <w:bCs w:val="0"/>
                <w:color w:val="auto"/>
                <w:szCs w:val="21"/>
                <w:highlight w:val="none"/>
              </w:rPr>
              <w:t>0.0000</w:t>
            </w:r>
            <w:r>
              <w:rPr>
                <w:rFonts w:hint="eastAsia" w:ascii="Times New Roman" w:hAnsi="Times New Roman" w:cs="Times New Roman"/>
                <w:bCs w:val="0"/>
                <w:color w:val="auto"/>
                <w:szCs w:val="21"/>
                <w:highlight w:val="none"/>
                <w:lang w:val="en-US" w:eastAsia="zh-CN"/>
              </w:rPr>
              <w:t>53</w:t>
            </w:r>
          </w:p>
        </w:tc>
      </w:tr>
      <w:tr w14:paraId="2E9F7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6176B896">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0DDA6C9E">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硫酸雾</w:t>
            </w:r>
          </w:p>
        </w:tc>
        <w:tc>
          <w:tcPr>
            <w:tcW w:w="1701" w:type="dxa"/>
            <w:vAlign w:val="center"/>
          </w:tcPr>
          <w:p w14:paraId="02957CA0">
            <w:pPr>
              <w:keepNext w:val="0"/>
              <w:keepLines w:val="0"/>
              <w:suppressLineNumbers w:val="0"/>
              <w:autoSpaceDE w:val="0"/>
              <w:autoSpaceDN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0</w:t>
            </w:r>
          </w:p>
        </w:tc>
        <w:tc>
          <w:tcPr>
            <w:tcW w:w="1276" w:type="dxa"/>
            <w:vAlign w:val="center"/>
          </w:tcPr>
          <w:p w14:paraId="05FA62ED">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177118D0">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49F992DD">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ascii="Times New Roman" w:hAnsi="Times New Roman" w:cs="Times New Roman"/>
                <w:bCs w:val="0"/>
                <w:color w:val="auto"/>
                <w:szCs w:val="21"/>
                <w:highlight w:val="none"/>
              </w:rPr>
              <w:t>0.000</w:t>
            </w:r>
            <w:r>
              <w:rPr>
                <w:rFonts w:hint="eastAsia" w:ascii="Times New Roman" w:hAnsi="Times New Roman" w:cs="Times New Roman"/>
                <w:bCs w:val="0"/>
                <w:color w:val="auto"/>
                <w:szCs w:val="21"/>
                <w:highlight w:val="none"/>
                <w:lang w:val="en-US" w:eastAsia="zh-CN"/>
              </w:rPr>
              <w:t>529</w:t>
            </w:r>
            <w:r>
              <w:rPr>
                <w:rFonts w:hint="default" w:ascii="Times New Roman" w:hAnsi="Times New Roman" w:cs="Times New Roman"/>
                <w:bCs w:val="0"/>
                <w:color w:val="auto"/>
                <w:szCs w:val="21"/>
                <w:highlight w:val="none"/>
              </w:rPr>
              <w:t>3</w:t>
            </w:r>
          </w:p>
        </w:tc>
        <w:tc>
          <w:tcPr>
            <w:tcW w:w="1417" w:type="dxa"/>
            <w:vAlign w:val="center"/>
          </w:tcPr>
          <w:p w14:paraId="2E86A67B">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1CDBD1EC">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ascii="Times New Roman" w:hAnsi="Times New Roman" w:cs="Times New Roman"/>
                <w:bCs w:val="0"/>
                <w:color w:val="auto"/>
                <w:szCs w:val="21"/>
                <w:highlight w:val="none"/>
              </w:rPr>
              <w:t>0.000</w:t>
            </w:r>
            <w:r>
              <w:rPr>
                <w:rFonts w:hint="eastAsia" w:ascii="Times New Roman" w:hAnsi="Times New Roman" w:cs="Times New Roman"/>
                <w:bCs w:val="0"/>
                <w:color w:val="auto"/>
                <w:szCs w:val="21"/>
                <w:highlight w:val="none"/>
                <w:lang w:val="en-US" w:eastAsia="zh-CN"/>
              </w:rPr>
              <w:t>529</w:t>
            </w:r>
            <w:r>
              <w:rPr>
                <w:rFonts w:hint="default" w:ascii="Times New Roman" w:hAnsi="Times New Roman" w:cs="Times New Roman"/>
                <w:bCs w:val="0"/>
                <w:color w:val="auto"/>
                <w:szCs w:val="21"/>
                <w:highlight w:val="none"/>
              </w:rPr>
              <w:t>3</w:t>
            </w:r>
          </w:p>
        </w:tc>
        <w:tc>
          <w:tcPr>
            <w:tcW w:w="1286" w:type="dxa"/>
            <w:vAlign w:val="center"/>
          </w:tcPr>
          <w:p w14:paraId="493E041A">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color w:val="auto"/>
                <w:szCs w:val="21"/>
              </w:rPr>
              <w:t>+</w:t>
            </w:r>
            <w:r>
              <w:rPr>
                <w:rFonts w:hint="default" w:ascii="Times New Roman" w:hAnsi="Times New Roman" w:cs="Times New Roman"/>
                <w:bCs w:val="0"/>
                <w:color w:val="auto"/>
                <w:szCs w:val="21"/>
                <w:highlight w:val="none"/>
              </w:rPr>
              <w:t>0.000</w:t>
            </w:r>
            <w:r>
              <w:rPr>
                <w:rFonts w:hint="eastAsia" w:ascii="Times New Roman" w:hAnsi="Times New Roman" w:cs="Times New Roman"/>
                <w:bCs w:val="0"/>
                <w:color w:val="auto"/>
                <w:szCs w:val="21"/>
                <w:highlight w:val="none"/>
                <w:lang w:val="en-US" w:eastAsia="zh-CN"/>
              </w:rPr>
              <w:t>529</w:t>
            </w:r>
            <w:r>
              <w:rPr>
                <w:rFonts w:hint="default" w:ascii="Times New Roman" w:hAnsi="Times New Roman" w:cs="Times New Roman"/>
                <w:bCs w:val="0"/>
                <w:color w:val="auto"/>
                <w:szCs w:val="21"/>
                <w:highlight w:val="none"/>
              </w:rPr>
              <w:t>3</w:t>
            </w:r>
          </w:p>
        </w:tc>
      </w:tr>
      <w:tr w14:paraId="73EDC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38E474C7">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07F98005">
            <w:pPr>
              <w:pStyle w:val="3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氨</w:t>
            </w:r>
          </w:p>
        </w:tc>
        <w:tc>
          <w:tcPr>
            <w:tcW w:w="1701" w:type="dxa"/>
            <w:vAlign w:val="center"/>
          </w:tcPr>
          <w:p w14:paraId="65F0FF6C">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eastAsiaTheme="minorEastAsia"/>
                <w:color w:val="auto"/>
                <w:szCs w:val="21"/>
              </w:rPr>
            </w:pPr>
            <w:r>
              <w:rPr>
                <w:rFonts w:hint="default" w:eastAsiaTheme="minorEastAsia"/>
                <w:color w:val="auto"/>
                <w:szCs w:val="21"/>
              </w:rPr>
              <w:t>0</w:t>
            </w:r>
          </w:p>
        </w:tc>
        <w:tc>
          <w:tcPr>
            <w:tcW w:w="1276" w:type="dxa"/>
            <w:vAlign w:val="center"/>
          </w:tcPr>
          <w:p w14:paraId="0911F6F9">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277B15ED">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77D7099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Cs w:val="0"/>
                <w:color w:val="auto"/>
                <w:szCs w:val="21"/>
                <w:highlight w:val="none"/>
                <w:lang w:val="en-US" w:eastAsia="zh-CN"/>
              </w:rPr>
            </w:pPr>
            <w:r>
              <w:rPr>
                <w:rFonts w:hint="eastAsia" w:cs="Times New Roman"/>
                <w:bCs w:val="0"/>
                <w:color w:val="auto"/>
                <w:szCs w:val="21"/>
                <w:highlight w:val="none"/>
                <w:lang w:val="en-US" w:eastAsia="zh-CN"/>
              </w:rPr>
              <w:t>0.0000819</w:t>
            </w:r>
          </w:p>
        </w:tc>
        <w:tc>
          <w:tcPr>
            <w:tcW w:w="1417" w:type="dxa"/>
            <w:vAlign w:val="center"/>
          </w:tcPr>
          <w:p w14:paraId="27744152">
            <w:pPr>
              <w:pStyle w:val="31"/>
              <w:keepNext w:val="0"/>
              <w:keepLines w:val="0"/>
              <w:suppressLineNumbers w:val="0"/>
              <w:spacing w:before="0" w:beforeLines="0" w:beforeAutospacing="0" w:after="0" w:afterLines="0" w:afterAutospacing="0" w:line="240" w:lineRule="auto"/>
              <w:ind w:left="0" w:right="0"/>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701" w:type="dxa"/>
            <w:vAlign w:val="center"/>
          </w:tcPr>
          <w:p w14:paraId="3EA4940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Cs w:val="0"/>
                <w:color w:val="auto"/>
                <w:szCs w:val="21"/>
                <w:highlight w:val="none"/>
              </w:rPr>
            </w:pPr>
            <w:r>
              <w:rPr>
                <w:rFonts w:hint="eastAsia" w:cs="Times New Roman"/>
                <w:bCs w:val="0"/>
                <w:color w:val="auto"/>
                <w:szCs w:val="21"/>
                <w:highlight w:val="none"/>
                <w:lang w:val="en-US" w:eastAsia="zh-CN"/>
              </w:rPr>
              <w:t>0.0000819</w:t>
            </w:r>
          </w:p>
        </w:tc>
        <w:tc>
          <w:tcPr>
            <w:tcW w:w="1286" w:type="dxa"/>
            <w:vAlign w:val="center"/>
          </w:tcPr>
          <w:p w14:paraId="152F59D9">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eastAsia" w:cs="Times New Roman"/>
                <w:bCs w:val="0"/>
                <w:color w:val="auto"/>
                <w:szCs w:val="21"/>
                <w:highlight w:val="none"/>
                <w:lang w:val="en-US" w:eastAsia="zh-CN"/>
              </w:rPr>
              <w:t>+0.0000819</w:t>
            </w:r>
          </w:p>
        </w:tc>
      </w:tr>
      <w:tr w14:paraId="32E0E2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31A52BEB">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7165D50C">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沥青烟</w:t>
            </w:r>
          </w:p>
        </w:tc>
        <w:tc>
          <w:tcPr>
            <w:tcW w:w="1701" w:type="dxa"/>
            <w:vAlign w:val="center"/>
          </w:tcPr>
          <w:p w14:paraId="201776E1">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eastAsiaTheme="minorEastAsia"/>
                <w:color w:val="auto"/>
                <w:szCs w:val="21"/>
              </w:rPr>
            </w:pPr>
            <w:r>
              <w:rPr>
                <w:rFonts w:hint="default" w:eastAsiaTheme="minorEastAsia"/>
                <w:color w:val="auto"/>
                <w:szCs w:val="21"/>
              </w:rPr>
              <w:t>0</w:t>
            </w:r>
          </w:p>
        </w:tc>
        <w:tc>
          <w:tcPr>
            <w:tcW w:w="1276" w:type="dxa"/>
            <w:vAlign w:val="center"/>
          </w:tcPr>
          <w:p w14:paraId="42961673">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3184706F">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3E0CA56F">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auto"/>
                <w:szCs w:val="21"/>
                <w:lang w:val="en-US" w:eastAsia="zh-CN"/>
              </w:rPr>
            </w:pPr>
            <w:r>
              <w:rPr>
                <w:rFonts w:hint="default"/>
                <w:color w:val="auto"/>
                <w:szCs w:val="21"/>
              </w:rPr>
              <w:t>0.000000</w:t>
            </w:r>
            <w:r>
              <w:rPr>
                <w:rFonts w:hint="eastAsia"/>
                <w:color w:val="auto"/>
                <w:szCs w:val="21"/>
                <w:lang w:val="en-US" w:eastAsia="zh-CN"/>
              </w:rPr>
              <w:t>0</w:t>
            </w:r>
            <w:r>
              <w:rPr>
                <w:rFonts w:hint="default"/>
                <w:color w:val="auto"/>
                <w:szCs w:val="21"/>
              </w:rPr>
              <w:t>000</w:t>
            </w:r>
            <w:r>
              <w:rPr>
                <w:rFonts w:hint="eastAsia"/>
                <w:color w:val="auto"/>
                <w:szCs w:val="21"/>
                <w:lang w:val="en-US" w:eastAsia="zh-CN"/>
              </w:rPr>
              <w:t>1</w:t>
            </w:r>
          </w:p>
        </w:tc>
        <w:tc>
          <w:tcPr>
            <w:tcW w:w="1417" w:type="dxa"/>
            <w:vAlign w:val="center"/>
          </w:tcPr>
          <w:p w14:paraId="2D8D76B9">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2B1091D5">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color w:val="auto"/>
                <w:szCs w:val="21"/>
              </w:rPr>
              <w:t>0.000000</w:t>
            </w:r>
            <w:r>
              <w:rPr>
                <w:rFonts w:hint="eastAsia"/>
                <w:color w:val="auto"/>
                <w:szCs w:val="21"/>
                <w:lang w:val="en-US" w:eastAsia="zh-CN"/>
              </w:rPr>
              <w:t>0</w:t>
            </w:r>
            <w:r>
              <w:rPr>
                <w:rFonts w:hint="default"/>
                <w:color w:val="auto"/>
                <w:szCs w:val="21"/>
              </w:rPr>
              <w:t>000</w:t>
            </w:r>
            <w:r>
              <w:rPr>
                <w:rFonts w:hint="eastAsia"/>
                <w:color w:val="auto"/>
                <w:szCs w:val="21"/>
                <w:lang w:val="en-US" w:eastAsia="zh-CN"/>
              </w:rPr>
              <w:t>1</w:t>
            </w:r>
          </w:p>
        </w:tc>
        <w:tc>
          <w:tcPr>
            <w:tcW w:w="1286" w:type="dxa"/>
            <w:vAlign w:val="center"/>
          </w:tcPr>
          <w:p w14:paraId="4C17ED0E">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rPr>
            </w:pPr>
            <w:r>
              <w:rPr>
                <w:rFonts w:hint="default"/>
                <w:color w:val="auto"/>
                <w:szCs w:val="21"/>
              </w:rPr>
              <w:t>+0.000000</w:t>
            </w:r>
            <w:r>
              <w:rPr>
                <w:rFonts w:hint="eastAsia"/>
                <w:color w:val="auto"/>
                <w:szCs w:val="21"/>
                <w:lang w:val="en-US" w:eastAsia="zh-CN"/>
              </w:rPr>
              <w:t>0</w:t>
            </w:r>
            <w:r>
              <w:rPr>
                <w:rFonts w:hint="default"/>
                <w:color w:val="auto"/>
                <w:szCs w:val="21"/>
              </w:rPr>
              <w:t>000</w:t>
            </w:r>
            <w:r>
              <w:rPr>
                <w:rFonts w:hint="eastAsia"/>
                <w:color w:val="auto"/>
                <w:szCs w:val="21"/>
                <w:lang w:val="en-US" w:eastAsia="zh-CN"/>
              </w:rPr>
              <w:t>1</w:t>
            </w:r>
          </w:p>
        </w:tc>
      </w:tr>
      <w:tr w14:paraId="2958D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37165876">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35890115">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苯并芘</w:t>
            </w:r>
          </w:p>
        </w:tc>
        <w:tc>
          <w:tcPr>
            <w:tcW w:w="1701" w:type="dxa"/>
            <w:vAlign w:val="center"/>
          </w:tcPr>
          <w:p w14:paraId="26FB9E44">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276" w:type="dxa"/>
            <w:vAlign w:val="center"/>
          </w:tcPr>
          <w:p w14:paraId="146FCE10">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701" w:type="dxa"/>
            <w:vAlign w:val="center"/>
          </w:tcPr>
          <w:p w14:paraId="3FF3A7AD">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701" w:type="dxa"/>
            <w:vAlign w:val="center"/>
          </w:tcPr>
          <w:p w14:paraId="0AABC370">
            <w:pPr>
              <w:pStyle w:val="3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auto"/>
                <w:kern w:val="21"/>
                <w:szCs w:val="21"/>
                <w:lang w:val="en-US" w:eastAsia="zh-CN"/>
              </w:rPr>
            </w:pPr>
            <w:r>
              <w:rPr>
                <w:rFonts w:hint="default" w:ascii="Times New Roman"/>
                <w:color w:val="auto"/>
                <w:szCs w:val="21"/>
              </w:rPr>
              <w:t>0.00000000</w:t>
            </w:r>
            <w:r>
              <w:rPr>
                <w:rFonts w:hint="eastAsia" w:ascii="Times New Roman"/>
                <w:color w:val="auto"/>
                <w:szCs w:val="21"/>
                <w:lang w:val="en-US" w:eastAsia="zh-CN"/>
              </w:rPr>
              <w:t>0</w:t>
            </w:r>
            <w:r>
              <w:rPr>
                <w:rFonts w:hint="default" w:ascii="Times New Roman"/>
                <w:color w:val="auto"/>
                <w:szCs w:val="21"/>
              </w:rPr>
              <w:t>00</w:t>
            </w:r>
            <w:r>
              <w:rPr>
                <w:rFonts w:hint="eastAsia" w:ascii="Times New Roman"/>
                <w:color w:val="auto"/>
                <w:szCs w:val="21"/>
                <w:lang w:val="en-US" w:eastAsia="zh-CN"/>
              </w:rPr>
              <w:t>152</w:t>
            </w:r>
          </w:p>
        </w:tc>
        <w:tc>
          <w:tcPr>
            <w:tcW w:w="1417" w:type="dxa"/>
            <w:vAlign w:val="center"/>
          </w:tcPr>
          <w:p w14:paraId="5E8BB64B">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660567DB">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lang w:val="en-US"/>
              </w:rPr>
            </w:pPr>
            <w:r>
              <w:rPr>
                <w:rFonts w:hint="default" w:ascii="Times New Roman"/>
                <w:color w:val="auto"/>
                <w:szCs w:val="21"/>
              </w:rPr>
              <w:t>0.000000000</w:t>
            </w:r>
            <w:r>
              <w:rPr>
                <w:rFonts w:hint="eastAsia" w:ascii="Times New Roman"/>
                <w:color w:val="auto"/>
                <w:szCs w:val="21"/>
                <w:lang w:val="en-US" w:eastAsia="zh-CN"/>
              </w:rPr>
              <w:t>0</w:t>
            </w:r>
            <w:r>
              <w:rPr>
                <w:rFonts w:hint="default" w:ascii="Times New Roman"/>
                <w:color w:val="auto"/>
                <w:szCs w:val="21"/>
              </w:rPr>
              <w:t>0</w:t>
            </w:r>
            <w:r>
              <w:rPr>
                <w:rFonts w:hint="eastAsia" w:ascii="Times New Roman"/>
                <w:color w:val="auto"/>
                <w:szCs w:val="21"/>
                <w:lang w:val="en-US" w:eastAsia="zh-CN"/>
              </w:rPr>
              <w:t>152</w:t>
            </w:r>
          </w:p>
        </w:tc>
        <w:tc>
          <w:tcPr>
            <w:tcW w:w="1286" w:type="dxa"/>
            <w:vAlign w:val="center"/>
          </w:tcPr>
          <w:p w14:paraId="62FCA1C8">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lang w:val="en-US"/>
              </w:rPr>
            </w:pPr>
            <w:r>
              <w:rPr>
                <w:rFonts w:hint="default" w:ascii="Times New Roman"/>
                <w:snapToGrid w:val="0"/>
                <w:color w:val="auto"/>
                <w:kern w:val="21"/>
                <w:szCs w:val="21"/>
              </w:rPr>
              <w:t>+</w:t>
            </w:r>
            <w:r>
              <w:rPr>
                <w:rFonts w:hint="default" w:ascii="Times New Roman"/>
                <w:color w:val="auto"/>
                <w:szCs w:val="21"/>
              </w:rPr>
              <w:t>0.0000000000</w:t>
            </w:r>
            <w:r>
              <w:rPr>
                <w:rFonts w:hint="eastAsia" w:ascii="Times New Roman"/>
                <w:color w:val="auto"/>
                <w:szCs w:val="21"/>
                <w:lang w:val="en-US" w:eastAsia="zh-CN"/>
              </w:rPr>
              <w:t>0152</w:t>
            </w:r>
          </w:p>
        </w:tc>
      </w:tr>
      <w:tr w14:paraId="1B70B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restart"/>
            <w:vAlign w:val="center"/>
          </w:tcPr>
          <w:p w14:paraId="52F66D3B">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废水</w:t>
            </w:r>
          </w:p>
        </w:tc>
        <w:tc>
          <w:tcPr>
            <w:tcW w:w="1951" w:type="dxa"/>
            <w:vAlign w:val="center"/>
          </w:tcPr>
          <w:p w14:paraId="34EFDB42">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废水量</w:t>
            </w:r>
          </w:p>
        </w:tc>
        <w:tc>
          <w:tcPr>
            <w:tcW w:w="1701" w:type="dxa"/>
            <w:vAlign w:val="center"/>
          </w:tcPr>
          <w:p w14:paraId="3D7CF1E7">
            <w:pPr>
              <w:keepNext w:val="0"/>
              <w:keepLines w:val="0"/>
              <w:suppressLineNumbers w:val="0"/>
              <w:spacing w:before="0" w:beforeAutospacing="0" w:after="0" w:afterAutospacing="0"/>
              <w:ind w:left="0" w:right="0"/>
              <w:jc w:val="center"/>
              <w:rPr>
                <w:rFonts w:hint="default"/>
                <w:b/>
                <w:bCs/>
                <w:color w:val="auto"/>
                <w:szCs w:val="21"/>
              </w:rPr>
            </w:pPr>
            <w:r>
              <w:rPr>
                <w:rFonts w:hint="default" w:eastAsiaTheme="minorEastAsia"/>
                <w:color w:val="auto"/>
                <w:szCs w:val="21"/>
              </w:rPr>
              <w:t>0</w:t>
            </w:r>
          </w:p>
        </w:tc>
        <w:tc>
          <w:tcPr>
            <w:tcW w:w="1276" w:type="dxa"/>
            <w:vAlign w:val="center"/>
          </w:tcPr>
          <w:p w14:paraId="62B3166A">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701" w:type="dxa"/>
            <w:vAlign w:val="center"/>
          </w:tcPr>
          <w:p w14:paraId="3A8E88AE">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701" w:type="dxa"/>
            <w:vAlign w:val="center"/>
          </w:tcPr>
          <w:p w14:paraId="3ACD0033">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1316.22</w:t>
            </w:r>
          </w:p>
        </w:tc>
        <w:tc>
          <w:tcPr>
            <w:tcW w:w="1417" w:type="dxa"/>
            <w:vAlign w:val="center"/>
          </w:tcPr>
          <w:p w14:paraId="311D4AA6">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701" w:type="dxa"/>
            <w:vAlign w:val="center"/>
          </w:tcPr>
          <w:p w14:paraId="555F0BB7">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1316.22</w:t>
            </w:r>
          </w:p>
        </w:tc>
        <w:tc>
          <w:tcPr>
            <w:tcW w:w="1286" w:type="dxa"/>
            <w:vAlign w:val="center"/>
          </w:tcPr>
          <w:p w14:paraId="7250113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r>
              <w:rPr>
                <w:rFonts w:hint="eastAsia"/>
                <w:color w:val="auto"/>
                <w:szCs w:val="21"/>
                <w:lang w:val="en-US" w:eastAsia="zh-CN"/>
              </w:rPr>
              <w:t>1316.22</w:t>
            </w:r>
          </w:p>
        </w:tc>
      </w:tr>
      <w:tr w14:paraId="023B1B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0DABC573">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140C9942">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CODcr</w:t>
            </w:r>
          </w:p>
        </w:tc>
        <w:tc>
          <w:tcPr>
            <w:tcW w:w="1701" w:type="dxa"/>
            <w:vAlign w:val="center"/>
          </w:tcPr>
          <w:p w14:paraId="411667D1">
            <w:pPr>
              <w:keepNext w:val="0"/>
              <w:keepLines w:val="0"/>
              <w:suppressLineNumbers w:val="0"/>
              <w:spacing w:before="0" w:beforeAutospacing="0" w:after="0" w:afterAutospacing="0"/>
              <w:ind w:left="0" w:right="0"/>
              <w:jc w:val="center"/>
              <w:rPr>
                <w:rFonts w:hint="default"/>
                <w:b/>
                <w:bCs/>
                <w:color w:val="auto"/>
                <w:szCs w:val="21"/>
              </w:rPr>
            </w:pPr>
            <w:r>
              <w:rPr>
                <w:rFonts w:hint="default" w:eastAsiaTheme="minorEastAsia"/>
                <w:color w:val="auto"/>
                <w:szCs w:val="21"/>
              </w:rPr>
              <w:t>0</w:t>
            </w:r>
          </w:p>
        </w:tc>
        <w:tc>
          <w:tcPr>
            <w:tcW w:w="1276" w:type="dxa"/>
            <w:vAlign w:val="center"/>
          </w:tcPr>
          <w:p w14:paraId="48C6B6C6">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701" w:type="dxa"/>
            <w:vAlign w:val="center"/>
          </w:tcPr>
          <w:p w14:paraId="6EBB6E1F">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701" w:type="dxa"/>
            <w:vAlign w:val="center"/>
          </w:tcPr>
          <w:p w14:paraId="14D4033A">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0.3486</w:t>
            </w:r>
          </w:p>
        </w:tc>
        <w:tc>
          <w:tcPr>
            <w:tcW w:w="1417" w:type="dxa"/>
            <w:vAlign w:val="center"/>
          </w:tcPr>
          <w:p w14:paraId="5780D6D8">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701" w:type="dxa"/>
            <w:vAlign w:val="center"/>
          </w:tcPr>
          <w:p w14:paraId="5AABCB9C">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0.3486</w:t>
            </w:r>
          </w:p>
        </w:tc>
        <w:tc>
          <w:tcPr>
            <w:tcW w:w="1286" w:type="dxa"/>
            <w:vAlign w:val="center"/>
          </w:tcPr>
          <w:p w14:paraId="7D70D5C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r>
              <w:rPr>
                <w:rFonts w:hint="eastAsia"/>
                <w:color w:val="auto"/>
                <w:szCs w:val="21"/>
                <w:lang w:val="en-US" w:eastAsia="zh-CN"/>
              </w:rPr>
              <w:t>0.3486</w:t>
            </w:r>
          </w:p>
        </w:tc>
      </w:tr>
      <w:tr w14:paraId="0EC57C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4" w:type="dxa"/>
            <w:vMerge w:val="continue"/>
            <w:vAlign w:val="center"/>
          </w:tcPr>
          <w:p w14:paraId="6F4C1A16">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69A8316C">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氨氮</w:t>
            </w:r>
          </w:p>
        </w:tc>
        <w:tc>
          <w:tcPr>
            <w:tcW w:w="1701" w:type="dxa"/>
            <w:vAlign w:val="center"/>
          </w:tcPr>
          <w:p w14:paraId="1AD805AB">
            <w:pPr>
              <w:keepNext w:val="0"/>
              <w:keepLines w:val="0"/>
              <w:suppressLineNumbers w:val="0"/>
              <w:spacing w:before="0" w:beforeAutospacing="0" w:after="0" w:afterAutospacing="0"/>
              <w:ind w:left="0" w:right="0"/>
              <w:jc w:val="center"/>
              <w:rPr>
                <w:rFonts w:hint="default"/>
                <w:b/>
                <w:bCs/>
                <w:color w:val="auto"/>
                <w:szCs w:val="21"/>
              </w:rPr>
            </w:pPr>
            <w:r>
              <w:rPr>
                <w:rFonts w:hint="default"/>
                <w:snapToGrid w:val="0"/>
                <w:color w:val="auto"/>
                <w:kern w:val="21"/>
                <w:szCs w:val="21"/>
              </w:rPr>
              <w:t>0</w:t>
            </w:r>
          </w:p>
        </w:tc>
        <w:tc>
          <w:tcPr>
            <w:tcW w:w="1276" w:type="dxa"/>
            <w:vAlign w:val="center"/>
          </w:tcPr>
          <w:p w14:paraId="5200480D">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701" w:type="dxa"/>
            <w:vAlign w:val="center"/>
          </w:tcPr>
          <w:p w14:paraId="068A7100">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701" w:type="dxa"/>
            <w:vAlign w:val="center"/>
          </w:tcPr>
          <w:p w14:paraId="441451B7">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0.0393</w:t>
            </w:r>
          </w:p>
        </w:tc>
        <w:tc>
          <w:tcPr>
            <w:tcW w:w="1417" w:type="dxa"/>
            <w:vAlign w:val="center"/>
          </w:tcPr>
          <w:p w14:paraId="140A1724">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413B59C3">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0.0393</w:t>
            </w:r>
          </w:p>
        </w:tc>
        <w:tc>
          <w:tcPr>
            <w:tcW w:w="1286" w:type="dxa"/>
            <w:vAlign w:val="center"/>
          </w:tcPr>
          <w:p w14:paraId="0FC98FD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r>
              <w:rPr>
                <w:rFonts w:hint="eastAsia"/>
                <w:color w:val="auto"/>
                <w:szCs w:val="21"/>
                <w:lang w:val="en-US" w:eastAsia="zh-CN"/>
              </w:rPr>
              <w:t>0.0393</w:t>
            </w:r>
          </w:p>
        </w:tc>
      </w:tr>
      <w:tr w14:paraId="0FBCB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576C8B05">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1726C10B">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总磷</w:t>
            </w:r>
          </w:p>
        </w:tc>
        <w:tc>
          <w:tcPr>
            <w:tcW w:w="1701" w:type="dxa"/>
            <w:vAlign w:val="center"/>
          </w:tcPr>
          <w:p w14:paraId="0CE967DB">
            <w:pPr>
              <w:keepNext w:val="0"/>
              <w:keepLines w:val="0"/>
              <w:suppressLineNumbers w:val="0"/>
              <w:spacing w:before="0" w:beforeAutospacing="0" w:after="0" w:afterAutospacing="0"/>
              <w:ind w:left="0" w:right="0"/>
              <w:jc w:val="center"/>
              <w:rPr>
                <w:rFonts w:hint="default"/>
                <w:b/>
                <w:bCs/>
                <w:color w:val="auto"/>
                <w:szCs w:val="21"/>
              </w:rPr>
            </w:pPr>
            <w:r>
              <w:rPr>
                <w:rFonts w:hint="default" w:eastAsiaTheme="minorEastAsia"/>
                <w:color w:val="auto"/>
                <w:szCs w:val="21"/>
              </w:rPr>
              <w:t>0</w:t>
            </w:r>
          </w:p>
        </w:tc>
        <w:tc>
          <w:tcPr>
            <w:tcW w:w="1276" w:type="dxa"/>
            <w:vAlign w:val="center"/>
          </w:tcPr>
          <w:p w14:paraId="35C9C2AF">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701" w:type="dxa"/>
            <w:vAlign w:val="center"/>
          </w:tcPr>
          <w:p w14:paraId="4B3F5A75">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701" w:type="dxa"/>
            <w:vAlign w:val="center"/>
          </w:tcPr>
          <w:p w14:paraId="3E96B2D4">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0.0091</w:t>
            </w:r>
          </w:p>
        </w:tc>
        <w:tc>
          <w:tcPr>
            <w:tcW w:w="1417" w:type="dxa"/>
            <w:vAlign w:val="center"/>
          </w:tcPr>
          <w:p w14:paraId="57CFDD68">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701" w:type="dxa"/>
            <w:vAlign w:val="center"/>
          </w:tcPr>
          <w:p w14:paraId="3BF8408F">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0.0091</w:t>
            </w:r>
          </w:p>
        </w:tc>
        <w:tc>
          <w:tcPr>
            <w:tcW w:w="1286" w:type="dxa"/>
            <w:vAlign w:val="center"/>
          </w:tcPr>
          <w:p w14:paraId="207ED42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r>
              <w:rPr>
                <w:rFonts w:hint="eastAsia"/>
                <w:color w:val="auto"/>
                <w:szCs w:val="21"/>
                <w:lang w:val="en-US" w:eastAsia="zh-CN"/>
              </w:rPr>
              <w:t>0.0091</w:t>
            </w:r>
          </w:p>
        </w:tc>
      </w:tr>
      <w:tr w14:paraId="0771E2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restart"/>
            <w:vAlign w:val="center"/>
          </w:tcPr>
          <w:p w14:paraId="5865D343">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一般工业</w:t>
            </w:r>
          </w:p>
          <w:p w14:paraId="5C9A3ED3">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固体废物</w:t>
            </w:r>
          </w:p>
        </w:tc>
        <w:tc>
          <w:tcPr>
            <w:tcW w:w="1951" w:type="dxa"/>
            <w:vAlign w:val="center"/>
          </w:tcPr>
          <w:p w14:paraId="09C422F9">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检测废料</w:t>
            </w:r>
          </w:p>
        </w:tc>
        <w:tc>
          <w:tcPr>
            <w:tcW w:w="1701" w:type="dxa"/>
            <w:vAlign w:val="center"/>
          </w:tcPr>
          <w:p w14:paraId="28CFFFFF">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276" w:type="dxa"/>
            <w:vAlign w:val="center"/>
          </w:tcPr>
          <w:p w14:paraId="7B9E5EAF">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69993D58">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2B21B646">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209.2</w:t>
            </w:r>
          </w:p>
        </w:tc>
        <w:tc>
          <w:tcPr>
            <w:tcW w:w="1417" w:type="dxa"/>
            <w:vAlign w:val="center"/>
          </w:tcPr>
          <w:p w14:paraId="5C4BBF20">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5CBC5986">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209.2</w:t>
            </w:r>
          </w:p>
        </w:tc>
        <w:tc>
          <w:tcPr>
            <w:tcW w:w="1286" w:type="dxa"/>
            <w:vAlign w:val="center"/>
          </w:tcPr>
          <w:p w14:paraId="16B8B609">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+209.2</w:t>
            </w:r>
          </w:p>
        </w:tc>
      </w:tr>
      <w:tr w14:paraId="29983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7507E068">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62E8D074">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沉淀池污泥</w:t>
            </w:r>
          </w:p>
        </w:tc>
        <w:tc>
          <w:tcPr>
            <w:tcW w:w="1701" w:type="dxa"/>
            <w:vAlign w:val="center"/>
          </w:tcPr>
          <w:p w14:paraId="3CAB0DED">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276" w:type="dxa"/>
            <w:vAlign w:val="center"/>
          </w:tcPr>
          <w:p w14:paraId="5E463B0F">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7E025004">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7B51BD16">
            <w:pPr>
              <w:pStyle w:val="3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0.0089</w:t>
            </w:r>
          </w:p>
        </w:tc>
        <w:tc>
          <w:tcPr>
            <w:tcW w:w="1417" w:type="dxa"/>
            <w:vAlign w:val="center"/>
          </w:tcPr>
          <w:p w14:paraId="260169CB">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5EFCC50D">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eastAsia" w:ascii="Times New Roman"/>
                <w:snapToGrid w:val="0"/>
                <w:color w:val="auto"/>
                <w:kern w:val="21"/>
                <w:szCs w:val="21"/>
                <w:lang w:val="en-US" w:eastAsia="zh-CN"/>
              </w:rPr>
              <w:t>0.0089</w:t>
            </w:r>
          </w:p>
        </w:tc>
        <w:tc>
          <w:tcPr>
            <w:tcW w:w="1286" w:type="dxa"/>
            <w:vAlign w:val="center"/>
          </w:tcPr>
          <w:p w14:paraId="6C79AB15">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w:t>
            </w:r>
            <w:r>
              <w:rPr>
                <w:rFonts w:hint="eastAsia" w:ascii="Times New Roman"/>
                <w:snapToGrid w:val="0"/>
                <w:color w:val="auto"/>
                <w:kern w:val="21"/>
                <w:szCs w:val="21"/>
                <w:lang w:val="en-US" w:eastAsia="zh-CN"/>
              </w:rPr>
              <w:t>0.0089</w:t>
            </w:r>
          </w:p>
        </w:tc>
      </w:tr>
      <w:tr w14:paraId="3F634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3A9F89C5">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06880C16">
            <w:pPr>
              <w:pStyle w:val="31"/>
              <w:keepNext w:val="0"/>
              <w:keepLines w:val="0"/>
              <w:suppressLineNumbers w:val="0"/>
              <w:spacing w:before="0" w:beforeLines="0" w:beforeAutospacing="0" w:after="0" w:afterLines="0" w:afterAutospacing="0" w:line="240" w:lineRule="auto"/>
              <w:ind w:left="0" w:right="0"/>
              <w:rPr>
                <w:rFonts w:hint="default" w:ascii="Times New Roman" w:eastAsiaTheme="minorEastAsia"/>
                <w:color w:val="auto"/>
                <w:szCs w:val="21"/>
                <w:lang w:val="en-US" w:eastAsia="zh-CN"/>
              </w:rPr>
            </w:pPr>
            <w:r>
              <w:rPr>
                <w:rFonts w:hint="eastAsia" w:ascii="Times New Roman" w:eastAsiaTheme="minorEastAsia"/>
                <w:color w:val="auto"/>
                <w:szCs w:val="21"/>
                <w:lang w:val="en-US" w:eastAsia="zh-CN"/>
              </w:rPr>
              <w:t>废滤芯及废过滤膜</w:t>
            </w:r>
          </w:p>
        </w:tc>
        <w:tc>
          <w:tcPr>
            <w:tcW w:w="1701" w:type="dxa"/>
            <w:vAlign w:val="center"/>
          </w:tcPr>
          <w:p w14:paraId="6AA98733">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eastAsiaTheme="minorEastAsia"/>
                <w:color w:val="auto"/>
                <w:szCs w:val="21"/>
              </w:rPr>
            </w:pPr>
            <w:r>
              <w:rPr>
                <w:rFonts w:hint="default" w:ascii="Times New Roman" w:eastAsiaTheme="minorEastAsia"/>
                <w:color w:val="auto"/>
                <w:szCs w:val="21"/>
              </w:rPr>
              <w:t>0</w:t>
            </w:r>
          </w:p>
        </w:tc>
        <w:tc>
          <w:tcPr>
            <w:tcW w:w="1276" w:type="dxa"/>
            <w:vAlign w:val="center"/>
          </w:tcPr>
          <w:p w14:paraId="078A6D7E">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0D685083">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34760E73">
            <w:pPr>
              <w:pStyle w:val="3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0.02</w:t>
            </w:r>
          </w:p>
        </w:tc>
        <w:tc>
          <w:tcPr>
            <w:tcW w:w="1417" w:type="dxa"/>
            <w:vAlign w:val="center"/>
          </w:tcPr>
          <w:p w14:paraId="393D8371">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744C06D4">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eastAsia" w:ascii="Times New Roman"/>
                <w:snapToGrid w:val="0"/>
                <w:color w:val="auto"/>
                <w:kern w:val="21"/>
                <w:szCs w:val="21"/>
                <w:lang w:val="en-US" w:eastAsia="zh-CN"/>
              </w:rPr>
              <w:t>0.02</w:t>
            </w:r>
          </w:p>
        </w:tc>
        <w:tc>
          <w:tcPr>
            <w:tcW w:w="1286" w:type="dxa"/>
            <w:vAlign w:val="center"/>
          </w:tcPr>
          <w:p w14:paraId="6DFA9436">
            <w:pPr>
              <w:pStyle w:val="31"/>
              <w:keepNext w:val="0"/>
              <w:keepLines w:val="0"/>
              <w:suppressLineNumbers w:val="0"/>
              <w:spacing w:before="0" w:beforeLines="0" w:beforeAutospacing="0" w:after="0" w:afterLines="0" w:afterAutospacing="0" w:line="240" w:lineRule="auto"/>
              <w:ind w:left="0" w:right="0"/>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+0.02</w:t>
            </w:r>
          </w:p>
        </w:tc>
      </w:tr>
      <w:tr w14:paraId="74466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15C53A66">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5B7EBBE8">
            <w:pPr>
              <w:pStyle w:val="31"/>
              <w:keepNext w:val="0"/>
              <w:keepLines w:val="0"/>
              <w:suppressLineNumbers w:val="0"/>
              <w:spacing w:before="0" w:beforeLines="0" w:beforeAutospacing="0" w:after="0" w:afterLines="0" w:afterAutospacing="0" w:line="240" w:lineRule="auto"/>
              <w:ind w:left="0" w:right="0"/>
              <w:rPr>
                <w:rFonts w:hint="eastAsia" w:ascii="Times New Roman" w:eastAsiaTheme="minorEastAsia"/>
                <w:color w:val="auto"/>
                <w:szCs w:val="21"/>
                <w:lang w:val="en-US" w:eastAsia="zh-CN"/>
              </w:rPr>
            </w:pPr>
            <w:r>
              <w:rPr>
                <w:rFonts w:hint="eastAsia" w:ascii="Times New Roman" w:eastAsiaTheme="minorEastAsia"/>
                <w:color w:val="auto"/>
                <w:szCs w:val="21"/>
                <w:lang w:val="en-US" w:eastAsia="zh-CN"/>
              </w:rPr>
              <w:t>破碎玻璃（未沾染化学试剂）和废包装物</w:t>
            </w:r>
          </w:p>
        </w:tc>
        <w:tc>
          <w:tcPr>
            <w:tcW w:w="1701" w:type="dxa"/>
            <w:vAlign w:val="center"/>
          </w:tcPr>
          <w:p w14:paraId="107BC14D">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eastAsiaTheme="minorEastAsia"/>
                <w:color w:val="auto"/>
                <w:szCs w:val="21"/>
              </w:rPr>
            </w:pPr>
            <w:r>
              <w:rPr>
                <w:rFonts w:hint="default" w:ascii="Times New Roman" w:eastAsiaTheme="minorEastAsia"/>
                <w:color w:val="auto"/>
                <w:szCs w:val="21"/>
              </w:rPr>
              <w:t>0</w:t>
            </w:r>
          </w:p>
        </w:tc>
        <w:tc>
          <w:tcPr>
            <w:tcW w:w="1276" w:type="dxa"/>
            <w:vAlign w:val="center"/>
          </w:tcPr>
          <w:p w14:paraId="41E5C26D">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6E16D93E">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68BCADCF">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0.2</w:t>
            </w:r>
          </w:p>
        </w:tc>
        <w:tc>
          <w:tcPr>
            <w:tcW w:w="1417" w:type="dxa"/>
            <w:vAlign w:val="center"/>
          </w:tcPr>
          <w:p w14:paraId="7899A7AD">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49FBCF40">
            <w:pPr>
              <w:pStyle w:val="31"/>
              <w:keepNext w:val="0"/>
              <w:keepLines w:val="0"/>
              <w:suppressLineNumbers w:val="0"/>
              <w:spacing w:before="0" w:beforeLines="0" w:beforeAutospacing="0" w:after="0" w:afterLines="0" w:afterAutospacing="0" w:line="240" w:lineRule="auto"/>
              <w:ind w:left="0" w:leftChars="0" w:right="0" w:rightChars="0"/>
              <w:rPr>
                <w:rFonts w:hint="eastAsia" w:ascii="Times New Roman"/>
                <w:snapToGrid w:val="0"/>
                <w:color w:val="auto"/>
                <w:kern w:val="21"/>
                <w:szCs w:val="21"/>
                <w:lang w:val="en-US" w:eastAsia="zh-CN"/>
              </w:rPr>
            </w:pPr>
            <w:r>
              <w:rPr>
                <w:rFonts w:hint="default" w:ascii="Times New Roman"/>
                <w:snapToGrid w:val="0"/>
                <w:color w:val="auto"/>
                <w:kern w:val="21"/>
                <w:szCs w:val="21"/>
              </w:rPr>
              <w:t>0.2</w:t>
            </w:r>
          </w:p>
        </w:tc>
        <w:tc>
          <w:tcPr>
            <w:tcW w:w="1286" w:type="dxa"/>
            <w:vAlign w:val="center"/>
          </w:tcPr>
          <w:p w14:paraId="5892DCBD">
            <w:pPr>
              <w:pStyle w:val="31"/>
              <w:keepNext w:val="0"/>
              <w:keepLines w:val="0"/>
              <w:suppressLineNumbers w:val="0"/>
              <w:spacing w:before="0" w:beforeLines="0" w:beforeAutospacing="0" w:after="0" w:afterLines="0" w:afterAutospacing="0" w:line="240" w:lineRule="auto"/>
              <w:ind w:left="0" w:leftChars="0" w:right="0" w:rightChars="0"/>
              <w:rPr>
                <w:rFonts w:hint="eastAsia" w:ascii="Times New Roman"/>
                <w:snapToGrid w:val="0"/>
                <w:color w:val="auto"/>
                <w:kern w:val="21"/>
                <w:szCs w:val="21"/>
                <w:lang w:val="en-US" w:eastAsia="zh-CN"/>
              </w:rPr>
            </w:pPr>
            <w:r>
              <w:rPr>
                <w:rFonts w:hint="default" w:ascii="Times New Roman"/>
                <w:snapToGrid w:val="0"/>
                <w:color w:val="auto"/>
                <w:kern w:val="21"/>
                <w:szCs w:val="21"/>
              </w:rPr>
              <w:t>+0.2</w:t>
            </w:r>
          </w:p>
        </w:tc>
      </w:tr>
      <w:tr w14:paraId="506B6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restart"/>
            <w:vAlign w:val="center"/>
          </w:tcPr>
          <w:p w14:paraId="7F61D54F">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危险废物</w:t>
            </w:r>
          </w:p>
        </w:tc>
        <w:tc>
          <w:tcPr>
            <w:tcW w:w="1951" w:type="dxa"/>
            <w:vAlign w:val="center"/>
          </w:tcPr>
          <w:p w14:paraId="01B8F24E">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报废化学试剂及废试剂瓶</w:t>
            </w:r>
          </w:p>
        </w:tc>
        <w:tc>
          <w:tcPr>
            <w:tcW w:w="1701" w:type="dxa"/>
            <w:vAlign w:val="center"/>
          </w:tcPr>
          <w:p w14:paraId="75C06A57">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276" w:type="dxa"/>
            <w:vAlign w:val="center"/>
          </w:tcPr>
          <w:p w14:paraId="01859588">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76DA9328">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777DC893">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0.2</w:t>
            </w:r>
          </w:p>
        </w:tc>
        <w:tc>
          <w:tcPr>
            <w:tcW w:w="1417" w:type="dxa"/>
            <w:vAlign w:val="center"/>
          </w:tcPr>
          <w:p w14:paraId="43668C37">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3858A306">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0.2</w:t>
            </w:r>
          </w:p>
        </w:tc>
        <w:tc>
          <w:tcPr>
            <w:tcW w:w="1286" w:type="dxa"/>
            <w:vAlign w:val="center"/>
          </w:tcPr>
          <w:p w14:paraId="26AA58B0">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+0.2</w:t>
            </w:r>
          </w:p>
        </w:tc>
      </w:tr>
      <w:tr w14:paraId="64601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304F3D8E">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2B81A7A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实验废液</w:t>
            </w:r>
          </w:p>
        </w:tc>
        <w:tc>
          <w:tcPr>
            <w:tcW w:w="1701" w:type="dxa"/>
            <w:vAlign w:val="center"/>
          </w:tcPr>
          <w:p w14:paraId="54661D72">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276" w:type="dxa"/>
            <w:vAlign w:val="center"/>
          </w:tcPr>
          <w:p w14:paraId="362A84AF">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34A7691E">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00007740">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0.3</w:t>
            </w:r>
          </w:p>
        </w:tc>
        <w:tc>
          <w:tcPr>
            <w:tcW w:w="1417" w:type="dxa"/>
            <w:vAlign w:val="center"/>
          </w:tcPr>
          <w:p w14:paraId="1A3096EA">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4865B1CB">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0.3</w:t>
            </w:r>
          </w:p>
        </w:tc>
        <w:tc>
          <w:tcPr>
            <w:tcW w:w="1286" w:type="dxa"/>
            <w:vAlign w:val="center"/>
          </w:tcPr>
          <w:p w14:paraId="5889C7EB">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w:t>
            </w:r>
            <w:r>
              <w:rPr>
                <w:rFonts w:hint="default" w:ascii="Times New Roman"/>
                <w:snapToGrid w:val="0"/>
                <w:color w:val="auto"/>
                <w:kern w:val="21"/>
                <w:szCs w:val="21"/>
              </w:rPr>
              <w:t>0.3</w:t>
            </w:r>
          </w:p>
        </w:tc>
      </w:tr>
      <w:tr w14:paraId="7143C5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1EC2F9C9">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20C94932">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实验</w:t>
            </w:r>
            <w:r>
              <w:rPr>
                <w:rFonts w:hint="eastAsia" w:eastAsiaTheme="minorEastAsia"/>
                <w:color w:val="auto"/>
                <w:kern w:val="0"/>
                <w:szCs w:val="21"/>
                <w:lang w:val="en-US" w:eastAsia="zh-CN"/>
              </w:rPr>
              <w:t>室第一、二次</w:t>
            </w:r>
            <w:r>
              <w:rPr>
                <w:rFonts w:hint="default" w:eastAsiaTheme="minorEastAsia"/>
                <w:color w:val="auto"/>
                <w:kern w:val="0"/>
                <w:szCs w:val="21"/>
              </w:rPr>
              <w:t>器皿清洗水</w:t>
            </w:r>
          </w:p>
        </w:tc>
        <w:tc>
          <w:tcPr>
            <w:tcW w:w="1701" w:type="dxa"/>
            <w:vAlign w:val="center"/>
          </w:tcPr>
          <w:p w14:paraId="4DF08707">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276" w:type="dxa"/>
            <w:vAlign w:val="center"/>
          </w:tcPr>
          <w:p w14:paraId="7E317594">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79F8096C">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7B2619DB">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4.8</w:t>
            </w:r>
          </w:p>
        </w:tc>
        <w:tc>
          <w:tcPr>
            <w:tcW w:w="1417" w:type="dxa"/>
            <w:vAlign w:val="center"/>
          </w:tcPr>
          <w:p w14:paraId="025C34B1">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7B76EAD1">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4.8</w:t>
            </w:r>
          </w:p>
        </w:tc>
        <w:tc>
          <w:tcPr>
            <w:tcW w:w="1286" w:type="dxa"/>
            <w:vAlign w:val="center"/>
          </w:tcPr>
          <w:p w14:paraId="1715D815">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+4.8</w:t>
            </w:r>
          </w:p>
        </w:tc>
      </w:tr>
      <w:tr w14:paraId="47002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54" w:type="dxa"/>
            <w:vMerge w:val="continue"/>
            <w:vAlign w:val="center"/>
          </w:tcPr>
          <w:p w14:paraId="50C899EA">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179EE021">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废活性炭</w:t>
            </w:r>
          </w:p>
        </w:tc>
        <w:tc>
          <w:tcPr>
            <w:tcW w:w="1701" w:type="dxa"/>
            <w:vAlign w:val="center"/>
          </w:tcPr>
          <w:p w14:paraId="6F0BCC2B">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276" w:type="dxa"/>
            <w:vAlign w:val="center"/>
          </w:tcPr>
          <w:p w14:paraId="54A6AD42">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4BAA8E51">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680249D5">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1.2</w:t>
            </w:r>
          </w:p>
        </w:tc>
        <w:tc>
          <w:tcPr>
            <w:tcW w:w="1417" w:type="dxa"/>
            <w:vAlign w:val="center"/>
          </w:tcPr>
          <w:p w14:paraId="48A64451">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5EEDAF4C">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1.2</w:t>
            </w:r>
          </w:p>
        </w:tc>
        <w:tc>
          <w:tcPr>
            <w:tcW w:w="1286" w:type="dxa"/>
            <w:vAlign w:val="center"/>
          </w:tcPr>
          <w:p w14:paraId="5C08C184">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w:t>
            </w:r>
            <w:r>
              <w:rPr>
                <w:rFonts w:hint="default" w:ascii="Times New Roman" w:eastAsiaTheme="minorEastAsia"/>
                <w:color w:val="auto"/>
                <w:szCs w:val="21"/>
              </w:rPr>
              <w:t>1.2</w:t>
            </w:r>
          </w:p>
        </w:tc>
      </w:tr>
      <w:tr w14:paraId="64785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1A7CAA60">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489374E4">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检测废物（废沥青）</w:t>
            </w:r>
          </w:p>
        </w:tc>
        <w:tc>
          <w:tcPr>
            <w:tcW w:w="1701" w:type="dxa"/>
            <w:vAlign w:val="center"/>
          </w:tcPr>
          <w:p w14:paraId="504F0574">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eastAsiaTheme="minorEastAsia"/>
                <w:color w:val="auto"/>
                <w:szCs w:val="21"/>
              </w:rPr>
              <w:t>0</w:t>
            </w:r>
          </w:p>
        </w:tc>
        <w:tc>
          <w:tcPr>
            <w:tcW w:w="1276" w:type="dxa"/>
            <w:vAlign w:val="center"/>
          </w:tcPr>
          <w:p w14:paraId="342E2852">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005F8002">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32125BFC">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0.15</w:t>
            </w:r>
          </w:p>
        </w:tc>
        <w:tc>
          <w:tcPr>
            <w:tcW w:w="1417" w:type="dxa"/>
            <w:vAlign w:val="center"/>
          </w:tcPr>
          <w:p w14:paraId="0DC0961D">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19283590">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0.15</w:t>
            </w:r>
          </w:p>
        </w:tc>
        <w:tc>
          <w:tcPr>
            <w:tcW w:w="1286" w:type="dxa"/>
            <w:vAlign w:val="center"/>
          </w:tcPr>
          <w:p w14:paraId="480BC80A">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default" w:ascii="Times New Roman"/>
                <w:snapToGrid w:val="0"/>
                <w:color w:val="auto"/>
                <w:kern w:val="21"/>
                <w:szCs w:val="21"/>
              </w:rPr>
              <w:t>+0.15</w:t>
            </w:r>
          </w:p>
        </w:tc>
      </w:tr>
      <w:tr w14:paraId="5716F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73029236">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3EA4B01C">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lang w:val="en-US" w:eastAsia="zh-CN"/>
              </w:rPr>
            </w:pPr>
            <w:r>
              <w:rPr>
                <w:rFonts w:hint="eastAsia" w:eastAsiaTheme="minorEastAsia"/>
                <w:color w:val="auto"/>
                <w:kern w:val="0"/>
                <w:szCs w:val="21"/>
                <w:lang w:val="en-US" w:eastAsia="zh-CN"/>
              </w:rPr>
              <w:t>废沥青清洗液</w:t>
            </w:r>
          </w:p>
        </w:tc>
        <w:tc>
          <w:tcPr>
            <w:tcW w:w="1701" w:type="dxa"/>
            <w:vAlign w:val="center"/>
          </w:tcPr>
          <w:p w14:paraId="07A6363C">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eastAsiaTheme="minorEastAsia"/>
                <w:color w:val="auto"/>
                <w:szCs w:val="21"/>
              </w:rPr>
            </w:pPr>
            <w:r>
              <w:rPr>
                <w:rFonts w:hint="default" w:ascii="Times New Roman" w:eastAsiaTheme="minorEastAsia"/>
                <w:color w:val="auto"/>
                <w:szCs w:val="21"/>
              </w:rPr>
              <w:t>0</w:t>
            </w:r>
          </w:p>
        </w:tc>
        <w:tc>
          <w:tcPr>
            <w:tcW w:w="1276" w:type="dxa"/>
            <w:vAlign w:val="center"/>
          </w:tcPr>
          <w:p w14:paraId="52368D01">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6C79DA75">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43EB78C9">
            <w:pPr>
              <w:pStyle w:val="3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0.005</w:t>
            </w:r>
          </w:p>
        </w:tc>
        <w:tc>
          <w:tcPr>
            <w:tcW w:w="1417" w:type="dxa"/>
            <w:vAlign w:val="center"/>
          </w:tcPr>
          <w:p w14:paraId="16E1D1C5">
            <w:pPr>
              <w:keepNext w:val="0"/>
              <w:keepLines w:val="0"/>
              <w:suppressLineNumbers w:val="0"/>
              <w:spacing w:before="0" w:beforeLines="0" w:beforeAutospacing="0" w:after="0" w:afterLines="0" w:afterAutospacing="0" w:line="240" w:lineRule="auto"/>
              <w:ind w:left="0" w:right="0"/>
              <w:jc w:val="center"/>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702C6E8A">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eastAsia" w:ascii="Times New Roman"/>
                <w:snapToGrid w:val="0"/>
                <w:color w:val="auto"/>
                <w:kern w:val="21"/>
                <w:szCs w:val="21"/>
                <w:lang w:val="en-US" w:eastAsia="zh-CN"/>
              </w:rPr>
              <w:t>0.005</w:t>
            </w:r>
          </w:p>
        </w:tc>
        <w:tc>
          <w:tcPr>
            <w:tcW w:w="1286" w:type="dxa"/>
            <w:vAlign w:val="center"/>
          </w:tcPr>
          <w:p w14:paraId="44DF5F9C">
            <w:pPr>
              <w:pStyle w:val="3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+0.005</w:t>
            </w:r>
          </w:p>
        </w:tc>
      </w:tr>
      <w:tr w14:paraId="69E90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54" w:type="dxa"/>
            <w:vMerge w:val="continue"/>
            <w:vAlign w:val="center"/>
          </w:tcPr>
          <w:p w14:paraId="62A4F270">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p>
        </w:tc>
        <w:tc>
          <w:tcPr>
            <w:tcW w:w="1951" w:type="dxa"/>
            <w:vAlign w:val="center"/>
          </w:tcPr>
          <w:p w14:paraId="4D15DEBB">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lang w:val="en-US" w:eastAsia="zh-CN"/>
              </w:rPr>
            </w:pPr>
            <w:r>
              <w:rPr>
                <w:rFonts w:hint="eastAsia" w:eastAsiaTheme="minorEastAsia"/>
                <w:color w:val="auto"/>
                <w:kern w:val="0"/>
                <w:szCs w:val="21"/>
                <w:lang w:val="en-US" w:eastAsia="zh-CN"/>
              </w:rPr>
              <w:t>废水中和收集桶沉渣</w:t>
            </w:r>
          </w:p>
        </w:tc>
        <w:tc>
          <w:tcPr>
            <w:tcW w:w="1701" w:type="dxa"/>
            <w:vAlign w:val="center"/>
          </w:tcPr>
          <w:p w14:paraId="1259ABC1">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eastAsiaTheme="minorEastAsia"/>
                <w:color w:val="auto"/>
                <w:szCs w:val="21"/>
              </w:rPr>
            </w:pPr>
            <w:r>
              <w:rPr>
                <w:rFonts w:hint="default" w:ascii="Times New Roman" w:eastAsiaTheme="minorEastAsia"/>
                <w:color w:val="auto"/>
                <w:szCs w:val="21"/>
              </w:rPr>
              <w:t>0</w:t>
            </w:r>
          </w:p>
        </w:tc>
        <w:tc>
          <w:tcPr>
            <w:tcW w:w="1276" w:type="dxa"/>
            <w:vAlign w:val="center"/>
          </w:tcPr>
          <w:p w14:paraId="46521AB8">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24139A42">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2BAB73FE">
            <w:pPr>
              <w:pStyle w:val="3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0.05</w:t>
            </w:r>
          </w:p>
        </w:tc>
        <w:tc>
          <w:tcPr>
            <w:tcW w:w="1417" w:type="dxa"/>
            <w:vAlign w:val="center"/>
          </w:tcPr>
          <w:p w14:paraId="66563955">
            <w:pPr>
              <w:keepNext w:val="0"/>
              <w:keepLines w:val="0"/>
              <w:suppressLineNumbers w:val="0"/>
              <w:spacing w:before="0" w:beforeLines="0" w:beforeAutospacing="0" w:after="0" w:afterLines="0" w:afterAutospacing="0" w:line="240" w:lineRule="auto"/>
              <w:ind w:left="0" w:right="0"/>
              <w:jc w:val="center"/>
              <w:rPr>
                <w:rFonts w:hint="default" w:ascii="Times New Roman"/>
                <w:snapToGrid w:val="0"/>
                <w:color w:val="auto"/>
                <w:kern w:val="21"/>
                <w:szCs w:val="21"/>
              </w:rPr>
            </w:pPr>
            <w:r>
              <w:rPr>
                <w:rFonts w:hint="default" w:ascii="Times New Roman"/>
                <w:snapToGrid w:val="0"/>
                <w:color w:val="auto"/>
                <w:kern w:val="21"/>
                <w:szCs w:val="21"/>
              </w:rPr>
              <w:t>0</w:t>
            </w:r>
          </w:p>
        </w:tc>
        <w:tc>
          <w:tcPr>
            <w:tcW w:w="1701" w:type="dxa"/>
            <w:vAlign w:val="center"/>
          </w:tcPr>
          <w:p w14:paraId="670C5C87">
            <w:pPr>
              <w:pStyle w:val="31"/>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Cs w:val="21"/>
              </w:rPr>
            </w:pPr>
            <w:r>
              <w:rPr>
                <w:rFonts w:hint="eastAsia" w:ascii="Times New Roman"/>
                <w:snapToGrid w:val="0"/>
                <w:color w:val="auto"/>
                <w:kern w:val="21"/>
                <w:szCs w:val="21"/>
                <w:lang w:val="en-US" w:eastAsia="zh-CN"/>
              </w:rPr>
              <w:t>0.05</w:t>
            </w:r>
          </w:p>
        </w:tc>
        <w:tc>
          <w:tcPr>
            <w:tcW w:w="1286" w:type="dxa"/>
            <w:vAlign w:val="center"/>
          </w:tcPr>
          <w:p w14:paraId="32AC5DAC">
            <w:pPr>
              <w:pStyle w:val="31"/>
              <w:keepNext w:val="0"/>
              <w:keepLines w:val="0"/>
              <w:suppressLineNumbers w:val="0"/>
              <w:spacing w:before="0" w:beforeLines="0" w:beforeAutospacing="0" w:after="0" w:afterLines="0" w:afterAutospacing="0" w:line="240" w:lineRule="auto"/>
              <w:ind w:left="0" w:right="0"/>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+0.05</w:t>
            </w:r>
          </w:p>
        </w:tc>
      </w:tr>
    </w:tbl>
    <w:p w14:paraId="5054CD6A">
      <w:pPr>
        <w:pStyle w:val="31"/>
        <w:spacing w:before="249" w:beforeLines="80" w:after="31"/>
        <w:jc w:val="left"/>
        <w:rPr>
          <w:rFonts w:ascii="Times New Roman"/>
          <w:color w:val="auto"/>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p>
    <w:sectPr>
      <w:footerReference r:id="rId7" w:type="default"/>
      <w:pgSz w:w="16838" w:h="11906" w:orient="landscape"/>
      <w:pgMar w:top="1531" w:right="1701" w:bottom="1531" w:left="1701" w:header="851" w:footer="851"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GulimChe">
    <w:altName w:val="Malgun Gothic"/>
    <w:panose1 w:val="020B0609000101010101"/>
    <w:charset w:val="81"/>
    <w:family w:val="auto"/>
    <w:pitch w:val="default"/>
    <w:sig w:usb0="00000000" w:usb1="00000000" w:usb2="00000030" w:usb3="00000000" w:csb0="4008009F" w:csb1="DFD70000"/>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UI Emoji">
    <w:panose1 w:val="020B0502040204020203"/>
    <w:charset w:val="00"/>
    <w:family w:val="swiss"/>
    <w:pitch w:val="default"/>
    <w:sig w:usb0="00000001" w:usb1="02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77286">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A1BB1">
    <w:pPr>
      <w:pStyle w:val="13"/>
      <w:framePr w:wrap="around" w:vAnchor="text" w:hAnchor="margin" w:xAlign="center" w:y="1"/>
      <w:rPr>
        <w:rStyle w:val="20"/>
      </w:rPr>
    </w:pPr>
    <w:r>
      <w:fldChar w:fldCharType="begin"/>
    </w:r>
    <w:r>
      <w:rPr>
        <w:rStyle w:val="20"/>
      </w:rPr>
      <w:instrText xml:space="preserve">PAGE  </w:instrText>
    </w:r>
    <w:r>
      <w:fldChar w:fldCharType="end"/>
    </w:r>
  </w:p>
  <w:p w14:paraId="01D22B5B">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84C28">
    <w:pPr>
      <w:pStyle w:val="13"/>
      <w:jc w:val="center"/>
      <w:rPr>
        <w:caps/>
        <w:color w:val="000000" w:themeColor="text1"/>
      </w:rPr>
    </w:pPr>
  </w:p>
  <w:p w14:paraId="0B703901">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2C60F">
    <w:pPr>
      <w:pStyle w:val="13"/>
      <w:jc w:val="center"/>
      <w:rPr>
        <w:caps/>
        <w:color w:val="000000" w:themeColor="text1"/>
      </w:rPr>
    </w:pPr>
    <w:r>
      <w:rPr>
        <w:sz w:val="1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77E76B8A">
                <w:pPr>
                  <w:pStyle w:val="13"/>
                  <w:jc w:val="center"/>
                </w:pPr>
                <w:r>
                  <w:t xml:space="preserve">— </w:t>
                </w:r>
                <w:r>
                  <w:fldChar w:fldCharType="begin"/>
                </w:r>
                <w:r>
                  <w:instrText xml:space="preserve"> PAGE  \* MERGEFORMAT </w:instrText>
                </w:r>
                <w:r>
                  <w:fldChar w:fldCharType="separate"/>
                </w:r>
                <w:r>
                  <w:t>1</w:t>
                </w:r>
                <w:r>
                  <w:fldChar w:fldCharType="end"/>
                </w:r>
                <w:r>
                  <w:t xml:space="preserve"> —</w:t>
                </w:r>
              </w:p>
            </w:txbxContent>
          </v:textbox>
        </v:shape>
      </w:pict>
    </w:r>
  </w:p>
  <w:p w14:paraId="519BDD26">
    <w:pPr>
      <w:pStyle w:val="13"/>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A9643">
    <w:pPr>
      <w:pStyle w:val="13"/>
      <w:ind w:right="360" w:firstLine="360"/>
      <w:jc w:val="center"/>
    </w:pPr>
    <w:r>
      <w:rPr>
        <w:sz w:val="18"/>
      </w:rPr>
      <w:pict>
        <v:shape id="_x0000_s2050" o:spid="_x0000_s2050"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15F40DB0">
                <w:pPr>
                  <w:pStyle w:val="13"/>
                  <w:rPr>
                    <w:rStyle w:val="20"/>
                    <w:rFonts w:ascii="宋体" w:hAnsi="宋体"/>
                    <w:sz w:val="28"/>
                    <w:szCs w:val="28"/>
                  </w:rPr>
                </w:pPr>
                <w:r>
                  <w:rPr>
                    <w:rStyle w:val="20"/>
                    <w:rFonts w:ascii="宋体" w:hAnsi="宋体"/>
                    <w:sz w:val="28"/>
                    <w:szCs w:val="28"/>
                  </w:rPr>
                  <w:t xml:space="preserve">— </w:t>
                </w:r>
                <w:r>
                  <w:rPr>
                    <w:rStyle w:val="20"/>
                    <w:rFonts w:ascii="宋体" w:hAnsi="宋体"/>
                    <w:sz w:val="28"/>
                    <w:szCs w:val="28"/>
                  </w:rPr>
                  <w:fldChar w:fldCharType="begin"/>
                </w:r>
                <w:r>
                  <w:rPr>
                    <w:rStyle w:val="20"/>
                    <w:rFonts w:ascii="宋体" w:hAnsi="宋体"/>
                    <w:sz w:val="28"/>
                    <w:szCs w:val="28"/>
                  </w:rPr>
                  <w:instrText xml:space="preserve"> PAGE  \* MERGEFORMAT </w:instrText>
                </w:r>
                <w:r>
                  <w:rPr>
                    <w:rStyle w:val="20"/>
                    <w:rFonts w:ascii="宋体" w:hAnsi="宋体"/>
                    <w:sz w:val="28"/>
                    <w:szCs w:val="28"/>
                  </w:rPr>
                  <w:fldChar w:fldCharType="separate"/>
                </w:r>
                <w:r>
                  <w:rPr>
                    <w:rStyle w:val="20"/>
                    <w:rFonts w:ascii="宋体" w:hAnsi="宋体"/>
                    <w:sz w:val="28"/>
                    <w:szCs w:val="28"/>
                  </w:rPr>
                  <w:t>88</w:t>
                </w:r>
                <w:r>
                  <w:rPr>
                    <w:rStyle w:val="20"/>
                    <w:rFonts w:ascii="宋体" w:hAnsi="宋体"/>
                    <w:sz w:val="28"/>
                    <w:szCs w:val="28"/>
                  </w:rPr>
                  <w:fldChar w:fldCharType="end"/>
                </w:r>
                <w:r>
                  <w:rPr>
                    <w:rStyle w:val="20"/>
                    <w:rFonts w:ascii="宋体" w:hAnsi="宋体"/>
                    <w:sz w:val="28"/>
                    <w:szCs w:val="28"/>
                  </w:rPr>
                  <w:t xml:space="preserve"> —</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661484"/>
    <w:multiLevelType w:val="multilevel"/>
    <w:tmpl w:val="2466148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3CD2C17"/>
    <w:multiLevelType w:val="singleLevel"/>
    <w:tmpl w:val="73CD2C17"/>
    <w:lvl w:ilvl="0" w:tentative="0">
      <w:start w:val="3"/>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hideSpellingError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QzNWE0MmUwZTEyMjc5NTdjNTE2NTM5ZDQ1ZmY0MWMifQ=="/>
  </w:docVars>
  <w:rsids>
    <w:rsidRoot w:val="00172A27"/>
    <w:rsid w:val="00000158"/>
    <w:rsid w:val="00000BD3"/>
    <w:rsid w:val="00000F27"/>
    <w:rsid w:val="00002D07"/>
    <w:rsid w:val="00002D9E"/>
    <w:rsid w:val="00004584"/>
    <w:rsid w:val="000054D9"/>
    <w:rsid w:val="00005FB9"/>
    <w:rsid w:val="000060B3"/>
    <w:rsid w:val="000103A0"/>
    <w:rsid w:val="00011EB0"/>
    <w:rsid w:val="000120A6"/>
    <w:rsid w:val="00014A37"/>
    <w:rsid w:val="00020D2D"/>
    <w:rsid w:val="00020D81"/>
    <w:rsid w:val="0002152F"/>
    <w:rsid w:val="000218AA"/>
    <w:rsid w:val="00021F00"/>
    <w:rsid w:val="00025F57"/>
    <w:rsid w:val="00030EF4"/>
    <w:rsid w:val="00031A5D"/>
    <w:rsid w:val="0003243D"/>
    <w:rsid w:val="000337E8"/>
    <w:rsid w:val="00034935"/>
    <w:rsid w:val="00034962"/>
    <w:rsid w:val="000349E1"/>
    <w:rsid w:val="00035067"/>
    <w:rsid w:val="000351BB"/>
    <w:rsid w:val="00035CB4"/>
    <w:rsid w:val="0003666E"/>
    <w:rsid w:val="00036BD6"/>
    <w:rsid w:val="00037C7B"/>
    <w:rsid w:val="00037E97"/>
    <w:rsid w:val="000406AA"/>
    <w:rsid w:val="0004132A"/>
    <w:rsid w:val="00042610"/>
    <w:rsid w:val="0004364B"/>
    <w:rsid w:val="0004391A"/>
    <w:rsid w:val="00047397"/>
    <w:rsid w:val="00047717"/>
    <w:rsid w:val="00051CD0"/>
    <w:rsid w:val="0005252C"/>
    <w:rsid w:val="00052AF2"/>
    <w:rsid w:val="000535E1"/>
    <w:rsid w:val="00054C17"/>
    <w:rsid w:val="00057ADC"/>
    <w:rsid w:val="00060BE2"/>
    <w:rsid w:val="000619FF"/>
    <w:rsid w:val="00061B1F"/>
    <w:rsid w:val="000628EA"/>
    <w:rsid w:val="00065857"/>
    <w:rsid w:val="00065B8F"/>
    <w:rsid w:val="00067B36"/>
    <w:rsid w:val="00071FD4"/>
    <w:rsid w:val="000733C4"/>
    <w:rsid w:val="00074783"/>
    <w:rsid w:val="00074CFC"/>
    <w:rsid w:val="000751A6"/>
    <w:rsid w:val="00075346"/>
    <w:rsid w:val="0007639D"/>
    <w:rsid w:val="00077545"/>
    <w:rsid w:val="00077812"/>
    <w:rsid w:val="00080012"/>
    <w:rsid w:val="00080081"/>
    <w:rsid w:val="0008070B"/>
    <w:rsid w:val="000810AC"/>
    <w:rsid w:val="00081A02"/>
    <w:rsid w:val="00082150"/>
    <w:rsid w:val="00082231"/>
    <w:rsid w:val="0008284C"/>
    <w:rsid w:val="000831B2"/>
    <w:rsid w:val="0008645F"/>
    <w:rsid w:val="00090B67"/>
    <w:rsid w:val="00090ED4"/>
    <w:rsid w:val="00091AA4"/>
    <w:rsid w:val="00091B44"/>
    <w:rsid w:val="000923CD"/>
    <w:rsid w:val="00092D38"/>
    <w:rsid w:val="0009348F"/>
    <w:rsid w:val="0009377B"/>
    <w:rsid w:val="000937FC"/>
    <w:rsid w:val="00096AC6"/>
    <w:rsid w:val="000A05FA"/>
    <w:rsid w:val="000A085F"/>
    <w:rsid w:val="000A163B"/>
    <w:rsid w:val="000A20C9"/>
    <w:rsid w:val="000A27D4"/>
    <w:rsid w:val="000A2DF1"/>
    <w:rsid w:val="000A39E4"/>
    <w:rsid w:val="000A5DE7"/>
    <w:rsid w:val="000A66B9"/>
    <w:rsid w:val="000A6C15"/>
    <w:rsid w:val="000A6C5A"/>
    <w:rsid w:val="000B02E4"/>
    <w:rsid w:val="000B058F"/>
    <w:rsid w:val="000B2D99"/>
    <w:rsid w:val="000B442B"/>
    <w:rsid w:val="000B4467"/>
    <w:rsid w:val="000B4DB9"/>
    <w:rsid w:val="000C09AC"/>
    <w:rsid w:val="000C2E22"/>
    <w:rsid w:val="000C3FCE"/>
    <w:rsid w:val="000C4CEE"/>
    <w:rsid w:val="000C5396"/>
    <w:rsid w:val="000C5778"/>
    <w:rsid w:val="000C5B85"/>
    <w:rsid w:val="000C6307"/>
    <w:rsid w:val="000C681F"/>
    <w:rsid w:val="000C6888"/>
    <w:rsid w:val="000C767F"/>
    <w:rsid w:val="000D1D8D"/>
    <w:rsid w:val="000D1F7C"/>
    <w:rsid w:val="000D33F2"/>
    <w:rsid w:val="000D3D29"/>
    <w:rsid w:val="000D3E3E"/>
    <w:rsid w:val="000D404C"/>
    <w:rsid w:val="000D443D"/>
    <w:rsid w:val="000D4DFA"/>
    <w:rsid w:val="000D5A44"/>
    <w:rsid w:val="000D5AF9"/>
    <w:rsid w:val="000D6B94"/>
    <w:rsid w:val="000D7DCC"/>
    <w:rsid w:val="000D7E47"/>
    <w:rsid w:val="000D7F63"/>
    <w:rsid w:val="000E0119"/>
    <w:rsid w:val="000E0B27"/>
    <w:rsid w:val="000E161A"/>
    <w:rsid w:val="000E29B8"/>
    <w:rsid w:val="000E3ED2"/>
    <w:rsid w:val="000E5ADD"/>
    <w:rsid w:val="000E6C7F"/>
    <w:rsid w:val="000E705F"/>
    <w:rsid w:val="000F11DA"/>
    <w:rsid w:val="000F184F"/>
    <w:rsid w:val="000F2DF5"/>
    <w:rsid w:val="000F4882"/>
    <w:rsid w:val="000F5066"/>
    <w:rsid w:val="000F5F44"/>
    <w:rsid w:val="000F60F4"/>
    <w:rsid w:val="000F7153"/>
    <w:rsid w:val="000F71C0"/>
    <w:rsid w:val="00101C9A"/>
    <w:rsid w:val="00102ECC"/>
    <w:rsid w:val="00105D8E"/>
    <w:rsid w:val="00106245"/>
    <w:rsid w:val="00107AD5"/>
    <w:rsid w:val="00107D71"/>
    <w:rsid w:val="00110598"/>
    <w:rsid w:val="001109C1"/>
    <w:rsid w:val="0011321A"/>
    <w:rsid w:val="001134F6"/>
    <w:rsid w:val="00114971"/>
    <w:rsid w:val="0011579B"/>
    <w:rsid w:val="00116BB4"/>
    <w:rsid w:val="00117945"/>
    <w:rsid w:val="00117AE5"/>
    <w:rsid w:val="001222DD"/>
    <w:rsid w:val="00123584"/>
    <w:rsid w:val="00123D1D"/>
    <w:rsid w:val="00124A09"/>
    <w:rsid w:val="00124AD2"/>
    <w:rsid w:val="001255FC"/>
    <w:rsid w:val="0012579C"/>
    <w:rsid w:val="00126F2F"/>
    <w:rsid w:val="001270A0"/>
    <w:rsid w:val="00127FD4"/>
    <w:rsid w:val="00131DBE"/>
    <w:rsid w:val="00131F42"/>
    <w:rsid w:val="0013347D"/>
    <w:rsid w:val="00133690"/>
    <w:rsid w:val="001357F1"/>
    <w:rsid w:val="0013589F"/>
    <w:rsid w:val="00135B0C"/>
    <w:rsid w:val="001360FE"/>
    <w:rsid w:val="0013689E"/>
    <w:rsid w:val="00140FA8"/>
    <w:rsid w:val="00142495"/>
    <w:rsid w:val="001426D1"/>
    <w:rsid w:val="001428A4"/>
    <w:rsid w:val="00142FEB"/>
    <w:rsid w:val="00143190"/>
    <w:rsid w:val="00143A2D"/>
    <w:rsid w:val="00143A9A"/>
    <w:rsid w:val="0014475F"/>
    <w:rsid w:val="001457A9"/>
    <w:rsid w:val="00145A41"/>
    <w:rsid w:val="001462AE"/>
    <w:rsid w:val="001467B8"/>
    <w:rsid w:val="001476B4"/>
    <w:rsid w:val="00151675"/>
    <w:rsid w:val="00151FFF"/>
    <w:rsid w:val="00152044"/>
    <w:rsid w:val="00153767"/>
    <w:rsid w:val="00153B12"/>
    <w:rsid w:val="001542CB"/>
    <w:rsid w:val="00154327"/>
    <w:rsid w:val="00155521"/>
    <w:rsid w:val="0015650F"/>
    <w:rsid w:val="00157435"/>
    <w:rsid w:val="00157946"/>
    <w:rsid w:val="00157E1A"/>
    <w:rsid w:val="001600F4"/>
    <w:rsid w:val="001601B9"/>
    <w:rsid w:val="001607EB"/>
    <w:rsid w:val="001607F0"/>
    <w:rsid w:val="0016105D"/>
    <w:rsid w:val="00163E30"/>
    <w:rsid w:val="00165520"/>
    <w:rsid w:val="00167796"/>
    <w:rsid w:val="00167D32"/>
    <w:rsid w:val="00167FB2"/>
    <w:rsid w:val="0017216C"/>
    <w:rsid w:val="00172393"/>
    <w:rsid w:val="0017504D"/>
    <w:rsid w:val="00175F61"/>
    <w:rsid w:val="0017671A"/>
    <w:rsid w:val="001772C6"/>
    <w:rsid w:val="00177422"/>
    <w:rsid w:val="00180287"/>
    <w:rsid w:val="00180D61"/>
    <w:rsid w:val="001819FE"/>
    <w:rsid w:val="00182096"/>
    <w:rsid w:val="00182267"/>
    <w:rsid w:val="00183275"/>
    <w:rsid w:val="001836C1"/>
    <w:rsid w:val="00183E48"/>
    <w:rsid w:val="0018447A"/>
    <w:rsid w:val="00184590"/>
    <w:rsid w:val="0018467E"/>
    <w:rsid w:val="00186AE8"/>
    <w:rsid w:val="00186CD1"/>
    <w:rsid w:val="001870D1"/>
    <w:rsid w:val="0018781E"/>
    <w:rsid w:val="00187BED"/>
    <w:rsid w:val="001902E2"/>
    <w:rsid w:val="00190618"/>
    <w:rsid w:val="001913D4"/>
    <w:rsid w:val="0019262D"/>
    <w:rsid w:val="001957CB"/>
    <w:rsid w:val="00195E9E"/>
    <w:rsid w:val="00196E07"/>
    <w:rsid w:val="00197647"/>
    <w:rsid w:val="001976CD"/>
    <w:rsid w:val="00197F99"/>
    <w:rsid w:val="001A04BD"/>
    <w:rsid w:val="001A13C5"/>
    <w:rsid w:val="001A1B35"/>
    <w:rsid w:val="001A2CB8"/>
    <w:rsid w:val="001A377D"/>
    <w:rsid w:val="001A37CE"/>
    <w:rsid w:val="001A3C0C"/>
    <w:rsid w:val="001A48A2"/>
    <w:rsid w:val="001A4F20"/>
    <w:rsid w:val="001A5798"/>
    <w:rsid w:val="001A6D25"/>
    <w:rsid w:val="001A6F61"/>
    <w:rsid w:val="001B13FA"/>
    <w:rsid w:val="001B1709"/>
    <w:rsid w:val="001B1722"/>
    <w:rsid w:val="001B267B"/>
    <w:rsid w:val="001B2FA0"/>
    <w:rsid w:val="001B3B7B"/>
    <w:rsid w:val="001B4E53"/>
    <w:rsid w:val="001B55E8"/>
    <w:rsid w:val="001B59EB"/>
    <w:rsid w:val="001B6B72"/>
    <w:rsid w:val="001B72B8"/>
    <w:rsid w:val="001C0A63"/>
    <w:rsid w:val="001C1368"/>
    <w:rsid w:val="001C2987"/>
    <w:rsid w:val="001C2BA1"/>
    <w:rsid w:val="001C31B2"/>
    <w:rsid w:val="001C57B3"/>
    <w:rsid w:val="001C69B3"/>
    <w:rsid w:val="001C7793"/>
    <w:rsid w:val="001C7CE3"/>
    <w:rsid w:val="001D5595"/>
    <w:rsid w:val="001D58E3"/>
    <w:rsid w:val="001D6F6A"/>
    <w:rsid w:val="001D7874"/>
    <w:rsid w:val="001D7F22"/>
    <w:rsid w:val="001E2349"/>
    <w:rsid w:val="001E268B"/>
    <w:rsid w:val="001E2A29"/>
    <w:rsid w:val="001E2E3B"/>
    <w:rsid w:val="001E3208"/>
    <w:rsid w:val="001E3C6F"/>
    <w:rsid w:val="001E4CEB"/>
    <w:rsid w:val="001E5FF7"/>
    <w:rsid w:val="001E7505"/>
    <w:rsid w:val="001E7986"/>
    <w:rsid w:val="001E7D08"/>
    <w:rsid w:val="001E7FD4"/>
    <w:rsid w:val="001F023F"/>
    <w:rsid w:val="001F0F17"/>
    <w:rsid w:val="001F1AE9"/>
    <w:rsid w:val="001F32D4"/>
    <w:rsid w:val="001F3347"/>
    <w:rsid w:val="001F3DFE"/>
    <w:rsid w:val="001F47F6"/>
    <w:rsid w:val="001F5FBC"/>
    <w:rsid w:val="001F5FF3"/>
    <w:rsid w:val="001F6717"/>
    <w:rsid w:val="001F69E4"/>
    <w:rsid w:val="001F738F"/>
    <w:rsid w:val="001F77A1"/>
    <w:rsid w:val="00200EAE"/>
    <w:rsid w:val="00201C67"/>
    <w:rsid w:val="00203B8A"/>
    <w:rsid w:val="00203F5D"/>
    <w:rsid w:val="0020572E"/>
    <w:rsid w:val="00206BCB"/>
    <w:rsid w:val="0020768F"/>
    <w:rsid w:val="00210625"/>
    <w:rsid w:val="002116CF"/>
    <w:rsid w:val="002123C4"/>
    <w:rsid w:val="002125B4"/>
    <w:rsid w:val="00212A35"/>
    <w:rsid w:val="002131E5"/>
    <w:rsid w:val="00213E0E"/>
    <w:rsid w:val="002155B8"/>
    <w:rsid w:val="00215DDC"/>
    <w:rsid w:val="0021667E"/>
    <w:rsid w:val="0021722E"/>
    <w:rsid w:val="00220380"/>
    <w:rsid w:val="00220961"/>
    <w:rsid w:val="002215A2"/>
    <w:rsid w:val="0022397B"/>
    <w:rsid w:val="00223C31"/>
    <w:rsid w:val="00223DEE"/>
    <w:rsid w:val="00224839"/>
    <w:rsid w:val="002249B2"/>
    <w:rsid w:val="00225248"/>
    <w:rsid w:val="0022656E"/>
    <w:rsid w:val="00226574"/>
    <w:rsid w:val="002278EC"/>
    <w:rsid w:val="00227A00"/>
    <w:rsid w:val="00227C78"/>
    <w:rsid w:val="00230468"/>
    <w:rsid w:val="0023089B"/>
    <w:rsid w:val="00230955"/>
    <w:rsid w:val="002319D5"/>
    <w:rsid w:val="00232288"/>
    <w:rsid w:val="0023280E"/>
    <w:rsid w:val="00232DF2"/>
    <w:rsid w:val="00234E38"/>
    <w:rsid w:val="00234E51"/>
    <w:rsid w:val="00236D8C"/>
    <w:rsid w:val="0023734F"/>
    <w:rsid w:val="00237362"/>
    <w:rsid w:val="002377D1"/>
    <w:rsid w:val="00237DF7"/>
    <w:rsid w:val="0024076A"/>
    <w:rsid w:val="00240A93"/>
    <w:rsid w:val="00241418"/>
    <w:rsid w:val="0024173A"/>
    <w:rsid w:val="00244604"/>
    <w:rsid w:val="002465FD"/>
    <w:rsid w:val="0024677C"/>
    <w:rsid w:val="002506BC"/>
    <w:rsid w:val="00251004"/>
    <w:rsid w:val="00251A2B"/>
    <w:rsid w:val="00252AE4"/>
    <w:rsid w:val="00252FE1"/>
    <w:rsid w:val="00254345"/>
    <w:rsid w:val="00254E89"/>
    <w:rsid w:val="0026125D"/>
    <w:rsid w:val="00261C24"/>
    <w:rsid w:val="00261C59"/>
    <w:rsid w:val="00264557"/>
    <w:rsid w:val="00265DF1"/>
    <w:rsid w:val="002664ED"/>
    <w:rsid w:val="0026683D"/>
    <w:rsid w:val="002676CE"/>
    <w:rsid w:val="00271069"/>
    <w:rsid w:val="002713B1"/>
    <w:rsid w:val="00271875"/>
    <w:rsid w:val="002719A4"/>
    <w:rsid w:val="002728D5"/>
    <w:rsid w:val="00272DF6"/>
    <w:rsid w:val="00273D19"/>
    <w:rsid w:val="0027427F"/>
    <w:rsid w:val="0027524A"/>
    <w:rsid w:val="00275A41"/>
    <w:rsid w:val="002771FC"/>
    <w:rsid w:val="002805AB"/>
    <w:rsid w:val="00280FEC"/>
    <w:rsid w:val="00281CF9"/>
    <w:rsid w:val="00282F23"/>
    <w:rsid w:val="00284204"/>
    <w:rsid w:val="00285C0A"/>
    <w:rsid w:val="00286F42"/>
    <w:rsid w:val="00287EEC"/>
    <w:rsid w:val="00290B9C"/>
    <w:rsid w:val="002911AB"/>
    <w:rsid w:val="00291773"/>
    <w:rsid w:val="00291D35"/>
    <w:rsid w:val="002922B2"/>
    <w:rsid w:val="0029439A"/>
    <w:rsid w:val="00294AFD"/>
    <w:rsid w:val="00295C07"/>
    <w:rsid w:val="0029603C"/>
    <w:rsid w:val="00296B29"/>
    <w:rsid w:val="00297068"/>
    <w:rsid w:val="002A0712"/>
    <w:rsid w:val="002A168C"/>
    <w:rsid w:val="002A3DC7"/>
    <w:rsid w:val="002A3FFF"/>
    <w:rsid w:val="002A57D0"/>
    <w:rsid w:val="002A7B4A"/>
    <w:rsid w:val="002A7BF2"/>
    <w:rsid w:val="002B0842"/>
    <w:rsid w:val="002B13CC"/>
    <w:rsid w:val="002B1716"/>
    <w:rsid w:val="002B1A27"/>
    <w:rsid w:val="002B1CBB"/>
    <w:rsid w:val="002B49E2"/>
    <w:rsid w:val="002B4B2A"/>
    <w:rsid w:val="002B64D5"/>
    <w:rsid w:val="002B7B00"/>
    <w:rsid w:val="002B7C44"/>
    <w:rsid w:val="002C07E7"/>
    <w:rsid w:val="002C1327"/>
    <w:rsid w:val="002C2B17"/>
    <w:rsid w:val="002C4221"/>
    <w:rsid w:val="002C48BF"/>
    <w:rsid w:val="002C5186"/>
    <w:rsid w:val="002C7388"/>
    <w:rsid w:val="002C7598"/>
    <w:rsid w:val="002D336E"/>
    <w:rsid w:val="002D3DD0"/>
    <w:rsid w:val="002D4C72"/>
    <w:rsid w:val="002D72FC"/>
    <w:rsid w:val="002E13C5"/>
    <w:rsid w:val="002E1E27"/>
    <w:rsid w:val="002E1F3A"/>
    <w:rsid w:val="002E298A"/>
    <w:rsid w:val="002E2B0B"/>
    <w:rsid w:val="002E2D16"/>
    <w:rsid w:val="002E2EDA"/>
    <w:rsid w:val="002E32AD"/>
    <w:rsid w:val="002E33B8"/>
    <w:rsid w:val="002E532F"/>
    <w:rsid w:val="002E7026"/>
    <w:rsid w:val="002F36B0"/>
    <w:rsid w:val="002F404C"/>
    <w:rsid w:val="002F5F1A"/>
    <w:rsid w:val="002F6AC1"/>
    <w:rsid w:val="002F768F"/>
    <w:rsid w:val="00301089"/>
    <w:rsid w:val="00301978"/>
    <w:rsid w:val="003027EE"/>
    <w:rsid w:val="00302BD0"/>
    <w:rsid w:val="00303157"/>
    <w:rsid w:val="0030332C"/>
    <w:rsid w:val="003051C2"/>
    <w:rsid w:val="00305972"/>
    <w:rsid w:val="00312296"/>
    <w:rsid w:val="003124AD"/>
    <w:rsid w:val="003128F7"/>
    <w:rsid w:val="00314D06"/>
    <w:rsid w:val="00314F0E"/>
    <w:rsid w:val="00315D18"/>
    <w:rsid w:val="00316533"/>
    <w:rsid w:val="00317902"/>
    <w:rsid w:val="003179D0"/>
    <w:rsid w:val="00320647"/>
    <w:rsid w:val="003219BA"/>
    <w:rsid w:val="00321D8E"/>
    <w:rsid w:val="003222E5"/>
    <w:rsid w:val="003234CC"/>
    <w:rsid w:val="00325928"/>
    <w:rsid w:val="00326A50"/>
    <w:rsid w:val="00326CB8"/>
    <w:rsid w:val="003276DF"/>
    <w:rsid w:val="00331CD3"/>
    <w:rsid w:val="003324EC"/>
    <w:rsid w:val="00332863"/>
    <w:rsid w:val="00333E48"/>
    <w:rsid w:val="00334BDA"/>
    <w:rsid w:val="00335227"/>
    <w:rsid w:val="00335D58"/>
    <w:rsid w:val="0033684D"/>
    <w:rsid w:val="00337B42"/>
    <w:rsid w:val="0034069A"/>
    <w:rsid w:val="00341B42"/>
    <w:rsid w:val="003432A3"/>
    <w:rsid w:val="0034348F"/>
    <w:rsid w:val="0034392E"/>
    <w:rsid w:val="00343EAD"/>
    <w:rsid w:val="003447FA"/>
    <w:rsid w:val="00345CB0"/>
    <w:rsid w:val="003467BB"/>
    <w:rsid w:val="003512F6"/>
    <w:rsid w:val="00351839"/>
    <w:rsid w:val="00353B06"/>
    <w:rsid w:val="00354405"/>
    <w:rsid w:val="00356653"/>
    <w:rsid w:val="00356EA3"/>
    <w:rsid w:val="0035743F"/>
    <w:rsid w:val="00357696"/>
    <w:rsid w:val="00357BE2"/>
    <w:rsid w:val="003614D9"/>
    <w:rsid w:val="00361532"/>
    <w:rsid w:val="0036170C"/>
    <w:rsid w:val="00362409"/>
    <w:rsid w:val="0036247F"/>
    <w:rsid w:val="003626B7"/>
    <w:rsid w:val="00362DC0"/>
    <w:rsid w:val="003631BA"/>
    <w:rsid w:val="00364892"/>
    <w:rsid w:val="00364B86"/>
    <w:rsid w:val="00366E0F"/>
    <w:rsid w:val="00367068"/>
    <w:rsid w:val="00370D07"/>
    <w:rsid w:val="003749A0"/>
    <w:rsid w:val="00380DD7"/>
    <w:rsid w:val="003815F3"/>
    <w:rsid w:val="00381A72"/>
    <w:rsid w:val="00382105"/>
    <w:rsid w:val="00382F37"/>
    <w:rsid w:val="00384676"/>
    <w:rsid w:val="00384C99"/>
    <w:rsid w:val="00385DFE"/>
    <w:rsid w:val="0038762E"/>
    <w:rsid w:val="003902D6"/>
    <w:rsid w:val="00390857"/>
    <w:rsid w:val="00391D58"/>
    <w:rsid w:val="003930E1"/>
    <w:rsid w:val="0039354D"/>
    <w:rsid w:val="0039385D"/>
    <w:rsid w:val="00395CD1"/>
    <w:rsid w:val="00396276"/>
    <w:rsid w:val="00397200"/>
    <w:rsid w:val="00397597"/>
    <w:rsid w:val="00397658"/>
    <w:rsid w:val="003A103C"/>
    <w:rsid w:val="003A1449"/>
    <w:rsid w:val="003A1854"/>
    <w:rsid w:val="003A22F9"/>
    <w:rsid w:val="003A4B36"/>
    <w:rsid w:val="003A4BF3"/>
    <w:rsid w:val="003A6E94"/>
    <w:rsid w:val="003B1150"/>
    <w:rsid w:val="003B1B86"/>
    <w:rsid w:val="003B241C"/>
    <w:rsid w:val="003B2479"/>
    <w:rsid w:val="003B3A77"/>
    <w:rsid w:val="003B420D"/>
    <w:rsid w:val="003B45C5"/>
    <w:rsid w:val="003B4B89"/>
    <w:rsid w:val="003B5769"/>
    <w:rsid w:val="003B5EE3"/>
    <w:rsid w:val="003B6BE3"/>
    <w:rsid w:val="003B6F80"/>
    <w:rsid w:val="003C4264"/>
    <w:rsid w:val="003C4BD7"/>
    <w:rsid w:val="003C5FC2"/>
    <w:rsid w:val="003C635D"/>
    <w:rsid w:val="003C6C16"/>
    <w:rsid w:val="003C7060"/>
    <w:rsid w:val="003C7CC2"/>
    <w:rsid w:val="003D0953"/>
    <w:rsid w:val="003D0BE9"/>
    <w:rsid w:val="003D0E82"/>
    <w:rsid w:val="003D1421"/>
    <w:rsid w:val="003D2B5C"/>
    <w:rsid w:val="003D47E7"/>
    <w:rsid w:val="003D794D"/>
    <w:rsid w:val="003E3058"/>
    <w:rsid w:val="003E38A3"/>
    <w:rsid w:val="003E415D"/>
    <w:rsid w:val="003E4CAA"/>
    <w:rsid w:val="003E5FD7"/>
    <w:rsid w:val="003E64C6"/>
    <w:rsid w:val="003E76A9"/>
    <w:rsid w:val="003E7B58"/>
    <w:rsid w:val="003F0809"/>
    <w:rsid w:val="003F342F"/>
    <w:rsid w:val="003F3B76"/>
    <w:rsid w:val="003F4899"/>
    <w:rsid w:val="003F58C7"/>
    <w:rsid w:val="003F6A8C"/>
    <w:rsid w:val="003F6C42"/>
    <w:rsid w:val="003F6CA9"/>
    <w:rsid w:val="003F755C"/>
    <w:rsid w:val="00401A98"/>
    <w:rsid w:val="00404195"/>
    <w:rsid w:val="00406F01"/>
    <w:rsid w:val="004133AF"/>
    <w:rsid w:val="0041428C"/>
    <w:rsid w:val="00416D50"/>
    <w:rsid w:val="00416FD5"/>
    <w:rsid w:val="00417772"/>
    <w:rsid w:val="00420E6A"/>
    <w:rsid w:val="004217FC"/>
    <w:rsid w:val="004225E0"/>
    <w:rsid w:val="0042552D"/>
    <w:rsid w:val="00425A9E"/>
    <w:rsid w:val="0042602A"/>
    <w:rsid w:val="00426D6B"/>
    <w:rsid w:val="00430CD9"/>
    <w:rsid w:val="00431E6C"/>
    <w:rsid w:val="00431FD6"/>
    <w:rsid w:val="004321F9"/>
    <w:rsid w:val="004333A3"/>
    <w:rsid w:val="004335FF"/>
    <w:rsid w:val="00433CE7"/>
    <w:rsid w:val="00434ADE"/>
    <w:rsid w:val="00435388"/>
    <w:rsid w:val="004367B0"/>
    <w:rsid w:val="004378C6"/>
    <w:rsid w:val="00442445"/>
    <w:rsid w:val="004426E7"/>
    <w:rsid w:val="00442941"/>
    <w:rsid w:val="00443F1B"/>
    <w:rsid w:val="00443F77"/>
    <w:rsid w:val="0044449C"/>
    <w:rsid w:val="004444F2"/>
    <w:rsid w:val="00444C75"/>
    <w:rsid w:val="0044538D"/>
    <w:rsid w:val="00445E67"/>
    <w:rsid w:val="00450C1E"/>
    <w:rsid w:val="00452498"/>
    <w:rsid w:val="00452738"/>
    <w:rsid w:val="004527FA"/>
    <w:rsid w:val="0045293A"/>
    <w:rsid w:val="00452D03"/>
    <w:rsid w:val="00453E89"/>
    <w:rsid w:val="004544B0"/>
    <w:rsid w:val="00455436"/>
    <w:rsid w:val="00455701"/>
    <w:rsid w:val="00456091"/>
    <w:rsid w:val="00456A98"/>
    <w:rsid w:val="004576E2"/>
    <w:rsid w:val="004579F6"/>
    <w:rsid w:val="00457F3F"/>
    <w:rsid w:val="004603AB"/>
    <w:rsid w:val="00460876"/>
    <w:rsid w:val="00461F74"/>
    <w:rsid w:val="0046508F"/>
    <w:rsid w:val="0046623E"/>
    <w:rsid w:val="00466321"/>
    <w:rsid w:val="00466FF9"/>
    <w:rsid w:val="00467CC2"/>
    <w:rsid w:val="004723F8"/>
    <w:rsid w:val="0047528F"/>
    <w:rsid w:val="004755D5"/>
    <w:rsid w:val="00476147"/>
    <w:rsid w:val="004764DF"/>
    <w:rsid w:val="00477C32"/>
    <w:rsid w:val="00477DF8"/>
    <w:rsid w:val="00481C9A"/>
    <w:rsid w:val="00482B6B"/>
    <w:rsid w:val="00482FB4"/>
    <w:rsid w:val="00484828"/>
    <w:rsid w:val="00484B9B"/>
    <w:rsid w:val="00484F1F"/>
    <w:rsid w:val="004855F6"/>
    <w:rsid w:val="00486192"/>
    <w:rsid w:val="004862DA"/>
    <w:rsid w:val="0048661E"/>
    <w:rsid w:val="00486B9E"/>
    <w:rsid w:val="00486E5E"/>
    <w:rsid w:val="004870B0"/>
    <w:rsid w:val="00487420"/>
    <w:rsid w:val="00490F5C"/>
    <w:rsid w:val="00492386"/>
    <w:rsid w:val="0049380A"/>
    <w:rsid w:val="00494513"/>
    <w:rsid w:val="0049462D"/>
    <w:rsid w:val="00494670"/>
    <w:rsid w:val="00494826"/>
    <w:rsid w:val="00494EDD"/>
    <w:rsid w:val="00497CCD"/>
    <w:rsid w:val="00497ED3"/>
    <w:rsid w:val="004A00A4"/>
    <w:rsid w:val="004A0D68"/>
    <w:rsid w:val="004A117E"/>
    <w:rsid w:val="004A2554"/>
    <w:rsid w:val="004A293E"/>
    <w:rsid w:val="004A2941"/>
    <w:rsid w:val="004A3823"/>
    <w:rsid w:val="004A4E5D"/>
    <w:rsid w:val="004A51FF"/>
    <w:rsid w:val="004A636F"/>
    <w:rsid w:val="004A72D2"/>
    <w:rsid w:val="004A7C4D"/>
    <w:rsid w:val="004B19CE"/>
    <w:rsid w:val="004B3A39"/>
    <w:rsid w:val="004B452A"/>
    <w:rsid w:val="004B7032"/>
    <w:rsid w:val="004C00D0"/>
    <w:rsid w:val="004C00E9"/>
    <w:rsid w:val="004C0795"/>
    <w:rsid w:val="004C2D78"/>
    <w:rsid w:val="004C3A50"/>
    <w:rsid w:val="004C497F"/>
    <w:rsid w:val="004C60A8"/>
    <w:rsid w:val="004C67F8"/>
    <w:rsid w:val="004D0FCE"/>
    <w:rsid w:val="004D1FFC"/>
    <w:rsid w:val="004D2239"/>
    <w:rsid w:val="004D26DE"/>
    <w:rsid w:val="004D317E"/>
    <w:rsid w:val="004D3F9A"/>
    <w:rsid w:val="004D5584"/>
    <w:rsid w:val="004D6148"/>
    <w:rsid w:val="004D7DB5"/>
    <w:rsid w:val="004E0BA5"/>
    <w:rsid w:val="004E0C21"/>
    <w:rsid w:val="004E11F6"/>
    <w:rsid w:val="004E1F49"/>
    <w:rsid w:val="004E250A"/>
    <w:rsid w:val="004E303B"/>
    <w:rsid w:val="004E4084"/>
    <w:rsid w:val="004E5B00"/>
    <w:rsid w:val="004E6946"/>
    <w:rsid w:val="004E6A23"/>
    <w:rsid w:val="004E6A2F"/>
    <w:rsid w:val="004E6B91"/>
    <w:rsid w:val="004E73C7"/>
    <w:rsid w:val="004E7A50"/>
    <w:rsid w:val="004F0ADD"/>
    <w:rsid w:val="004F1AD8"/>
    <w:rsid w:val="004F1E13"/>
    <w:rsid w:val="004F23A0"/>
    <w:rsid w:val="004F3867"/>
    <w:rsid w:val="004F53E6"/>
    <w:rsid w:val="004F7315"/>
    <w:rsid w:val="004F7A16"/>
    <w:rsid w:val="00502101"/>
    <w:rsid w:val="0050247C"/>
    <w:rsid w:val="00502888"/>
    <w:rsid w:val="0050322A"/>
    <w:rsid w:val="005039CB"/>
    <w:rsid w:val="0050413B"/>
    <w:rsid w:val="0050558F"/>
    <w:rsid w:val="00506286"/>
    <w:rsid w:val="00510813"/>
    <w:rsid w:val="00511990"/>
    <w:rsid w:val="00511DE0"/>
    <w:rsid w:val="00514870"/>
    <w:rsid w:val="00514B9B"/>
    <w:rsid w:val="00514EA9"/>
    <w:rsid w:val="00517F02"/>
    <w:rsid w:val="0052247B"/>
    <w:rsid w:val="00522A03"/>
    <w:rsid w:val="00524303"/>
    <w:rsid w:val="00524D6D"/>
    <w:rsid w:val="00525049"/>
    <w:rsid w:val="00525386"/>
    <w:rsid w:val="005258A2"/>
    <w:rsid w:val="005276C7"/>
    <w:rsid w:val="00530FED"/>
    <w:rsid w:val="005314A1"/>
    <w:rsid w:val="00533564"/>
    <w:rsid w:val="00533849"/>
    <w:rsid w:val="005339EF"/>
    <w:rsid w:val="0053593E"/>
    <w:rsid w:val="00536DF1"/>
    <w:rsid w:val="00536F98"/>
    <w:rsid w:val="0053701C"/>
    <w:rsid w:val="005372E3"/>
    <w:rsid w:val="005401AE"/>
    <w:rsid w:val="00541C2C"/>
    <w:rsid w:val="00542307"/>
    <w:rsid w:val="00542E07"/>
    <w:rsid w:val="00543E31"/>
    <w:rsid w:val="00544132"/>
    <w:rsid w:val="00544BAD"/>
    <w:rsid w:val="00544F4D"/>
    <w:rsid w:val="00545424"/>
    <w:rsid w:val="0054549B"/>
    <w:rsid w:val="00545B51"/>
    <w:rsid w:val="00545E90"/>
    <w:rsid w:val="0054770E"/>
    <w:rsid w:val="00551585"/>
    <w:rsid w:val="00551721"/>
    <w:rsid w:val="00551990"/>
    <w:rsid w:val="00553375"/>
    <w:rsid w:val="00553441"/>
    <w:rsid w:val="005539EF"/>
    <w:rsid w:val="00554167"/>
    <w:rsid w:val="00554A7B"/>
    <w:rsid w:val="0055572C"/>
    <w:rsid w:val="005572A1"/>
    <w:rsid w:val="005572F2"/>
    <w:rsid w:val="00557863"/>
    <w:rsid w:val="005602EA"/>
    <w:rsid w:val="0056106A"/>
    <w:rsid w:val="005636D4"/>
    <w:rsid w:val="00563C2E"/>
    <w:rsid w:val="00564125"/>
    <w:rsid w:val="0056426E"/>
    <w:rsid w:val="005655C0"/>
    <w:rsid w:val="00566136"/>
    <w:rsid w:val="005675F6"/>
    <w:rsid w:val="00570271"/>
    <w:rsid w:val="00570952"/>
    <w:rsid w:val="005720AE"/>
    <w:rsid w:val="00573201"/>
    <w:rsid w:val="005733D3"/>
    <w:rsid w:val="0057497E"/>
    <w:rsid w:val="005749E7"/>
    <w:rsid w:val="005756B3"/>
    <w:rsid w:val="00575DDB"/>
    <w:rsid w:val="00576580"/>
    <w:rsid w:val="005805EE"/>
    <w:rsid w:val="00580A8F"/>
    <w:rsid w:val="00590079"/>
    <w:rsid w:val="00591424"/>
    <w:rsid w:val="00591661"/>
    <w:rsid w:val="005924C4"/>
    <w:rsid w:val="00594D77"/>
    <w:rsid w:val="005969E4"/>
    <w:rsid w:val="00597573"/>
    <w:rsid w:val="005A06B7"/>
    <w:rsid w:val="005A1346"/>
    <w:rsid w:val="005A1759"/>
    <w:rsid w:val="005A29FF"/>
    <w:rsid w:val="005A2FE8"/>
    <w:rsid w:val="005A3F75"/>
    <w:rsid w:val="005A4055"/>
    <w:rsid w:val="005A451C"/>
    <w:rsid w:val="005A481B"/>
    <w:rsid w:val="005A68A7"/>
    <w:rsid w:val="005B1202"/>
    <w:rsid w:val="005B47E7"/>
    <w:rsid w:val="005B4E4D"/>
    <w:rsid w:val="005B5A1E"/>
    <w:rsid w:val="005B653C"/>
    <w:rsid w:val="005B672F"/>
    <w:rsid w:val="005B6A6E"/>
    <w:rsid w:val="005C1F75"/>
    <w:rsid w:val="005C3584"/>
    <w:rsid w:val="005C38C4"/>
    <w:rsid w:val="005C45DD"/>
    <w:rsid w:val="005C52BE"/>
    <w:rsid w:val="005D198E"/>
    <w:rsid w:val="005D235E"/>
    <w:rsid w:val="005D2440"/>
    <w:rsid w:val="005D36AB"/>
    <w:rsid w:val="005D4346"/>
    <w:rsid w:val="005D4387"/>
    <w:rsid w:val="005D71B5"/>
    <w:rsid w:val="005D7315"/>
    <w:rsid w:val="005D7E63"/>
    <w:rsid w:val="005E122F"/>
    <w:rsid w:val="005E1298"/>
    <w:rsid w:val="005E232A"/>
    <w:rsid w:val="005E4471"/>
    <w:rsid w:val="005E4525"/>
    <w:rsid w:val="005E4E44"/>
    <w:rsid w:val="005E51D3"/>
    <w:rsid w:val="005E5AB2"/>
    <w:rsid w:val="005E6390"/>
    <w:rsid w:val="005F0095"/>
    <w:rsid w:val="005F1123"/>
    <w:rsid w:val="005F1A36"/>
    <w:rsid w:val="005F2C30"/>
    <w:rsid w:val="005F2E12"/>
    <w:rsid w:val="005F3E25"/>
    <w:rsid w:val="005F50EE"/>
    <w:rsid w:val="005F588C"/>
    <w:rsid w:val="005F5FBC"/>
    <w:rsid w:val="005F7EC5"/>
    <w:rsid w:val="00600202"/>
    <w:rsid w:val="006016D4"/>
    <w:rsid w:val="0060575A"/>
    <w:rsid w:val="0060624A"/>
    <w:rsid w:val="00606793"/>
    <w:rsid w:val="00606AAE"/>
    <w:rsid w:val="006071F1"/>
    <w:rsid w:val="00607734"/>
    <w:rsid w:val="00610052"/>
    <w:rsid w:val="006114B1"/>
    <w:rsid w:val="0061173F"/>
    <w:rsid w:val="006131CE"/>
    <w:rsid w:val="0061493F"/>
    <w:rsid w:val="00614CED"/>
    <w:rsid w:val="00616EE6"/>
    <w:rsid w:val="00617CC3"/>
    <w:rsid w:val="006208EC"/>
    <w:rsid w:val="00620C9C"/>
    <w:rsid w:val="00621408"/>
    <w:rsid w:val="00621EBE"/>
    <w:rsid w:val="006242C4"/>
    <w:rsid w:val="006249A5"/>
    <w:rsid w:val="00624A35"/>
    <w:rsid w:val="00625902"/>
    <w:rsid w:val="006315B7"/>
    <w:rsid w:val="00632CFB"/>
    <w:rsid w:val="00633055"/>
    <w:rsid w:val="006376B5"/>
    <w:rsid w:val="006377A6"/>
    <w:rsid w:val="00637A3D"/>
    <w:rsid w:val="006411EF"/>
    <w:rsid w:val="00642707"/>
    <w:rsid w:val="00642AA2"/>
    <w:rsid w:val="0064420F"/>
    <w:rsid w:val="00646456"/>
    <w:rsid w:val="006477D8"/>
    <w:rsid w:val="00647998"/>
    <w:rsid w:val="00650E48"/>
    <w:rsid w:val="0065195B"/>
    <w:rsid w:val="00655585"/>
    <w:rsid w:val="00660841"/>
    <w:rsid w:val="00660949"/>
    <w:rsid w:val="00662123"/>
    <w:rsid w:val="006660B2"/>
    <w:rsid w:val="00667378"/>
    <w:rsid w:val="00670937"/>
    <w:rsid w:val="00671985"/>
    <w:rsid w:val="006748B8"/>
    <w:rsid w:val="00675AAD"/>
    <w:rsid w:val="00676317"/>
    <w:rsid w:val="0067690E"/>
    <w:rsid w:val="006775C3"/>
    <w:rsid w:val="00677DF6"/>
    <w:rsid w:val="00680D37"/>
    <w:rsid w:val="006810FE"/>
    <w:rsid w:val="00683A23"/>
    <w:rsid w:val="00684089"/>
    <w:rsid w:val="00685291"/>
    <w:rsid w:val="00687579"/>
    <w:rsid w:val="00690163"/>
    <w:rsid w:val="0069126C"/>
    <w:rsid w:val="00691321"/>
    <w:rsid w:val="006917CA"/>
    <w:rsid w:val="00691CFE"/>
    <w:rsid w:val="006925A2"/>
    <w:rsid w:val="0069290A"/>
    <w:rsid w:val="00693D5D"/>
    <w:rsid w:val="00694041"/>
    <w:rsid w:val="00694438"/>
    <w:rsid w:val="006957AD"/>
    <w:rsid w:val="00697432"/>
    <w:rsid w:val="0069775A"/>
    <w:rsid w:val="00697813"/>
    <w:rsid w:val="00697B56"/>
    <w:rsid w:val="006A1195"/>
    <w:rsid w:val="006A3EE8"/>
    <w:rsid w:val="006A3F06"/>
    <w:rsid w:val="006A4FFF"/>
    <w:rsid w:val="006A5A67"/>
    <w:rsid w:val="006A72BF"/>
    <w:rsid w:val="006A7617"/>
    <w:rsid w:val="006B03F2"/>
    <w:rsid w:val="006B0805"/>
    <w:rsid w:val="006B20C7"/>
    <w:rsid w:val="006B37DC"/>
    <w:rsid w:val="006B464D"/>
    <w:rsid w:val="006B4B12"/>
    <w:rsid w:val="006B4F68"/>
    <w:rsid w:val="006B54C8"/>
    <w:rsid w:val="006B58B0"/>
    <w:rsid w:val="006B6167"/>
    <w:rsid w:val="006B6540"/>
    <w:rsid w:val="006B7258"/>
    <w:rsid w:val="006C0592"/>
    <w:rsid w:val="006C141E"/>
    <w:rsid w:val="006C15A8"/>
    <w:rsid w:val="006C16BC"/>
    <w:rsid w:val="006C16EB"/>
    <w:rsid w:val="006C272E"/>
    <w:rsid w:val="006C3892"/>
    <w:rsid w:val="006C3A0A"/>
    <w:rsid w:val="006C41FC"/>
    <w:rsid w:val="006C4391"/>
    <w:rsid w:val="006C44DC"/>
    <w:rsid w:val="006C5479"/>
    <w:rsid w:val="006C5C5B"/>
    <w:rsid w:val="006C6C33"/>
    <w:rsid w:val="006C6E5C"/>
    <w:rsid w:val="006C7097"/>
    <w:rsid w:val="006C76E5"/>
    <w:rsid w:val="006D1118"/>
    <w:rsid w:val="006D13B5"/>
    <w:rsid w:val="006D3D8D"/>
    <w:rsid w:val="006D4030"/>
    <w:rsid w:val="006D599F"/>
    <w:rsid w:val="006D5F2B"/>
    <w:rsid w:val="006D63AF"/>
    <w:rsid w:val="006D7B91"/>
    <w:rsid w:val="006E0742"/>
    <w:rsid w:val="006E12FF"/>
    <w:rsid w:val="006E2540"/>
    <w:rsid w:val="006E3153"/>
    <w:rsid w:val="006E561B"/>
    <w:rsid w:val="006E58C6"/>
    <w:rsid w:val="006E5E0A"/>
    <w:rsid w:val="006E607E"/>
    <w:rsid w:val="006E6EDC"/>
    <w:rsid w:val="006E77DE"/>
    <w:rsid w:val="006F0479"/>
    <w:rsid w:val="006F0A6C"/>
    <w:rsid w:val="006F0B91"/>
    <w:rsid w:val="006F0C23"/>
    <w:rsid w:val="006F0CC7"/>
    <w:rsid w:val="006F1EB2"/>
    <w:rsid w:val="006F36A3"/>
    <w:rsid w:val="006F41C0"/>
    <w:rsid w:val="006F4E36"/>
    <w:rsid w:val="006F5FC1"/>
    <w:rsid w:val="006F6524"/>
    <w:rsid w:val="006F7FF3"/>
    <w:rsid w:val="0070104F"/>
    <w:rsid w:val="00701D07"/>
    <w:rsid w:val="00701E62"/>
    <w:rsid w:val="00703D47"/>
    <w:rsid w:val="0070413A"/>
    <w:rsid w:val="00705AF1"/>
    <w:rsid w:val="00705B11"/>
    <w:rsid w:val="00706039"/>
    <w:rsid w:val="00706C5D"/>
    <w:rsid w:val="007103F1"/>
    <w:rsid w:val="00710797"/>
    <w:rsid w:val="00710E14"/>
    <w:rsid w:val="0071159C"/>
    <w:rsid w:val="007122BB"/>
    <w:rsid w:val="00714283"/>
    <w:rsid w:val="0071450E"/>
    <w:rsid w:val="007166BD"/>
    <w:rsid w:val="007169A1"/>
    <w:rsid w:val="00716D6D"/>
    <w:rsid w:val="007210D9"/>
    <w:rsid w:val="00722463"/>
    <w:rsid w:val="00722948"/>
    <w:rsid w:val="00722CAF"/>
    <w:rsid w:val="00723455"/>
    <w:rsid w:val="00723CEA"/>
    <w:rsid w:val="00726105"/>
    <w:rsid w:val="00726165"/>
    <w:rsid w:val="007277EB"/>
    <w:rsid w:val="00731474"/>
    <w:rsid w:val="0073160E"/>
    <w:rsid w:val="00732922"/>
    <w:rsid w:val="00732CE7"/>
    <w:rsid w:val="00732D6D"/>
    <w:rsid w:val="00733319"/>
    <w:rsid w:val="00733DE5"/>
    <w:rsid w:val="00735BF3"/>
    <w:rsid w:val="0073764B"/>
    <w:rsid w:val="00737F6D"/>
    <w:rsid w:val="00740B7B"/>
    <w:rsid w:val="00740ED0"/>
    <w:rsid w:val="00742874"/>
    <w:rsid w:val="00742FDC"/>
    <w:rsid w:val="0074572E"/>
    <w:rsid w:val="00745738"/>
    <w:rsid w:val="00745DAB"/>
    <w:rsid w:val="00747209"/>
    <w:rsid w:val="00750C7F"/>
    <w:rsid w:val="00751042"/>
    <w:rsid w:val="0075162E"/>
    <w:rsid w:val="00751F48"/>
    <w:rsid w:val="00752139"/>
    <w:rsid w:val="007526B5"/>
    <w:rsid w:val="0075366D"/>
    <w:rsid w:val="00754034"/>
    <w:rsid w:val="007548DC"/>
    <w:rsid w:val="00754C3D"/>
    <w:rsid w:val="00754DFE"/>
    <w:rsid w:val="00755B5B"/>
    <w:rsid w:val="00756556"/>
    <w:rsid w:val="00757646"/>
    <w:rsid w:val="007618C4"/>
    <w:rsid w:val="007650D7"/>
    <w:rsid w:val="00765EBF"/>
    <w:rsid w:val="007666B8"/>
    <w:rsid w:val="00767360"/>
    <w:rsid w:val="00767980"/>
    <w:rsid w:val="00770AEE"/>
    <w:rsid w:val="00770B19"/>
    <w:rsid w:val="0077125C"/>
    <w:rsid w:val="00774119"/>
    <w:rsid w:val="0077463F"/>
    <w:rsid w:val="0077483B"/>
    <w:rsid w:val="00775E80"/>
    <w:rsid w:val="00776233"/>
    <w:rsid w:val="0077740A"/>
    <w:rsid w:val="0078099C"/>
    <w:rsid w:val="00780B23"/>
    <w:rsid w:val="00781C95"/>
    <w:rsid w:val="00782339"/>
    <w:rsid w:val="007836EA"/>
    <w:rsid w:val="0078465A"/>
    <w:rsid w:val="00784CDA"/>
    <w:rsid w:val="007851DA"/>
    <w:rsid w:val="00785285"/>
    <w:rsid w:val="00785491"/>
    <w:rsid w:val="007861B9"/>
    <w:rsid w:val="007873D6"/>
    <w:rsid w:val="00787962"/>
    <w:rsid w:val="007906C4"/>
    <w:rsid w:val="007929CD"/>
    <w:rsid w:val="00792FB9"/>
    <w:rsid w:val="007940EA"/>
    <w:rsid w:val="00795825"/>
    <w:rsid w:val="00796105"/>
    <w:rsid w:val="007967E8"/>
    <w:rsid w:val="00796C4A"/>
    <w:rsid w:val="007A0FA7"/>
    <w:rsid w:val="007A17F1"/>
    <w:rsid w:val="007A2170"/>
    <w:rsid w:val="007A22BF"/>
    <w:rsid w:val="007A3323"/>
    <w:rsid w:val="007A4996"/>
    <w:rsid w:val="007A567C"/>
    <w:rsid w:val="007A6844"/>
    <w:rsid w:val="007A6AB7"/>
    <w:rsid w:val="007A6D3A"/>
    <w:rsid w:val="007B0280"/>
    <w:rsid w:val="007B269C"/>
    <w:rsid w:val="007B4234"/>
    <w:rsid w:val="007B4AF4"/>
    <w:rsid w:val="007B4EAB"/>
    <w:rsid w:val="007B72B8"/>
    <w:rsid w:val="007B792C"/>
    <w:rsid w:val="007B7A58"/>
    <w:rsid w:val="007C21B5"/>
    <w:rsid w:val="007C2CB2"/>
    <w:rsid w:val="007C4354"/>
    <w:rsid w:val="007C49F8"/>
    <w:rsid w:val="007C71E7"/>
    <w:rsid w:val="007C735D"/>
    <w:rsid w:val="007C73A3"/>
    <w:rsid w:val="007D0548"/>
    <w:rsid w:val="007D4B1B"/>
    <w:rsid w:val="007D510A"/>
    <w:rsid w:val="007D6C6A"/>
    <w:rsid w:val="007D79A2"/>
    <w:rsid w:val="007E0673"/>
    <w:rsid w:val="007E1F36"/>
    <w:rsid w:val="007E28E4"/>
    <w:rsid w:val="007E452C"/>
    <w:rsid w:val="007E468B"/>
    <w:rsid w:val="007E4BD2"/>
    <w:rsid w:val="007E6C09"/>
    <w:rsid w:val="007F0153"/>
    <w:rsid w:val="007F145A"/>
    <w:rsid w:val="007F4F52"/>
    <w:rsid w:val="00800099"/>
    <w:rsid w:val="008009ED"/>
    <w:rsid w:val="00800F46"/>
    <w:rsid w:val="00801393"/>
    <w:rsid w:val="00802F88"/>
    <w:rsid w:val="008065B3"/>
    <w:rsid w:val="00806830"/>
    <w:rsid w:val="00810053"/>
    <w:rsid w:val="00810090"/>
    <w:rsid w:val="00810A9B"/>
    <w:rsid w:val="00810D11"/>
    <w:rsid w:val="0081293E"/>
    <w:rsid w:val="008137D0"/>
    <w:rsid w:val="0081448F"/>
    <w:rsid w:val="00814CCB"/>
    <w:rsid w:val="00815465"/>
    <w:rsid w:val="008169E8"/>
    <w:rsid w:val="0081764A"/>
    <w:rsid w:val="00817E9A"/>
    <w:rsid w:val="00820F33"/>
    <w:rsid w:val="0082128F"/>
    <w:rsid w:val="0082199E"/>
    <w:rsid w:val="00825E6C"/>
    <w:rsid w:val="00827F4C"/>
    <w:rsid w:val="008306BD"/>
    <w:rsid w:val="0083185A"/>
    <w:rsid w:val="00831A80"/>
    <w:rsid w:val="008328B2"/>
    <w:rsid w:val="0083345A"/>
    <w:rsid w:val="00833743"/>
    <w:rsid w:val="008340A4"/>
    <w:rsid w:val="00834E91"/>
    <w:rsid w:val="0083561F"/>
    <w:rsid w:val="0083589C"/>
    <w:rsid w:val="00835A41"/>
    <w:rsid w:val="00836484"/>
    <w:rsid w:val="00836A10"/>
    <w:rsid w:val="00841E63"/>
    <w:rsid w:val="008423C3"/>
    <w:rsid w:val="00846110"/>
    <w:rsid w:val="00846A6E"/>
    <w:rsid w:val="0084796F"/>
    <w:rsid w:val="008569C2"/>
    <w:rsid w:val="00860A7D"/>
    <w:rsid w:val="00862402"/>
    <w:rsid w:val="00862F74"/>
    <w:rsid w:val="00863571"/>
    <w:rsid w:val="00863DE7"/>
    <w:rsid w:val="00864BDF"/>
    <w:rsid w:val="00864D70"/>
    <w:rsid w:val="00870545"/>
    <w:rsid w:val="00871289"/>
    <w:rsid w:val="0087135F"/>
    <w:rsid w:val="008719C9"/>
    <w:rsid w:val="00872D94"/>
    <w:rsid w:val="0087564D"/>
    <w:rsid w:val="0087611B"/>
    <w:rsid w:val="00876C82"/>
    <w:rsid w:val="00880364"/>
    <w:rsid w:val="008810E1"/>
    <w:rsid w:val="008810F4"/>
    <w:rsid w:val="00881EC6"/>
    <w:rsid w:val="00882287"/>
    <w:rsid w:val="00882B60"/>
    <w:rsid w:val="00882D84"/>
    <w:rsid w:val="00883D23"/>
    <w:rsid w:val="00883D8D"/>
    <w:rsid w:val="00884DEF"/>
    <w:rsid w:val="00885BDC"/>
    <w:rsid w:val="00885DA5"/>
    <w:rsid w:val="00886A51"/>
    <w:rsid w:val="00886CD3"/>
    <w:rsid w:val="0089062F"/>
    <w:rsid w:val="00891592"/>
    <w:rsid w:val="00891E9E"/>
    <w:rsid w:val="0089216A"/>
    <w:rsid w:val="00892D99"/>
    <w:rsid w:val="00892DCF"/>
    <w:rsid w:val="0089324B"/>
    <w:rsid w:val="0089351E"/>
    <w:rsid w:val="0089484E"/>
    <w:rsid w:val="008948D5"/>
    <w:rsid w:val="00896BC8"/>
    <w:rsid w:val="008A05A8"/>
    <w:rsid w:val="008A0D25"/>
    <w:rsid w:val="008A1388"/>
    <w:rsid w:val="008A1E40"/>
    <w:rsid w:val="008A2F68"/>
    <w:rsid w:val="008A3247"/>
    <w:rsid w:val="008A5111"/>
    <w:rsid w:val="008A702F"/>
    <w:rsid w:val="008A71A8"/>
    <w:rsid w:val="008B2B18"/>
    <w:rsid w:val="008B4AB0"/>
    <w:rsid w:val="008B4FA6"/>
    <w:rsid w:val="008B5282"/>
    <w:rsid w:val="008B5803"/>
    <w:rsid w:val="008B68B2"/>
    <w:rsid w:val="008B7B1D"/>
    <w:rsid w:val="008B7C17"/>
    <w:rsid w:val="008C0AF6"/>
    <w:rsid w:val="008C2815"/>
    <w:rsid w:val="008C2B2B"/>
    <w:rsid w:val="008C2D01"/>
    <w:rsid w:val="008C393E"/>
    <w:rsid w:val="008C3BC7"/>
    <w:rsid w:val="008C40E6"/>
    <w:rsid w:val="008C4FB5"/>
    <w:rsid w:val="008D0F7A"/>
    <w:rsid w:val="008D1FEE"/>
    <w:rsid w:val="008D22A6"/>
    <w:rsid w:val="008D232C"/>
    <w:rsid w:val="008D261C"/>
    <w:rsid w:val="008D291A"/>
    <w:rsid w:val="008D2A96"/>
    <w:rsid w:val="008D3A02"/>
    <w:rsid w:val="008D4D8A"/>
    <w:rsid w:val="008D5709"/>
    <w:rsid w:val="008D68E4"/>
    <w:rsid w:val="008E036A"/>
    <w:rsid w:val="008E0506"/>
    <w:rsid w:val="008E061E"/>
    <w:rsid w:val="008E0CFF"/>
    <w:rsid w:val="008E1CAA"/>
    <w:rsid w:val="008E4015"/>
    <w:rsid w:val="008E561E"/>
    <w:rsid w:val="008E5D6B"/>
    <w:rsid w:val="008E6A6D"/>
    <w:rsid w:val="008E76F0"/>
    <w:rsid w:val="008E76FE"/>
    <w:rsid w:val="008F15FE"/>
    <w:rsid w:val="008F1C93"/>
    <w:rsid w:val="008F2D29"/>
    <w:rsid w:val="008F33EA"/>
    <w:rsid w:val="008F397B"/>
    <w:rsid w:val="008F4686"/>
    <w:rsid w:val="008F4E93"/>
    <w:rsid w:val="008F5187"/>
    <w:rsid w:val="008F60D8"/>
    <w:rsid w:val="009001C2"/>
    <w:rsid w:val="00902727"/>
    <w:rsid w:val="0090312B"/>
    <w:rsid w:val="009038CB"/>
    <w:rsid w:val="00905F86"/>
    <w:rsid w:val="00907273"/>
    <w:rsid w:val="00907DD3"/>
    <w:rsid w:val="00912148"/>
    <w:rsid w:val="00912E3F"/>
    <w:rsid w:val="00912F99"/>
    <w:rsid w:val="00916509"/>
    <w:rsid w:val="0091705D"/>
    <w:rsid w:val="0091736D"/>
    <w:rsid w:val="00920302"/>
    <w:rsid w:val="00921A50"/>
    <w:rsid w:val="009225B8"/>
    <w:rsid w:val="009260CF"/>
    <w:rsid w:val="0092627E"/>
    <w:rsid w:val="0092647D"/>
    <w:rsid w:val="0093037A"/>
    <w:rsid w:val="00930D1C"/>
    <w:rsid w:val="0093178D"/>
    <w:rsid w:val="009322D0"/>
    <w:rsid w:val="00932A44"/>
    <w:rsid w:val="00932B76"/>
    <w:rsid w:val="00933CC0"/>
    <w:rsid w:val="009348C0"/>
    <w:rsid w:val="00934E67"/>
    <w:rsid w:val="00935312"/>
    <w:rsid w:val="00935509"/>
    <w:rsid w:val="009367DA"/>
    <w:rsid w:val="00936CF6"/>
    <w:rsid w:val="0094055C"/>
    <w:rsid w:val="00940E20"/>
    <w:rsid w:val="0094154D"/>
    <w:rsid w:val="00942550"/>
    <w:rsid w:val="009425D4"/>
    <w:rsid w:val="009439AE"/>
    <w:rsid w:val="00945894"/>
    <w:rsid w:val="00946D8B"/>
    <w:rsid w:val="00947564"/>
    <w:rsid w:val="00947943"/>
    <w:rsid w:val="0095155F"/>
    <w:rsid w:val="00951A55"/>
    <w:rsid w:val="00952008"/>
    <w:rsid w:val="00952C67"/>
    <w:rsid w:val="00952C73"/>
    <w:rsid w:val="00954429"/>
    <w:rsid w:val="00954CE0"/>
    <w:rsid w:val="009550ED"/>
    <w:rsid w:val="00956307"/>
    <w:rsid w:val="009563CE"/>
    <w:rsid w:val="00956E4E"/>
    <w:rsid w:val="009571A6"/>
    <w:rsid w:val="009572F0"/>
    <w:rsid w:val="00960137"/>
    <w:rsid w:val="00961608"/>
    <w:rsid w:val="00962331"/>
    <w:rsid w:val="009626DA"/>
    <w:rsid w:val="00964575"/>
    <w:rsid w:val="009666E5"/>
    <w:rsid w:val="00970CA9"/>
    <w:rsid w:val="00972005"/>
    <w:rsid w:val="009722E6"/>
    <w:rsid w:val="00973B38"/>
    <w:rsid w:val="00974029"/>
    <w:rsid w:val="00974574"/>
    <w:rsid w:val="00976328"/>
    <w:rsid w:val="0097680D"/>
    <w:rsid w:val="00976DB7"/>
    <w:rsid w:val="00977C9A"/>
    <w:rsid w:val="00981E44"/>
    <w:rsid w:val="00982438"/>
    <w:rsid w:val="00982A6B"/>
    <w:rsid w:val="0098404C"/>
    <w:rsid w:val="00984F32"/>
    <w:rsid w:val="00984F93"/>
    <w:rsid w:val="0098521A"/>
    <w:rsid w:val="00985283"/>
    <w:rsid w:val="0098695D"/>
    <w:rsid w:val="00986C55"/>
    <w:rsid w:val="00987902"/>
    <w:rsid w:val="00990500"/>
    <w:rsid w:val="00992ED2"/>
    <w:rsid w:val="00993A69"/>
    <w:rsid w:val="00993F5F"/>
    <w:rsid w:val="0099515C"/>
    <w:rsid w:val="00995992"/>
    <w:rsid w:val="00995A7A"/>
    <w:rsid w:val="00996A45"/>
    <w:rsid w:val="00997B2D"/>
    <w:rsid w:val="009A03E5"/>
    <w:rsid w:val="009A0F3B"/>
    <w:rsid w:val="009A1BB4"/>
    <w:rsid w:val="009A24D1"/>
    <w:rsid w:val="009A2628"/>
    <w:rsid w:val="009A3050"/>
    <w:rsid w:val="009A3200"/>
    <w:rsid w:val="009A627E"/>
    <w:rsid w:val="009A6F88"/>
    <w:rsid w:val="009A72C5"/>
    <w:rsid w:val="009A735C"/>
    <w:rsid w:val="009B0897"/>
    <w:rsid w:val="009B0E1A"/>
    <w:rsid w:val="009B39C9"/>
    <w:rsid w:val="009B4024"/>
    <w:rsid w:val="009B7AD0"/>
    <w:rsid w:val="009B7BD9"/>
    <w:rsid w:val="009C29A5"/>
    <w:rsid w:val="009C2AAF"/>
    <w:rsid w:val="009C4C49"/>
    <w:rsid w:val="009C6532"/>
    <w:rsid w:val="009C6D88"/>
    <w:rsid w:val="009C7DD5"/>
    <w:rsid w:val="009D0B36"/>
    <w:rsid w:val="009D0BF5"/>
    <w:rsid w:val="009D0D98"/>
    <w:rsid w:val="009D155C"/>
    <w:rsid w:val="009D1ED9"/>
    <w:rsid w:val="009D2BCD"/>
    <w:rsid w:val="009D2C3A"/>
    <w:rsid w:val="009D41E1"/>
    <w:rsid w:val="009D46A5"/>
    <w:rsid w:val="009E0688"/>
    <w:rsid w:val="009E074B"/>
    <w:rsid w:val="009E227D"/>
    <w:rsid w:val="009E2326"/>
    <w:rsid w:val="009E2B13"/>
    <w:rsid w:val="009E2D4C"/>
    <w:rsid w:val="009E2E01"/>
    <w:rsid w:val="009E375D"/>
    <w:rsid w:val="009E3804"/>
    <w:rsid w:val="009E3D3D"/>
    <w:rsid w:val="009E4578"/>
    <w:rsid w:val="009E5019"/>
    <w:rsid w:val="009F0C74"/>
    <w:rsid w:val="009F1905"/>
    <w:rsid w:val="009F1947"/>
    <w:rsid w:val="009F5118"/>
    <w:rsid w:val="009F5B21"/>
    <w:rsid w:val="009F5E65"/>
    <w:rsid w:val="009F6637"/>
    <w:rsid w:val="00A01AA4"/>
    <w:rsid w:val="00A01F3F"/>
    <w:rsid w:val="00A01F52"/>
    <w:rsid w:val="00A03075"/>
    <w:rsid w:val="00A04AAF"/>
    <w:rsid w:val="00A04BE2"/>
    <w:rsid w:val="00A04F1B"/>
    <w:rsid w:val="00A0501B"/>
    <w:rsid w:val="00A0542E"/>
    <w:rsid w:val="00A0582F"/>
    <w:rsid w:val="00A059E9"/>
    <w:rsid w:val="00A05E2F"/>
    <w:rsid w:val="00A10137"/>
    <w:rsid w:val="00A10CF4"/>
    <w:rsid w:val="00A10DD4"/>
    <w:rsid w:val="00A1165C"/>
    <w:rsid w:val="00A12E18"/>
    <w:rsid w:val="00A13CD1"/>
    <w:rsid w:val="00A1427B"/>
    <w:rsid w:val="00A14558"/>
    <w:rsid w:val="00A14947"/>
    <w:rsid w:val="00A14AFE"/>
    <w:rsid w:val="00A15F2D"/>
    <w:rsid w:val="00A21036"/>
    <w:rsid w:val="00A21E50"/>
    <w:rsid w:val="00A256C0"/>
    <w:rsid w:val="00A25907"/>
    <w:rsid w:val="00A25E17"/>
    <w:rsid w:val="00A26BA3"/>
    <w:rsid w:val="00A276A7"/>
    <w:rsid w:val="00A306C3"/>
    <w:rsid w:val="00A3091F"/>
    <w:rsid w:val="00A309E0"/>
    <w:rsid w:val="00A32A83"/>
    <w:rsid w:val="00A354DB"/>
    <w:rsid w:val="00A357DC"/>
    <w:rsid w:val="00A368DB"/>
    <w:rsid w:val="00A36A3D"/>
    <w:rsid w:val="00A379C7"/>
    <w:rsid w:val="00A37A0A"/>
    <w:rsid w:val="00A40FF3"/>
    <w:rsid w:val="00A41EDF"/>
    <w:rsid w:val="00A423AA"/>
    <w:rsid w:val="00A426EE"/>
    <w:rsid w:val="00A42FB1"/>
    <w:rsid w:val="00A43945"/>
    <w:rsid w:val="00A44C2D"/>
    <w:rsid w:val="00A44CB3"/>
    <w:rsid w:val="00A455FA"/>
    <w:rsid w:val="00A46F43"/>
    <w:rsid w:val="00A470C5"/>
    <w:rsid w:val="00A47B0C"/>
    <w:rsid w:val="00A51362"/>
    <w:rsid w:val="00A52044"/>
    <w:rsid w:val="00A52072"/>
    <w:rsid w:val="00A520AA"/>
    <w:rsid w:val="00A53EC6"/>
    <w:rsid w:val="00A54321"/>
    <w:rsid w:val="00A55C0F"/>
    <w:rsid w:val="00A560B7"/>
    <w:rsid w:val="00A61211"/>
    <w:rsid w:val="00A633BC"/>
    <w:rsid w:val="00A63935"/>
    <w:rsid w:val="00A64D43"/>
    <w:rsid w:val="00A650FC"/>
    <w:rsid w:val="00A658BC"/>
    <w:rsid w:val="00A673A6"/>
    <w:rsid w:val="00A673B1"/>
    <w:rsid w:val="00A71664"/>
    <w:rsid w:val="00A74914"/>
    <w:rsid w:val="00A74F65"/>
    <w:rsid w:val="00A75A29"/>
    <w:rsid w:val="00A76C6B"/>
    <w:rsid w:val="00A805B6"/>
    <w:rsid w:val="00A83845"/>
    <w:rsid w:val="00A85A64"/>
    <w:rsid w:val="00A86C52"/>
    <w:rsid w:val="00A8713F"/>
    <w:rsid w:val="00A8791F"/>
    <w:rsid w:val="00A90BA1"/>
    <w:rsid w:val="00A94BF3"/>
    <w:rsid w:val="00A9525B"/>
    <w:rsid w:val="00A9568F"/>
    <w:rsid w:val="00A964BB"/>
    <w:rsid w:val="00A97A9A"/>
    <w:rsid w:val="00AA0215"/>
    <w:rsid w:val="00AA0671"/>
    <w:rsid w:val="00AA0F70"/>
    <w:rsid w:val="00AA2531"/>
    <w:rsid w:val="00AA2679"/>
    <w:rsid w:val="00AA30C9"/>
    <w:rsid w:val="00AA369E"/>
    <w:rsid w:val="00AA4EBE"/>
    <w:rsid w:val="00AB0219"/>
    <w:rsid w:val="00AB06FC"/>
    <w:rsid w:val="00AB1E09"/>
    <w:rsid w:val="00AB3DDC"/>
    <w:rsid w:val="00AB5330"/>
    <w:rsid w:val="00AB67E4"/>
    <w:rsid w:val="00AB6848"/>
    <w:rsid w:val="00AB6AB8"/>
    <w:rsid w:val="00AB7747"/>
    <w:rsid w:val="00AB77A3"/>
    <w:rsid w:val="00AB7801"/>
    <w:rsid w:val="00AC0AE2"/>
    <w:rsid w:val="00AC1094"/>
    <w:rsid w:val="00AC133F"/>
    <w:rsid w:val="00AC14CE"/>
    <w:rsid w:val="00AC2925"/>
    <w:rsid w:val="00AC2A56"/>
    <w:rsid w:val="00AC35EA"/>
    <w:rsid w:val="00AC41FC"/>
    <w:rsid w:val="00AC5A05"/>
    <w:rsid w:val="00AC5D84"/>
    <w:rsid w:val="00AC68BD"/>
    <w:rsid w:val="00AC7463"/>
    <w:rsid w:val="00AD00A1"/>
    <w:rsid w:val="00AD055E"/>
    <w:rsid w:val="00AD2AEA"/>
    <w:rsid w:val="00AD47A7"/>
    <w:rsid w:val="00AD7D2D"/>
    <w:rsid w:val="00AE00C2"/>
    <w:rsid w:val="00AE0CEF"/>
    <w:rsid w:val="00AE0F3B"/>
    <w:rsid w:val="00AE11AF"/>
    <w:rsid w:val="00AE19E5"/>
    <w:rsid w:val="00AE2CA2"/>
    <w:rsid w:val="00AE38FA"/>
    <w:rsid w:val="00AE4215"/>
    <w:rsid w:val="00AE5404"/>
    <w:rsid w:val="00AF05A2"/>
    <w:rsid w:val="00AF0CBF"/>
    <w:rsid w:val="00AF257F"/>
    <w:rsid w:val="00AF33CF"/>
    <w:rsid w:val="00AF3F0B"/>
    <w:rsid w:val="00AF4D50"/>
    <w:rsid w:val="00AF517A"/>
    <w:rsid w:val="00AF6179"/>
    <w:rsid w:val="00AF65E3"/>
    <w:rsid w:val="00AF6994"/>
    <w:rsid w:val="00AF772B"/>
    <w:rsid w:val="00B00368"/>
    <w:rsid w:val="00B00374"/>
    <w:rsid w:val="00B01117"/>
    <w:rsid w:val="00B01798"/>
    <w:rsid w:val="00B04A85"/>
    <w:rsid w:val="00B04E4A"/>
    <w:rsid w:val="00B06307"/>
    <w:rsid w:val="00B10E1A"/>
    <w:rsid w:val="00B1295A"/>
    <w:rsid w:val="00B12978"/>
    <w:rsid w:val="00B17164"/>
    <w:rsid w:val="00B17D57"/>
    <w:rsid w:val="00B20A45"/>
    <w:rsid w:val="00B21DB6"/>
    <w:rsid w:val="00B22C5C"/>
    <w:rsid w:val="00B24F30"/>
    <w:rsid w:val="00B25E0F"/>
    <w:rsid w:val="00B311E5"/>
    <w:rsid w:val="00B31ABF"/>
    <w:rsid w:val="00B3239B"/>
    <w:rsid w:val="00B32542"/>
    <w:rsid w:val="00B33BE3"/>
    <w:rsid w:val="00B33CB7"/>
    <w:rsid w:val="00B3446B"/>
    <w:rsid w:val="00B34934"/>
    <w:rsid w:val="00B34B6F"/>
    <w:rsid w:val="00B3755D"/>
    <w:rsid w:val="00B40FDA"/>
    <w:rsid w:val="00B4127F"/>
    <w:rsid w:val="00B41931"/>
    <w:rsid w:val="00B42451"/>
    <w:rsid w:val="00B42926"/>
    <w:rsid w:val="00B43101"/>
    <w:rsid w:val="00B444D0"/>
    <w:rsid w:val="00B44FA4"/>
    <w:rsid w:val="00B44FB3"/>
    <w:rsid w:val="00B450BC"/>
    <w:rsid w:val="00B452FC"/>
    <w:rsid w:val="00B47D78"/>
    <w:rsid w:val="00B514B7"/>
    <w:rsid w:val="00B52673"/>
    <w:rsid w:val="00B5325F"/>
    <w:rsid w:val="00B53395"/>
    <w:rsid w:val="00B53769"/>
    <w:rsid w:val="00B53929"/>
    <w:rsid w:val="00B53B5D"/>
    <w:rsid w:val="00B540DC"/>
    <w:rsid w:val="00B54251"/>
    <w:rsid w:val="00B54E71"/>
    <w:rsid w:val="00B54FDE"/>
    <w:rsid w:val="00B55049"/>
    <w:rsid w:val="00B55CBD"/>
    <w:rsid w:val="00B56B23"/>
    <w:rsid w:val="00B56BAA"/>
    <w:rsid w:val="00B604BA"/>
    <w:rsid w:val="00B6055E"/>
    <w:rsid w:val="00B62BF9"/>
    <w:rsid w:val="00B6306D"/>
    <w:rsid w:val="00B6317D"/>
    <w:rsid w:val="00B6450F"/>
    <w:rsid w:val="00B645D7"/>
    <w:rsid w:val="00B64D4C"/>
    <w:rsid w:val="00B65830"/>
    <w:rsid w:val="00B65B95"/>
    <w:rsid w:val="00B67BA6"/>
    <w:rsid w:val="00B70873"/>
    <w:rsid w:val="00B74C7A"/>
    <w:rsid w:val="00B76383"/>
    <w:rsid w:val="00B77133"/>
    <w:rsid w:val="00B7723F"/>
    <w:rsid w:val="00B773E3"/>
    <w:rsid w:val="00B80020"/>
    <w:rsid w:val="00B80269"/>
    <w:rsid w:val="00B80534"/>
    <w:rsid w:val="00B80CEF"/>
    <w:rsid w:val="00B816BF"/>
    <w:rsid w:val="00B834BD"/>
    <w:rsid w:val="00B8433C"/>
    <w:rsid w:val="00B84404"/>
    <w:rsid w:val="00B87491"/>
    <w:rsid w:val="00B90536"/>
    <w:rsid w:val="00B91334"/>
    <w:rsid w:val="00B91598"/>
    <w:rsid w:val="00B922B7"/>
    <w:rsid w:val="00B95B11"/>
    <w:rsid w:val="00B9702B"/>
    <w:rsid w:val="00BA071A"/>
    <w:rsid w:val="00BA08F7"/>
    <w:rsid w:val="00BA0A93"/>
    <w:rsid w:val="00BA29E9"/>
    <w:rsid w:val="00BA2CEE"/>
    <w:rsid w:val="00BA36FA"/>
    <w:rsid w:val="00BA3E62"/>
    <w:rsid w:val="00BA6600"/>
    <w:rsid w:val="00BA7142"/>
    <w:rsid w:val="00BB1526"/>
    <w:rsid w:val="00BB18CD"/>
    <w:rsid w:val="00BB1F65"/>
    <w:rsid w:val="00BB237C"/>
    <w:rsid w:val="00BB2C23"/>
    <w:rsid w:val="00BB3EC4"/>
    <w:rsid w:val="00BB41A3"/>
    <w:rsid w:val="00BB5147"/>
    <w:rsid w:val="00BB5511"/>
    <w:rsid w:val="00BB67AD"/>
    <w:rsid w:val="00BB72B2"/>
    <w:rsid w:val="00BB7475"/>
    <w:rsid w:val="00BC055D"/>
    <w:rsid w:val="00BC0CFA"/>
    <w:rsid w:val="00BC1588"/>
    <w:rsid w:val="00BC23B5"/>
    <w:rsid w:val="00BC32DC"/>
    <w:rsid w:val="00BC35B6"/>
    <w:rsid w:val="00BC371E"/>
    <w:rsid w:val="00BC54C5"/>
    <w:rsid w:val="00BC6BBE"/>
    <w:rsid w:val="00BD0523"/>
    <w:rsid w:val="00BD1B51"/>
    <w:rsid w:val="00BD3338"/>
    <w:rsid w:val="00BD373C"/>
    <w:rsid w:val="00BD3C59"/>
    <w:rsid w:val="00BD4547"/>
    <w:rsid w:val="00BD4596"/>
    <w:rsid w:val="00BD5182"/>
    <w:rsid w:val="00BD6F6C"/>
    <w:rsid w:val="00BE1405"/>
    <w:rsid w:val="00BE17F5"/>
    <w:rsid w:val="00BE1C52"/>
    <w:rsid w:val="00BE1FB1"/>
    <w:rsid w:val="00BE214A"/>
    <w:rsid w:val="00BE24E6"/>
    <w:rsid w:val="00BE2FDA"/>
    <w:rsid w:val="00BE312D"/>
    <w:rsid w:val="00BE3BA3"/>
    <w:rsid w:val="00BE4C4B"/>
    <w:rsid w:val="00BE5388"/>
    <w:rsid w:val="00BF13C4"/>
    <w:rsid w:val="00BF1A4E"/>
    <w:rsid w:val="00BF1C20"/>
    <w:rsid w:val="00BF1FD9"/>
    <w:rsid w:val="00BF27D8"/>
    <w:rsid w:val="00BF328D"/>
    <w:rsid w:val="00BF37C3"/>
    <w:rsid w:val="00BF4C8D"/>
    <w:rsid w:val="00BF54C7"/>
    <w:rsid w:val="00C0016C"/>
    <w:rsid w:val="00C0110C"/>
    <w:rsid w:val="00C0126E"/>
    <w:rsid w:val="00C01D54"/>
    <w:rsid w:val="00C01F5C"/>
    <w:rsid w:val="00C01F95"/>
    <w:rsid w:val="00C03A0A"/>
    <w:rsid w:val="00C0407D"/>
    <w:rsid w:val="00C0691B"/>
    <w:rsid w:val="00C06CF2"/>
    <w:rsid w:val="00C07B66"/>
    <w:rsid w:val="00C101AB"/>
    <w:rsid w:val="00C101E5"/>
    <w:rsid w:val="00C10578"/>
    <w:rsid w:val="00C10DB9"/>
    <w:rsid w:val="00C1150F"/>
    <w:rsid w:val="00C1156E"/>
    <w:rsid w:val="00C11B74"/>
    <w:rsid w:val="00C135BC"/>
    <w:rsid w:val="00C14745"/>
    <w:rsid w:val="00C152B7"/>
    <w:rsid w:val="00C15C95"/>
    <w:rsid w:val="00C16220"/>
    <w:rsid w:val="00C162F6"/>
    <w:rsid w:val="00C16475"/>
    <w:rsid w:val="00C1797E"/>
    <w:rsid w:val="00C2116C"/>
    <w:rsid w:val="00C22A72"/>
    <w:rsid w:val="00C23332"/>
    <w:rsid w:val="00C23DF6"/>
    <w:rsid w:val="00C23FB7"/>
    <w:rsid w:val="00C2596A"/>
    <w:rsid w:val="00C25D04"/>
    <w:rsid w:val="00C26174"/>
    <w:rsid w:val="00C26CAF"/>
    <w:rsid w:val="00C26DC2"/>
    <w:rsid w:val="00C2751E"/>
    <w:rsid w:val="00C27537"/>
    <w:rsid w:val="00C30567"/>
    <w:rsid w:val="00C325BC"/>
    <w:rsid w:val="00C328FE"/>
    <w:rsid w:val="00C32DF2"/>
    <w:rsid w:val="00C33507"/>
    <w:rsid w:val="00C33979"/>
    <w:rsid w:val="00C3730A"/>
    <w:rsid w:val="00C408C6"/>
    <w:rsid w:val="00C41159"/>
    <w:rsid w:val="00C42037"/>
    <w:rsid w:val="00C42680"/>
    <w:rsid w:val="00C429A4"/>
    <w:rsid w:val="00C43EBB"/>
    <w:rsid w:val="00C4409D"/>
    <w:rsid w:val="00C4417E"/>
    <w:rsid w:val="00C445F6"/>
    <w:rsid w:val="00C44E72"/>
    <w:rsid w:val="00C454C6"/>
    <w:rsid w:val="00C45A06"/>
    <w:rsid w:val="00C46EBD"/>
    <w:rsid w:val="00C47E5B"/>
    <w:rsid w:val="00C50B66"/>
    <w:rsid w:val="00C539C0"/>
    <w:rsid w:val="00C53B3A"/>
    <w:rsid w:val="00C550AA"/>
    <w:rsid w:val="00C554A9"/>
    <w:rsid w:val="00C55B29"/>
    <w:rsid w:val="00C56104"/>
    <w:rsid w:val="00C56DA7"/>
    <w:rsid w:val="00C6115A"/>
    <w:rsid w:val="00C61E4B"/>
    <w:rsid w:val="00C62B7C"/>
    <w:rsid w:val="00C64BFF"/>
    <w:rsid w:val="00C64F37"/>
    <w:rsid w:val="00C65683"/>
    <w:rsid w:val="00C67639"/>
    <w:rsid w:val="00C704E9"/>
    <w:rsid w:val="00C70670"/>
    <w:rsid w:val="00C7139F"/>
    <w:rsid w:val="00C72A55"/>
    <w:rsid w:val="00C73F8E"/>
    <w:rsid w:val="00C740C3"/>
    <w:rsid w:val="00C74C02"/>
    <w:rsid w:val="00C751B8"/>
    <w:rsid w:val="00C763C9"/>
    <w:rsid w:val="00C776F1"/>
    <w:rsid w:val="00C80057"/>
    <w:rsid w:val="00C8010D"/>
    <w:rsid w:val="00C8193F"/>
    <w:rsid w:val="00C81CB9"/>
    <w:rsid w:val="00C82232"/>
    <w:rsid w:val="00C82913"/>
    <w:rsid w:val="00C8316A"/>
    <w:rsid w:val="00C842DE"/>
    <w:rsid w:val="00C8598B"/>
    <w:rsid w:val="00C8711F"/>
    <w:rsid w:val="00C916F6"/>
    <w:rsid w:val="00C92E40"/>
    <w:rsid w:val="00C937F1"/>
    <w:rsid w:val="00C9627D"/>
    <w:rsid w:val="00C972B1"/>
    <w:rsid w:val="00C97485"/>
    <w:rsid w:val="00C9749A"/>
    <w:rsid w:val="00C9761F"/>
    <w:rsid w:val="00CA05AF"/>
    <w:rsid w:val="00CA0C84"/>
    <w:rsid w:val="00CA0F16"/>
    <w:rsid w:val="00CA177D"/>
    <w:rsid w:val="00CA2CCE"/>
    <w:rsid w:val="00CA43FD"/>
    <w:rsid w:val="00CA45B4"/>
    <w:rsid w:val="00CA49DB"/>
    <w:rsid w:val="00CA5980"/>
    <w:rsid w:val="00CA61EF"/>
    <w:rsid w:val="00CA73A7"/>
    <w:rsid w:val="00CA7CB6"/>
    <w:rsid w:val="00CA7EF8"/>
    <w:rsid w:val="00CB0FB5"/>
    <w:rsid w:val="00CB15C6"/>
    <w:rsid w:val="00CB23EC"/>
    <w:rsid w:val="00CB5021"/>
    <w:rsid w:val="00CB6792"/>
    <w:rsid w:val="00CC2999"/>
    <w:rsid w:val="00CC489B"/>
    <w:rsid w:val="00CC4E04"/>
    <w:rsid w:val="00CC5359"/>
    <w:rsid w:val="00CC56EE"/>
    <w:rsid w:val="00CC729F"/>
    <w:rsid w:val="00CD0BC6"/>
    <w:rsid w:val="00CD2BBF"/>
    <w:rsid w:val="00CD2BCD"/>
    <w:rsid w:val="00CD3A4C"/>
    <w:rsid w:val="00CD43A8"/>
    <w:rsid w:val="00CD7773"/>
    <w:rsid w:val="00CE0A8A"/>
    <w:rsid w:val="00CE10E9"/>
    <w:rsid w:val="00CE205A"/>
    <w:rsid w:val="00CE2099"/>
    <w:rsid w:val="00CE2114"/>
    <w:rsid w:val="00CE2910"/>
    <w:rsid w:val="00CE2E62"/>
    <w:rsid w:val="00CE3484"/>
    <w:rsid w:val="00CE44E7"/>
    <w:rsid w:val="00CE4502"/>
    <w:rsid w:val="00CE5393"/>
    <w:rsid w:val="00CE65CF"/>
    <w:rsid w:val="00CF15FE"/>
    <w:rsid w:val="00CF36BE"/>
    <w:rsid w:val="00CF3AEF"/>
    <w:rsid w:val="00CF6000"/>
    <w:rsid w:val="00CF7926"/>
    <w:rsid w:val="00CF7951"/>
    <w:rsid w:val="00CF7C32"/>
    <w:rsid w:val="00D003F3"/>
    <w:rsid w:val="00D027FE"/>
    <w:rsid w:val="00D02A30"/>
    <w:rsid w:val="00D032B9"/>
    <w:rsid w:val="00D0364F"/>
    <w:rsid w:val="00D03804"/>
    <w:rsid w:val="00D06834"/>
    <w:rsid w:val="00D06BB6"/>
    <w:rsid w:val="00D06BC6"/>
    <w:rsid w:val="00D101B5"/>
    <w:rsid w:val="00D10345"/>
    <w:rsid w:val="00D11753"/>
    <w:rsid w:val="00D144EB"/>
    <w:rsid w:val="00D14B3C"/>
    <w:rsid w:val="00D15249"/>
    <w:rsid w:val="00D17525"/>
    <w:rsid w:val="00D205D5"/>
    <w:rsid w:val="00D20D73"/>
    <w:rsid w:val="00D2184F"/>
    <w:rsid w:val="00D2280D"/>
    <w:rsid w:val="00D22A30"/>
    <w:rsid w:val="00D234A2"/>
    <w:rsid w:val="00D23B8B"/>
    <w:rsid w:val="00D248A5"/>
    <w:rsid w:val="00D25230"/>
    <w:rsid w:val="00D26CDD"/>
    <w:rsid w:val="00D274F5"/>
    <w:rsid w:val="00D27788"/>
    <w:rsid w:val="00D27C95"/>
    <w:rsid w:val="00D302BA"/>
    <w:rsid w:val="00D30330"/>
    <w:rsid w:val="00D308ED"/>
    <w:rsid w:val="00D30B2D"/>
    <w:rsid w:val="00D313FB"/>
    <w:rsid w:val="00D318BC"/>
    <w:rsid w:val="00D31B1C"/>
    <w:rsid w:val="00D32EDD"/>
    <w:rsid w:val="00D33A43"/>
    <w:rsid w:val="00D36D86"/>
    <w:rsid w:val="00D3711A"/>
    <w:rsid w:val="00D40521"/>
    <w:rsid w:val="00D40A3D"/>
    <w:rsid w:val="00D427EC"/>
    <w:rsid w:val="00D428AA"/>
    <w:rsid w:val="00D431F5"/>
    <w:rsid w:val="00D4405F"/>
    <w:rsid w:val="00D445DC"/>
    <w:rsid w:val="00D50214"/>
    <w:rsid w:val="00D50A34"/>
    <w:rsid w:val="00D52629"/>
    <w:rsid w:val="00D53EFA"/>
    <w:rsid w:val="00D5401B"/>
    <w:rsid w:val="00D54EA2"/>
    <w:rsid w:val="00D55BED"/>
    <w:rsid w:val="00D56A7F"/>
    <w:rsid w:val="00D6000C"/>
    <w:rsid w:val="00D60424"/>
    <w:rsid w:val="00D60E2E"/>
    <w:rsid w:val="00D62B94"/>
    <w:rsid w:val="00D632F6"/>
    <w:rsid w:val="00D64AD5"/>
    <w:rsid w:val="00D661B8"/>
    <w:rsid w:val="00D700B0"/>
    <w:rsid w:val="00D71692"/>
    <w:rsid w:val="00D74643"/>
    <w:rsid w:val="00D74F77"/>
    <w:rsid w:val="00D772F7"/>
    <w:rsid w:val="00D774CD"/>
    <w:rsid w:val="00D82813"/>
    <w:rsid w:val="00D83A30"/>
    <w:rsid w:val="00D84DC2"/>
    <w:rsid w:val="00D85454"/>
    <w:rsid w:val="00D8626D"/>
    <w:rsid w:val="00D879B9"/>
    <w:rsid w:val="00D87D89"/>
    <w:rsid w:val="00D915D7"/>
    <w:rsid w:val="00D91994"/>
    <w:rsid w:val="00D91BC3"/>
    <w:rsid w:val="00D944E3"/>
    <w:rsid w:val="00D94A7C"/>
    <w:rsid w:val="00D954AB"/>
    <w:rsid w:val="00D95560"/>
    <w:rsid w:val="00D95896"/>
    <w:rsid w:val="00D96FFC"/>
    <w:rsid w:val="00D97A60"/>
    <w:rsid w:val="00DA09ED"/>
    <w:rsid w:val="00DA14F1"/>
    <w:rsid w:val="00DA2375"/>
    <w:rsid w:val="00DA26A8"/>
    <w:rsid w:val="00DA2DF8"/>
    <w:rsid w:val="00DA3455"/>
    <w:rsid w:val="00DA3E49"/>
    <w:rsid w:val="00DA41B7"/>
    <w:rsid w:val="00DA4382"/>
    <w:rsid w:val="00DA47F6"/>
    <w:rsid w:val="00DA632C"/>
    <w:rsid w:val="00DA71F6"/>
    <w:rsid w:val="00DB068A"/>
    <w:rsid w:val="00DB06BD"/>
    <w:rsid w:val="00DB0F89"/>
    <w:rsid w:val="00DB1E6B"/>
    <w:rsid w:val="00DB22C7"/>
    <w:rsid w:val="00DB2983"/>
    <w:rsid w:val="00DB53EF"/>
    <w:rsid w:val="00DB588E"/>
    <w:rsid w:val="00DB5C7A"/>
    <w:rsid w:val="00DB6325"/>
    <w:rsid w:val="00DC0198"/>
    <w:rsid w:val="00DC02AC"/>
    <w:rsid w:val="00DC0B43"/>
    <w:rsid w:val="00DC1257"/>
    <w:rsid w:val="00DC26D2"/>
    <w:rsid w:val="00DC340B"/>
    <w:rsid w:val="00DC3DC0"/>
    <w:rsid w:val="00DC417F"/>
    <w:rsid w:val="00DC4A63"/>
    <w:rsid w:val="00DC5B2B"/>
    <w:rsid w:val="00DC6DA8"/>
    <w:rsid w:val="00DC7701"/>
    <w:rsid w:val="00DC7FE6"/>
    <w:rsid w:val="00DD080B"/>
    <w:rsid w:val="00DD11C8"/>
    <w:rsid w:val="00DD28D4"/>
    <w:rsid w:val="00DD2A5E"/>
    <w:rsid w:val="00DD318D"/>
    <w:rsid w:val="00DD65B0"/>
    <w:rsid w:val="00DE0D76"/>
    <w:rsid w:val="00DE0EC7"/>
    <w:rsid w:val="00DE2293"/>
    <w:rsid w:val="00DE2937"/>
    <w:rsid w:val="00DE3509"/>
    <w:rsid w:val="00DE3F5A"/>
    <w:rsid w:val="00DE4A89"/>
    <w:rsid w:val="00DE5B4B"/>
    <w:rsid w:val="00DE75EC"/>
    <w:rsid w:val="00DE787B"/>
    <w:rsid w:val="00DF0303"/>
    <w:rsid w:val="00DF14DA"/>
    <w:rsid w:val="00DF2900"/>
    <w:rsid w:val="00DF2E12"/>
    <w:rsid w:val="00DF514A"/>
    <w:rsid w:val="00DF515B"/>
    <w:rsid w:val="00DF6690"/>
    <w:rsid w:val="00DF6804"/>
    <w:rsid w:val="00DF7AC5"/>
    <w:rsid w:val="00E01864"/>
    <w:rsid w:val="00E01A1B"/>
    <w:rsid w:val="00E01AE3"/>
    <w:rsid w:val="00E0283E"/>
    <w:rsid w:val="00E0320A"/>
    <w:rsid w:val="00E0358D"/>
    <w:rsid w:val="00E04323"/>
    <w:rsid w:val="00E05B2F"/>
    <w:rsid w:val="00E067EB"/>
    <w:rsid w:val="00E06F89"/>
    <w:rsid w:val="00E070A2"/>
    <w:rsid w:val="00E11430"/>
    <w:rsid w:val="00E128E3"/>
    <w:rsid w:val="00E12C15"/>
    <w:rsid w:val="00E12E70"/>
    <w:rsid w:val="00E14DF6"/>
    <w:rsid w:val="00E1615B"/>
    <w:rsid w:val="00E17071"/>
    <w:rsid w:val="00E218F7"/>
    <w:rsid w:val="00E2232F"/>
    <w:rsid w:val="00E25EDA"/>
    <w:rsid w:val="00E2631A"/>
    <w:rsid w:val="00E2656A"/>
    <w:rsid w:val="00E26895"/>
    <w:rsid w:val="00E311E9"/>
    <w:rsid w:val="00E3227B"/>
    <w:rsid w:val="00E33346"/>
    <w:rsid w:val="00E33E0C"/>
    <w:rsid w:val="00E34012"/>
    <w:rsid w:val="00E34454"/>
    <w:rsid w:val="00E35FC9"/>
    <w:rsid w:val="00E366FD"/>
    <w:rsid w:val="00E3788A"/>
    <w:rsid w:val="00E40BAB"/>
    <w:rsid w:val="00E412D0"/>
    <w:rsid w:val="00E41D2C"/>
    <w:rsid w:val="00E42B95"/>
    <w:rsid w:val="00E43589"/>
    <w:rsid w:val="00E43B08"/>
    <w:rsid w:val="00E441D1"/>
    <w:rsid w:val="00E4543D"/>
    <w:rsid w:val="00E46468"/>
    <w:rsid w:val="00E47AAC"/>
    <w:rsid w:val="00E509F7"/>
    <w:rsid w:val="00E50EB5"/>
    <w:rsid w:val="00E534C0"/>
    <w:rsid w:val="00E56322"/>
    <w:rsid w:val="00E57090"/>
    <w:rsid w:val="00E601F1"/>
    <w:rsid w:val="00E60982"/>
    <w:rsid w:val="00E62C62"/>
    <w:rsid w:val="00E62C68"/>
    <w:rsid w:val="00E654C1"/>
    <w:rsid w:val="00E65616"/>
    <w:rsid w:val="00E65D97"/>
    <w:rsid w:val="00E66FEA"/>
    <w:rsid w:val="00E672BD"/>
    <w:rsid w:val="00E72A5A"/>
    <w:rsid w:val="00E73354"/>
    <w:rsid w:val="00E7352B"/>
    <w:rsid w:val="00E74333"/>
    <w:rsid w:val="00E74409"/>
    <w:rsid w:val="00E74B7B"/>
    <w:rsid w:val="00E74B7D"/>
    <w:rsid w:val="00E74EAE"/>
    <w:rsid w:val="00E74EC4"/>
    <w:rsid w:val="00E75524"/>
    <w:rsid w:val="00E75C53"/>
    <w:rsid w:val="00E775B7"/>
    <w:rsid w:val="00E77891"/>
    <w:rsid w:val="00E8017B"/>
    <w:rsid w:val="00E80BF4"/>
    <w:rsid w:val="00E80EF6"/>
    <w:rsid w:val="00E80F61"/>
    <w:rsid w:val="00E829E1"/>
    <w:rsid w:val="00E83EF0"/>
    <w:rsid w:val="00E861AD"/>
    <w:rsid w:val="00E86EB2"/>
    <w:rsid w:val="00E90945"/>
    <w:rsid w:val="00E9242D"/>
    <w:rsid w:val="00E92DA4"/>
    <w:rsid w:val="00E938E3"/>
    <w:rsid w:val="00E93D3A"/>
    <w:rsid w:val="00E949EC"/>
    <w:rsid w:val="00E96A09"/>
    <w:rsid w:val="00EA0983"/>
    <w:rsid w:val="00EA0FC7"/>
    <w:rsid w:val="00EA400F"/>
    <w:rsid w:val="00EA45BE"/>
    <w:rsid w:val="00EA4A8E"/>
    <w:rsid w:val="00EA77FC"/>
    <w:rsid w:val="00EB3563"/>
    <w:rsid w:val="00EB3A29"/>
    <w:rsid w:val="00EB3CF1"/>
    <w:rsid w:val="00EB48E5"/>
    <w:rsid w:val="00EB4DB0"/>
    <w:rsid w:val="00EB5164"/>
    <w:rsid w:val="00EB5255"/>
    <w:rsid w:val="00EB5941"/>
    <w:rsid w:val="00EB5AFB"/>
    <w:rsid w:val="00EB5C47"/>
    <w:rsid w:val="00EB72AF"/>
    <w:rsid w:val="00EC130A"/>
    <w:rsid w:val="00EC252D"/>
    <w:rsid w:val="00ED042A"/>
    <w:rsid w:val="00ED0639"/>
    <w:rsid w:val="00ED0684"/>
    <w:rsid w:val="00ED1785"/>
    <w:rsid w:val="00ED2673"/>
    <w:rsid w:val="00ED2CD6"/>
    <w:rsid w:val="00ED339A"/>
    <w:rsid w:val="00ED382D"/>
    <w:rsid w:val="00ED4254"/>
    <w:rsid w:val="00ED4410"/>
    <w:rsid w:val="00ED513C"/>
    <w:rsid w:val="00ED5F31"/>
    <w:rsid w:val="00ED6175"/>
    <w:rsid w:val="00ED7045"/>
    <w:rsid w:val="00ED7178"/>
    <w:rsid w:val="00EE20FF"/>
    <w:rsid w:val="00EE351D"/>
    <w:rsid w:val="00EE6A3E"/>
    <w:rsid w:val="00EE6F92"/>
    <w:rsid w:val="00EE72BD"/>
    <w:rsid w:val="00EE7A10"/>
    <w:rsid w:val="00EF0D31"/>
    <w:rsid w:val="00EF13A4"/>
    <w:rsid w:val="00EF16A4"/>
    <w:rsid w:val="00EF25B6"/>
    <w:rsid w:val="00EF4018"/>
    <w:rsid w:val="00EF4755"/>
    <w:rsid w:val="00EF56C6"/>
    <w:rsid w:val="00EF5A45"/>
    <w:rsid w:val="00EF6FE1"/>
    <w:rsid w:val="00EF7135"/>
    <w:rsid w:val="00F008A3"/>
    <w:rsid w:val="00F01AAA"/>
    <w:rsid w:val="00F01E8D"/>
    <w:rsid w:val="00F027DB"/>
    <w:rsid w:val="00F02E62"/>
    <w:rsid w:val="00F03AEC"/>
    <w:rsid w:val="00F03B44"/>
    <w:rsid w:val="00F049A3"/>
    <w:rsid w:val="00F05400"/>
    <w:rsid w:val="00F06A82"/>
    <w:rsid w:val="00F06DEA"/>
    <w:rsid w:val="00F06E79"/>
    <w:rsid w:val="00F11354"/>
    <w:rsid w:val="00F1144D"/>
    <w:rsid w:val="00F14A7A"/>
    <w:rsid w:val="00F14AEF"/>
    <w:rsid w:val="00F20552"/>
    <w:rsid w:val="00F22953"/>
    <w:rsid w:val="00F22985"/>
    <w:rsid w:val="00F22D30"/>
    <w:rsid w:val="00F23D30"/>
    <w:rsid w:val="00F25311"/>
    <w:rsid w:val="00F25406"/>
    <w:rsid w:val="00F27DC1"/>
    <w:rsid w:val="00F300DE"/>
    <w:rsid w:val="00F321D4"/>
    <w:rsid w:val="00F325F4"/>
    <w:rsid w:val="00F3383E"/>
    <w:rsid w:val="00F34764"/>
    <w:rsid w:val="00F34A58"/>
    <w:rsid w:val="00F35634"/>
    <w:rsid w:val="00F3563D"/>
    <w:rsid w:val="00F4113A"/>
    <w:rsid w:val="00F412C2"/>
    <w:rsid w:val="00F41BE0"/>
    <w:rsid w:val="00F439BC"/>
    <w:rsid w:val="00F44119"/>
    <w:rsid w:val="00F44B9C"/>
    <w:rsid w:val="00F465A7"/>
    <w:rsid w:val="00F5024F"/>
    <w:rsid w:val="00F50B7C"/>
    <w:rsid w:val="00F52444"/>
    <w:rsid w:val="00F52AD7"/>
    <w:rsid w:val="00F52AFF"/>
    <w:rsid w:val="00F5358F"/>
    <w:rsid w:val="00F54A84"/>
    <w:rsid w:val="00F550E6"/>
    <w:rsid w:val="00F556A7"/>
    <w:rsid w:val="00F55A68"/>
    <w:rsid w:val="00F6100E"/>
    <w:rsid w:val="00F62E24"/>
    <w:rsid w:val="00F6370A"/>
    <w:rsid w:val="00F64E80"/>
    <w:rsid w:val="00F667D3"/>
    <w:rsid w:val="00F67B89"/>
    <w:rsid w:val="00F703DA"/>
    <w:rsid w:val="00F71DD7"/>
    <w:rsid w:val="00F7347C"/>
    <w:rsid w:val="00F73D85"/>
    <w:rsid w:val="00F74345"/>
    <w:rsid w:val="00F743DF"/>
    <w:rsid w:val="00F80A0A"/>
    <w:rsid w:val="00F81BE6"/>
    <w:rsid w:val="00F81C0E"/>
    <w:rsid w:val="00F82B19"/>
    <w:rsid w:val="00F8648C"/>
    <w:rsid w:val="00F9138C"/>
    <w:rsid w:val="00F91EBF"/>
    <w:rsid w:val="00F9212D"/>
    <w:rsid w:val="00F935D3"/>
    <w:rsid w:val="00F936DA"/>
    <w:rsid w:val="00F93CDA"/>
    <w:rsid w:val="00F9558F"/>
    <w:rsid w:val="00F95AC9"/>
    <w:rsid w:val="00F965DA"/>
    <w:rsid w:val="00FA08C9"/>
    <w:rsid w:val="00FA406A"/>
    <w:rsid w:val="00FA4A14"/>
    <w:rsid w:val="00FA4FDD"/>
    <w:rsid w:val="00FA7838"/>
    <w:rsid w:val="00FB0C4D"/>
    <w:rsid w:val="00FB12ED"/>
    <w:rsid w:val="00FB2BA4"/>
    <w:rsid w:val="00FB390D"/>
    <w:rsid w:val="00FB459F"/>
    <w:rsid w:val="00FB503A"/>
    <w:rsid w:val="00FB516C"/>
    <w:rsid w:val="00FB5BFF"/>
    <w:rsid w:val="00FB6DCC"/>
    <w:rsid w:val="00FB7150"/>
    <w:rsid w:val="00FB730F"/>
    <w:rsid w:val="00FC00DF"/>
    <w:rsid w:val="00FC0F04"/>
    <w:rsid w:val="00FC1C01"/>
    <w:rsid w:val="00FC317B"/>
    <w:rsid w:val="00FC469F"/>
    <w:rsid w:val="00FC55A7"/>
    <w:rsid w:val="00FC60F9"/>
    <w:rsid w:val="00FC61C3"/>
    <w:rsid w:val="00FC6F53"/>
    <w:rsid w:val="00FD0236"/>
    <w:rsid w:val="00FD18F4"/>
    <w:rsid w:val="00FD4C28"/>
    <w:rsid w:val="00FD5312"/>
    <w:rsid w:val="00FD54DB"/>
    <w:rsid w:val="00FD573E"/>
    <w:rsid w:val="00FD5D43"/>
    <w:rsid w:val="00FD619F"/>
    <w:rsid w:val="00FD6CDF"/>
    <w:rsid w:val="00FE0C4F"/>
    <w:rsid w:val="00FE134B"/>
    <w:rsid w:val="00FE2BD8"/>
    <w:rsid w:val="00FE3553"/>
    <w:rsid w:val="00FE6391"/>
    <w:rsid w:val="00FE65CD"/>
    <w:rsid w:val="00FF247F"/>
    <w:rsid w:val="00FF330F"/>
    <w:rsid w:val="00FF4D7F"/>
    <w:rsid w:val="00FF7045"/>
    <w:rsid w:val="0109291F"/>
    <w:rsid w:val="01290F7E"/>
    <w:rsid w:val="015D1E09"/>
    <w:rsid w:val="02365CB3"/>
    <w:rsid w:val="02697903"/>
    <w:rsid w:val="02F96569"/>
    <w:rsid w:val="03014506"/>
    <w:rsid w:val="03027CB5"/>
    <w:rsid w:val="03084CFA"/>
    <w:rsid w:val="030B2DC5"/>
    <w:rsid w:val="0324453E"/>
    <w:rsid w:val="03333100"/>
    <w:rsid w:val="034B2E38"/>
    <w:rsid w:val="034C7ABC"/>
    <w:rsid w:val="03B2359F"/>
    <w:rsid w:val="03EA7B21"/>
    <w:rsid w:val="053F6F70"/>
    <w:rsid w:val="05F83EAE"/>
    <w:rsid w:val="063E7D85"/>
    <w:rsid w:val="063F421E"/>
    <w:rsid w:val="07293586"/>
    <w:rsid w:val="07295285"/>
    <w:rsid w:val="073C1416"/>
    <w:rsid w:val="075C18ED"/>
    <w:rsid w:val="07636392"/>
    <w:rsid w:val="07770C56"/>
    <w:rsid w:val="08BB0895"/>
    <w:rsid w:val="090F782C"/>
    <w:rsid w:val="092217DD"/>
    <w:rsid w:val="093A7294"/>
    <w:rsid w:val="0992504C"/>
    <w:rsid w:val="09D3793E"/>
    <w:rsid w:val="0A263993"/>
    <w:rsid w:val="0A2D3AC2"/>
    <w:rsid w:val="0AA3109D"/>
    <w:rsid w:val="0AA755DF"/>
    <w:rsid w:val="0B120D44"/>
    <w:rsid w:val="0B490734"/>
    <w:rsid w:val="0BC950FF"/>
    <w:rsid w:val="0BD27BF6"/>
    <w:rsid w:val="0C3B3C7D"/>
    <w:rsid w:val="0CAB2EAE"/>
    <w:rsid w:val="0D31623A"/>
    <w:rsid w:val="0D3F3A0E"/>
    <w:rsid w:val="0D5C0F53"/>
    <w:rsid w:val="0D621C7D"/>
    <w:rsid w:val="0E554879"/>
    <w:rsid w:val="0E73034D"/>
    <w:rsid w:val="0EA308AE"/>
    <w:rsid w:val="0EBD108E"/>
    <w:rsid w:val="0F13775A"/>
    <w:rsid w:val="0F3076D7"/>
    <w:rsid w:val="0F5F45FE"/>
    <w:rsid w:val="0F9A112B"/>
    <w:rsid w:val="0FEB5A00"/>
    <w:rsid w:val="10593094"/>
    <w:rsid w:val="106D2F64"/>
    <w:rsid w:val="107E2A9F"/>
    <w:rsid w:val="10967DE9"/>
    <w:rsid w:val="10B63710"/>
    <w:rsid w:val="10F10820"/>
    <w:rsid w:val="111C2F7A"/>
    <w:rsid w:val="11665CA1"/>
    <w:rsid w:val="11AF0501"/>
    <w:rsid w:val="12216BB4"/>
    <w:rsid w:val="123820F5"/>
    <w:rsid w:val="126F630A"/>
    <w:rsid w:val="13070B2A"/>
    <w:rsid w:val="135A5B17"/>
    <w:rsid w:val="13951726"/>
    <w:rsid w:val="14396509"/>
    <w:rsid w:val="14A625C4"/>
    <w:rsid w:val="14DD2C3C"/>
    <w:rsid w:val="15084636"/>
    <w:rsid w:val="152D6366"/>
    <w:rsid w:val="154E7C82"/>
    <w:rsid w:val="15E71D1A"/>
    <w:rsid w:val="16087E1D"/>
    <w:rsid w:val="16370F3F"/>
    <w:rsid w:val="16D356CD"/>
    <w:rsid w:val="17701D14"/>
    <w:rsid w:val="17735226"/>
    <w:rsid w:val="17CC73D9"/>
    <w:rsid w:val="18100E07"/>
    <w:rsid w:val="18153CE9"/>
    <w:rsid w:val="18783FC9"/>
    <w:rsid w:val="187F7F68"/>
    <w:rsid w:val="18917805"/>
    <w:rsid w:val="189F624C"/>
    <w:rsid w:val="19AC1A12"/>
    <w:rsid w:val="19E461E8"/>
    <w:rsid w:val="1A1C66C0"/>
    <w:rsid w:val="1A42393B"/>
    <w:rsid w:val="1A8633F1"/>
    <w:rsid w:val="1AAD45DE"/>
    <w:rsid w:val="1B046F80"/>
    <w:rsid w:val="1B1104F1"/>
    <w:rsid w:val="1B3267B5"/>
    <w:rsid w:val="1B40161D"/>
    <w:rsid w:val="1B441859"/>
    <w:rsid w:val="1B6606B1"/>
    <w:rsid w:val="1BB06C8D"/>
    <w:rsid w:val="1BF522F2"/>
    <w:rsid w:val="1C5E7925"/>
    <w:rsid w:val="1CA7512B"/>
    <w:rsid w:val="1CFD070F"/>
    <w:rsid w:val="1D33076D"/>
    <w:rsid w:val="1D5726AE"/>
    <w:rsid w:val="1D5F6196"/>
    <w:rsid w:val="1D6132A5"/>
    <w:rsid w:val="1D8E56D5"/>
    <w:rsid w:val="1D9B59B9"/>
    <w:rsid w:val="1DC72084"/>
    <w:rsid w:val="1E7A43DA"/>
    <w:rsid w:val="1ED65854"/>
    <w:rsid w:val="1EE61F3B"/>
    <w:rsid w:val="1EFA618B"/>
    <w:rsid w:val="1FE7539E"/>
    <w:rsid w:val="20337402"/>
    <w:rsid w:val="20671BE0"/>
    <w:rsid w:val="20963CB8"/>
    <w:rsid w:val="209F0519"/>
    <w:rsid w:val="20A81A1B"/>
    <w:rsid w:val="20B07FB6"/>
    <w:rsid w:val="20B646FB"/>
    <w:rsid w:val="21360446"/>
    <w:rsid w:val="213B74B1"/>
    <w:rsid w:val="215A2310"/>
    <w:rsid w:val="21DE318A"/>
    <w:rsid w:val="21EF5B80"/>
    <w:rsid w:val="221072CF"/>
    <w:rsid w:val="223B3748"/>
    <w:rsid w:val="22576990"/>
    <w:rsid w:val="22CB3055"/>
    <w:rsid w:val="22F47480"/>
    <w:rsid w:val="237D6BE6"/>
    <w:rsid w:val="23DE1C48"/>
    <w:rsid w:val="240210CD"/>
    <w:rsid w:val="24170D7D"/>
    <w:rsid w:val="24654852"/>
    <w:rsid w:val="248601A9"/>
    <w:rsid w:val="24A009AE"/>
    <w:rsid w:val="24BF09F7"/>
    <w:rsid w:val="252D53FE"/>
    <w:rsid w:val="253A0529"/>
    <w:rsid w:val="25E57293"/>
    <w:rsid w:val="25EC2D81"/>
    <w:rsid w:val="25F807A6"/>
    <w:rsid w:val="264B2F41"/>
    <w:rsid w:val="269F424C"/>
    <w:rsid w:val="26D62DEF"/>
    <w:rsid w:val="2707306F"/>
    <w:rsid w:val="273C7721"/>
    <w:rsid w:val="277057A2"/>
    <w:rsid w:val="277207C9"/>
    <w:rsid w:val="27734588"/>
    <w:rsid w:val="278D415F"/>
    <w:rsid w:val="278E7C58"/>
    <w:rsid w:val="27E448E2"/>
    <w:rsid w:val="289A6834"/>
    <w:rsid w:val="29206EB8"/>
    <w:rsid w:val="29595666"/>
    <w:rsid w:val="29852351"/>
    <w:rsid w:val="29874881"/>
    <w:rsid w:val="29E325E0"/>
    <w:rsid w:val="29EF3ADB"/>
    <w:rsid w:val="2A2D45CA"/>
    <w:rsid w:val="2A452503"/>
    <w:rsid w:val="2B297467"/>
    <w:rsid w:val="2B805B20"/>
    <w:rsid w:val="2BA20E5F"/>
    <w:rsid w:val="2BA936A8"/>
    <w:rsid w:val="2BC41856"/>
    <w:rsid w:val="2BF37A45"/>
    <w:rsid w:val="2C122BA8"/>
    <w:rsid w:val="2C315A5A"/>
    <w:rsid w:val="2C4B1C25"/>
    <w:rsid w:val="2CAE39EA"/>
    <w:rsid w:val="2CEE31B3"/>
    <w:rsid w:val="2D017B5A"/>
    <w:rsid w:val="2D9E56F5"/>
    <w:rsid w:val="2E667F96"/>
    <w:rsid w:val="2E8226AB"/>
    <w:rsid w:val="2E9D013C"/>
    <w:rsid w:val="2F3B5506"/>
    <w:rsid w:val="2FD065E6"/>
    <w:rsid w:val="2FD96870"/>
    <w:rsid w:val="2FDA31FA"/>
    <w:rsid w:val="303D1BD7"/>
    <w:rsid w:val="30580BC9"/>
    <w:rsid w:val="311372B0"/>
    <w:rsid w:val="311E2ED7"/>
    <w:rsid w:val="31224929"/>
    <w:rsid w:val="315619EE"/>
    <w:rsid w:val="315C449C"/>
    <w:rsid w:val="31B82709"/>
    <w:rsid w:val="31D05482"/>
    <w:rsid w:val="32400B34"/>
    <w:rsid w:val="32847649"/>
    <w:rsid w:val="329E6876"/>
    <w:rsid w:val="32D13A5D"/>
    <w:rsid w:val="32DE2A9A"/>
    <w:rsid w:val="333015F2"/>
    <w:rsid w:val="333625CB"/>
    <w:rsid w:val="334B6320"/>
    <w:rsid w:val="33D934D4"/>
    <w:rsid w:val="33FE2F6A"/>
    <w:rsid w:val="340E07E5"/>
    <w:rsid w:val="34235BF7"/>
    <w:rsid w:val="34A83B48"/>
    <w:rsid w:val="34E22D4D"/>
    <w:rsid w:val="358C5FA8"/>
    <w:rsid w:val="35962391"/>
    <w:rsid w:val="35C15DF1"/>
    <w:rsid w:val="35CB352D"/>
    <w:rsid w:val="36074A7F"/>
    <w:rsid w:val="36427453"/>
    <w:rsid w:val="36923549"/>
    <w:rsid w:val="36B75FBF"/>
    <w:rsid w:val="36BD0C45"/>
    <w:rsid w:val="377E487E"/>
    <w:rsid w:val="37E00298"/>
    <w:rsid w:val="38B302F9"/>
    <w:rsid w:val="38EC5F48"/>
    <w:rsid w:val="38F12CD3"/>
    <w:rsid w:val="38F94775"/>
    <w:rsid w:val="392971ED"/>
    <w:rsid w:val="39325651"/>
    <w:rsid w:val="39770AF7"/>
    <w:rsid w:val="398B3BEC"/>
    <w:rsid w:val="39D41706"/>
    <w:rsid w:val="39ED0460"/>
    <w:rsid w:val="39F1010E"/>
    <w:rsid w:val="3A681E49"/>
    <w:rsid w:val="3A872856"/>
    <w:rsid w:val="3AF9494C"/>
    <w:rsid w:val="3B3763D1"/>
    <w:rsid w:val="3B44206B"/>
    <w:rsid w:val="3BA527DC"/>
    <w:rsid w:val="3C2F6E1E"/>
    <w:rsid w:val="3C4F64BA"/>
    <w:rsid w:val="3C565135"/>
    <w:rsid w:val="3CA20099"/>
    <w:rsid w:val="3CC95A83"/>
    <w:rsid w:val="3CDA245A"/>
    <w:rsid w:val="3D1E06B7"/>
    <w:rsid w:val="3D492856"/>
    <w:rsid w:val="3DA94DA5"/>
    <w:rsid w:val="3E0166E4"/>
    <w:rsid w:val="3ED00C3C"/>
    <w:rsid w:val="3ED50CA5"/>
    <w:rsid w:val="3EDA0523"/>
    <w:rsid w:val="3F1577C3"/>
    <w:rsid w:val="3F387BBE"/>
    <w:rsid w:val="3F731171"/>
    <w:rsid w:val="3F861032"/>
    <w:rsid w:val="40033BCA"/>
    <w:rsid w:val="407A6407"/>
    <w:rsid w:val="40823A4B"/>
    <w:rsid w:val="409206D4"/>
    <w:rsid w:val="40E86C69"/>
    <w:rsid w:val="41322CD6"/>
    <w:rsid w:val="413D2ADF"/>
    <w:rsid w:val="41DE0219"/>
    <w:rsid w:val="4200449D"/>
    <w:rsid w:val="423A3BCC"/>
    <w:rsid w:val="424E57D2"/>
    <w:rsid w:val="429C453B"/>
    <w:rsid w:val="42B26C49"/>
    <w:rsid w:val="42F25471"/>
    <w:rsid w:val="433A6FE6"/>
    <w:rsid w:val="43480868"/>
    <w:rsid w:val="4350713C"/>
    <w:rsid w:val="436653E0"/>
    <w:rsid w:val="43993404"/>
    <w:rsid w:val="43C4431A"/>
    <w:rsid w:val="440C6CDA"/>
    <w:rsid w:val="445B6297"/>
    <w:rsid w:val="44692B43"/>
    <w:rsid w:val="44B951CC"/>
    <w:rsid w:val="44CD14E0"/>
    <w:rsid w:val="44F20B0B"/>
    <w:rsid w:val="452E5F4C"/>
    <w:rsid w:val="45612018"/>
    <w:rsid w:val="458946E9"/>
    <w:rsid w:val="45A47C0E"/>
    <w:rsid w:val="46511479"/>
    <w:rsid w:val="46577FD6"/>
    <w:rsid w:val="468C0D6B"/>
    <w:rsid w:val="46D955A7"/>
    <w:rsid w:val="470F109A"/>
    <w:rsid w:val="47133957"/>
    <w:rsid w:val="4773105A"/>
    <w:rsid w:val="47A07E0C"/>
    <w:rsid w:val="4870272E"/>
    <w:rsid w:val="48961A2D"/>
    <w:rsid w:val="48F14EB5"/>
    <w:rsid w:val="494E032D"/>
    <w:rsid w:val="49A56C23"/>
    <w:rsid w:val="49DC7715"/>
    <w:rsid w:val="4A023139"/>
    <w:rsid w:val="4A145990"/>
    <w:rsid w:val="4A7B576F"/>
    <w:rsid w:val="4AF561A9"/>
    <w:rsid w:val="4B0B5A9F"/>
    <w:rsid w:val="4B2063F7"/>
    <w:rsid w:val="4B7D226C"/>
    <w:rsid w:val="4C4A0649"/>
    <w:rsid w:val="4C50123D"/>
    <w:rsid w:val="4C7E5ECA"/>
    <w:rsid w:val="4C876AA5"/>
    <w:rsid w:val="4C994935"/>
    <w:rsid w:val="4CCD6DA4"/>
    <w:rsid w:val="4D0E00FB"/>
    <w:rsid w:val="4D176606"/>
    <w:rsid w:val="4D791A46"/>
    <w:rsid w:val="4DEC4FB0"/>
    <w:rsid w:val="4E075D8A"/>
    <w:rsid w:val="4EC00FAD"/>
    <w:rsid w:val="4ED5361D"/>
    <w:rsid w:val="4F9843DC"/>
    <w:rsid w:val="4FC62A8C"/>
    <w:rsid w:val="4FE20F0D"/>
    <w:rsid w:val="4FE51552"/>
    <w:rsid w:val="4FFD6EE7"/>
    <w:rsid w:val="50276545"/>
    <w:rsid w:val="503A0A49"/>
    <w:rsid w:val="50504C4B"/>
    <w:rsid w:val="509C6E7C"/>
    <w:rsid w:val="50D4471D"/>
    <w:rsid w:val="5162104E"/>
    <w:rsid w:val="516C602E"/>
    <w:rsid w:val="51947B27"/>
    <w:rsid w:val="51993666"/>
    <w:rsid w:val="51D4457F"/>
    <w:rsid w:val="5229094F"/>
    <w:rsid w:val="52742237"/>
    <w:rsid w:val="53534049"/>
    <w:rsid w:val="53A039CC"/>
    <w:rsid w:val="53A1505A"/>
    <w:rsid w:val="53B81D3D"/>
    <w:rsid w:val="54063E08"/>
    <w:rsid w:val="543437E8"/>
    <w:rsid w:val="54F73313"/>
    <w:rsid w:val="54F80955"/>
    <w:rsid w:val="555170A7"/>
    <w:rsid w:val="5573265F"/>
    <w:rsid w:val="5587536D"/>
    <w:rsid w:val="559B174B"/>
    <w:rsid w:val="55CE0CF4"/>
    <w:rsid w:val="55FE17A0"/>
    <w:rsid w:val="5604091D"/>
    <w:rsid w:val="56B22A9C"/>
    <w:rsid w:val="56B65BA1"/>
    <w:rsid w:val="56F40656"/>
    <w:rsid w:val="57B72A76"/>
    <w:rsid w:val="57C3426C"/>
    <w:rsid w:val="57CE1F93"/>
    <w:rsid w:val="582034B0"/>
    <w:rsid w:val="583D5B72"/>
    <w:rsid w:val="588743D1"/>
    <w:rsid w:val="5887701A"/>
    <w:rsid w:val="589E6E07"/>
    <w:rsid w:val="58E3481A"/>
    <w:rsid w:val="59C0439F"/>
    <w:rsid w:val="59F80F96"/>
    <w:rsid w:val="5A310179"/>
    <w:rsid w:val="5A500422"/>
    <w:rsid w:val="5AB346C0"/>
    <w:rsid w:val="5ABE2233"/>
    <w:rsid w:val="5AE217A2"/>
    <w:rsid w:val="5B290F0D"/>
    <w:rsid w:val="5B2E7088"/>
    <w:rsid w:val="5BCD1080"/>
    <w:rsid w:val="5BDF5D95"/>
    <w:rsid w:val="5BFE7528"/>
    <w:rsid w:val="5C1821F2"/>
    <w:rsid w:val="5CB45706"/>
    <w:rsid w:val="5CED5A3A"/>
    <w:rsid w:val="5CF85DDE"/>
    <w:rsid w:val="5D6F6A48"/>
    <w:rsid w:val="5D7B514B"/>
    <w:rsid w:val="5DF75E81"/>
    <w:rsid w:val="5E2467F1"/>
    <w:rsid w:val="5EF57055"/>
    <w:rsid w:val="5F1A2B43"/>
    <w:rsid w:val="5FB837BB"/>
    <w:rsid w:val="5FE36598"/>
    <w:rsid w:val="5FF77E85"/>
    <w:rsid w:val="60433DF0"/>
    <w:rsid w:val="60CC405A"/>
    <w:rsid w:val="61192099"/>
    <w:rsid w:val="614D108B"/>
    <w:rsid w:val="61665FE8"/>
    <w:rsid w:val="61E215D8"/>
    <w:rsid w:val="621B3775"/>
    <w:rsid w:val="62364782"/>
    <w:rsid w:val="628D11A7"/>
    <w:rsid w:val="62966DA1"/>
    <w:rsid w:val="63216A4E"/>
    <w:rsid w:val="6394356A"/>
    <w:rsid w:val="63C61B2C"/>
    <w:rsid w:val="63D40BE9"/>
    <w:rsid w:val="64102431"/>
    <w:rsid w:val="6445282D"/>
    <w:rsid w:val="64A5243A"/>
    <w:rsid w:val="64A55079"/>
    <w:rsid w:val="64DA7823"/>
    <w:rsid w:val="64F531DE"/>
    <w:rsid w:val="65373578"/>
    <w:rsid w:val="656C666D"/>
    <w:rsid w:val="65857FA5"/>
    <w:rsid w:val="65982E30"/>
    <w:rsid w:val="65B64FAA"/>
    <w:rsid w:val="669E22DE"/>
    <w:rsid w:val="66E309FE"/>
    <w:rsid w:val="671F124A"/>
    <w:rsid w:val="677A33C6"/>
    <w:rsid w:val="679956AC"/>
    <w:rsid w:val="681F6961"/>
    <w:rsid w:val="68610A2F"/>
    <w:rsid w:val="68805514"/>
    <w:rsid w:val="68890C27"/>
    <w:rsid w:val="69316E2F"/>
    <w:rsid w:val="694E2071"/>
    <w:rsid w:val="69766163"/>
    <w:rsid w:val="697A3B33"/>
    <w:rsid w:val="69D44760"/>
    <w:rsid w:val="69EB6A56"/>
    <w:rsid w:val="6A126D43"/>
    <w:rsid w:val="6A520EC7"/>
    <w:rsid w:val="6A8032A9"/>
    <w:rsid w:val="6A955B90"/>
    <w:rsid w:val="6AC41FD2"/>
    <w:rsid w:val="6AF87E20"/>
    <w:rsid w:val="6B322639"/>
    <w:rsid w:val="6B787149"/>
    <w:rsid w:val="6C636C38"/>
    <w:rsid w:val="6CFC2947"/>
    <w:rsid w:val="6D2E5F19"/>
    <w:rsid w:val="6D7D5A70"/>
    <w:rsid w:val="6D7E290C"/>
    <w:rsid w:val="6DB22F7D"/>
    <w:rsid w:val="6DB34098"/>
    <w:rsid w:val="6DB545B6"/>
    <w:rsid w:val="6DB56CBE"/>
    <w:rsid w:val="6DCD7D1E"/>
    <w:rsid w:val="6DE02FB4"/>
    <w:rsid w:val="6E514CED"/>
    <w:rsid w:val="6EB563D5"/>
    <w:rsid w:val="6EC16F54"/>
    <w:rsid w:val="6ED92677"/>
    <w:rsid w:val="6F106319"/>
    <w:rsid w:val="6F225983"/>
    <w:rsid w:val="6F5355E0"/>
    <w:rsid w:val="6F6B2102"/>
    <w:rsid w:val="6FFC5590"/>
    <w:rsid w:val="70084795"/>
    <w:rsid w:val="703D5A84"/>
    <w:rsid w:val="706D1DD0"/>
    <w:rsid w:val="70856B87"/>
    <w:rsid w:val="70B16E53"/>
    <w:rsid w:val="70D527EE"/>
    <w:rsid w:val="70F93299"/>
    <w:rsid w:val="715B5300"/>
    <w:rsid w:val="71C56B17"/>
    <w:rsid w:val="71D27F8A"/>
    <w:rsid w:val="724B674C"/>
    <w:rsid w:val="72553024"/>
    <w:rsid w:val="72A66B8C"/>
    <w:rsid w:val="72BE482A"/>
    <w:rsid w:val="73090EC9"/>
    <w:rsid w:val="73122968"/>
    <w:rsid w:val="731F5D5E"/>
    <w:rsid w:val="737352E1"/>
    <w:rsid w:val="73B250BD"/>
    <w:rsid w:val="73BF41E9"/>
    <w:rsid w:val="73C51AD5"/>
    <w:rsid w:val="73E00C6A"/>
    <w:rsid w:val="73FB666E"/>
    <w:rsid w:val="741E793C"/>
    <w:rsid w:val="7441426D"/>
    <w:rsid w:val="7456135D"/>
    <w:rsid w:val="745E11B4"/>
    <w:rsid w:val="745E3944"/>
    <w:rsid w:val="75672F6D"/>
    <w:rsid w:val="7635099D"/>
    <w:rsid w:val="767B4B45"/>
    <w:rsid w:val="776E780F"/>
    <w:rsid w:val="77762421"/>
    <w:rsid w:val="77AF4184"/>
    <w:rsid w:val="77B56B1F"/>
    <w:rsid w:val="780F09F4"/>
    <w:rsid w:val="788806AD"/>
    <w:rsid w:val="789760C5"/>
    <w:rsid w:val="78A90480"/>
    <w:rsid w:val="794F3CD0"/>
    <w:rsid w:val="7A364017"/>
    <w:rsid w:val="7A684B7F"/>
    <w:rsid w:val="7A8265E1"/>
    <w:rsid w:val="7AB435EF"/>
    <w:rsid w:val="7AEC41A0"/>
    <w:rsid w:val="7B6408D0"/>
    <w:rsid w:val="7B686D42"/>
    <w:rsid w:val="7B841746"/>
    <w:rsid w:val="7BF5023D"/>
    <w:rsid w:val="7C153E54"/>
    <w:rsid w:val="7C6C5AC7"/>
    <w:rsid w:val="7CA73D53"/>
    <w:rsid w:val="7CC6544B"/>
    <w:rsid w:val="7CCB319D"/>
    <w:rsid w:val="7CF1040B"/>
    <w:rsid w:val="7D0239FF"/>
    <w:rsid w:val="7D423956"/>
    <w:rsid w:val="7D432D67"/>
    <w:rsid w:val="7D5E40CD"/>
    <w:rsid w:val="7DCD56F2"/>
    <w:rsid w:val="7E5D30B1"/>
    <w:rsid w:val="7E70077C"/>
    <w:rsid w:val="7F001CE7"/>
    <w:rsid w:val="7F06786B"/>
    <w:rsid w:val="7F9C41B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ocked="1"/>
    <w:lsdException w:qFormat="1" w:uiPriority="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qFormat="1" w:unhideWhenUsed="0" w:uiPriority="0" w:semiHidden="0" w:name="Block Text" w:locked="1"/>
    <w:lsdException w:qFormat="1" w:unhideWhenUsed="0" w:uiPriority="99"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uiPriority="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0" w:semiHidden="0" w:name="Table Grid"/>
    <w:lsdException w:uiPriority="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9">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4"/>
    <w:link w:val="57"/>
    <w:qFormat/>
    <w:locked/>
    <w:uiPriority w:val="0"/>
    <w:pPr>
      <w:spacing w:line="240" w:lineRule="atLeast"/>
      <w:ind w:firstLine="420" w:firstLineChars="200"/>
    </w:pPr>
    <w:rPr>
      <w:kern w:val="2"/>
      <w:sz w:val="21"/>
      <w:szCs w:val="24"/>
    </w:rPr>
  </w:style>
  <w:style w:type="paragraph" w:styleId="3">
    <w:name w:val="Body Text Indent"/>
    <w:basedOn w:val="1"/>
    <w:link w:val="37"/>
    <w:qFormat/>
    <w:uiPriority w:val="0"/>
    <w:pPr>
      <w:spacing w:after="120"/>
      <w:ind w:left="420" w:leftChars="200"/>
    </w:pPr>
    <w:rPr>
      <w:kern w:val="0"/>
      <w:sz w:val="24"/>
      <w:szCs w:val="20"/>
    </w:rPr>
  </w:style>
  <w:style w:type="paragraph" w:styleId="4">
    <w:name w:val="Body Text First Indent"/>
    <w:basedOn w:val="5"/>
    <w:next w:val="1"/>
    <w:qFormat/>
    <w:locked/>
    <w:uiPriority w:val="0"/>
    <w:pPr>
      <w:widowControl w:val="0"/>
      <w:snapToGrid/>
      <w:spacing w:before="0" w:after="120" w:line="240" w:lineRule="auto"/>
      <w:ind w:right="0" w:firstLine="420" w:firstLineChars="100"/>
    </w:pPr>
    <w:rPr>
      <w:rFonts w:ascii="宋体"/>
      <w:w w:val="95"/>
      <w:kern w:val="2"/>
      <w:sz w:val="21"/>
    </w:rPr>
  </w:style>
  <w:style w:type="paragraph" w:styleId="5">
    <w:name w:val="Body Text"/>
    <w:basedOn w:val="1"/>
    <w:next w:val="1"/>
    <w:link w:val="28"/>
    <w:qFormat/>
    <w:uiPriority w:val="0"/>
    <w:pPr>
      <w:widowControl/>
      <w:snapToGrid w:val="0"/>
      <w:spacing w:before="60" w:after="160" w:line="259" w:lineRule="auto"/>
      <w:ind w:right="113"/>
    </w:pPr>
    <w:rPr>
      <w:kern w:val="0"/>
      <w:sz w:val="18"/>
      <w:szCs w:val="20"/>
    </w:rPr>
  </w:style>
  <w:style w:type="paragraph" w:styleId="7">
    <w:name w:val="Normal Indent"/>
    <w:basedOn w:val="1"/>
    <w:qFormat/>
    <w:locked/>
    <w:uiPriority w:val="0"/>
    <w:pPr>
      <w:ind w:firstLine="420" w:firstLineChars="200"/>
    </w:pPr>
  </w:style>
  <w:style w:type="paragraph" w:styleId="8">
    <w:name w:val="Document Map"/>
    <w:basedOn w:val="1"/>
    <w:link w:val="40"/>
    <w:qFormat/>
    <w:locked/>
    <w:uiPriority w:val="0"/>
    <w:rPr>
      <w:rFonts w:ascii="宋体"/>
      <w:sz w:val="18"/>
      <w:szCs w:val="18"/>
    </w:rPr>
  </w:style>
  <w:style w:type="paragraph" w:styleId="9">
    <w:name w:val="annotation text"/>
    <w:basedOn w:val="1"/>
    <w:link w:val="29"/>
    <w:qFormat/>
    <w:uiPriority w:val="0"/>
    <w:pPr>
      <w:jc w:val="left"/>
    </w:pPr>
    <w:rPr>
      <w:kern w:val="0"/>
      <w:sz w:val="24"/>
      <w:szCs w:val="20"/>
    </w:rPr>
  </w:style>
  <w:style w:type="paragraph" w:styleId="10">
    <w:name w:val="Block Text"/>
    <w:basedOn w:val="1"/>
    <w:qFormat/>
    <w:locked/>
    <w:uiPriority w:val="0"/>
    <w:pPr>
      <w:adjustRightInd w:val="0"/>
      <w:snapToGrid w:val="0"/>
      <w:ind w:left="-108" w:right="-30"/>
      <w:jc w:val="center"/>
    </w:pPr>
    <w:rPr>
      <w:rFonts w:ascii="宋体"/>
      <w:sz w:val="24"/>
      <w:szCs w:val="28"/>
    </w:rPr>
  </w:style>
  <w:style w:type="paragraph" w:styleId="11">
    <w:name w:val="Date"/>
    <w:basedOn w:val="1"/>
    <w:next w:val="1"/>
    <w:link w:val="24"/>
    <w:qFormat/>
    <w:uiPriority w:val="0"/>
    <w:pPr>
      <w:ind w:left="100" w:leftChars="2500"/>
    </w:pPr>
    <w:rPr>
      <w:kern w:val="0"/>
      <w:sz w:val="24"/>
      <w:szCs w:val="20"/>
    </w:rPr>
  </w:style>
  <w:style w:type="paragraph" w:styleId="12">
    <w:name w:val="Balloon Text"/>
    <w:basedOn w:val="1"/>
    <w:link w:val="33"/>
    <w:semiHidden/>
    <w:qFormat/>
    <w:uiPriority w:val="99"/>
    <w:rPr>
      <w:kern w:val="0"/>
      <w:sz w:val="18"/>
      <w:szCs w:val="20"/>
    </w:rPr>
  </w:style>
  <w:style w:type="paragraph" w:styleId="13">
    <w:name w:val="footer"/>
    <w:basedOn w:val="1"/>
    <w:link w:val="23"/>
    <w:qFormat/>
    <w:uiPriority w:val="0"/>
    <w:pPr>
      <w:tabs>
        <w:tab w:val="center" w:pos="4153"/>
        <w:tab w:val="right" w:pos="8306"/>
      </w:tabs>
      <w:snapToGrid w:val="0"/>
      <w:jc w:val="left"/>
    </w:pPr>
    <w:rPr>
      <w:kern w:val="0"/>
      <w:sz w:val="18"/>
      <w:szCs w:val="20"/>
    </w:rPr>
  </w:style>
  <w:style w:type="paragraph" w:styleId="14">
    <w:name w:val="header"/>
    <w:basedOn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Normal (Web)"/>
    <w:basedOn w:val="1"/>
    <w:next w:val="1"/>
    <w:link w:val="26"/>
    <w:qFormat/>
    <w:uiPriority w:val="0"/>
    <w:pPr>
      <w:widowControl/>
      <w:spacing w:before="100" w:beforeAutospacing="1" w:after="100" w:afterAutospacing="1"/>
      <w:jc w:val="left"/>
    </w:pPr>
    <w:rPr>
      <w:rFonts w:ascii="宋体" w:hAnsi="宋体"/>
      <w:kern w:val="0"/>
      <w:sz w:val="24"/>
      <w:szCs w:val="20"/>
    </w:rPr>
  </w:style>
  <w:style w:type="paragraph" w:styleId="16">
    <w:name w:val="annotation subject"/>
    <w:basedOn w:val="9"/>
    <w:next w:val="9"/>
    <w:link w:val="34"/>
    <w:qFormat/>
    <w:uiPriority w:val="0"/>
    <w:rPr>
      <w:b/>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locked/>
    <w:uiPriority w:val="0"/>
  </w:style>
  <w:style w:type="character" w:styleId="21">
    <w:name w:val="Hyperlink"/>
    <w:qFormat/>
    <w:locked/>
    <w:uiPriority w:val="99"/>
    <w:rPr>
      <w:color w:val="0000FF"/>
      <w:u w:val="none"/>
    </w:rPr>
  </w:style>
  <w:style w:type="character" w:styleId="22">
    <w:name w:val="annotation reference"/>
    <w:semiHidden/>
    <w:qFormat/>
    <w:uiPriority w:val="0"/>
    <w:rPr>
      <w:sz w:val="21"/>
    </w:rPr>
  </w:style>
  <w:style w:type="character" w:customStyle="1" w:styleId="23">
    <w:name w:val="页脚 字符1"/>
    <w:link w:val="13"/>
    <w:qFormat/>
    <w:locked/>
    <w:uiPriority w:val="99"/>
    <w:rPr>
      <w:sz w:val="18"/>
    </w:rPr>
  </w:style>
  <w:style w:type="character" w:customStyle="1" w:styleId="24">
    <w:name w:val="日期 字符1"/>
    <w:link w:val="11"/>
    <w:qFormat/>
    <w:locked/>
    <w:uiPriority w:val="0"/>
    <w:rPr>
      <w:rFonts w:ascii="Times New Roman" w:hAnsi="Times New Roman" w:eastAsia="宋体"/>
      <w:sz w:val="24"/>
    </w:rPr>
  </w:style>
  <w:style w:type="character" w:customStyle="1" w:styleId="25">
    <w:name w:val="页脚 字符"/>
    <w:basedOn w:val="19"/>
    <w:qFormat/>
    <w:uiPriority w:val="0"/>
  </w:style>
  <w:style w:type="character" w:customStyle="1" w:styleId="26">
    <w:name w:val="普通(网站) 字符"/>
    <w:link w:val="15"/>
    <w:qFormat/>
    <w:locked/>
    <w:uiPriority w:val="0"/>
    <w:rPr>
      <w:rFonts w:ascii="宋体" w:hAnsi="宋体" w:eastAsia="宋体"/>
      <w:sz w:val="24"/>
    </w:rPr>
  </w:style>
  <w:style w:type="character" w:customStyle="1" w:styleId="27">
    <w:name w:val="正文文本 字符1"/>
    <w:semiHidden/>
    <w:qFormat/>
    <w:uiPriority w:val="0"/>
    <w:rPr>
      <w:rFonts w:ascii="Times New Roman" w:hAnsi="Times New Roman" w:eastAsia="宋体"/>
      <w:sz w:val="24"/>
    </w:rPr>
  </w:style>
  <w:style w:type="character" w:customStyle="1" w:styleId="28">
    <w:name w:val="正文文本 字符"/>
    <w:link w:val="5"/>
    <w:qFormat/>
    <w:locked/>
    <w:uiPriority w:val="0"/>
    <w:rPr>
      <w:sz w:val="18"/>
    </w:rPr>
  </w:style>
  <w:style w:type="character" w:customStyle="1" w:styleId="29">
    <w:name w:val="批注文字 字符"/>
    <w:link w:val="9"/>
    <w:qFormat/>
    <w:locked/>
    <w:uiPriority w:val="0"/>
    <w:rPr>
      <w:rFonts w:ascii="Times New Roman" w:hAnsi="Times New Roman" w:eastAsia="宋体"/>
      <w:sz w:val="24"/>
    </w:rPr>
  </w:style>
  <w:style w:type="character" w:customStyle="1" w:styleId="30">
    <w:name w:val="表格 Char"/>
    <w:link w:val="31"/>
    <w:qFormat/>
    <w:locked/>
    <w:uiPriority w:val="0"/>
    <w:rPr>
      <w:rFonts w:ascii="宋体"/>
      <w:sz w:val="21"/>
    </w:rPr>
  </w:style>
  <w:style w:type="paragraph" w:customStyle="1" w:styleId="31">
    <w:name w:val="表格"/>
    <w:basedOn w:val="1"/>
    <w:next w:val="1"/>
    <w:link w:val="30"/>
    <w:qFormat/>
    <w:uiPriority w:val="0"/>
    <w:pPr>
      <w:adjustRightInd w:val="0"/>
      <w:snapToGrid w:val="0"/>
      <w:spacing w:beforeLines="10" w:afterLines="10" w:line="259" w:lineRule="auto"/>
      <w:jc w:val="center"/>
    </w:pPr>
    <w:rPr>
      <w:rFonts w:ascii="宋体"/>
      <w:kern w:val="0"/>
      <w:szCs w:val="20"/>
    </w:rPr>
  </w:style>
  <w:style w:type="character" w:customStyle="1" w:styleId="32">
    <w:name w:val="日期 字符"/>
    <w:semiHidden/>
    <w:qFormat/>
    <w:uiPriority w:val="0"/>
    <w:rPr>
      <w:rFonts w:ascii="Times New Roman" w:hAnsi="Times New Roman" w:eastAsia="宋体"/>
      <w:sz w:val="24"/>
    </w:rPr>
  </w:style>
  <w:style w:type="character" w:customStyle="1" w:styleId="33">
    <w:name w:val="批注框文本 字符"/>
    <w:link w:val="12"/>
    <w:semiHidden/>
    <w:qFormat/>
    <w:locked/>
    <w:uiPriority w:val="99"/>
    <w:rPr>
      <w:rFonts w:ascii="Times New Roman" w:hAnsi="Times New Roman" w:eastAsia="宋体"/>
      <w:sz w:val="18"/>
    </w:rPr>
  </w:style>
  <w:style w:type="character" w:customStyle="1" w:styleId="34">
    <w:name w:val="批注主题 字符"/>
    <w:link w:val="16"/>
    <w:qFormat/>
    <w:locked/>
    <w:uiPriority w:val="0"/>
    <w:rPr>
      <w:rFonts w:ascii="Times New Roman" w:hAnsi="Times New Roman" w:eastAsia="宋体"/>
      <w:b/>
      <w:kern w:val="2"/>
      <w:sz w:val="24"/>
    </w:rPr>
  </w:style>
  <w:style w:type="character" w:customStyle="1" w:styleId="35">
    <w:name w:val="页眉 字符"/>
    <w:link w:val="14"/>
    <w:qFormat/>
    <w:locked/>
    <w:uiPriority w:val="0"/>
    <w:rPr>
      <w:sz w:val="18"/>
    </w:rPr>
  </w:style>
  <w:style w:type="character" w:customStyle="1" w:styleId="36">
    <w:name w:val="批注文字 字符1"/>
    <w:semiHidden/>
    <w:qFormat/>
    <w:uiPriority w:val="0"/>
    <w:rPr>
      <w:rFonts w:ascii="Times New Roman" w:hAnsi="Times New Roman" w:eastAsia="宋体"/>
      <w:sz w:val="24"/>
    </w:rPr>
  </w:style>
  <w:style w:type="character" w:customStyle="1" w:styleId="37">
    <w:name w:val="正文文本缩进 字符"/>
    <w:basedOn w:val="19"/>
    <w:link w:val="3"/>
    <w:semiHidden/>
    <w:qFormat/>
    <w:locked/>
    <w:uiPriority w:val="0"/>
    <w:rPr>
      <w:rFonts w:ascii="Times New Roman" w:hAnsi="Times New Roman" w:eastAsia="宋体"/>
      <w:sz w:val="24"/>
    </w:rPr>
  </w:style>
  <w:style w:type="paragraph" w:customStyle="1" w:styleId="3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0">
    <w:name w:val="文档结构图 字符"/>
    <w:basedOn w:val="19"/>
    <w:link w:val="8"/>
    <w:qFormat/>
    <w:uiPriority w:val="0"/>
    <w:rPr>
      <w:rFonts w:ascii="宋体"/>
      <w:kern w:val="2"/>
      <w:sz w:val="18"/>
      <w:szCs w:val="18"/>
    </w:rPr>
  </w:style>
  <w:style w:type="paragraph" w:styleId="41">
    <w:name w:val="List Paragraph"/>
    <w:basedOn w:val="1"/>
    <w:qFormat/>
    <w:uiPriority w:val="34"/>
    <w:pPr>
      <w:ind w:firstLine="420" w:firstLineChars="200"/>
    </w:pPr>
  </w:style>
  <w:style w:type="paragraph" w:customStyle="1" w:styleId="4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表头"/>
    <w:basedOn w:val="1"/>
    <w:next w:val="1"/>
    <w:qFormat/>
    <w:uiPriority w:val="0"/>
    <w:pPr>
      <w:adjustRightInd w:val="0"/>
      <w:snapToGrid w:val="0"/>
      <w:jc w:val="center"/>
    </w:pPr>
    <w:rPr>
      <w:b/>
      <w:kern w:val="0"/>
      <w:szCs w:val="21"/>
    </w:rPr>
  </w:style>
  <w:style w:type="character" w:styleId="44">
    <w:name w:val="Placeholder Text"/>
    <w:basedOn w:val="19"/>
    <w:semiHidden/>
    <w:qFormat/>
    <w:uiPriority w:val="99"/>
    <w:rPr>
      <w:color w:val="808080"/>
    </w:rPr>
  </w:style>
  <w:style w:type="character" w:customStyle="1" w:styleId="45">
    <w:name w:val="报告表正文 Char1"/>
    <w:link w:val="46"/>
    <w:qFormat/>
    <w:uiPriority w:val="0"/>
    <w:rPr>
      <w:rFonts w:eastAsia="Times New Roman" w:cs="宋体"/>
    </w:rPr>
  </w:style>
  <w:style w:type="paragraph" w:customStyle="1" w:styleId="46">
    <w:name w:val="报告表正文"/>
    <w:basedOn w:val="1"/>
    <w:link w:val="45"/>
    <w:qFormat/>
    <w:uiPriority w:val="0"/>
    <w:pPr>
      <w:wordWrap w:val="0"/>
      <w:topLinePunct/>
      <w:adjustRightInd w:val="0"/>
      <w:spacing w:line="360" w:lineRule="auto"/>
      <w:ind w:firstLine="488"/>
      <w:jc w:val="left"/>
      <w:textAlignment w:val="baseline"/>
    </w:pPr>
    <w:rPr>
      <w:rFonts w:eastAsia="Times New Roman" w:cs="宋体"/>
      <w:kern w:val="0"/>
      <w:sz w:val="20"/>
      <w:szCs w:val="20"/>
    </w:rPr>
  </w:style>
  <w:style w:type="character" w:customStyle="1" w:styleId="47">
    <w:name w:val="页眉或页脚 + 间距 0 pt"/>
    <w:qFormat/>
    <w:uiPriority w:val="0"/>
    <w:rPr>
      <w:rFonts w:hint="eastAsia" w:ascii="Batang" w:hAnsi="Batang" w:eastAsia="Batang" w:cs="Batang"/>
      <w:color w:val="000000"/>
      <w:spacing w:val="-4"/>
      <w:w w:val="100"/>
      <w:position w:val="0"/>
      <w:sz w:val="15"/>
      <w:szCs w:val="15"/>
      <w:u w:val="none"/>
      <w:lang w:val="zh-CN"/>
    </w:rPr>
  </w:style>
  <w:style w:type="character" w:customStyle="1" w:styleId="48">
    <w:name w:val="王五 Char"/>
    <w:link w:val="49"/>
    <w:qFormat/>
    <w:uiPriority w:val="0"/>
    <w:rPr>
      <w:sz w:val="24"/>
    </w:rPr>
  </w:style>
  <w:style w:type="paragraph" w:customStyle="1" w:styleId="49">
    <w:name w:val="王五"/>
    <w:basedOn w:val="1"/>
    <w:link w:val="48"/>
    <w:qFormat/>
    <w:uiPriority w:val="0"/>
    <w:pPr>
      <w:spacing w:line="360" w:lineRule="auto"/>
      <w:ind w:firstLine="200" w:firstLineChars="200"/>
      <w:jc w:val="left"/>
    </w:pPr>
    <w:rPr>
      <w:kern w:val="0"/>
      <w:sz w:val="24"/>
      <w:szCs w:val="20"/>
    </w:rPr>
  </w:style>
  <w:style w:type="character" w:customStyle="1" w:styleId="50">
    <w:name w:val="昆明中海正文 Char Char"/>
    <w:link w:val="51"/>
    <w:qFormat/>
    <w:locked/>
    <w:uiPriority w:val="0"/>
    <w:rPr>
      <w:rFonts w:ascii="宋体" w:hAnsi="宋体" w:cs="宋体"/>
      <w:bCs/>
      <w:spacing w:val="12"/>
      <w:sz w:val="24"/>
      <w:szCs w:val="24"/>
    </w:rPr>
  </w:style>
  <w:style w:type="paragraph" w:customStyle="1" w:styleId="51">
    <w:name w:val="昆明中海正文"/>
    <w:basedOn w:val="1"/>
    <w:link w:val="50"/>
    <w:qFormat/>
    <w:uiPriority w:val="0"/>
    <w:pPr>
      <w:snapToGrid w:val="0"/>
      <w:spacing w:line="360" w:lineRule="auto"/>
      <w:ind w:firstLine="567"/>
    </w:pPr>
    <w:rPr>
      <w:rFonts w:ascii="宋体" w:hAnsi="宋体" w:cs="宋体"/>
      <w:bCs/>
      <w:spacing w:val="12"/>
      <w:kern w:val="0"/>
      <w:sz w:val="24"/>
    </w:rPr>
  </w:style>
  <w:style w:type="character" w:customStyle="1" w:styleId="52">
    <w:name w:val="标题22 Char"/>
    <w:link w:val="53"/>
    <w:qFormat/>
    <w:uiPriority w:val="0"/>
    <w:rPr>
      <w:rFonts w:ascii="宋体" w:hAnsi="宋体"/>
      <w:b/>
      <w:kern w:val="2"/>
      <w:sz w:val="28"/>
      <w:szCs w:val="28"/>
    </w:rPr>
  </w:style>
  <w:style w:type="paragraph" w:customStyle="1" w:styleId="53">
    <w:name w:val="标题22"/>
    <w:basedOn w:val="1"/>
    <w:link w:val="52"/>
    <w:qFormat/>
    <w:uiPriority w:val="0"/>
    <w:pPr>
      <w:widowControl/>
      <w:spacing w:line="360" w:lineRule="auto"/>
      <w:outlineLvl w:val="1"/>
    </w:pPr>
    <w:rPr>
      <w:rFonts w:ascii="宋体" w:hAnsi="宋体"/>
      <w:b/>
      <w:sz w:val="28"/>
      <w:szCs w:val="28"/>
    </w:rPr>
  </w:style>
  <w:style w:type="paragraph" w:customStyle="1" w:styleId="54">
    <w:name w:val="_Style 52"/>
    <w:basedOn w:val="3"/>
    <w:next w:val="4"/>
    <w:link w:val="55"/>
    <w:qFormat/>
    <w:uiPriority w:val="0"/>
    <w:pPr>
      <w:spacing w:line="240" w:lineRule="atLeast"/>
      <w:ind w:firstLine="420" w:firstLineChars="200"/>
    </w:pPr>
    <w:rPr>
      <w:kern w:val="2"/>
      <w:sz w:val="21"/>
      <w:szCs w:val="24"/>
    </w:rPr>
  </w:style>
  <w:style w:type="character" w:customStyle="1" w:styleId="55">
    <w:name w:val="正文首行缩进 2 Char"/>
    <w:basedOn w:val="19"/>
    <w:link w:val="54"/>
    <w:qFormat/>
    <w:uiPriority w:val="0"/>
    <w:rPr>
      <w:rFonts w:ascii="Times New Roman" w:hAnsi="Times New Roman" w:eastAsia="宋体"/>
      <w:kern w:val="2"/>
      <w:sz w:val="21"/>
      <w:szCs w:val="24"/>
    </w:rPr>
  </w:style>
  <w:style w:type="character" w:customStyle="1" w:styleId="56">
    <w:name w:val="正文文本 Char1"/>
    <w:qFormat/>
    <w:uiPriority w:val="99"/>
    <w:rPr>
      <w:rFonts w:eastAsia="宋体"/>
      <w:kern w:val="2"/>
      <w:sz w:val="24"/>
      <w:szCs w:val="24"/>
      <w:lang w:val="en-US" w:eastAsia="zh-CN" w:bidi="ar-SA"/>
    </w:rPr>
  </w:style>
  <w:style w:type="character" w:customStyle="1" w:styleId="57">
    <w:name w:val="正文文本首行缩进 2 字符"/>
    <w:basedOn w:val="37"/>
    <w:link w:val="2"/>
    <w:qFormat/>
    <w:uiPriority w:val="0"/>
    <w:rPr>
      <w:kern w:val="2"/>
      <w:sz w:val="21"/>
      <w:szCs w:val="24"/>
    </w:rPr>
  </w:style>
  <w:style w:type="paragraph" w:customStyle="1" w:styleId="58">
    <w:name w:val="正文段落"/>
    <w:basedOn w:val="1"/>
    <w:qFormat/>
    <w:uiPriority w:val="0"/>
    <w:pPr>
      <w:spacing w:line="360" w:lineRule="auto"/>
      <w:ind w:firstLine="720" w:firstLineChars="200"/>
    </w:pPr>
    <w:rPr>
      <w:rFonts w:ascii="Times New Roman" w:hAnsi="Times New Roman"/>
      <w:sz w:val="24"/>
    </w:rPr>
  </w:style>
  <w:style w:type="paragraph" w:customStyle="1" w:styleId="59">
    <w:name w:val="表格标题"/>
    <w:basedOn w:val="60"/>
    <w:next w:val="1"/>
    <w:qFormat/>
    <w:uiPriority w:val="0"/>
    <w:pPr>
      <w:spacing w:line="240" w:lineRule="auto"/>
      <w:ind w:firstLine="0" w:firstLineChars="0"/>
      <w:jc w:val="center"/>
    </w:pPr>
    <w:rPr>
      <w:rFonts w:ascii="Times New Roman" w:hAnsi="Times New Roman"/>
      <w:b/>
      <w:sz w:val="24"/>
    </w:rPr>
  </w:style>
  <w:style w:type="paragraph" w:customStyle="1" w:styleId="60">
    <w:name w:val="文本"/>
    <w:basedOn w:val="1"/>
    <w:qFormat/>
    <w:uiPriority w:val="0"/>
    <w:pPr>
      <w:spacing w:line="360" w:lineRule="auto"/>
      <w:ind w:firstLine="480" w:firstLineChars="200"/>
    </w:pPr>
    <w:rPr>
      <w:sz w:val="24"/>
    </w:rPr>
  </w:style>
  <w:style w:type="paragraph" w:customStyle="1" w:styleId="61">
    <w:name w:val="表格首行"/>
    <w:basedOn w:val="1"/>
    <w:qFormat/>
    <w:uiPriority w:val="0"/>
    <w:pPr>
      <w:jc w:val="center"/>
    </w:pPr>
    <w:rPr>
      <w:rFonts w:ascii="Times New Roman"/>
      <w:b/>
    </w:rPr>
  </w:style>
  <w:style w:type="paragraph" w:customStyle="1" w:styleId="62">
    <w:name w:val="表格 短文本"/>
    <w:basedOn w:val="1"/>
    <w:qFormat/>
    <w:uiPriority w:val="0"/>
    <w:pPr>
      <w:jc w:val="center"/>
    </w:pPr>
    <w:rPr>
      <w:rFonts w:ascii="Times New Roman" w:hAnsi="Times New Roman"/>
    </w:rPr>
  </w:style>
  <w:style w:type="paragraph" w:customStyle="1" w:styleId="63">
    <w:name w:val="11"/>
    <w:basedOn w:val="5"/>
    <w:next w:val="10"/>
    <w:qFormat/>
    <w:uiPriority w:val="0"/>
    <w:pPr>
      <w:widowControl w:val="0"/>
      <w:autoSpaceDE w:val="0"/>
      <w:autoSpaceDN w:val="0"/>
      <w:adjustRightInd w:val="0"/>
      <w:snapToGrid/>
      <w:spacing w:before="20" w:after="0" w:line="360" w:lineRule="auto"/>
      <w:ind w:right="0" w:firstLine="1320" w:firstLineChars="550"/>
      <w:jc w:val="center"/>
      <w:textAlignment w:val="baseline"/>
    </w:pPr>
    <w:rPr>
      <w:rFonts w:ascii="Times New Roman" w:hAnsi="Times New Roman" w:eastAsia="宋体" w:cs="Times New Roman"/>
      <w:sz w:val="24"/>
      <w:szCs w:val="24"/>
    </w:rPr>
  </w:style>
  <w:style w:type="paragraph" w:customStyle="1" w:styleId="64">
    <w:name w:val="表格内容"/>
    <w:basedOn w:val="1"/>
    <w:qFormat/>
    <w:uiPriority w:val="0"/>
    <w:pPr>
      <w:adjustRightInd w:val="0"/>
      <w:snapToGrid w:val="0"/>
      <w:spacing w:before="100" w:beforeAutospacing="1"/>
      <w:ind w:hanging="40"/>
      <w:jc w:val="center"/>
    </w:pPr>
    <w:rPr>
      <w:rFonts w:ascii="宋体" w:hAnsi="宋体"/>
      <w:spacing w:val="8"/>
      <w:kern w:val="0"/>
      <w:sz w:val="24"/>
      <w:lang w:val="zh-CN"/>
    </w:rPr>
  </w:style>
  <w:style w:type="character" w:customStyle="1" w:styleId="65">
    <w:name w:val="15"/>
    <w:basedOn w:val="19"/>
    <w:qFormat/>
    <w:uiPriority w:val="0"/>
    <w:rPr>
      <w:rFonts w:hint="default" w:ascii="Batang" w:hAnsi="Batang" w:eastAsia="Batang" w:cs="Batang"/>
      <w:color w:val="000000"/>
      <w:spacing w:val="-4"/>
      <w:sz w:val="15"/>
      <w:szCs w:val="15"/>
    </w:rPr>
  </w:style>
  <w:style w:type="character" w:customStyle="1" w:styleId="66">
    <w:name w:val="表格 长文本 Char"/>
    <w:basedOn w:val="19"/>
    <w:link w:val="67"/>
    <w:qFormat/>
    <w:uiPriority w:val="0"/>
    <w:rPr>
      <w:kern w:val="2"/>
      <w:sz w:val="21"/>
      <w:szCs w:val="24"/>
    </w:rPr>
  </w:style>
  <w:style w:type="paragraph" w:customStyle="1" w:styleId="67">
    <w:name w:val="表格 长文本"/>
    <w:basedOn w:val="1"/>
    <w:link w:val="66"/>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4"/>
      <w:lang w:val="en-US" w:eastAsia="zh-CN" w:bidi="ar"/>
    </w:rPr>
  </w:style>
  <w:style w:type="paragraph" w:customStyle="1" w:styleId="68">
    <w:name w:val="正文标题"/>
    <w:basedOn w:val="59"/>
    <w:qFormat/>
    <w:uiPriority w:val="0"/>
    <w:pPr>
      <w:spacing w:line="360" w:lineRule="auto"/>
      <w:ind w:firstLine="0" w:firstLineChars="0"/>
      <w:jc w:val="left"/>
    </w:pPr>
  </w:style>
  <w:style w:type="paragraph" w:customStyle="1" w:styleId="69">
    <w:name w:val="ice表头"/>
    <w:basedOn w:val="1"/>
    <w:qFormat/>
    <w:uiPriority w:val="0"/>
    <w:pPr>
      <w:widowControl/>
      <w:spacing w:line="240" w:lineRule="auto"/>
      <w:ind w:firstLine="0" w:firstLineChars="0"/>
      <w:jc w:val="center"/>
      <w:outlineLvl w:val="4"/>
    </w:pPr>
    <w:rPr>
      <w:rFonts w:ascii="宋体" w:hAnsi="宋体" w:cs="宋体"/>
      <w:b/>
      <w:kern w:val="0"/>
      <w:szCs w:val="21"/>
    </w:rPr>
  </w:style>
  <w:style w:type="paragraph" w:customStyle="1" w:styleId="70">
    <w:name w:val="Table Paragraph"/>
    <w:basedOn w:val="1"/>
    <w:qFormat/>
    <w:uiPriority w:val="1"/>
    <w:pPr>
      <w:autoSpaceDE w:val="0"/>
      <w:autoSpaceDN w:val="0"/>
      <w:adjustRightInd w:val="0"/>
      <w:jc w:val="left"/>
    </w:pPr>
    <w:rPr>
      <w:kern w:val="0"/>
      <w:sz w:val="24"/>
    </w:rPr>
  </w:style>
  <w:style w:type="character" w:customStyle="1" w:styleId="71">
    <w:name w:val="font31"/>
    <w:basedOn w:val="19"/>
    <w:qFormat/>
    <w:uiPriority w:val="0"/>
    <w:rPr>
      <w:rFonts w:hint="default" w:ascii="Times New Roman" w:hAnsi="Times New Roman" w:cs="Times New Roman"/>
      <w:color w:val="0000FF"/>
      <w:sz w:val="21"/>
      <w:szCs w:val="21"/>
      <w:u w:val="none"/>
    </w:rPr>
  </w:style>
  <w:style w:type="character" w:customStyle="1" w:styleId="72">
    <w:name w:val="font41"/>
    <w:basedOn w:val="19"/>
    <w:qFormat/>
    <w:uiPriority w:val="0"/>
    <w:rPr>
      <w:rFonts w:hint="eastAsia" w:ascii="宋体" w:hAnsi="宋体" w:eastAsia="宋体" w:cs="宋体"/>
      <w:color w:val="0000FF"/>
      <w:sz w:val="21"/>
      <w:szCs w:val="21"/>
      <w:u w:val="none"/>
    </w:rPr>
  </w:style>
  <w:style w:type="paragraph" w:customStyle="1" w:styleId="73">
    <w:name w:val="表格文本 短"/>
    <w:basedOn w:val="1"/>
    <w:qFormat/>
    <w:uiPriority w:val="0"/>
    <w:pPr>
      <w:jc w:val="center"/>
    </w:pPr>
    <w:rPr>
      <w:bC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textRotate="1"/>
    <customShpInfo spid="_x0000_s2050" textRotate="1"/>
    <customShpInfo spid="_x0000_s1303"/>
    <customShpInfo spid="_x0000_s1301"/>
    <customShpInfo spid="_x0000_s130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97</Pages>
  <Words>140</Words>
  <Characters>167</Characters>
  <Lines>1</Lines>
  <Paragraphs>1</Paragraphs>
  <TotalTime>348</TotalTime>
  <ScaleCrop>false</ScaleCrop>
  <LinksUpToDate>false</LinksUpToDate>
  <CharactersWithSpaces>188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2022-07-17T10:59:00Z</dcterms:created>
  <dc:creator>lhj</dc:creator>
  <cp:lastModifiedBy>听潮</cp:lastModifiedBy>
  <cp:lastPrinted>2023-11-21T06:44:00Z</cp:lastPrinted>
  <dcterms:modified xsi:type="dcterms:W3CDTF">2024-12-16T07:19:50Z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A7A0B669C378478CB699BDAE1D78913D</vt:lpwstr>
  </property>
</Properties>
</file>