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8B488">
      <w:pPr>
        <w:rPr>
          <w:rFonts w:ascii="Arial" w:hAnsi="Arial" w:eastAsia="Arial" w:cs="Arial"/>
          <w:b/>
          <w:sz w:val="36"/>
        </w:rPr>
      </w:pPr>
      <w:bookmarkStart w:id="0" w:name="_GoBack"/>
      <w:bookmarkEnd w:id="0"/>
      <w:r>
        <w:rPr>
          <w:rFonts w:ascii="Arial" w:hAnsi="Arial" w:eastAsia="Arial" w:cs="Arial"/>
          <w:b/>
          <w:sz w:val="36"/>
        </w:rPr>
        <w:t>监督索引号53010300171200100000</w:t>
      </w:r>
    </w:p>
    <w:p w14:paraId="179BEF2A">
      <w:pPr>
        <w:widowControl w:val="0"/>
        <w:adjustRightInd/>
        <w:snapToGrid/>
        <w:spacing w:line="57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昆明市盘龙区青少年活动中心2024年预算公开目录</w:t>
      </w:r>
    </w:p>
    <w:p w14:paraId="59FC9709">
      <w:pPr>
        <w:widowControl w:val="0"/>
        <w:adjustRightInd/>
        <w:snapToGrid/>
        <w:spacing w:line="570" w:lineRule="exact"/>
        <w:rPr>
          <w:rFonts w:ascii="黑体" w:hAnsi="黑体" w:eastAsia="黑体"/>
          <w:sz w:val="32"/>
          <w:szCs w:val="32"/>
        </w:rPr>
      </w:pPr>
    </w:p>
    <w:p w14:paraId="7BD35CDF">
      <w:pPr>
        <w:widowControl w:val="0"/>
        <w:adjustRightInd/>
        <w:snapToGrid/>
        <w:spacing w:line="57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第一部分 </w:t>
      </w:r>
      <w:r>
        <w:rPr>
          <w:rFonts w:hint="eastAsia" w:ascii="黑体" w:hAnsi="黑体" w:eastAsia="黑体" w:cs="Times New Roman"/>
          <w:sz w:val="32"/>
          <w:szCs w:val="32"/>
        </w:rPr>
        <w:t>昆明市盘龙区青少年活动中心2024年</w:t>
      </w:r>
      <w:r>
        <w:rPr>
          <w:rFonts w:hint="eastAsia" w:ascii="黑体" w:hAnsi="黑体" w:eastAsia="黑体"/>
          <w:sz w:val="32"/>
          <w:szCs w:val="32"/>
        </w:rPr>
        <w:t>部门预算编制说明</w:t>
      </w:r>
    </w:p>
    <w:p w14:paraId="43D76DF2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一、基本职能及主要工作</w:t>
      </w:r>
    </w:p>
    <w:p w14:paraId="703A0ED3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二、预算单位基本情况</w:t>
      </w:r>
    </w:p>
    <w:p w14:paraId="76285D8A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三、预算单位收入情况</w:t>
      </w:r>
    </w:p>
    <w:p w14:paraId="73966E4E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四、预算单位支出情况</w:t>
      </w:r>
    </w:p>
    <w:p w14:paraId="2748ABF1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五、区对下专项转移支付情况</w:t>
      </w:r>
    </w:p>
    <w:p w14:paraId="2A70729A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六、政府采购预算情况</w:t>
      </w:r>
    </w:p>
    <w:p w14:paraId="74665BB7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七、部门“三公”经费增减变化情况及原因说明</w:t>
      </w:r>
    </w:p>
    <w:p w14:paraId="2BBB2781">
      <w:pPr>
        <w:adjustRightInd/>
        <w:snapToGrid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八、重点项目预算绩效目标情况</w:t>
      </w:r>
    </w:p>
    <w:p w14:paraId="102981B5">
      <w:pPr>
        <w:adjustRightInd/>
        <w:snapToGrid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九、其他公开信息</w:t>
      </w:r>
    </w:p>
    <w:p w14:paraId="381A60C2">
      <w:pPr>
        <w:widowControl w:val="0"/>
        <w:adjustRightInd/>
        <w:snapToGrid/>
        <w:spacing w:line="57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第二部分 昆明市盘龙区青少年活动中心2024年部门预算表</w:t>
      </w:r>
    </w:p>
    <w:p w14:paraId="3ADDD868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一、财务收支预算总表</w:t>
      </w:r>
    </w:p>
    <w:p w14:paraId="4435D58A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二、部门收入预算表</w:t>
      </w:r>
    </w:p>
    <w:p w14:paraId="5F772DE1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三、部门支出预算表</w:t>
      </w:r>
    </w:p>
    <w:p w14:paraId="1CE3AE8E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四、财政拨款收支预算总表</w:t>
      </w:r>
    </w:p>
    <w:p w14:paraId="397EDE3E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五、一般公共预算支出预算表（按功能科目分类）</w:t>
      </w:r>
    </w:p>
    <w:p w14:paraId="1974C60B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六、一般公共预算“三公”经费支出预算表</w:t>
      </w:r>
    </w:p>
    <w:p w14:paraId="54401F2B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七、部门基本支出预算表</w:t>
      </w:r>
    </w:p>
    <w:p w14:paraId="5268A331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八、部门项目支出预算表</w:t>
      </w:r>
    </w:p>
    <w:p w14:paraId="7D076724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九、项目支出绩效目标表</w:t>
      </w:r>
    </w:p>
    <w:p w14:paraId="73CD44AC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十、政府性基金预算支出预算表</w:t>
      </w:r>
    </w:p>
    <w:p w14:paraId="53BCEDF4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十一、部门政府采购预算表</w:t>
      </w:r>
    </w:p>
    <w:p w14:paraId="42DCB528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十二、政府购买服务预算表</w:t>
      </w:r>
    </w:p>
    <w:p w14:paraId="32A366E0">
      <w:pPr>
        <w:widowControl w:val="0"/>
        <w:adjustRightInd/>
        <w:snapToGrid/>
        <w:spacing w:line="57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十三、区对下转移支付预算表</w:t>
      </w:r>
    </w:p>
    <w:p w14:paraId="169AFB7B">
      <w:pPr>
        <w:widowControl w:val="0"/>
        <w:adjustRightInd/>
        <w:snapToGrid/>
        <w:spacing w:line="57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十四、区对下转移支付绩效目标表</w:t>
      </w:r>
    </w:p>
    <w:p w14:paraId="1EA875A1">
      <w:pPr>
        <w:widowControl w:val="0"/>
        <w:adjustRightInd/>
        <w:snapToGrid/>
        <w:spacing w:line="57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十五、新增资产配置表</w:t>
      </w:r>
    </w:p>
    <w:p w14:paraId="23C5089D">
      <w:pPr>
        <w:widowControl w:val="0"/>
        <w:adjustRightInd/>
        <w:snapToGrid/>
        <w:spacing w:line="57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十六、上级补助项目支出预算表</w:t>
      </w:r>
    </w:p>
    <w:p w14:paraId="6B194863">
      <w:pPr>
        <w:widowControl w:val="0"/>
        <w:adjustRightInd/>
        <w:snapToGrid/>
        <w:spacing w:line="57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十七、部门项目中期规划预算表</w:t>
      </w:r>
    </w:p>
    <w:p w14:paraId="635CFAB8">
      <w:pPr>
        <w:spacing w:line="220" w:lineRule="atLeast"/>
      </w:pPr>
    </w:p>
    <w:p w14:paraId="6E3D2944">
      <w:pPr>
        <w:adjustRightInd/>
        <w:spacing w:line="590" w:lineRule="exact"/>
        <w:ind w:firstLine="880" w:firstLineChars="200"/>
        <w:jc w:val="center"/>
        <w:rPr>
          <w:rFonts w:ascii="方正小标宋简体" w:eastAsia="方正小标宋简体" w:cs="Times New Roman"/>
          <w:sz w:val="44"/>
          <w:szCs w:val="44"/>
        </w:rPr>
      </w:pPr>
      <w:r>
        <w:rPr>
          <w:rFonts w:hint="eastAsia" w:ascii="方正小标宋简体" w:eastAsia="方正小标宋简体" w:cs="Times New Roman"/>
          <w:sz w:val="44"/>
          <w:szCs w:val="44"/>
        </w:rPr>
        <w:t>昆明市盘龙区青少年活动中心2024年部门预算编制说明</w:t>
      </w:r>
    </w:p>
    <w:p w14:paraId="0A239206">
      <w:pPr>
        <w:adjustRightInd/>
        <w:spacing w:line="590" w:lineRule="exact"/>
        <w:ind w:firstLine="720" w:firstLineChars="200"/>
        <w:jc w:val="center"/>
        <w:rPr>
          <w:rFonts w:ascii="方正小标宋简体" w:eastAsia="方正小标宋简体" w:cs="Times New Roman"/>
          <w:sz w:val="36"/>
          <w:szCs w:val="36"/>
        </w:rPr>
      </w:pPr>
    </w:p>
    <w:p w14:paraId="503AB461">
      <w:pPr>
        <w:adjustRightInd/>
        <w:spacing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一、基本职能及主要工作</w:t>
      </w:r>
    </w:p>
    <w:p w14:paraId="4C599A09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b/>
          <w:sz w:val="32"/>
          <w:szCs w:val="32"/>
        </w:rPr>
      </w:pPr>
      <w:r>
        <w:rPr>
          <w:rFonts w:hint="eastAsia" w:ascii="楷体_GB2312" w:eastAsia="楷体_GB2312" w:cs="Times New Roman"/>
          <w:sz w:val="32"/>
          <w:szCs w:val="32"/>
        </w:rPr>
        <w:t>（一）部门主要职责</w:t>
      </w:r>
    </w:p>
    <w:p w14:paraId="569404D1">
      <w:pPr>
        <w:pStyle w:val="4"/>
        <w:spacing w:before="75" w:beforeAutospacing="0" w:after="75" w:afterAutospacing="0"/>
        <w:ind w:firstLine="645"/>
        <w:rPr>
          <w:rFonts w:ascii="Arial" w:hAnsi="Arial" w:cs="Arial"/>
          <w:color w:val="000000"/>
          <w:sz w:val="21"/>
          <w:szCs w:val="21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盘龙区青少年活动中心属于校外教育机构，是差额拨款预算事业单位。地址位于盘龙江畔桃源街</w:t>
      </w:r>
      <w:r>
        <w:rPr>
          <w:rFonts w:ascii="Times New Roman" w:hAnsi="Times New Roman" w:cs="Times New Roman"/>
          <w:color w:val="000000"/>
          <w:sz w:val="32"/>
          <w:szCs w:val="32"/>
        </w:rPr>
        <w:t>97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号，是昆明市盘龙区政府投资千万元兴建的青少年活动中心，隶属共青团盘龙区委主管。建筑面积九千平方米，配有音乐厅、舞蹈排练厅、教室、体育休闲娱乐厅、办公写字间等,是社区内集文化教育、艺术培训、体育休闲娱乐为一体的青少年校外教育阵地及活动中心。</w:t>
      </w:r>
    </w:p>
    <w:p w14:paraId="47D5E183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hint="eastAsia" w:ascii="楷体_GB2312" w:eastAsia="楷体_GB2312" w:cs="Times New Roman"/>
          <w:sz w:val="32"/>
          <w:szCs w:val="32"/>
        </w:rPr>
        <w:t>（二）机构设置情况</w:t>
      </w:r>
    </w:p>
    <w:p w14:paraId="1039EC1F">
      <w:pPr>
        <w:adjustRightInd/>
        <w:spacing w:line="59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我部门共设置5个内设机构，包括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以下业务部门：主任办公室、行政办公室、财务科、总务科、教务活动科。上级主管单位：共青团盘龙区委。所属单位0个。</w:t>
      </w:r>
    </w:p>
    <w:p w14:paraId="6E3577C0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ascii="楷体_GB2312" w:eastAsia="楷体_GB2312" w:cs="Times New Roman"/>
          <w:sz w:val="32"/>
          <w:szCs w:val="32"/>
        </w:rPr>
        <w:t>（</w:t>
      </w:r>
      <w:r>
        <w:rPr>
          <w:rFonts w:hint="eastAsia" w:ascii="楷体_GB2312" w:eastAsia="楷体_GB2312" w:cs="Times New Roman"/>
          <w:sz w:val="32"/>
          <w:szCs w:val="32"/>
        </w:rPr>
        <w:t>三</w:t>
      </w:r>
      <w:r>
        <w:rPr>
          <w:rFonts w:ascii="楷体_GB2312" w:eastAsia="楷体_GB2312" w:cs="Times New Roman"/>
          <w:sz w:val="32"/>
          <w:szCs w:val="32"/>
        </w:rPr>
        <w:t>）重点工作概述</w:t>
      </w:r>
    </w:p>
    <w:p w14:paraId="1C328231">
      <w:pPr>
        <w:adjustRightInd/>
        <w:spacing w:line="590" w:lineRule="exact"/>
        <w:ind w:firstLine="640" w:firstLineChars="200"/>
        <w:jc w:val="both"/>
        <w:rPr>
          <w:rFonts w:ascii="仿宋_GB2312" w:hAnsi="Arial" w:eastAsia="仿宋_GB2312" w:cs="Arial"/>
          <w:color w:val="00000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努力打造成为盘龙区内集文化教育、艺术培训、体育休闲娱乐为一体的青少年校外教育阵地及活动中心。秉承“团结、引导、教育、服务广大青少年”的办公宗旨，努力构建系统规范、综合多元、强强联手的培训体系。</w:t>
      </w:r>
    </w:p>
    <w:p w14:paraId="69FD82DD">
      <w:pPr>
        <w:adjustRightInd/>
        <w:spacing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二、预算单位基本情况</w:t>
      </w:r>
    </w:p>
    <w:p w14:paraId="45C45704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我部门编制</w:t>
      </w:r>
      <w:r>
        <w:rPr>
          <w:rFonts w:hint="eastAsia" w:eastAsia="仿宋_GB2312"/>
          <w:sz w:val="32"/>
          <w:szCs w:val="32"/>
        </w:rPr>
        <w:t>2024</w:t>
      </w:r>
      <w:r>
        <w:rPr>
          <w:rFonts w:eastAsia="仿宋_GB2312"/>
          <w:sz w:val="32"/>
          <w:szCs w:val="32"/>
        </w:rPr>
        <w:t>年部门预算单位共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个。其中：财政</w:t>
      </w:r>
      <w:r>
        <w:rPr>
          <w:rFonts w:hint="eastAsia" w:eastAsia="仿宋_GB2312"/>
          <w:sz w:val="32"/>
          <w:szCs w:val="32"/>
        </w:rPr>
        <w:t>全额</w:t>
      </w:r>
      <w:r>
        <w:rPr>
          <w:rFonts w:eastAsia="仿宋_GB2312"/>
          <w:sz w:val="32"/>
          <w:szCs w:val="32"/>
        </w:rPr>
        <w:t>供给单位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个</w:t>
      </w:r>
      <w:r>
        <w:rPr>
          <w:rFonts w:hint="eastAsia" w:eastAsia="仿宋_GB2312"/>
          <w:sz w:val="32"/>
          <w:szCs w:val="32"/>
        </w:rPr>
        <w:t>、差额</w:t>
      </w:r>
      <w:r>
        <w:rPr>
          <w:rFonts w:eastAsia="仿宋_GB2312"/>
          <w:sz w:val="32"/>
          <w:szCs w:val="32"/>
        </w:rPr>
        <w:t>供给单位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个</w:t>
      </w:r>
      <w:r>
        <w:rPr>
          <w:rFonts w:hint="eastAsia" w:eastAsia="仿宋_GB2312"/>
          <w:sz w:val="32"/>
          <w:szCs w:val="32"/>
        </w:rPr>
        <w:t>、定额补助</w:t>
      </w:r>
      <w:r>
        <w:rPr>
          <w:rFonts w:eastAsia="仿宋_GB2312"/>
          <w:sz w:val="32"/>
          <w:szCs w:val="32"/>
        </w:rPr>
        <w:t>单位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个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自收自支单位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个。财政</w:t>
      </w:r>
      <w:r>
        <w:rPr>
          <w:rFonts w:hint="eastAsia" w:eastAsia="仿宋_GB2312"/>
          <w:sz w:val="32"/>
          <w:szCs w:val="32"/>
        </w:rPr>
        <w:t>全额</w:t>
      </w:r>
      <w:r>
        <w:rPr>
          <w:rFonts w:eastAsia="仿宋_GB2312"/>
          <w:sz w:val="32"/>
          <w:szCs w:val="32"/>
        </w:rPr>
        <w:t>供给单位中行政单位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个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参公单位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个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事业单位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个。</w:t>
      </w:r>
      <w:r>
        <w:rPr>
          <w:rFonts w:hint="eastAsia" w:eastAsia="仿宋_GB2312"/>
          <w:sz w:val="32"/>
          <w:szCs w:val="32"/>
          <w:lang w:eastAsia="zh-CN"/>
        </w:rPr>
        <w:t>截至</w:t>
      </w:r>
      <w:r>
        <w:rPr>
          <w:rFonts w:hint="eastAsia" w:eastAsia="仿宋_GB2312"/>
          <w:sz w:val="32"/>
          <w:szCs w:val="32"/>
        </w:rPr>
        <w:t>2023</w:t>
      </w:r>
      <w:r>
        <w:rPr>
          <w:rFonts w:eastAsia="仿宋_GB2312"/>
          <w:sz w:val="32"/>
          <w:szCs w:val="32"/>
        </w:rPr>
        <w:t>年12月统计，部门基本情况如下：</w:t>
      </w:r>
    </w:p>
    <w:p w14:paraId="60604D8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在职人员编制</w:t>
      </w:r>
      <w:r>
        <w:rPr>
          <w:rFonts w:hint="eastAsia" w:eastAsia="仿宋_GB2312"/>
          <w:sz w:val="32"/>
          <w:szCs w:val="32"/>
        </w:rPr>
        <w:t>17</w:t>
      </w:r>
      <w:r>
        <w:rPr>
          <w:rFonts w:eastAsia="仿宋_GB2312"/>
          <w:sz w:val="32"/>
          <w:szCs w:val="32"/>
        </w:rPr>
        <w:t>人，其中：行政编制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人，</w:t>
      </w:r>
      <w:r>
        <w:rPr>
          <w:rFonts w:hint="eastAsia" w:eastAsia="仿宋_GB2312"/>
          <w:sz w:val="32"/>
          <w:szCs w:val="32"/>
        </w:rPr>
        <w:t>工勤人员编制0</w:t>
      </w:r>
      <w:r>
        <w:rPr>
          <w:rFonts w:eastAsia="仿宋_GB2312"/>
          <w:sz w:val="32"/>
          <w:szCs w:val="32"/>
        </w:rPr>
        <w:t>人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事业编制</w:t>
      </w:r>
      <w:r>
        <w:rPr>
          <w:rFonts w:hint="eastAsia" w:eastAsia="仿宋_GB2312"/>
          <w:sz w:val="32"/>
          <w:szCs w:val="32"/>
        </w:rPr>
        <w:t>17</w:t>
      </w:r>
      <w:r>
        <w:rPr>
          <w:rFonts w:eastAsia="仿宋_GB2312"/>
          <w:sz w:val="32"/>
          <w:szCs w:val="32"/>
        </w:rPr>
        <w:t>人。在职实有</w:t>
      </w:r>
      <w:r>
        <w:rPr>
          <w:rFonts w:hint="eastAsia" w:eastAsia="仿宋_GB2312"/>
          <w:sz w:val="32"/>
          <w:szCs w:val="32"/>
        </w:rPr>
        <w:t>13</w:t>
      </w:r>
      <w:r>
        <w:rPr>
          <w:rFonts w:eastAsia="仿宋_GB2312"/>
          <w:sz w:val="32"/>
          <w:szCs w:val="32"/>
        </w:rPr>
        <w:t>人，其中： 财政</w:t>
      </w:r>
      <w:r>
        <w:rPr>
          <w:rFonts w:hint="eastAsia" w:eastAsia="仿宋_GB2312"/>
          <w:sz w:val="32"/>
          <w:szCs w:val="32"/>
        </w:rPr>
        <w:t>全额保障0</w:t>
      </w:r>
      <w:r>
        <w:rPr>
          <w:rFonts w:eastAsia="仿宋_GB2312"/>
          <w:sz w:val="32"/>
          <w:szCs w:val="32"/>
        </w:rPr>
        <w:t>人，财政</w:t>
      </w:r>
      <w:r>
        <w:rPr>
          <w:rFonts w:hint="eastAsia" w:eastAsia="仿宋_GB2312"/>
          <w:sz w:val="32"/>
          <w:szCs w:val="32"/>
        </w:rPr>
        <w:t>差额补助13</w:t>
      </w:r>
      <w:r>
        <w:rPr>
          <w:rFonts w:eastAsia="仿宋_GB2312"/>
          <w:sz w:val="32"/>
          <w:szCs w:val="32"/>
        </w:rPr>
        <w:t>人，</w:t>
      </w:r>
      <w:r>
        <w:rPr>
          <w:rFonts w:hint="eastAsia" w:eastAsia="仿宋_GB2312"/>
          <w:sz w:val="32"/>
          <w:szCs w:val="32"/>
        </w:rPr>
        <w:t>财政专户资金、单位资金保障0</w:t>
      </w:r>
      <w:r>
        <w:rPr>
          <w:rFonts w:eastAsia="仿宋_GB2312"/>
          <w:sz w:val="32"/>
          <w:szCs w:val="32"/>
        </w:rPr>
        <w:t>人。</w:t>
      </w:r>
    </w:p>
    <w:p w14:paraId="0C3C4D4E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离退休人员 </w:t>
      </w:r>
      <w:r>
        <w:rPr>
          <w:rFonts w:hint="eastAsia" w:eastAsia="仿宋_GB2312"/>
          <w:sz w:val="32"/>
          <w:szCs w:val="32"/>
        </w:rPr>
        <w:t>13</w:t>
      </w:r>
      <w:r>
        <w:rPr>
          <w:rFonts w:eastAsia="仿宋_GB2312"/>
          <w:sz w:val="32"/>
          <w:szCs w:val="32"/>
        </w:rPr>
        <w:t xml:space="preserve">人，其中： 离休 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 xml:space="preserve">人，退休 </w:t>
      </w:r>
      <w:r>
        <w:rPr>
          <w:rFonts w:hint="eastAsia" w:eastAsia="仿宋_GB2312"/>
          <w:sz w:val="32"/>
          <w:szCs w:val="32"/>
        </w:rPr>
        <w:t>13</w:t>
      </w:r>
      <w:r>
        <w:rPr>
          <w:rFonts w:eastAsia="仿宋_GB2312"/>
          <w:sz w:val="32"/>
          <w:szCs w:val="32"/>
        </w:rPr>
        <w:t>人。</w:t>
      </w:r>
    </w:p>
    <w:p w14:paraId="0C6FE750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车辆编制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辆，实有车辆</w:t>
      </w:r>
      <w:r>
        <w:rPr>
          <w:rFonts w:hint="eastAsia"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辆</w:t>
      </w:r>
      <w:r>
        <w:rPr>
          <w:rFonts w:hint="eastAsia" w:eastAsia="仿宋_GB2312"/>
          <w:sz w:val="32"/>
          <w:szCs w:val="32"/>
        </w:rPr>
        <w:t>，超编车辆0辆</w:t>
      </w:r>
      <w:r>
        <w:rPr>
          <w:rFonts w:eastAsia="仿宋_GB2312"/>
          <w:sz w:val="32"/>
          <w:szCs w:val="32"/>
        </w:rPr>
        <w:t>。</w:t>
      </w:r>
    </w:p>
    <w:p w14:paraId="21F42302">
      <w:pPr>
        <w:adjustRightInd/>
        <w:spacing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三、预算单位收入情况</w:t>
      </w:r>
    </w:p>
    <w:p w14:paraId="32FEC525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ascii="楷体_GB2312" w:eastAsia="楷体_GB2312" w:cs="Times New Roman"/>
          <w:sz w:val="32"/>
          <w:szCs w:val="32"/>
        </w:rPr>
        <w:t>（一）部门财务收入情况</w:t>
      </w:r>
    </w:p>
    <w:p w14:paraId="2348E041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2024</w:t>
      </w:r>
      <w:r>
        <w:rPr>
          <w:rFonts w:eastAsia="仿宋_GB2312" w:cs="Times New Roman"/>
          <w:sz w:val="32"/>
          <w:szCs w:val="32"/>
        </w:rPr>
        <w:t>年部门财务总收入</w:t>
      </w:r>
      <w:r>
        <w:rPr>
          <w:rFonts w:hint="eastAsia" w:eastAsia="仿宋_GB2312" w:cs="Times New Roman"/>
          <w:sz w:val="32"/>
          <w:szCs w:val="32"/>
        </w:rPr>
        <w:t>617.92</w:t>
      </w:r>
      <w:r>
        <w:rPr>
          <w:rFonts w:eastAsia="仿宋_GB2312" w:cs="Times New Roman"/>
          <w:sz w:val="32"/>
          <w:szCs w:val="32"/>
        </w:rPr>
        <w:t>万元，其中：一般公共预算</w:t>
      </w:r>
      <w:r>
        <w:rPr>
          <w:rFonts w:hint="eastAsia" w:eastAsia="仿宋_GB2312" w:cs="Times New Roman"/>
          <w:sz w:val="32"/>
          <w:szCs w:val="32"/>
        </w:rPr>
        <w:t>113.24</w:t>
      </w:r>
      <w:r>
        <w:rPr>
          <w:rFonts w:eastAsia="仿宋_GB2312" w:cs="Times New Roman"/>
          <w:sz w:val="32"/>
          <w:szCs w:val="32"/>
        </w:rPr>
        <w:t>万元，政府性基金</w:t>
      </w:r>
      <w:r>
        <w:rPr>
          <w:rFonts w:hint="eastAsia" w:eastAsia="仿宋_GB2312" w:cs="Times New Roman"/>
          <w:sz w:val="32"/>
          <w:szCs w:val="32"/>
        </w:rPr>
        <w:t>0</w:t>
      </w:r>
      <w:r>
        <w:rPr>
          <w:rFonts w:eastAsia="仿宋_GB2312" w:cs="Times New Roman"/>
          <w:sz w:val="32"/>
          <w:szCs w:val="32"/>
        </w:rPr>
        <w:t>万元，国有资本经营</w:t>
      </w:r>
      <w:r>
        <w:rPr>
          <w:rFonts w:hint="eastAsia" w:eastAsia="仿宋_GB2312" w:cs="Times New Roman"/>
          <w:sz w:val="32"/>
          <w:szCs w:val="32"/>
        </w:rPr>
        <w:t>收益0.00</w:t>
      </w:r>
      <w:r>
        <w:rPr>
          <w:rFonts w:eastAsia="仿宋_GB2312" w:cs="Times New Roman"/>
          <w:sz w:val="32"/>
          <w:szCs w:val="32"/>
        </w:rPr>
        <w:t>万元，</w:t>
      </w:r>
      <w:r>
        <w:rPr>
          <w:rFonts w:hint="eastAsia" w:eastAsia="仿宋_GB2312" w:cs="Times New Roman"/>
          <w:sz w:val="32"/>
          <w:szCs w:val="32"/>
        </w:rPr>
        <w:t>财政专户管理资金收入0.00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，</w:t>
      </w:r>
      <w:r>
        <w:rPr>
          <w:rFonts w:eastAsia="仿宋_GB2312" w:cs="Times New Roman"/>
          <w:sz w:val="32"/>
          <w:szCs w:val="32"/>
        </w:rPr>
        <w:t>事业收入</w:t>
      </w:r>
      <w:r>
        <w:rPr>
          <w:rFonts w:hint="eastAsia" w:eastAsia="仿宋_GB2312" w:cs="Times New Roman"/>
          <w:sz w:val="32"/>
          <w:szCs w:val="32"/>
        </w:rPr>
        <w:t>504.68</w:t>
      </w:r>
      <w:r>
        <w:rPr>
          <w:rFonts w:eastAsia="仿宋_GB2312" w:cs="Times New Roman"/>
          <w:sz w:val="32"/>
          <w:szCs w:val="32"/>
        </w:rPr>
        <w:t>万元，事业单位经营收入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，上级补助收入0.00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，附属单位上缴收入0.00</w:t>
      </w:r>
      <w:r>
        <w:rPr>
          <w:rFonts w:eastAsia="仿宋_GB2312" w:cs="Times New Roman"/>
          <w:sz w:val="32"/>
          <w:szCs w:val="32"/>
        </w:rPr>
        <w:t>万元，其他收入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万元。</w:t>
      </w:r>
    </w:p>
    <w:p w14:paraId="52293887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与上年对比财务收入增加29.29万元，主要原因为：增加</w:t>
      </w:r>
      <w:r>
        <w:rPr>
          <w:rFonts w:eastAsia="仿宋_GB2312" w:cs="Times New Roman"/>
          <w:sz w:val="32"/>
          <w:szCs w:val="32"/>
        </w:rPr>
        <w:t>事业收入</w:t>
      </w:r>
      <w:r>
        <w:rPr>
          <w:rFonts w:hint="eastAsia" w:eastAsia="仿宋_GB2312" w:cs="Times New Roman"/>
          <w:sz w:val="32"/>
          <w:szCs w:val="32"/>
        </w:rPr>
        <w:t>37.50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,用于培训业务环境的升级改善。</w:t>
      </w:r>
    </w:p>
    <w:p w14:paraId="6249CD21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ascii="楷体_GB2312" w:eastAsia="楷体_GB2312" w:cs="Times New Roman"/>
          <w:sz w:val="32"/>
          <w:szCs w:val="32"/>
        </w:rPr>
        <w:t>（二）财政拨款收入情况</w:t>
      </w:r>
    </w:p>
    <w:p w14:paraId="694B821E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2024</w:t>
      </w:r>
      <w:r>
        <w:rPr>
          <w:rFonts w:eastAsia="仿宋_GB2312" w:cs="Times New Roman"/>
          <w:sz w:val="32"/>
          <w:szCs w:val="32"/>
        </w:rPr>
        <w:t>年部门财政拨款收入</w:t>
      </w:r>
      <w:r>
        <w:rPr>
          <w:rFonts w:hint="eastAsia" w:eastAsia="仿宋_GB2312" w:cs="Times New Roman"/>
          <w:sz w:val="32"/>
          <w:szCs w:val="32"/>
        </w:rPr>
        <w:t>113.24</w:t>
      </w:r>
      <w:r>
        <w:rPr>
          <w:rFonts w:eastAsia="仿宋_GB2312" w:cs="Times New Roman"/>
          <w:sz w:val="32"/>
          <w:szCs w:val="32"/>
        </w:rPr>
        <w:t>万元，其中:本年收入</w:t>
      </w:r>
      <w:r>
        <w:rPr>
          <w:rFonts w:hint="eastAsia" w:eastAsia="仿宋_GB2312" w:cs="Times New Roman"/>
          <w:sz w:val="32"/>
          <w:szCs w:val="32"/>
        </w:rPr>
        <w:t>113.24</w:t>
      </w:r>
      <w:r>
        <w:rPr>
          <w:rFonts w:eastAsia="仿宋_GB2312" w:cs="Times New Roman"/>
          <w:sz w:val="32"/>
          <w:szCs w:val="32"/>
        </w:rPr>
        <w:t>万元，上年结转</w:t>
      </w:r>
      <w:r>
        <w:rPr>
          <w:rFonts w:hint="eastAsia" w:eastAsia="仿宋_GB2312" w:cs="Times New Roman"/>
          <w:sz w:val="32"/>
          <w:szCs w:val="32"/>
        </w:rPr>
        <w:t>收入0</w:t>
      </w:r>
      <w:r>
        <w:rPr>
          <w:rFonts w:eastAsia="仿宋_GB2312" w:cs="Times New Roman"/>
          <w:sz w:val="32"/>
          <w:szCs w:val="32"/>
        </w:rPr>
        <w:t>万元。本年收入中，一般公共预算财政拨款</w:t>
      </w:r>
      <w:r>
        <w:rPr>
          <w:rFonts w:hint="eastAsia" w:eastAsia="仿宋_GB2312" w:cs="Times New Roman"/>
          <w:sz w:val="32"/>
          <w:szCs w:val="32"/>
        </w:rPr>
        <w:t>113.24</w:t>
      </w:r>
      <w:r>
        <w:rPr>
          <w:rFonts w:eastAsia="仿宋_GB2312" w:cs="Times New Roman"/>
          <w:sz w:val="32"/>
          <w:szCs w:val="32"/>
        </w:rPr>
        <w:t>万元，政府性基金</w:t>
      </w:r>
      <w:r>
        <w:rPr>
          <w:rFonts w:hint="eastAsia" w:eastAsia="仿宋_GB2312" w:cs="Times New Roman"/>
          <w:sz w:val="32"/>
          <w:szCs w:val="32"/>
        </w:rPr>
        <w:t>预算</w:t>
      </w:r>
      <w:r>
        <w:rPr>
          <w:rFonts w:eastAsia="仿宋_GB2312" w:cs="Times New Roman"/>
          <w:sz w:val="32"/>
          <w:szCs w:val="32"/>
        </w:rPr>
        <w:t>财政拨款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万元，国有资本经营</w:t>
      </w:r>
      <w:r>
        <w:rPr>
          <w:rFonts w:hint="eastAsia" w:eastAsia="仿宋_GB2312" w:cs="Times New Roman"/>
          <w:sz w:val="32"/>
          <w:szCs w:val="32"/>
        </w:rPr>
        <w:t>收益</w:t>
      </w:r>
      <w:r>
        <w:rPr>
          <w:rFonts w:eastAsia="仿宋_GB2312" w:cs="Times New Roman"/>
          <w:sz w:val="32"/>
          <w:szCs w:val="32"/>
        </w:rPr>
        <w:t>财政拨款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万元。</w:t>
      </w:r>
    </w:p>
    <w:p w14:paraId="101E09B7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与上年对比</w:t>
      </w:r>
      <w:r>
        <w:rPr>
          <w:rFonts w:eastAsia="仿宋_GB2312" w:cs="Times New Roman"/>
          <w:sz w:val="32"/>
          <w:szCs w:val="32"/>
        </w:rPr>
        <w:t>财政拨款收入</w:t>
      </w:r>
      <w:r>
        <w:rPr>
          <w:rFonts w:hint="eastAsia" w:eastAsia="仿宋_GB2312" w:cs="Times New Roman"/>
          <w:sz w:val="32"/>
          <w:szCs w:val="32"/>
        </w:rPr>
        <w:t>减少8.22万元，主要原因为单位退休人员增加，在职人员减少，财政部门负担差额部分补助经费减少，减少了</w:t>
      </w:r>
      <w:r>
        <w:rPr>
          <w:rFonts w:eastAsia="仿宋_GB2312" w:cs="Times New Roman"/>
          <w:sz w:val="32"/>
          <w:szCs w:val="32"/>
        </w:rPr>
        <w:t>预算</w:t>
      </w:r>
      <w:r>
        <w:rPr>
          <w:rFonts w:hint="eastAsia" w:eastAsia="仿宋_GB2312" w:cs="Times New Roman"/>
          <w:sz w:val="32"/>
          <w:szCs w:val="32"/>
        </w:rPr>
        <w:t>一般公共预算收入拨付。</w:t>
      </w:r>
    </w:p>
    <w:p w14:paraId="363DF5D3">
      <w:pPr>
        <w:numPr>
          <w:ilvl w:val="0"/>
          <w:numId w:val="1"/>
        </w:numPr>
        <w:adjustRightInd/>
        <w:snapToGrid/>
        <w:spacing w:after="0"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预算单位支出情况</w:t>
      </w:r>
    </w:p>
    <w:p w14:paraId="4853F404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2024</w:t>
      </w:r>
      <w:r>
        <w:rPr>
          <w:rFonts w:eastAsia="仿宋_GB2312" w:cs="Times New Roman"/>
          <w:sz w:val="32"/>
          <w:szCs w:val="32"/>
        </w:rPr>
        <w:t>年部门预算总支出</w:t>
      </w:r>
      <w:r>
        <w:rPr>
          <w:rFonts w:hint="eastAsia" w:eastAsia="仿宋_GB2312" w:cs="Times New Roman"/>
          <w:sz w:val="32"/>
          <w:szCs w:val="32"/>
        </w:rPr>
        <w:t>617.92</w:t>
      </w:r>
      <w:r>
        <w:rPr>
          <w:rFonts w:eastAsia="仿宋_GB2312" w:cs="Times New Roman"/>
          <w:sz w:val="32"/>
          <w:szCs w:val="32"/>
        </w:rPr>
        <w:t>万元。</w:t>
      </w:r>
      <w:r>
        <w:rPr>
          <w:rFonts w:hint="eastAsia" w:eastAsia="仿宋_GB2312" w:cs="Times New Roman"/>
          <w:sz w:val="32"/>
          <w:szCs w:val="32"/>
        </w:rPr>
        <w:t>财政拨款</w:t>
      </w:r>
      <w:r>
        <w:rPr>
          <w:rFonts w:eastAsia="仿宋_GB2312" w:cs="Times New Roman"/>
          <w:sz w:val="32"/>
          <w:szCs w:val="32"/>
        </w:rPr>
        <w:t>安排支出</w:t>
      </w:r>
      <w:r>
        <w:rPr>
          <w:rFonts w:hint="eastAsia" w:eastAsia="仿宋_GB2312" w:cs="Times New Roman"/>
          <w:sz w:val="32"/>
          <w:szCs w:val="32"/>
        </w:rPr>
        <w:t>113.24</w:t>
      </w:r>
      <w:r>
        <w:rPr>
          <w:rFonts w:eastAsia="仿宋_GB2312" w:cs="Times New Roman"/>
          <w:sz w:val="32"/>
          <w:szCs w:val="32"/>
        </w:rPr>
        <w:t>万元，其中</w:t>
      </w:r>
      <w:r>
        <w:rPr>
          <w:rFonts w:hint="eastAsia" w:eastAsia="仿宋_GB2312" w:cs="Times New Roman"/>
          <w:sz w:val="32"/>
          <w:szCs w:val="32"/>
        </w:rPr>
        <w:t>：</w:t>
      </w:r>
      <w:r>
        <w:rPr>
          <w:rFonts w:eastAsia="仿宋_GB2312" w:cs="Times New Roman"/>
          <w:sz w:val="32"/>
          <w:szCs w:val="32"/>
        </w:rPr>
        <w:t>基本支出</w:t>
      </w:r>
      <w:r>
        <w:rPr>
          <w:rFonts w:hint="eastAsia" w:eastAsia="仿宋_GB2312" w:cs="Times New Roman"/>
          <w:sz w:val="32"/>
          <w:szCs w:val="32"/>
        </w:rPr>
        <w:t>113.24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，与上年对比减少</w:t>
      </w:r>
      <w:r>
        <w:rPr>
          <w:rFonts w:hint="eastAsia" w:ascii="楷体" w:hAnsi="楷体" w:eastAsia="楷体" w:cs="楷体"/>
          <w:sz w:val="32"/>
          <w:szCs w:val="32"/>
        </w:rPr>
        <w:t>8.22</w:t>
      </w:r>
      <w:r>
        <w:rPr>
          <w:rFonts w:hint="eastAsia" w:eastAsia="仿宋_GB2312" w:cs="Times New Roman"/>
          <w:sz w:val="32"/>
          <w:szCs w:val="32"/>
        </w:rPr>
        <w:t>万元，主要原因为单位退休人员增加，在职人员减少，财政部门负担差额部分补助经费减少，减少了</w:t>
      </w:r>
      <w:r>
        <w:rPr>
          <w:rFonts w:eastAsia="仿宋_GB2312" w:cs="Times New Roman"/>
          <w:sz w:val="32"/>
          <w:szCs w:val="32"/>
        </w:rPr>
        <w:t>预算</w:t>
      </w:r>
      <w:r>
        <w:rPr>
          <w:rFonts w:hint="eastAsia" w:eastAsia="仿宋_GB2312" w:cs="Times New Roman"/>
          <w:sz w:val="32"/>
          <w:szCs w:val="32"/>
        </w:rPr>
        <w:t>一般公共预算支出；</w:t>
      </w:r>
      <w:r>
        <w:rPr>
          <w:rFonts w:eastAsia="仿宋_GB2312" w:cs="Times New Roman"/>
          <w:sz w:val="32"/>
          <w:szCs w:val="32"/>
        </w:rPr>
        <w:t>项目支出</w:t>
      </w:r>
      <w:r>
        <w:rPr>
          <w:rFonts w:hint="eastAsia" w:eastAsia="仿宋_GB2312" w:cs="Times New Roman"/>
          <w:sz w:val="32"/>
          <w:szCs w:val="32"/>
        </w:rPr>
        <w:t>504.68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，与上年对比增加29.29万元，主要原因分析增加</w:t>
      </w:r>
      <w:r>
        <w:rPr>
          <w:rFonts w:eastAsia="仿宋_GB2312" w:cs="Times New Roman"/>
          <w:sz w:val="32"/>
          <w:szCs w:val="32"/>
        </w:rPr>
        <w:t>事业</w:t>
      </w:r>
      <w:r>
        <w:rPr>
          <w:rFonts w:hint="eastAsia" w:eastAsia="仿宋_GB2312" w:cs="Times New Roman"/>
          <w:sz w:val="32"/>
          <w:szCs w:val="32"/>
        </w:rPr>
        <w:t>支出37.50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，用于培训业务环境的升级改善。</w:t>
      </w:r>
    </w:p>
    <w:p w14:paraId="4A7679EE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财政拨款安排支出按功能科目分类情况，支出分别列2079999文化旅游体育与传媒支出-其他文化旅游体育与传媒支出- 事业单位基本工资</w:t>
      </w:r>
      <w:r>
        <w:rPr>
          <w:rFonts w:hint="eastAsia" w:eastAsia="仿宋_GB2312"/>
          <w:sz w:val="32"/>
          <w:szCs w:val="32"/>
        </w:rPr>
        <w:t>48.95万元，</w:t>
      </w:r>
      <w:r>
        <w:rPr>
          <w:rFonts w:hint="eastAsia" w:eastAsia="仿宋_GB2312" w:cs="Times New Roman"/>
          <w:sz w:val="32"/>
          <w:szCs w:val="32"/>
        </w:rPr>
        <w:t>主要用于基本</w:t>
      </w:r>
      <w:r>
        <w:rPr>
          <w:rFonts w:hint="eastAsia" w:eastAsia="仿宋_GB2312"/>
          <w:sz w:val="32"/>
          <w:szCs w:val="32"/>
        </w:rPr>
        <w:t>工资的支出；</w:t>
      </w:r>
      <w:r>
        <w:rPr>
          <w:rFonts w:hint="eastAsia" w:eastAsia="仿宋_GB2312" w:cs="Times New Roman"/>
          <w:sz w:val="32"/>
          <w:szCs w:val="32"/>
        </w:rPr>
        <w:t>2079999文化旅游体育与传媒支出-其他文化旅游体育与传媒支出-事业单位绩效工资20.99万元，</w:t>
      </w:r>
      <w:r>
        <w:rPr>
          <w:rFonts w:hint="eastAsia" w:eastAsia="仿宋_GB2312"/>
          <w:sz w:val="32"/>
          <w:szCs w:val="32"/>
        </w:rPr>
        <w:t>主要用于绩效工资的支出；</w:t>
      </w:r>
      <w:r>
        <w:rPr>
          <w:rFonts w:eastAsia="仿宋_GB2312"/>
          <w:sz w:val="32"/>
          <w:szCs w:val="32"/>
        </w:rPr>
        <w:t>2080502</w:t>
      </w:r>
      <w:r>
        <w:rPr>
          <w:rFonts w:hint="eastAsia" w:eastAsia="仿宋_GB2312"/>
          <w:sz w:val="32"/>
          <w:szCs w:val="32"/>
        </w:rPr>
        <w:t xml:space="preserve"> 社会保障和就业支出-行政事业单位养老支出-对个人和家庭的补助24.48万元，主要用于退休人员临时生活补助支出；</w:t>
      </w:r>
      <w:r>
        <w:rPr>
          <w:rFonts w:eastAsia="仿宋_GB2312"/>
          <w:sz w:val="32"/>
          <w:szCs w:val="32"/>
        </w:rPr>
        <w:t>2101102</w:t>
      </w:r>
      <w:r>
        <w:rPr>
          <w:rFonts w:hint="eastAsia" w:eastAsia="仿宋_GB2312"/>
          <w:sz w:val="32"/>
          <w:szCs w:val="32"/>
        </w:rPr>
        <w:t>卫生健康支出-行政事业单位医疗支出-职工基本医疗保险缴费0.52万元， 主要用于职工基本医疗保险缴费支出；</w:t>
      </w:r>
      <w:r>
        <w:rPr>
          <w:rFonts w:eastAsia="仿宋_GB2312"/>
          <w:sz w:val="32"/>
          <w:szCs w:val="32"/>
        </w:rPr>
        <w:t>210110</w:t>
      </w:r>
      <w:r>
        <w:rPr>
          <w:rFonts w:hint="eastAsia" w:eastAsia="仿宋_GB2312"/>
          <w:sz w:val="32"/>
          <w:szCs w:val="32"/>
        </w:rPr>
        <w:t>3卫生健康支出-行政事业单位医疗支出- 公务员医疗补助缴费4.18万元， 主要用于公务员医疗补助退休人员的缴费支出；</w:t>
      </w:r>
      <w:r>
        <w:rPr>
          <w:rFonts w:hint="eastAsia" w:eastAsia="仿宋_GB2312" w:cs="Times New Roman"/>
          <w:sz w:val="32"/>
          <w:szCs w:val="32"/>
        </w:rPr>
        <w:t>2079999文化旅游体育与传媒支出-其他文化旅游体育与传媒支出-其他社会保障缴费1.31万元，</w:t>
      </w:r>
      <w:r>
        <w:rPr>
          <w:rFonts w:hint="eastAsia" w:eastAsia="仿宋_GB2312"/>
          <w:sz w:val="32"/>
          <w:szCs w:val="32"/>
        </w:rPr>
        <w:t xml:space="preserve"> 主要用于其他社会保障失业保险、工伤保险缴费的支出；</w:t>
      </w:r>
      <w:r>
        <w:rPr>
          <w:rFonts w:eastAsia="仿宋_GB2312"/>
          <w:sz w:val="32"/>
          <w:szCs w:val="32"/>
        </w:rPr>
        <w:t>2210201</w:t>
      </w:r>
      <w:r>
        <w:rPr>
          <w:rFonts w:hint="eastAsia" w:eastAsia="仿宋_GB2312"/>
          <w:sz w:val="32"/>
          <w:szCs w:val="32"/>
        </w:rPr>
        <w:t xml:space="preserve"> 住房保障支出-住房改革支出-住房公积金缴费8.40万元， 主要用于住房公积金的支出；</w:t>
      </w:r>
      <w:r>
        <w:rPr>
          <w:rFonts w:hint="eastAsia" w:eastAsia="仿宋_GB2312" w:cs="Times New Roman"/>
          <w:sz w:val="32"/>
          <w:szCs w:val="32"/>
        </w:rPr>
        <w:t>2079999文化旅游体育与传媒支出-其他文化旅游体育与传媒支出-福利费支出</w:t>
      </w:r>
      <w:r>
        <w:rPr>
          <w:rFonts w:hint="eastAsia" w:eastAsia="仿宋_GB2312"/>
          <w:sz w:val="32"/>
          <w:szCs w:val="32"/>
        </w:rPr>
        <w:t>2.88万元，主要用于离退休人员工会活动经费支出；</w:t>
      </w:r>
      <w:r>
        <w:rPr>
          <w:rFonts w:hint="eastAsia" w:eastAsia="仿宋_GB2312" w:cs="Times New Roman"/>
          <w:sz w:val="32"/>
          <w:szCs w:val="32"/>
        </w:rPr>
        <w:t>2079999文化旅游体育与传媒支出-其他文化旅游体育与传媒支出-其他商品和服务支出0.72万元，</w:t>
      </w:r>
      <w:r>
        <w:rPr>
          <w:rFonts w:hint="eastAsia" w:eastAsia="仿宋_GB2312"/>
          <w:sz w:val="32"/>
          <w:szCs w:val="32"/>
        </w:rPr>
        <w:t>主要用于退休人员公用经费支出。</w:t>
      </w:r>
    </w:p>
    <w:p w14:paraId="427675ED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</w:p>
    <w:p w14:paraId="093C63F2">
      <w:pPr>
        <w:numPr>
          <w:ilvl w:val="0"/>
          <w:numId w:val="2"/>
        </w:numPr>
        <w:adjustRightInd/>
        <w:snapToGrid/>
        <w:spacing w:after="0"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区</w:t>
      </w:r>
      <w:r>
        <w:rPr>
          <w:rFonts w:ascii="黑体" w:hAnsi="黑体" w:eastAsia="黑体" w:cs="Times New Roman"/>
          <w:sz w:val="32"/>
          <w:szCs w:val="32"/>
        </w:rPr>
        <w:t>对下</w:t>
      </w:r>
      <w:r>
        <w:rPr>
          <w:rFonts w:hint="eastAsia" w:ascii="黑体" w:hAnsi="黑体" w:eastAsia="黑体" w:cs="Times New Roman"/>
          <w:sz w:val="32"/>
          <w:szCs w:val="32"/>
        </w:rPr>
        <w:t>专</w:t>
      </w:r>
      <w:r>
        <w:rPr>
          <w:rFonts w:ascii="黑体" w:hAnsi="黑体" w:eastAsia="黑体" w:cs="Times New Roman"/>
          <w:sz w:val="32"/>
          <w:szCs w:val="32"/>
        </w:rPr>
        <w:t>项转移支付情况</w:t>
      </w:r>
    </w:p>
    <w:p w14:paraId="25462575">
      <w:pPr>
        <w:pStyle w:val="4"/>
        <w:spacing w:before="75" w:beforeAutospacing="0" w:after="0" w:afterAutospacing="0" w:line="555" w:lineRule="atLeast"/>
        <w:ind w:firstLine="645"/>
        <w:rPr>
          <w:rFonts w:ascii="Arial" w:hAnsi="Arial" w:cs="Arial"/>
          <w:color w:val="000000"/>
          <w:sz w:val="21"/>
          <w:szCs w:val="21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（一）与中央配套事项</w:t>
      </w:r>
    </w:p>
    <w:p w14:paraId="3D6457C4">
      <w:pPr>
        <w:pStyle w:val="4"/>
        <w:spacing w:before="0" w:beforeAutospacing="0" w:after="0" w:afterAutospacing="0" w:line="555" w:lineRule="atLeast"/>
        <w:ind w:left="600" w:firstLine="45"/>
        <w:rPr>
          <w:rFonts w:ascii="Arial" w:hAnsi="Arial" w:cs="Arial"/>
          <w:color w:val="000000"/>
          <w:sz w:val="21"/>
          <w:szCs w:val="21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昆明市盘龙区青少年活动中心2024年无中央配套事项。（二）按既定政策标准测算补助事项</w:t>
      </w:r>
    </w:p>
    <w:p w14:paraId="386601B9">
      <w:pPr>
        <w:pStyle w:val="4"/>
        <w:spacing w:before="75" w:beforeAutospacing="0" w:after="75" w:afterAutospacing="0"/>
        <w:ind w:firstLine="645"/>
        <w:rPr>
          <w:rFonts w:ascii="Arial" w:hAnsi="Arial" w:cs="Arial"/>
          <w:color w:val="000000"/>
          <w:sz w:val="21"/>
          <w:szCs w:val="21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昆明市盘龙区青少年活动中心2024年无按既定政策标准测算补助事项。</w:t>
      </w:r>
    </w:p>
    <w:p w14:paraId="4DC73100">
      <w:pPr>
        <w:pStyle w:val="4"/>
        <w:spacing w:before="75" w:beforeAutospacing="0" w:after="0" w:afterAutospacing="0" w:line="555" w:lineRule="atLeast"/>
        <w:ind w:firstLine="645"/>
        <w:rPr>
          <w:rFonts w:ascii="Arial" w:hAnsi="Arial" w:cs="Arial"/>
          <w:color w:val="000000"/>
          <w:sz w:val="21"/>
          <w:szCs w:val="21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（三）经济社会事业发展事项</w:t>
      </w:r>
    </w:p>
    <w:p w14:paraId="2EABE30E">
      <w:pPr>
        <w:pStyle w:val="4"/>
        <w:spacing w:before="75" w:beforeAutospacing="0" w:after="75" w:afterAutospacing="0"/>
        <w:ind w:firstLine="645"/>
        <w:rPr>
          <w:rFonts w:ascii="Arial" w:hAnsi="Arial" w:cs="Arial"/>
          <w:color w:val="000000"/>
          <w:sz w:val="21"/>
          <w:szCs w:val="21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昆明市盘龙区青少年活动中心2024年无经济社会事业发展事项。</w:t>
      </w:r>
    </w:p>
    <w:p w14:paraId="16452894">
      <w:pPr>
        <w:adjustRightInd/>
        <w:spacing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六、政府采购预算情况</w:t>
      </w:r>
    </w:p>
    <w:p w14:paraId="0D46E762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eastAsia="仿宋_GB2312" w:cs="Times New Roman"/>
          <w:sz w:val="32"/>
          <w:szCs w:val="32"/>
        </w:rPr>
        <w:t>根据《中华人民共和国政府采购法》的有关规定，编制了政府采购预算，共涉及采购项目</w:t>
      </w:r>
      <w:r>
        <w:rPr>
          <w:rFonts w:hint="eastAsia" w:eastAsia="仿宋_GB2312" w:cs="Times New Roman"/>
          <w:sz w:val="32"/>
          <w:szCs w:val="32"/>
        </w:rPr>
        <w:t>0</w:t>
      </w:r>
      <w:r>
        <w:rPr>
          <w:rFonts w:eastAsia="仿宋_GB2312" w:cs="Times New Roman"/>
          <w:sz w:val="32"/>
          <w:szCs w:val="32"/>
        </w:rPr>
        <w:t>个，</w:t>
      </w:r>
      <w:r>
        <w:rPr>
          <w:rFonts w:hint="eastAsia" w:eastAsia="仿宋_GB2312" w:cs="Times New Roman"/>
          <w:sz w:val="32"/>
          <w:szCs w:val="32"/>
        </w:rPr>
        <w:t>政府</w:t>
      </w:r>
      <w:r>
        <w:rPr>
          <w:rFonts w:eastAsia="仿宋_GB2312" w:cs="Times New Roman"/>
          <w:sz w:val="32"/>
          <w:szCs w:val="32"/>
        </w:rPr>
        <w:t>采购预算</w:t>
      </w:r>
      <w:r>
        <w:rPr>
          <w:rFonts w:hint="eastAsia" w:eastAsia="仿宋_GB2312" w:cs="Times New Roman"/>
          <w:sz w:val="32"/>
          <w:szCs w:val="32"/>
        </w:rPr>
        <w:t>总额0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，其中：政府采购货物预算0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、政府采购服务预算0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、政府采购工程预算0</w:t>
      </w:r>
      <w:r>
        <w:rPr>
          <w:rFonts w:eastAsia="仿宋_GB2312" w:cs="Times New Roman"/>
          <w:sz w:val="32"/>
          <w:szCs w:val="32"/>
        </w:rPr>
        <w:t>万元</w:t>
      </w:r>
      <w:r>
        <w:rPr>
          <w:rFonts w:hint="eastAsia" w:eastAsia="仿宋_GB2312" w:cs="Times New Roman"/>
          <w:sz w:val="32"/>
          <w:szCs w:val="32"/>
        </w:rPr>
        <w:t>。</w:t>
      </w:r>
    </w:p>
    <w:p w14:paraId="531D1BE3">
      <w:pPr>
        <w:adjustRightInd/>
        <w:spacing w:line="590" w:lineRule="exact"/>
        <w:ind w:firstLine="640" w:firstLineChars="200"/>
        <w:jc w:val="both"/>
        <w:rPr>
          <w:rFonts w:ascii="楷体" w:hAnsi="楷体" w:eastAsia="楷体" w:cs="楷体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七、部门“三公”经费增减变化情况及原因说明</w:t>
      </w:r>
    </w:p>
    <w:p w14:paraId="7C53DFA1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昆明市盘龙区青少年活动中心</w:t>
      </w:r>
      <w:r>
        <w:rPr>
          <w:rFonts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</w:rPr>
        <w:t>4年一般公共预算财政拨款</w:t>
      </w:r>
      <w:r>
        <w:rPr>
          <w:rFonts w:eastAsia="仿宋_GB2312" w:cs="Times New Roman"/>
          <w:sz w:val="32"/>
          <w:szCs w:val="32"/>
        </w:rPr>
        <w:t>“</w:t>
      </w:r>
      <w:r>
        <w:rPr>
          <w:rFonts w:hint="eastAsia" w:eastAsia="仿宋_GB2312" w:cs="Times New Roman"/>
          <w:sz w:val="32"/>
          <w:szCs w:val="32"/>
        </w:rPr>
        <w:t>三公”经费预算合计</w:t>
      </w:r>
      <w:r>
        <w:rPr>
          <w:rFonts w:eastAsia="仿宋_GB2312" w:cs="Times New Roman"/>
          <w:sz w:val="32"/>
          <w:szCs w:val="32"/>
        </w:rPr>
        <w:t>0</w:t>
      </w:r>
      <w:r>
        <w:rPr>
          <w:rFonts w:hint="eastAsia" w:eastAsia="仿宋_GB2312" w:cs="Times New Roman"/>
          <w:sz w:val="32"/>
          <w:szCs w:val="32"/>
        </w:rPr>
        <w:t>万元，较上年增加</w:t>
      </w:r>
      <w:r>
        <w:rPr>
          <w:rFonts w:eastAsia="仿宋_GB2312" w:cs="Times New Roman"/>
          <w:sz w:val="32"/>
          <w:szCs w:val="32"/>
        </w:rPr>
        <w:t>0</w:t>
      </w:r>
      <w:r>
        <w:rPr>
          <w:rFonts w:hint="eastAsia" w:eastAsia="仿宋_GB2312" w:cs="Times New Roman"/>
          <w:sz w:val="32"/>
          <w:szCs w:val="32"/>
        </w:rPr>
        <w:t>万元，增长</w:t>
      </w:r>
      <w:r>
        <w:rPr>
          <w:rFonts w:eastAsia="仿宋_GB2312" w:cs="Times New Roman"/>
          <w:sz w:val="32"/>
          <w:szCs w:val="32"/>
        </w:rPr>
        <w:t>0%</w:t>
      </w:r>
      <w:r>
        <w:rPr>
          <w:rFonts w:hint="eastAsia" w:eastAsia="仿宋_GB2312" w:cs="Times New Roman"/>
          <w:sz w:val="32"/>
          <w:szCs w:val="32"/>
        </w:rPr>
        <w:t>，具体变动情况如下：</w:t>
      </w:r>
    </w:p>
    <w:p w14:paraId="6B637986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hint="eastAsia" w:ascii="楷体_GB2312" w:eastAsia="楷体_GB2312" w:cs="Times New Roman"/>
          <w:sz w:val="32"/>
          <w:szCs w:val="32"/>
        </w:rPr>
        <w:t>（一）</w:t>
      </w:r>
      <w:r>
        <w:rPr>
          <w:rFonts w:ascii="楷体_GB2312" w:eastAsia="楷体_GB2312" w:cs="Times New Roman"/>
          <w:sz w:val="32"/>
          <w:szCs w:val="32"/>
        </w:rPr>
        <w:t>因公出国（境）费</w:t>
      </w:r>
    </w:p>
    <w:p w14:paraId="7198E41F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昆明市盘龙区青少年活动中心</w:t>
      </w:r>
      <w:r>
        <w:rPr>
          <w:rFonts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</w:rPr>
        <w:t>4年</w:t>
      </w:r>
      <w:r>
        <w:rPr>
          <w:rFonts w:eastAsia="仿宋_GB2312" w:cs="Times New Roman"/>
          <w:sz w:val="32"/>
          <w:szCs w:val="32"/>
        </w:rPr>
        <w:t>因公出国（境）费</w:t>
      </w:r>
      <w:r>
        <w:rPr>
          <w:rFonts w:hint="eastAsia" w:eastAsia="仿宋_GB2312" w:cs="Times New Roman"/>
          <w:sz w:val="32"/>
          <w:szCs w:val="32"/>
        </w:rPr>
        <w:t>预算为0.00</w:t>
      </w:r>
      <w:r>
        <w:rPr>
          <w:rFonts w:eastAsia="仿宋_GB2312" w:cs="Times New Roman"/>
          <w:sz w:val="32"/>
          <w:szCs w:val="32"/>
        </w:rPr>
        <w:t>万元，较上年</w:t>
      </w:r>
      <w:r>
        <w:rPr>
          <w:rFonts w:hint="eastAsia" w:eastAsia="仿宋_GB2312" w:cs="Times New Roman"/>
          <w:sz w:val="32"/>
          <w:szCs w:val="32"/>
        </w:rPr>
        <w:t>增加0.00</w:t>
      </w:r>
      <w:r>
        <w:rPr>
          <w:rFonts w:eastAsia="仿宋_GB2312" w:cs="Times New Roman"/>
          <w:sz w:val="32"/>
          <w:szCs w:val="32"/>
        </w:rPr>
        <w:t>万元，</w:t>
      </w:r>
      <w:r>
        <w:rPr>
          <w:rFonts w:hint="eastAsia" w:eastAsia="仿宋_GB2312" w:cs="Times New Roman"/>
          <w:sz w:val="32"/>
          <w:szCs w:val="32"/>
        </w:rPr>
        <w:t>增长0.00</w:t>
      </w:r>
      <w:r>
        <w:rPr>
          <w:rFonts w:eastAsia="仿宋_GB2312" w:cs="Times New Roman"/>
          <w:sz w:val="32"/>
          <w:szCs w:val="32"/>
        </w:rPr>
        <w:t>%，共计安排因公出国（境）团组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个，因公出国（境）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人次</w:t>
      </w:r>
      <w:r>
        <w:rPr>
          <w:rFonts w:hint="eastAsia" w:eastAsia="仿宋_GB2312" w:cs="Times New Roman"/>
          <w:sz w:val="32"/>
          <w:szCs w:val="32"/>
        </w:rPr>
        <w:t>。</w:t>
      </w:r>
    </w:p>
    <w:p w14:paraId="6CAF0A23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昆明市盘龙区青少年活动中心</w:t>
      </w:r>
      <w:r>
        <w:rPr>
          <w:rFonts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</w:rPr>
        <w:t>4年部门预算与上年相比无变化，原因为无因公出国事项发生。</w:t>
      </w:r>
    </w:p>
    <w:p w14:paraId="5A79E310">
      <w:pPr>
        <w:adjustRightInd/>
        <w:spacing w:line="590" w:lineRule="exact"/>
        <w:ind w:firstLine="640" w:firstLineChars="200"/>
        <w:jc w:val="both"/>
        <w:rPr>
          <w:rFonts w:ascii="楷体" w:hAnsi="楷体" w:eastAsia="楷体" w:cs="楷体"/>
          <w:sz w:val="32"/>
          <w:szCs w:val="32"/>
        </w:rPr>
      </w:pPr>
    </w:p>
    <w:p w14:paraId="59CCEABB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hint="eastAsia" w:ascii="楷体_GB2312" w:eastAsia="楷体_GB2312" w:cs="Times New Roman"/>
          <w:sz w:val="32"/>
          <w:szCs w:val="32"/>
        </w:rPr>
        <w:t>（二）</w:t>
      </w:r>
      <w:r>
        <w:rPr>
          <w:rFonts w:ascii="楷体_GB2312" w:eastAsia="楷体_GB2312" w:cs="Times New Roman"/>
          <w:sz w:val="32"/>
          <w:szCs w:val="32"/>
        </w:rPr>
        <w:t>公务接待费</w:t>
      </w:r>
    </w:p>
    <w:p w14:paraId="6399828A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昆明市盘龙区青少年活动中心</w:t>
      </w:r>
      <w:r>
        <w:rPr>
          <w:rFonts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</w:rPr>
        <w:t>4年公务接待费预算</w:t>
      </w:r>
      <w:r>
        <w:rPr>
          <w:rFonts w:eastAsia="仿宋_GB2312" w:cs="Times New Roman"/>
          <w:sz w:val="32"/>
          <w:szCs w:val="32"/>
        </w:rPr>
        <w:t>为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万元，较上年</w:t>
      </w:r>
      <w:r>
        <w:rPr>
          <w:rFonts w:hint="eastAsia" w:eastAsia="仿宋_GB2312" w:cs="Times New Roman"/>
          <w:sz w:val="32"/>
          <w:szCs w:val="32"/>
        </w:rPr>
        <w:t>增加0.00</w:t>
      </w:r>
      <w:r>
        <w:rPr>
          <w:rFonts w:eastAsia="仿宋_GB2312" w:cs="Times New Roman"/>
          <w:sz w:val="32"/>
          <w:szCs w:val="32"/>
        </w:rPr>
        <w:t>万元，</w:t>
      </w:r>
      <w:r>
        <w:rPr>
          <w:rFonts w:hint="eastAsia" w:eastAsia="仿宋_GB2312" w:cs="Times New Roman"/>
          <w:sz w:val="32"/>
          <w:szCs w:val="32"/>
        </w:rPr>
        <w:t>增长0.00</w:t>
      </w:r>
      <w:r>
        <w:rPr>
          <w:rFonts w:eastAsia="仿宋_GB2312" w:cs="Times New Roman"/>
          <w:sz w:val="32"/>
          <w:szCs w:val="32"/>
        </w:rPr>
        <w:t>%，国内公务接待批次为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次，共计接待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人次</w:t>
      </w:r>
      <w:r>
        <w:rPr>
          <w:rFonts w:hint="eastAsia" w:eastAsia="仿宋_GB2312" w:cs="Times New Roman"/>
          <w:sz w:val="32"/>
          <w:szCs w:val="32"/>
        </w:rPr>
        <w:t>。</w:t>
      </w:r>
    </w:p>
    <w:p w14:paraId="6C25DF12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昆明市盘龙区青少年活动中心</w:t>
      </w:r>
      <w:r>
        <w:rPr>
          <w:rFonts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</w:rPr>
        <w:t>4年部门预算与上年相比无变化，原因为无公务接待事项发生。</w:t>
      </w:r>
    </w:p>
    <w:p w14:paraId="2CB7EAE9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hint="eastAsia" w:ascii="楷体_GB2312" w:eastAsia="楷体_GB2312" w:cs="Times New Roman"/>
          <w:sz w:val="32"/>
          <w:szCs w:val="32"/>
        </w:rPr>
        <w:t>（三）</w:t>
      </w:r>
      <w:r>
        <w:rPr>
          <w:rFonts w:ascii="楷体_GB2312" w:eastAsia="楷体_GB2312" w:cs="Times New Roman"/>
          <w:sz w:val="32"/>
          <w:szCs w:val="32"/>
        </w:rPr>
        <w:t>公务用车购置及运行维护费</w:t>
      </w:r>
    </w:p>
    <w:p w14:paraId="032BE91E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昆明市盘龙区青少年活动中心</w:t>
      </w:r>
      <w:r>
        <w:rPr>
          <w:rFonts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</w:rPr>
        <w:t>4年公务用车购置及运行维护费</w:t>
      </w:r>
      <w:r>
        <w:rPr>
          <w:rFonts w:eastAsia="仿宋_GB2312" w:cs="Times New Roman"/>
          <w:sz w:val="32"/>
          <w:szCs w:val="32"/>
        </w:rPr>
        <w:t>为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万元，较上年</w:t>
      </w:r>
      <w:r>
        <w:rPr>
          <w:rFonts w:hint="eastAsia" w:eastAsia="仿宋_GB2312" w:cs="Times New Roman"/>
          <w:sz w:val="32"/>
          <w:szCs w:val="32"/>
        </w:rPr>
        <w:t>增加0.00</w:t>
      </w:r>
      <w:r>
        <w:rPr>
          <w:rFonts w:eastAsia="仿宋_GB2312" w:cs="Times New Roman"/>
          <w:sz w:val="32"/>
          <w:szCs w:val="32"/>
        </w:rPr>
        <w:t>万元，</w:t>
      </w:r>
      <w:r>
        <w:rPr>
          <w:rFonts w:hint="eastAsia" w:eastAsia="仿宋_GB2312" w:cs="Times New Roman"/>
          <w:sz w:val="32"/>
          <w:szCs w:val="32"/>
        </w:rPr>
        <w:t>增长0.00</w:t>
      </w:r>
      <w:r>
        <w:rPr>
          <w:rFonts w:eastAsia="仿宋_GB2312" w:cs="Times New Roman"/>
          <w:sz w:val="32"/>
          <w:szCs w:val="32"/>
        </w:rPr>
        <w:t>%</w:t>
      </w:r>
      <w:r>
        <w:rPr>
          <w:rFonts w:hint="eastAsia" w:eastAsia="仿宋_GB2312" w:cs="Times New Roman"/>
          <w:sz w:val="32"/>
          <w:szCs w:val="32"/>
        </w:rPr>
        <w:t>。</w:t>
      </w:r>
      <w:r>
        <w:rPr>
          <w:rFonts w:eastAsia="仿宋_GB2312" w:cs="Times New Roman"/>
          <w:sz w:val="32"/>
          <w:szCs w:val="32"/>
        </w:rPr>
        <w:t>其中：公务用车购置费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万元，较上年</w:t>
      </w:r>
      <w:r>
        <w:rPr>
          <w:rFonts w:hint="eastAsia" w:eastAsia="仿宋_GB2312" w:cs="Times New Roman"/>
          <w:sz w:val="32"/>
          <w:szCs w:val="32"/>
        </w:rPr>
        <w:t>增加0.00</w:t>
      </w:r>
      <w:r>
        <w:rPr>
          <w:rFonts w:eastAsia="仿宋_GB2312" w:cs="Times New Roman"/>
          <w:sz w:val="32"/>
          <w:szCs w:val="32"/>
        </w:rPr>
        <w:t>万元，</w:t>
      </w:r>
      <w:r>
        <w:rPr>
          <w:rFonts w:hint="eastAsia" w:eastAsia="仿宋_GB2312" w:cs="Times New Roman"/>
          <w:sz w:val="32"/>
          <w:szCs w:val="32"/>
        </w:rPr>
        <w:t>增长0.00</w:t>
      </w:r>
      <w:r>
        <w:rPr>
          <w:rFonts w:eastAsia="仿宋_GB2312" w:cs="Times New Roman"/>
          <w:sz w:val="32"/>
          <w:szCs w:val="32"/>
        </w:rPr>
        <w:t>%；公务用车运行维护费</w:t>
      </w:r>
      <w:r>
        <w:rPr>
          <w:rFonts w:hint="eastAsia" w:eastAsia="仿宋_GB2312" w:cs="Times New Roman"/>
          <w:sz w:val="32"/>
          <w:szCs w:val="32"/>
        </w:rPr>
        <w:t>0.00</w:t>
      </w:r>
      <w:r>
        <w:rPr>
          <w:rFonts w:eastAsia="仿宋_GB2312" w:cs="Times New Roman"/>
          <w:sz w:val="32"/>
          <w:szCs w:val="32"/>
        </w:rPr>
        <w:t>万元，较上年</w:t>
      </w:r>
      <w:r>
        <w:rPr>
          <w:rFonts w:hint="eastAsia" w:eastAsia="仿宋_GB2312" w:cs="Times New Roman"/>
          <w:sz w:val="32"/>
          <w:szCs w:val="32"/>
        </w:rPr>
        <w:t>增加0.00</w:t>
      </w:r>
      <w:r>
        <w:rPr>
          <w:rFonts w:eastAsia="仿宋_GB2312" w:cs="Times New Roman"/>
          <w:sz w:val="32"/>
          <w:szCs w:val="32"/>
        </w:rPr>
        <w:t>万元，</w:t>
      </w:r>
      <w:r>
        <w:rPr>
          <w:rFonts w:hint="eastAsia" w:eastAsia="仿宋_GB2312" w:cs="Times New Roman"/>
          <w:sz w:val="32"/>
          <w:szCs w:val="32"/>
        </w:rPr>
        <w:t>增长0.00</w:t>
      </w:r>
      <w:r>
        <w:rPr>
          <w:rFonts w:eastAsia="仿宋_GB2312" w:cs="Times New Roman"/>
          <w:sz w:val="32"/>
          <w:szCs w:val="32"/>
        </w:rPr>
        <w:t>%。共计购置公务用车</w:t>
      </w:r>
      <w:r>
        <w:rPr>
          <w:rFonts w:hint="eastAsia" w:eastAsia="仿宋_GB2312" w:cs="Times New Roman"/>
          <w:sz w:val="32"/>
          <w:szCs w:val="32"/>
        </w:rPr>
        <w:t>0</w:t>
      </w:r>
      <w:r>
        <w:rPr>
          <w:rFonts w:eastAsia="仿宋_GB2312" w:cs="Times New Roman"/>
          <w:sz w:val="32"/>
          <w:szCs w:val="32"/>
        </w:rPr>
        <w:t>辆，年末公务用车保有量为</w:t>
      </w:r>
      <w:r>
        <w:rPr>
          <w:rFonts w:hint="eastAsia" w:eastAsia="仿宋_GB2312" w:cs="Times New Roman"/>
          <w:sz w:val="32"/>
          <w:szCs w:val="32"/>
        </w:rPr>
        <w:t>0</w:t>
      </w:r>
      <w:r>
        <w:rPr>
          <w:rFonts w:eastAsia="仿宋_GB2312" w:cs="Times New Roman"/>
          <w:sz w:val="32"/>
          <w:szCs w:val="32"/>
        </w:rPr>
        <w:t>辆。</w:t>
      </w:r>
    </w:p>
    <w:p w14:paraId="5D52ABC4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昆明市盘龙区青少年活动中心</w:t>
      </w:r>
      <w:r>
        <w:rPr>
          <w:rFonts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</w:rPr>
        <w:t>4年部门预算与上年相比无变化，原因为单位无公务车辆。</w:t>
      </w:r>
    </w:p>
    <w:p w14:paraId="6409BA8F">
      <w:pPr>
        <w:adjustRightInd/>
        <w:spacing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八、重点项目预算绩效目标情况</w:t>
      </w:r>
    </w:p>
    <w:p w14:paraId="4095A946">
      <w:pPr>
        <w:adjustRightInd/>
        <w:spacing w:line="590" w:lineRule="exact"/>
        <w:ind w:firstLine="640" w:firstLineChars="200"/>
        <w:jc w:val="both"/>
        <w:rPr>
          <w:rFonts w:ascii="仿宋_GB2312" w:hAnsi="Arial" w:eastAsia="仿宋_GB2312" w:cs="Arial"/>
          <w:color w:val="00000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昆明市盘龙区青少年活动中心无重点项目。</w:t>
      </w:r>
    </w:p>
    <w:p w14:paraId="5B290F82">
      <w:pPr>
        <w:adjustRightInd/>
        <w:spacing w:line="59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九</w:t>
      </w:r>
      <w:r>
        <w:rPr>
          <w:rFonts w:ascii="黑体" w:hAnsi="黑体" w:eastAsia="黑体" w:cs="Times New Roman"/>
          <w:sz w:val="32"/>
          <w:szCs w:val="32"/>
        </w:rPr>
        <w:t>、其他公开信息</w:t>
      </w:r>
    </w:p>
    <w:p w14:paraId="1C1DB7E6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ascii="楷体_GB2312" w:eastAsia="楷体_GB2312" w:cs="Times New Roman"/>
          <w:sz w:val="32"/>
          <w:szCs w:val="32"/>
        </w:rPr>
        <w:t>（一）专业名词解释</w:t>
      </w:r>
    </w:p>
    <w:p w14:paraId="09BAF26B">
      <w:pPr>
        <w:pStyle w:val="4"/>
        <w:spacing w:before="75" w:beforeAutospacing="0" w:after="75" w:afterAutospacing="0" w:line="585" w:lineRule="atLeast"/>
        <w:ind w:firstLine="645"/>
        <w:rPr>
          <w:rFonts w:ascii="Arial" w:hAnsi="Arial" w:cs="Arial"/>
          <w:color w:val="000000"/>
          <w:sz w:val="21"/>
          <w:szCs w:val="21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</w:rPr>
        <w:t>“三公”经费包括因公出国（境）费、公务用车购置及运行费和公务接待费。（</w:t>
      </w:r>
      <w:r>
        <w:rPr>
          <w:rFonts w:ascii="Times New Roman" w:hAnsi="Times New Roman" w:cs="Times New Roman"/>
          <w:color w:val="000000"/>
          <w:sz w:val="32"/>
          <w:szCs w:val="32"/>
        </w:rPr>
        <w:t>1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）因公出国（境）费，指单位工作人员公务出国（境）的住宿费、旅费、伙食补助费、杂费、培训费等支出。（</w:t>
      </w:r>
      <w:r>
        <w:rPr>
          <w:rFonts w:ascii="Times New Roman" w:hAnsi="Times New Roman" w:cs="Times New Roman"/>
          <w:color w:val="000000"/>
          <w:sz w:val="32"/>
          <w:szCs w:val="32"/>
        </w:rPr>
        <w:t>2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>
        <w:rPr>
          <w:rFonts w:ascii="Times New Roman" w:hAnsi="Times New Roman" w:cs="Times New Roman"/>
          <w:color w:val="000000"/>
          <w:sz w:val="32"/>
          <w:szCs w:val="32"/>
        </w:rPr>
        <w:t>3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）公务接待费，指单位按规定开支的各类公务接待（含外宾接待）支出。</w:t>
      </w:r>
    </w:p>
    <w:p w14:paraId="52EB11CD">
      <w:pPr>
        <w:adjustRightInd/>
        <w:spacing w:line="590" w:lineRule="exact"/>
        <w:ind w:firstLine="640" w:firstLineChars="200"/>
        <w:jc w:val="both"/>
        <w:rPr>
          <w:rFonts w:ascii="楷体_GB2312" w:eastAsia="楷体_GB2312" w:cs="Times New Roman"/>
          <w:sz w:val="32"/>
          <w:szCs w:val="32"/>
        </w:rPr>
      </w:pPr>
      <w:r>
        <w:rPr>
          <w:rFonts w:ascii="楷体_GB2312" w:eastAsia="楷体_GB2312" w:cs="Times New Roman"/>
          <w:sz w:val="32"/>
          <w:szCs w:val="32"/>
        </w:rPr>
        <w:t>（二）机关运行经费安排</w:t>
      </w:r>
      <w:r>
        <w:rPr>
          <w:rFonts w:hint="eastAsia" w:ascii="楷体_GB2312" w:eastAsia="楷体_GB2312" w:cs="Times New Roman"/>
          <w:sz w:val="32"/>
          <w:szCs w:val="32"/>
        </w:rPr>
        <w:t>变化情况及原因说明</w:t>
      </w:r>
    </w:p>
    <w:p w14:paraId="236FA42D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盘龙区青少年活动中心2024年机关运行经费0万元，与上年相比无变化，原因为单位属于事业单位，无机关运行经费安排。</w:t>
      </w:r>
    </w:p>
    <w:p w14:paraId="3668568E">
      <w:pPr>
        <w:adjustRightInd/>
        <w:spacing w:line="590" w:lineRule="exact"/>
        <w:ind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hint="eastAsia" w:ascii="楷体_GB2312" w:eastAsia="楷体_GB2312" w:cs="Times New Roman"/>
          <w:sz w:val="32"/>
          <w:szCs w:val="32"/>
        </w:rPr>
        <w:t>（三）</w:t>
      </w:r>
      <w:r>
        <w:rPr>
          <w:rFonts w:ascii="楷体_GB2312" w:eastAsia="楷体_GB2312" w:cs="Times New Roman"/>
          <w:sz w:val="32"/>
          <w:szCs w:val="32"/>
        </w:rPr>
        <w:t>国有资产占</w:t>
      </w:r>
      <w:r>
        <w:rPr>
          <w:rFonts w:hint="eastAsia" w:ascii="楷体_GB2312" w:eastAsia="楷体_GB2312" w:cs="Times New Roman"/>
          <w:sz w:val="32"/>
          <w:szCs w:val="32"/>
        </w:rPr>
        <w:t>有使用</w:t>
      </w:r>
      <w:r>
        <w:rPr>
          <w:rFonts w:ascii="楷体_GB2312" w:eastAsia="楷体_GB2312" w:cs="Times New Roman"/>
          <w:sz w:val="32"/>
          <w:szCs w:val="32"/>
        </w:rPr>
        <w:t>情况</w:t>
      </w:r>
    </w:p>
    <w:p w14:paraId="55E7A101">
      <w:pPr>
        <w:ind w:firstLine="600" w:firstLineChars="200"/>
        <w:rPr>
          <w:rFonts w:eastAsia="仿宋_GB2312" w:cs="Times New Roman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sz w:val="30"/>
          <w:szCs w:val="30"/>
        </w:rPr>
        <w:t>截至</w:t>
      </w:r>
      <w:r>
        <w:rPr>
          <w:rFonts w:ascii="仿宋_GB2312" w:hAnsi="Arial" w:eastAsia="仿宋_GB2312" w:cs="Arial"/>
          <w:color w:val="000000"/>
          <w:sz w:val="30"/>
          <w:szCs w:val="30"/>
        </w:rPr>
        <w:t>202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3年</w:t>
      </w:r>
      <w:r>
        <w:rPr>
          <w:rFonts w:ascii="仿宋_GB2312" w:hAnsi="Arial" w:eastAsia="仿宋_GB2312" w:cs="Arial"/>
          <w:color w:val="000000"/>
          <w:sz w:val="30"/>
          <w:szCs w:val="30"/>
        </w:rPr>
        <w:t>12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月</w:t>
      </w:r>
      <w:r>
        <w:rPr>
          <w:rFonts w:ascii="仿宋_GB2312" w:hAnsi="Arial" w:eastAsia="仿宋_GB2312" w:cs="Arial"/>
          <w:color w:val="000000"/>
          <w:sz w:val="30"/>
          <w:szCs w:val="30"/>
        </w:rPr>
        <w:t>31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日，昆明市盘龙区青少年活动中心资产总额445.59万元，其中，流动资产429.39万元，固定资产16.20万元，对外投资及有价证券</w:t>
      </w:r>
      <w:r>
        <w:rPr>
          <w:rFonts w:ascii="仿宋_GB2312" w:hAnsi="Arial" w:eastAsia="仿宋_GB2312" w:cs="Arial"/>
          <w:color w:val="000000"/>
          <w:sz w:val="30"/>
          <w:szCs w:val="30"/>
        </w:rPr>
        <w:t>0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万元，在建工程</w:t>
      </w:r>
      <w:r>
        <w:rPr>
          <w:rFonts w:ascii="仿宋_GB2312" w:hAnsi="Arial" w:eastAsia="仿宋_GB2312" w:cs="Arial"/>
          <w:color w:val="000000"/>
          <w:sz w:val="30"/>
          <w:szCs w:val="30"/>
        </w:rPr>
        <w:t>0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万元，无形资产</w:t>
      </w:r>
      <w:r>
        <w:rPr>
          <w:rFonts w:ascii="仿宋_GB2312" w:hAnsi="Arial" w:eastAsia="仿宋_GB2312" w:cs="Arial"/>
          <w:color w:val="000000"/>
          <w:sz w:val="30"/>
          <w:szCs w:val="30"/>
        </w:rPr>
        <w:t>0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万元，其他资产</w:t>
      </w:r>
      <w:r>
        <w:rPr>
          <w:rFonts w:ascii="仿宋_GB2312" w:hAnsi="Arial" w:eastAsia="仿宋_GB2312" w:cs="Arial"/>
          <w:color w:val="000000"/>
          <w:sz w:val="30"/>
          <w:szCs w:val="30"/>
        </w:rPr>
        <w:t>0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万元。与上年相比，本年资产总额增加321.89万元，其中固定资产增加0.33万元。处置房屋建筑物0平方米，账面原值0万元；处置车辆0辆，账面原值0万元；报废报损资产0项，账面原值0万元，实现资产处置收入0万元；资产使用收入601.49万元，其中出租资产1846.06平方米，资产出租收入71.17万元。鉴于截至2023年12月31日的国有资产占有使用精准数据，需在完成2023年决算编制后才能汇总，此处公开为2024年1月资产月报数。</w:t>
      </w:r>
    </w:p>
    <w:p w14:paraId="70767669">
      <w:pPr>
        <w:rPr>
          <w:rFonts w:ascii="Arial" w:hAnsi="Arial" w:eastAsia="Arial" w:cs="Arial"/>
          <w:b/>
          <w:sz w:val="36"/>
        </w:rPr>
      </w:pPr>
      <w:r>
        <w:rPr>
          <w:rFonts w:ascii="Arial" w:hAnsi="Arial" w:eastAsia="Arial" w:cs="Arial"/>
          <w:b/>
          <w:sz w:val="36"/>
        </w:rPr>
        <w:t>监督索引号53010300171200100111</w:t>
      </w:r>
    </w:p>
    <w:sectPr>
      <w:footerReference r:id="rId5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2CE21">
    <w:pPr>
      <w:pStyle w:val="2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3880E24">
                <w:pPr>
                  <w:pStyle w:val="2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hint="eastAsia" w:ascii="宋体" w:hAnsi="宋体"/>
                    <w:sz w:val="28"/>
                  </w:rPr>
                  <w:t xml:space="preserve">— </w:t>
                </w:r>
                <w:r>
                  <w:rPr>
                    <w:rFonts w:hint="eastAsia" w:ascii="宋体" w:hAnsi="宋体"/>
                    <w:sz w:val="28"/>
                  </w:rPr>
                  <w:fldChar w:fldCharType="begin"/>
                </w:r>
                <w:r>
                  <w:rPr>
                    <w:rFonts w:hint="eastAsia" w:ascii="宋体" w:hAnsi="宋体"/>
                    <w:sz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/>
                    <w:sz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</w:rPr>
                  <w:t>1</w:t>
                </w:r>
                <w:r>
                  <w:rPr>
                    <w:rFonts w:hint="eastAsia" w:ascii="宋体" w:hAnsi="宋体"/>
                    <w:sz w:val="28"/>
                  </w:rPr>
                  <w:fldChar w:fldCharType="end"/>
                </w:r>
                <w:r>
                  <w:rPr>
                    <w:rFonts w:hint="eastAsia" w:ascii="宋体" w:hAnsi="宋体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47DBBF"/>
    <w:multiLevelType w:val="singleLevel"/>
    <w:tmpl w:val="5C47DBBF"/>
    <w:lvl w:ilvl="0" w:tentative="0">
      <w:start w:val="4"/>
      <w:numFmt w:val="chineseCounting"/>
      <w:suff w:val="nothing"/>
      <w:lvlText w:val="%1、"/>
      <w:lvlJc w:val="left"/>
    </w:lvl>
  </w:abstractNum>
  <w:abstractNum w:abstractNumId="1">
    <w:nsid w:val="5C47DC0A"/>
    <w:multiLevelType w:val="singleLevel"/>
    <w:tmpl w:val="5C47DC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A19AB"/>
    <w:rsid w:val="00201840"/>
    <w:rsid w:val="0022144D"/>
    <w:rsid w:val="00234D74"/>
    <w:rsid w:val="00323B43"/>
    <w:rsid w:val="0034794B"/>
    <w:rsid w:val="003D37D8"/>
    <w:rsid w:val="00426133"/>
    <w:rsid w:val="004358AB"/>
    <w:rsid w:val="0051140F"/>
    <w:rsid w:val="00511B9A"/>
    <w:rsid w:val="00580ED4"/>
    <w:rsid w:val="005B7CCC"/>
    <w:rsid w:val="005D46B0"/>
    <w:rsid w:val="006E7356"/>
    <w:rsid w:val="006F2DEF"/>
    <w:rsid w:val="0073479F"/>
    <w:rsid w:val="00803748"/>
    <w:rsid w:val="0081108A"/>
    <w:rsid w:val="0086472B"/>
    <w:rsid w:val="008B7726"/>
    <w:rsid w:val="008C650A"/>
    <w:rsid w:val="00917DE8"/>
    <w:rsid w:val="0093427D"/>
    <w:rsid w:val="00944E72"/>
    <w:rsid w:val="00956634"/>
    <w:rsid w:val="00B0314C"/>
    <w:rsid w:val="00B76A00"/>
    <w:rsid w:val="00C86B30"/>
    <w:rsid w:val="00D31D50"/>
    <w:rsid w:val="00DA2284"/>
    <w:rsid w:val="00E924BC"/>
    <w:rsid w:val="00F81979"/>
    <w:rsid w:val="00FD2CB7"/>
    <w:rsid w:val="00FE7640"/>
    <w:rsid w:val="3840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3367</Words>
  <Characters>3769</Characters>
  <Lines>27</Lines>
  <Paragraphs>7</Paragraphs>
  <TotalTime>123</TotalTime>
  <ScaleCrop>false</ScaleCrop>
  <LinksUpToDate>false</LinksUpToDate>
  <CharactersWithSpaces>3784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lk</dc:creator>
  <cp:lastModifiedBy>听潮</cp:lastModifiedBy>
  <dcterms:modified xsi:type="dcterms:W3CDTF">2024-12-16T09:07:56Z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1E50ACFFB2F64564A0A77D69041C09B9_12</vt:lpwstr>
  </property>
</Properties>
</file>