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147C5">
      <w:pPr>
        <w:jc w:val="both"/>
        <w:rPr>
          <w:rFonts w:ascii="黑体" w:hAnsi="黑体" w:eastAsia="黑体"/>
          <w:bCs/>
          <w:sz w:val="52"/>
          <w:szCs w:val="52"/>
        </w:rPr>
      </w:pPr>
      <w:r>
        <w:rPr>
          <w:rFonts w:hint="eastAsia" w:ascii="黑体" w:hAnsi="黑体" w:eastAsia="黑体" w:cs="黑体"/>
          <w:bCs/>
          <w:sz w:val="52"/>
          <w:szCs w:val="52"/>
          <w:lang w:eastAsia="zh-CN"/>
        </w:rPr>
        <w:t>昆明市</w:t>
      </w:r>
      <w:r>
        <w:rPr>
          <w:rFonts w:hint="eastAsia" w:ascii="黑体" w:hAnsi="黑体" w:eastAsia="黑体" w:cs="黑体"/>
          <w:bCs/>
          <w:sz w:val="52"/>
          <w:szCs w:val="52"/>
        </w:rPr>
        <w:t>盘龙区</w:t>
      </w:r>
      <w:r>
        <w:rPr>
          <w:rFonts w:hint="eastAsia" w:ascii="黑体" w:hAnsi="黑体" w:eastAsia="黑体" w:cs="黑体"/>
          <w:bCs/>
          <w:sz w:val="52"/>
          <w:szCs w:val="52"/>
          <w:lang w:eastAsia="zh-CN"/>
        </w:rPr>
        <w:t>住房和城乡建设局</w:t>
      </w:r>
      <w:r>
        <w:rPr>
          <w:rFonts w:ascii="黑体" w:hAnsi="黑体" w:eastAsia="黑体"/>
          <w:bCs/>
          <w:sz w:val="52"/>
          <w:szCs w:val="52"/>
        </w:rPr>
        <w:t>20</w:t>
      </w:r>
      <w:r>
        <w:rPr>
          <w:rFonts w:hint="eastAsia" w:ascii="黑体" w:hAnsi="黑体" w:eastAsia="黑体"/>
          <w:bCs/>
          <w:sz w:val="52"/>
          <w:szCs w:val="52"/>
          <w:lang w:val="en-US" w:eastAsia="zh-CN"/>
        </w:rPr>
        <w:t>23</w:t>
      </w:r>
      <w:r>
        <w:rPr>
          <w:rFonts w:hint="eastAsia" w:ascii="黑体" w:hAnsi="黑体" w:eastAsia="黑体"/>
          <w:bCs/>
          <w:sz w:val="52"/>
          <w:szCs w:val="52"/>
        </w:rPr>
        <w:t>年</w:t>
      </w:r>
      <w:r>
        <w:rPr>
          <w:rFonts w:hint="eastAsia" w:ascii="黑体" w:hAnsi="黑体" w:eastAsia="黑体" w:cs="黑体"/>
          <w:bCs/>
          <w:sz w:val="52"/>
          <w:szCs w:val="52"/>
        </w:rPr>
        <w:t>部门整体支出绩效自评报告</w:t>
      </w:r>
    </w:p>
    <w:p w14:paraId="4F75BAB6">
      <w:pPr>
        <w:spacing w:before="120" w:after="120" w:line="480" w:lineRule="auto"/>
        <w:jc w:val="center"/>
        <w:rPr>
          <w:rFonts w:ascii="Times New Roman" w:hAnsi="Times New Roman" w:eastAsia="黑体"/>
          <w:b/>
          <w:bCs/>
          <w:sz w:val="52"/>
          <w:szCs w:val="52"/>
        </w:rPr>
      </w:pPr>
    </w:p>
    <w:p w14:paraId="61FCB963">
      <w:pPr>
        <w:spacing w:before="120" w:after="120" w:line="480" w:lineRule="auto"/>
        <w:jc w:val="center"/>
        <w:rPr>
          <w:rFonts w:ascii="Times New Roman" w:hAnsi="Times New Roman"/>
          <w:b/>
          <w:bCs/>
          <w:sz w:val="44"/>
          <w:szCs w:val="44"/>
        </w:rPr>
      </w:pPr>
    </w:p>
    <w:p w14:paraId="0554B569">
      <w:pPr>
        <w:spacing w:before="120" w:after="120" w:line="480" w:lineRule="auto"/>
        <w:jc w:val="center"/>
        <w:rPr>
          <w:rFonts w:ascii="Times New Roman" w:hAnsi="Times New Roman"/>
          <w:b/>
          <w:bCs/>
          <w:sz w:val="44"/>
          <w:szCs w:val="44"/>
        </w:rPr>
      </w:pPr>
    </w:p>
    <w:p w14:paraId="68331444">
      <w:pPr>
        <w:spacing w:before="120" w:after="120" w:line="480" w:lineRule="auto"/>
        <w:jc w:val="center"/>
        <w:rPr>
          <w:rFonts w:ascii="Times New Roman" w:hAnsi="Times New Roman" w:eastAsia="黑体"/>
          <w:b/>
          <w:bCs/>
          <w:sz w:val="44"/>
          <w:szCs w:val="44"/>
        </w:rPr>
      </w:pPr>
    </w:p>
    <w:p w14:paraId="04B01E6F">
      <w:pPr>
        <w:adjustRightInd w:val="0"/>
        <w:snapToGrid w:val="0"/>
        <w:spacing w:line="360" w:lineRule="auto"/>
        <w:ind w:left="1260" w:leftChars="600"/>
        <w:rPr>
          <w:rFonts w:ascii="Times New Roman" w:hAnsi="Times New Roman" w:eastAsia="黑体"/>
          <w:b/>
          <w:bCs/>
          <w:sz w:val="28"/>
          <w:szCs w:val="28"/>
        </w:rPr>
      </w:pPr>
      <w:r>
        <w:rPr>
          <w:rFonts w:ascii="Times New Roman" w:hAnsi="Times New Roman" w:eastAsia="黑体" w:cs="黑体"/>
          <w:b/>
          <w:bCs/>
          <w:sz w:val="28"/>
          <w:szCs w:val="28"/>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211455</wp:posOffset>
                </wp:positionV>
                <wp:extent cx="345757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34575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3.5pt;margin-top:16.65pt;height:0pt;width:272.25pt;z-index:251659264;mso-width-relative:page;mso-height-relative:page;" filled="f" stroked="t" coordsize="21600,21600" o:gfxdata="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jJ5pdcAAAAJAQAADwAAAAAAAAABACAAAAAiAAAAZHJzL2Rvd25yZXYu&#10;eG1sUEsBAhQAFAAAAAgAh07iQGMiVwf8AQAA7AMAAA4AAAAAAAAAAQAgAAAAJgEAAGRycy9lMm9E&#10;b2MueG1sUEsFBgAAAAAGAAYAWQEAAJQFA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项目名称：</w:t>
      </w:r>
      <w:r>
        <w:rPr>
          <w:rFonts w:hint="eastAsia" w:ascii="Times New Roman" w:hAnsi="Times New Roman" w:eastAsia="黑体" w:cs="黑体"/>
          <w:b/>
          <w:bCs/>
          <w:sz w:val="28"/>
          <w:szCs w:val="28"/>
          <w:lang w:eastAsia="zh-CN"/>
        </w:rPr>
        <w:t>昆明市盘龙区住房和城乡建设局</w:t>
      </w:r>
      <w:r>
        <w:rPr>
          <w:rFonts w:hint="eastAsia" w:ascii="Times New Roman" w:hAnsi="Times New Roman" w:eastAsia="黑体" w:cs="黑体"/>
          <w:b/>
          <w:bCs/>
          <w:sz w:val="28"/>
          <w:szCs w:val="28"/>
        </w:rPr>
        <w:t>整体支出</w:t>
      </w:r>
    </w:p>
    <w:p w14:paraId="72CB950C">
      <w:pPr>
        <w:adjustRightInd w:val="0"/>
        <w:snapToGrid w:val="0"/>
        <w:spacing w:line="360" w:lineRule="auto"/>
        <w:ind w:left="1260" w:leftChars="600"/>
        <w:rPr>
          <w:rFonts w:hint="eastAsia" w:ascii="Times New Roman" w:hAnsi="Times New Roman" w:eastAsia="黑体" w:cs="黑体"/>
          <w:b/>
          <w:bCs/>
          <w:sz w:val="28"/>
          <w:szCs w:val="28"/>
          <w:lang w:eastAsia="zh-CN"/>
        </w:rPr>
      </w:pPr>
      <w:r>
        <w:rPr>
          <w:rFonts w:ascii="Times New Roman" w:hAnsi="Times New Roman" w:eastAsia="黑体" w:cs="黑体"/>
          <w:b/>
          <w:bCs/>
          <w:sz w:val="28"/>
          <w:szCs w:val="28"/>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217805</wp:posOffset>
                </wp:positionV>
                <wp:extent cx="3457575"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34575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3.5pt;margin-top:17.15pt;height:0pt;width:272.25pt;z-index:251660288;mso-width-relative:page;mso-height-relative:page;" filled="f" stroked="t" coordsize="21600,21600" o:gfxdata="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r9D3DYAAAACQEAAA8AAAAAAAAAAQAgAAAAIgAAAGRycy9kb3ducmV2&#10;LnhtbFBLAQIUABQAAAAIAIdO4kCOHcNw/AEAAOwDAAAOAAAAAAAAAAEAIAAAACcBAABkcnMvZTJv&#10;RG9jLnhtbFBLBQYAAAAABgAGAFkBAACVBQ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部门名称：</w:t>
      </w:r>
      <w:r>
        <w:rPr>
          <w:rFonts w:hint="eastAsia" w:ascii="Times New Roman" w:hAnsi="Times New Roman" w:eastAsia="黑体" w:cs="黑体"/>
          <w:b/>
          <w:bCs/>
          <w:sz w:val="28"/>
          <w:szCs w:val="28"/>
          <w:lang w:eastAsia="zh-CN"/>
        </w:rPr>
        <w:t>昆明市盘龙区住房和城乡建设局</w:t>
      </w:r>
    </w:p>
    <w:p w14:paraId="707C5D75">
      <w:pPr>
        <w:adjustRightInd w:val="0"/>
        <w:snapToGrid w:val="0"/>
        <w:spacing w:line="360" w:lineRule="auto"/>
        <w:ind w:left="1260" w:leftChars="600"/>
        <w:rPr>
          <w:rFonts w:ascii="Times New Roman" w:hAnsi="Times New Roman" w:eastAsia="黑体"/>
          <w:b/>
          <w:bCs/>
          <w:sz w:val="28"/>
          <w:szCs w:val="28"/>
        </w:rPr>
      </w:pPr>
      <w:r>
        <w:rPr>
          <w:rFonts w:ascii="Times New Roman" w:hAnsi="Times New Roman" w:eastAsia="黑体" w:cs="黑体"/>
          <w:b/>
          <w:bCs/>
          <w:sz w:val="28"/>
          <w:szCs w:val="28"/>
        </w:rPr>
        <mc:AlternateContent>
          <mc:Choice Requires="wps">
            <w:drawing>
              <wp:anchor distT="0" distB="0" distL="114300" distR="114300" simplePos="0" relativeHeight="251661312" behindDoc="0" locked="0" layoutInCell="1" allowOverlap="1">
                <wp:simplePos x="0" y="0"/>
                <wp:positionH relativeFrom="column">
                  <wp:posOffset>1695450</wp:posOffset>
                </wp:positionH>
                <wp:positionV relativeFrom="paragraph">
                  <wp:posOffset>253365</wp:posOffset>
                </wp:positionV>
                <wp:extent cx="3457575"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34575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3.5pt;margin-top:19.95pt;height:0pt;width:272.25pt;z-index:251661312;mso-width-relative:page;mso-height-relative:page;" filled="f" stroked="t" coordsize="21600,21600" o:gfxdata="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BJ+CNcAAAAJAQAADwAAAAAAAAABACAAAAAiAAAAZHJzL2Rvd25yZXYu&#10;eG1sUEsBAhQAFAAAAAgAh07iQOoKYOv8AQAA7AMAAA4AAAAAAAAAAQAgAAAAJgEAAGRycy9lMm9E&#10;b2MueG1sUEsFBgAAAAAGAAYAWQEAAJQFAAAAAA==&#10;">
                <v:fill on="f" focussize="0,0"/>
                <v:stroke color="#000000" joinstyle="round"/>
                <v:imagedata o:title=""/>
                <o:lock v:ext="edit" aspectratio="f"/>
              </v:shape>
            </w:pict>
          </mc:Fallback>
        </mc:AlternateContent>
      </w:r>
      <w:r>
        <w:rPr>
          <w:rFonts w:hint="eastAsia" w:ascii="Times New Roman" w:hAnsi="Times New Roman" w:eastAsia="黑体" w:cs="黑体"/>
          <w:b/>
          <w:bCs/>
          <w:sz w:val="28"/>
          <w:szCs w:val="28"/>
        </w:rPr>
        <w:t>评价机构：昆明市盘龙区住房和城乡建设局</w:t>
      </w:r>
    </w:p>
    <w:p w14:paraId="286277E6">
      <w:pPr>
        <w:spacing w:line="360" w:lineRule="auto"/>
        <w:ind w:left="1218" w:leftChars="580"/>
        <w:rPr>
          <w:rFonts w:ascii="Times New Roman" w:hAnsi="Times New Roman" w:eastAsia="黑体"/>
          <w:b/>
          <w:bCs/>
          <w:sz w:val="28"/>
          <w:szCs w:val="28"/>
        </w:rPr>
      </w:pPr>
    </w:p>
    <w:p w14:paraId="034A2AAE">
      <w:pPr>
        <w:jc w:val="center"/>
        <w:rPr>
          <w:rFonts w:ascii="Times New Roman" w:hAnsi="Times New Roman" w:eastAsia="黑体" w:cs="黑体"/>
          <w:b/>
          <w:bCs/>
          <w:sz w:val="28"/>
          <w:szCs w:val="28"/>
        </w:rPr>
      </w:pPr>
      <w:r>
        <w:rPr>
          <w:rFonts w:ascii="Times New Roman" w:hAnsi="Times New Roman" w:eastAsia="黑体"/>
          <w:b/>
          <w:bCs/>
          <w:sz w:val="28"/>
          <w:szCs w:val="28"/>
        </w:rPr>
        <w:t>20</w:t>
      </w:r>
      <w:r>
        <w:rPr>
          <w:rFonts w:hint="eastAsia" w:ascii="Times New Roman" w:hAnsi="Times New Roman" w:eastAsia="黑体"/>
          <w:b/>
          <w:bCs/>
          <w:sz w:val="28"/>
          <w:szCs w:val="28"/>
          <w:lang w:val="en-US" w:eastAsia="zh-CN"/>
        </w:rPr>
        <w:t>24</w:t>
      </w:r>
      <w:r>
        <w:rPr>
          <w:rFonts w:hint="eastAsia" w:ascii="Times New Roman" w:hAnsi="Times New Roman" w:eastAsia="黑体" w:cs="黑体"/>
          <w:b/>
          <w:bCs/>
          <w:sz w:val="28"/>
          <w:szCs w:val="28"/>
        </w:rPr>
        <w:t>年</w:t>
      </w:r>
      <w:r>
        <w:rPr>
          <w:rFonts w:hint="eastAsia" w:ascii="Times New Roman" w:hAnsi="Times New Roman" w:eastAsia="黑体"/>
          <w:b/>
          <w:bCs/>
          <w:sz w:val="28"/>
          <w:szCs w:val="28"/>
          <w:lang w:val="en-US" w:eastAsia="zh-CN"/>
        </w:rPr>
        <w:t>5</w:t>
      </w:r>
      <w:r>
        <w:rPr>
          <w:rFonts w:hint="eastAsia" w:ascii="Times New Roman" w:hAnsi="Times New Roman" w:eastAsia="黑体" w:cs="黑体"/>
          <w:b/>
          <w:bCs/>
          <w:sz w:val="28"/>
          <w:szCs w:val="28"/>
        </w:rPr>
        <w:t>月</w:t>
      </w:r>
    </w:p>
    <w:p w14:paraId="77F7F726">
      <w:pPr>
        <w:jc w:val="center"/>
        <w:rPr>
          <w:rFonts w:ascii="Times New Roman" w:hAnsi="Times New Roman" w:eastAsia="黑体" w:cs="黑体"/>
          <w:b/>
          <w:bCs/>
          <w:sz w:val="28"/>
          <w:szCs w:val="28"/>
        </w:rPr>
      </w:pPr>
    </w:p>
    <w:p w14:paraId="19F532B9">
      <w:pPr>
        <w:jc w:val="center"/>
        <w:rPr>
          <w:rFonts w:ascii="Times New Roman" w:hAnsi="Times New Roman" w:eastAsia="黑体" w:cs="黑体"/>
          <w:b/>
          <w:bCs/>
          <w:sz w:val="28"/>
          <w:szCs w:val="28"/>
        </w:rPr>
      </w:pPr>
    </w:p>
    <w:p w14:paraId="3DB72DD8">
      <w:pPr>
        <w:jc w:val="center"/>
        <w:rPr>
          <w:rFonts w:ascii="Times New Roman" w:hAnsi="Times New Roman" w:eastAsia="黑体" w:cs="黑体"/>
          <w:b/>
          <w:bCs/>
          <w:sz w:val="28"/>
          <w:szCs w:val="28"/>
        </w:rPr>
      </w:pPr>
    </w:p>
    <w:p w14:paraId="3B91E904">
      <w:pPr>
        <w:jc w:val="center"/>
        <w:rPr>
          <w:rFonts w:ascii="Times New Roman" w:hAnsi="Times New Roman" w:eastAsia="黑体" w:cs="黑体"/>
          <w:b/>
          <w:bCs/>
          <w:sz w:val="28"/>
          <w:szCs w:val="28"/>
        </w:rPr>
      </w:pPr>
    </w:p>
    <w:p w14:paraId="58BFDEEB">
      <w:pPr>
        <w:jc w:val="center"/>
        <w:rPr>
          <w:rFonts w:ascii="Times New Roman" w:hAnsi="Times New Roman" w:eastAsia="仿宋_GB2312"/>
          <w:b/>
          <w:bCs/>
          <w:sz w:val="28"/>
          <w:szCs w:val="28"/>
        </w:rPr>
      </w:pPr>
    </w:p>
    <w:p w14:paraId="1A237763">
      <w:pPr>
        <w:widowControl/>
        <w:jc w:val="left"/>
        <w:rPr>
          <w:rFonts w:ascii="Times New Roman" w:hAnsi="Times New Roman" w:eastAsia="仿宋_GB2312"/>
          <w:b/>
          <w:bCs/>
          <w:sz w:val="28"/>
          <w:szCs w:val="28"/>
        </w:rPr>
        <w:sectPr>
          <w:headerReference r:id="rId3" w:type="default"/>
          <w:footerReference r:id="rId4" w:type="default"/>
          <w:pgSz w:w="11906" w:h="16838"/>
          <w:pgMar w:top="1440" w:right="1800" w:bottom="1440" w:left="1800" w:header="851" w:footer="992" w:gutter="0"/>
          <w:cols w:space="425" w:num="1"/>
          <w:titlePg/>
          <w:docGrid w:type="lines" w:linePitch="312" w:charSpace="0"/>
        </w:sectPr>
      </w:pPr>
    </w:p>
    <w:p w14:paraId="39454308">
      <w:pPr>
        <w:rPr>
          <w:rFonts w:hint="eastAsia" w:ascii="方正小标宋_GBK" w:hAnsi="Times New Roman" w:eastAsia="方正小标宋_GBK" w:cs="宋体"/>
          <w:b w:val="0"/>
          <w:color w:val="auto"/>
          <w:lang w:val="zh-CN"/>
        </w:rPr>
      </w:pPr>
      <w:r>
        <w:rPr>
          <w:rFonts w:hint="eastAsia" w:ascii="方正小标宋_GBK" w:hAnsi="Times New Roman" w:eastAsia="方正小标宋_GBK" w:cs="宋体"/>
          <w:b w:val="0"/>
          <w:color w:val="auto"/>
          <w:lang w:val="zh-CN"/>
        </w:rPr>
        <w:drawing>
          <wp:inline distT="0" distB="0" distL="114300" distR="114300">
            <wp:extent cx="5271135" cy="7415530"/>
            <wp:effectExtent l="0" t="0" r="5715" b="13970"/>
            <wp:docPr id="4" name="图片 4" descr="_cgi-bin_mmwebwx-bin_webwxgetmsgimg__&amp;MsgID=6377348599582668806&amp;skey=@crypt_66a211c3_fe441dc303fb6b71efb91c3bf58761a0&amp;mmweb_appid=wx_webfilehel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_cgi-bin_mmwebwx-bin_webwxgetmsgimg__&amp;MsgID=6377348599582668806&amp;skey=@crypt_66a211c3_fe441dc303fb6b71efb91c3bf58761a0&amp;mmweb_appid=wx_webfilehelper"/>
                    <pic:cNvPicPr>
                      <a:picLocks noChangeAspect="1"/>
                    </pic:cNvPicPr>
                  </pic:nvPicPr>
                  <pic:blipFill>
                    <a:blip r:embed="rId6"/>
                    <a:stretch>
                      <a:fillRect/>
                    </a:stretch>
                  </pic:blipFill>
                  <pic:spPr>
                    <a:xfrm>
                      <a:off x="0" y="0"/>
                      <a:ext cx="5271135" cy="7415530"/>
                    </a:xfrm>
                    <a:prstGeom prst="rect">
                      <a:avLst/>
                    </a:prstGeom>
                  </pic:spPr>
                </pic:pic>
              </a:graphicData>
            </a:graphic>
          </wp:inline>
        </w:drawing>
      </w:r>
    </w:p>
    <w:p w14:paraId="593F1BE9">
      <w:pPr>
        <w:pStyle w:val="2"/>
        <w:rPr>
          <w:rFonts w:hint="eastAsia" w:ascii="方正小标宋_GBK" w:hAnsi="Times New Roman" w:eastAsia="方正小标宋_GBK" w:cs="宋体"/>
          <w:b w:val="0"/>
          <w:color w:val="auto"/>
          <w:lang w:val="zh-CN"/>
        </w:rPr>
      </w:pPr>
    </w:p>
    <w:p w14:paraId="55169B6F">
      <w:pPr>
        <w:pStyle w:val="2"/>
        <w:rPr>
          <w:rFonts w:hint="eastAsia" w:ascii="方正小标宋_GBK" w:hAnsi="Times New Roman" w:eastAsia="方正小标宋_GBK" w:cs="宋体"/>
          <w:b w:val="0"/>
          <w:color w:val="auto"/>
          <w:lang w:val="zh-CN"/>
        </w:rPr>
      </w:pPr>
    </w:p>
    <w:p w14:paraId="0F6EC4F3">
      <w:pPr>
        <w:pStyle w:val="2"/>
        <w:rPr>
          <w:rFonts w:hint="eastAsia"/>
          <w:lang w:val="zh-CN"/>
        </w:rPr>
      </w:pPr>
    </w:p>
    <w:p w14:paraId="4ED602D4">
      <w:pPr>
        <w:pStyle w:val="11"/>
        <w:jc w:val="center"/>
        <w:rPr>
          <w:rFonts w:ascii="方正小标宋_GBK" w:hAnsi="Times New Roman" w:eastAsia="方正小标宋_GBK" w:cs="Times New Roman"/>
          <w:b w:val="0"/>
          <w:color w:val="auto"/>
        </w:rPr>
      </w:pPr>
      <w:r>
        <w:rPr>
          <w:rFonts w:hint="eastAsia" w:ascii="方正小标宋_GBK" w:hAnsi="Times New Roman" w:eastAsia="方正小标宋_GBK" w:cs="宋体"/>
          <w:b w:val="0"/>
          <w:color w:val="auto"/>
          <w:lang w:val="zh-CN"/>
        </w:rPr>
        <w:t>目录</w:t>
      </w:r>
    </w:p>
    <w:p w14:paraId="0B00A89D">
      <w:pPr>
        <w:spacing w:line="400" w:lineRule="exact"/>
        <w:ind w:firstLine="420" w:firstLineChars="200"/>
        <w:jc w:val="left"/>
        <w:rPr>
          <w:rFonts w:ascii="黑体" w:hAnsi="黑体" w:eastAsia="黑体"/>
          <w:szCs w:val="32"/>
        </w:rPr>
      </w:pPr>
      <w:r>
        <w:rPr>
          <w:rFonts w:hint="eastAsia" w:ascii="黑体" w:hAnsi="黑体" w:eastAsia="黑体"/>
          <w:szCs w:val="32"/>
        </w:rPr>
        <w:t>一、摘要</w:t>
      </w:r>
      <w:r>
        <w:rPr>
          <w:rFonts w:hint="eastAsia" w:ascii="黑体" w:hAnsi="黑体" w:eastAsia="黑体"/>
          <w:szCs w:val="32"/>
        </w:rPr>
        <w:tab/>
      </w:r>
      <w:r>
        <w:rPr>
          <w:rFonts w:hint="eastAsia" w:ascii="黑体" w:hAnsi="黑体" w:eastAsia="黑体"/>
          <w:szCs w:val="32"/>
        </w:rPr>
        <w:t xml:space="preserve"> </w:t>
      </w:r>
    </w:p>
    <w:p w14:paraId="2889EC00">
      <w:pPr>
        <w:spacing w:line="400" w:lineRule="exact"/>
        <w:ind w:firstLine="420" w:firstLineChars="200"/>
        <w:jc w:val="left"/>
        <w:rPr>
          <w:rFonts w:ascii="黑体" w:hAnsi="黑体" w:eastAsia="黑体"/>
          <w:szCs w:val="32"/>
        </w:rPr>
      </w:pPr>
      <w:r>
        <w:rPr>
          <w:rFonts w:hint="eastAsia" w:ascii="黑体" w:hAnsi="黑体" w:eastAsia="黑体"/>
          <w:szCs w:val="32"/>
        </w:rPr>
        <w:t>二、部门概况</w:t>
      </w:r>
      <w:r>
        <w:rPr>
          <w:rFonts w:hint="eastAsia" w:ascii="黑体" w:hAnsi="黑体" w:eastAsia="黑体"/>
          <w:szCs w:val="32"/>
        </w:rPr>
        <w:tab/>
      </w:r>
      <w:r>
        <w:rPr>
          <w:rFonts w:hint="eastAsia" w:ascii="黑体" w:hAnsi="黑体" w:eastAsia="黑体"/>
          <w:szCs w:val="32"/>
        </w:rPr>
        <w:t xml:space="preserve"> </w:t>
      </w:r>
    </w:p>
    <w:p w14:paraId="541152AC">
      <w:pPr>
        <w:spacing w:line="400" w:lineRule="exact"/>
        <w:ind w:firstLine="420" w:firstLineChars="200"/>
        <w:jc w:val="left"/>
        <w:rPr>
          <w:rFonts w:ascii="黑体" w:hAnsi="黑体" w:eastAsia="黑体"/>
          <w:szCs w:val="32"/>
        </w:rPr>
      </w:pPr>
      <w:r>
        <w:rPr>
          <w:rFonts w:hint="eastAsia" w:ascii="黑体" w:hAnsi="黑体" w:eastAsia="黑体"/>
          <w:szCs w:val="32"/>
        </w:rPr>
        <w:t>（一）部门机构设置、编制</w:t>
      </w:r>
      <w:r>
        <w:rPr>
          <w:rFonts w:hint="eastAsia" w:ascii="黑体" w:hAnsi="黑体" w:eastAsia="黑体"/>
          <w:szCs w:val="32"/>
        </w:rPr>
        <w:tab/>
      </w:r>
    </w:p>
    <w:p w14:paraId="1A9F52FF">
      <w:pPr>
        <w:spacing w:line="400" w:lineRule="exact"/>
        <w:ind w:firstLine="420" w:firstLineChars="200"/>
        <w:jc w:val="left"/>
        <w:rPr>
          <w:rFonts w:ascii="黑体" w:hAnsi="黑体" w:eastAsia="黑体"/>
          <w:szCs w:val="32"/>
        </w:rPr>
      </w:pPr>
      <w:r>
        <w:rPr>
          <w:rFonts w:hint="eastAsia" w:ascii="黑体" w:hAnsi="黑体" w:eastAsia="黑体"/>
          <w:szCs w:val="32"/>
        </w:rPr>
        <w:t>（二）部门职能</w:t>
      </w:r>
    </w:p>
    <w:p w14:paraId="248B8354">
      <w:pPr>
        <w:spacing w:line="400" w:lineRule="exact"/>
        <w:ind w:firstLine="420" w:firstLineChars="200"/>
        <w:jc w:val="left"/>
        <w:rPr>
          <w:rFonts w:ascii="黑体" w:hAnsi="黑体" w:eastAsia="黑体"/>
          <w:szCs w:val="32"/>
        </w:rPr>
      </w:pPr>
      <w:r>
        <w:rPr>
          <w:rFonts w:hint="eastAsia" w:ascii="黑体" w:hAnsi="黑体" w:eastAsia="黑体"/>
          <w:szCs w:val="32"/>
        </w:rPr>
        <w:t>（三）部门工作完成情况</w:t>
      </w:r>
      <w:r>
        <w:rPr>
          <w:rFonts w:hint="eastAsia" w:ascii="黑体" w:hAnsi="黑体" w:eastAsia="黑体"/>
          <w:szCs w:val="32"/>
        </w:rPr>
        <w:tab/>
      </w:r>
      <w:r>
        <w:rPr>
          <w:rFonts w:hint="eastAsia" w:ascii="黑体" w:hAnsi="黑体" w:eastAsia="黑体"/>
          <w:szCs w:val="32"/>
        </w:rPr>
        <w:t xml:space="preserve"> </w:t>
      </w:r>
    </w:p>
    <w:p w14:paraId="121AAF46">
      <w:pPr>
        <w:spacing w:line="400" w:lineRule="exact"/>
        <w:ind w:firstLine="420" w:firstLineChars="200"/>
        <w:jc w:val="left"/>
        <w:rPr>
          <w:rFonts w:ascii="黑体" w:hAnsi="黑体" w:eastAsia="黑体"/>
          <w:szCs w:val="32"/>
        </w:rPr>
      </w:pPr>
      <w:r>
        <w:rPr>
          <w:rFonts w:hint="eastAsia" w:ascii="黑体" w:hAnsi="黑体" w:eastAsia="黑体"/>
          <w:szCs w:val="32"/>
        </w:rPr>
        <w:t xml:space="preserve">（四）部门管理制度 </w:t>
      </w:r>
    </w:p>
    <w:p w14:paraId="49AA8646">
      <w:pPr>
        <w:spacing w:line="400" w:lineRule="exact"/>
        <w:ind w:firstLine="420" w:firstLineChars="200"/>
        <w:jc w:val="left"/>
        <w:rPr>
          <w:rFonts w:ascii="黑体" w:hAnsi="黑体" w:eastAsia="黑体"/>
          <w:szCs w:val="32"/>
        </w:rPr>
      </w:pPr>
      <w:r>
        <w:rPr>
          <w:rFonts w:hint="eastAsia" w:ascii="黑体" w:hAnsi="黑体" w:eastAsia="黑体"/>
          <w:szCs w:val="32"/>
        </w:rPr>
        <w:t>（五）部门资金来源及使用情况</w:t>
      </w:r>
      <w:r>
        <w:rPr>
          <w:rFonts w:hint="eastAsia" w:ascii="黑体" w:hAnsi="黑体" w:eastAsia="黑体"/>
          <w:szCs w:val="32"/>
        </w:rPr>
        <w:tab/>
      </w:r>
      <w:r>
        <w:rPr>
          <w:rFonts w:hint="eastAsia" w:ascii="黑体" w:hAnsi="黑体" w:eastAsia="黑体"/>
          <w:szCs w:val="32"/>
        </w:rPr>
        <w:t xml:space="preserve"> </w:t>
      </w:r>
    </w:p>
    <w:p w14:paraId="139572CE">
      <w:pPr>
        <w:spacing w:line="400" w:lineRule="exact"/>
        <w:ind w:firstLine="420" w:firstLineChars="200"/>
        <w:jc w:val="left"/>
        <w:rPr>
          <w:rFonts w:ascii="黑体" w:hAnsi="黑体" w:eastAsia="黑体"/>
          <w:szCs w:val="32"/>
        </w:rPr>
      </w:pPr>
      <w:r>
        <w:rPr>
          <w:rFonts w:hint="eastAsia" w:ascii="黑体" w:hAnsi="黑体" w:eastAsia="黑体"/>
          <w:szCs w:val="32"/>
        </w:rPr>
        <w:t xml:space="preserve">（六）政府采购情况 </w:t>
      </w:r>
    </w:p>
    <w:p w14:paraId="1014CD33">
      <w:pPr>
        <w:spacing w:line="400" w:lineRule="exact"/>
        <w:ind w:firstLine="420" w:firstLineChars="200"/>
        <w:jc w:val="left"/>
        <w:rPr>
          <w:rFonts w:ascii="黑体" w:hAnsi="黑体" w:eastAsia="黑体"/>
          <w:szCs w:val="32"/>
        </w:rPr>
      </w:pPr>
      <w:r>
        <w:rPr>
          <w:rFonts w:hint="eastAsia" w:ascii="黑体" w:hAnsi="黑体" w:eastAsia="黑体"/>
          <w:szCs w:val="32"/>
        </w:rPr>
        <w:t>（七）固定资产情况</w:t>
      </w:r>
      <w:r>
        <w:rPr>
          <w:rFonts w:hint="eastAsia" w:ascii="黑体" w:hAnsi="黑体" w:eastAsia="黑体"/>
          <w:szCs w:val="32"/>
        </w:rPr>
        <w:tab/>
      </w:r>
      <w:r>
        <w:rPr>
          <w:rFonts w:hint="eastAsia" w:ascii="黑体" w:hAnsi="黑体" w:eastAsia="黑体"/>
          <w:szCs w:val="32"/>
        </w:rPr>
        <w:t xml:space="preserve"> </w:t>
      </w:r>
    </w:p>
    <w:p w14:paraId="310CBE57">
      <w:pPr>
        <w:spacing w:line="400" w:lineRule="exact"/>
        <w:ind w:firstLine="420" w:firstLineChars="200"/>
        <w:jc w:val="left"/>
        <w:rPr>
          <w:rFonts w:ascii="黑体" w:hAnsi="黑体" w:eastAsia="黑体"/>
          <w:szCs w:val="32"/>
        </w:rPr>
      </w:pPr>
      <w:r>
        <w:rPr>
          <w:rFonts w:hint="eastAsia" w:ascii="黑体" w:hAnsi="黑体" w:eastAsia="黑体"/>
          <w:szCs w:val="32"/>
        </w:rPr>
        <w:t>三、绩效目标</w:t>
      </w:r>
      <w:r>
        <w:rPr>
          <w:rFonts w:hint="eastAsia" w:ascii="黑体" w:hAnsi="黑体" w:eastAsia="黑体"/>
          <w:szCs w:val="32"/>
        </w:rPr>
        <w:tab/>
      </w:r>
      <w:r>
        <w:rPr>
          <w:rFonts w:hint="eastAsia" w:ascii="黑体" w:hAnsi="黑体" w:eastAsia="黑体"/>
          <w:szCs w:val="32"/>
        </w:rPr>
        <w:t xml:space="preserve"> </w:t>
      </w:r>
    </w:p>
    <w:p w14:paraId="7364BE87">
      <w:pPr>
        <w:spacing w:line="400" w:lineRule="exact"/>
        <w:ind w:firstLine="420" w:firstLineChars="200"/>
        <w:jc w:val="left"/>
        <w:rPr>
          <w:rFonts w:ascii="黑体" w:hAnsi="黑体" w:eastAsia="黑体"/>
          <w:szCs w:val="32"/>
        </w:rPr>
      </w:pPr>
      <w:r>
        <w:rPr>
          <w:rFonts w:hint="eastAsia" w:ascii="黑体" w:hAnsi="黑体" w:eastAsia="黑体"/>
          <w:szCs w:val="32"/>
        </w:rPr>
        <w:t>四、评价思路和过程</w:t>
      </w:r>
      <w:r>
        <w:rPr>
          <w:rFonts w:hint="eastAsia" w:ascii="黑体" w:hAnsi="黑体" w:eastAsia="黑体"/>
          <w:szCs w:val="32"/>
        </w:rPr>
        <w:tab/>
      </w:r>
      <w:r>
        <w:rPr>
          <w:rFonts w:hint="eastAsia" w:ascii="黑体" w:hAnsi="黑体" w:eastAsia="黑体"/>
          <w:szCs w:val="32"/>
        </w:rPr>
        <w:t xml:space="preserve"> </w:t>
      </w:r>
    </w:p>
    <w:p w14:paraId="3C410C21">
      <w:pPr>
        <w:spacing w:line="400" w:lineRule="exact"/>
        <w:ind w:firstLine="420" w:firstLineChars="200"/>
        <w:jc w:val="left"/>
        <w:rPr>
          <w:rFonts w:ascii="黑体" w:hAnsi="黑体" w:eastAsia="黑体"/>
          <w:szCs w:val="32"/>
        </w:rPr>
      </w:pPr>
      <w:r>
        <w:rPr>
          <w:rFonts w:hint="eastAsia" w:ascii="黑体" w:hAnsi="黑体" w:eastAsia="黑体"/>
          <w:szCs w:val="32"/>
        </w:rPr>
        <w:t>（一）评价思路</w:t>
      </w:r>
      <w:r>
        <w:rPr>
          <w:rFonts w:hint="eastAsia" w:ascii="黑体" w:hAnsi="黑体" w:eastAsia="黑体"/>
          <w:szCs w:val="32"/>
        </w:rPr>
        <w:tab/>
      </w:r>
      <w:r>
        <w:rPr>
          <w:rFonts w:hint="eastAsia" w:ascii="黑体" w:hAnsi="黑体" w:eastAsia="黑体"/>
          <w:szCs w:val="32"/>
        </w:rPr>
        <w:t xml:space="preserve"> </w:t>
      </w:r>
    </w:p>
    <w:p w14:paraId="0EA1A11F">
      <w:pPr>
        <w:spacing w:line="400" w:lineRule="exact"/>
        <w:ind w:firstLine="420" w:firstLineChars="200"/>
        <w:jc w:val="left"/>
        <w:rPr>
          <w:rFonts w:ascii="黑体" w:hAnsi="黑体" w:eastAsia="黑体"/>
          <w:szCs w:val="32"/>
        </w:rPr>
      </w:pPr>
      <w:r>
        <w:rPr>
          <w:rFonts w:hint="eastAsia" w:ascii="黑体" w:hAnsi="黑体" w:eastAsia="黑体"/>
          <w:szCs w:val="32"/>
        </w:rPr>
        <w:t>（二）评价目的</w:t>
      </w:r>
      <w:r>
        <w:rPr>
          <w:rFonts w:hint="eastAsia" w:ascii="黑体" w:hAnsi="黑体" w:eastAsia="黑体"/>
          <w:szCs w:val="32"/>
        </w:rPr>
        <w:tab/>
      </w:r>
      <w:r>
        <w:rPr>
          <w:rFonts w:hint="eastAsia" w:ascii="黑体" w:hAnsi="黑体" w:eastAsia="黑体"/>
          <w:szCs w:val="32"/>
        </w:rPr>
        <w:t xml:space="preserve"> </w:t>
      </w:r>
    </w:p>
    <w:p w14:paraId="3828C3E8">
      <w:pPr>
        <w:spacing w:line="400" w:lineRule="exact"/>
        <w:ind w:firstLine="420" w:firstLineChars="200"/>
        <w:jc w:val="left"/>
        <w:rPr>
          <w:rFonts w:ascii="黑体" w:hAnsi="黑体" w:eastAsia="黑体"/>
          <w:szCs w:val="32"/>
        </w:rPr>
      </w:pPr>
      <w:r>
        <w:rPr>
          <w:rFonts w:hint="eastAsia" w:ascii="黑体" w:hAnsi="黑体" w:eastAsia="黑体"/>
          <w:szCs w:val="32"/>
        </w:rPr>
        <w:t>（三）评价依据</w:t>
      </w:r>
      <w:r>
        <w:rPr>
          <w:rFonts w:hint="eastAsia" w:ascii="黑体" w:hAnsi="黑体" w:eastAsia="黑体"/>
          <w:szCs w:val="32"/>
        </w:rPr>
        <w:tab/>
      </w:r>
      <w:r>
        <w:rPr>
          <w:rFonts w:hint="eastAsia" w:ascii="黑体" w:hAnsi="黑体" w:eastAsia="黑体"/>
          <w:szCs w:val="32"/>
        </w:rPr>
        <w:t xml:space="preserve"> </w:t>
      </w:r>
    </w:p>
    <w:p w14:paraId="47E5236B">
      <w:pPr>
        <w:spacing w:line="400" w:lineRule="exact"/>
        <w:ind w:firstLine="420" w:firstLineChars="200"/>
        <w:jc w:val="left"/>
        <w:rPr>
          <w:rFonts w:ascii="黑体" w:hAnsi="黑体" w:eastAsia="黑体"/>
          <w:szCs w:val="32"/>
        </w:rPr>
      </w:pPr>
      <w:r>
        <w:rPr>
          <w:rFonts w:hint="eastAsia" w:ascii="黑体" w:hAnsi="黑体" w:eastAsia="黑体"/>
          <w:szCs w:val="32"/>
        </w:rPr>
        <w:t>（四）评价对象及评价时段</w:t>
      </w:r>
      <w:r>
        <w:rPr>
          <w:rFonts w:hint="eastAsia" w:ascii="黑体" w:hAnsi="黑体" w:eastAsia="黑体"/>
          <w:szCs w:val="32"/>
        </w:rPr>
        <w:tab/>
      </w:r>
      <w:r>
        <w:rPr>
          <w:rFonts w:hint="eastAsia" w:ascii="黑体" w:hAnsi="黑体" w:eastAsia="黑体"/>
          <w:szCs w:val="32"/>
        </w:rPr>
        <w:t xml:space="preserve"> </w:t>
      </w:r>
    </w:p>
    <w:p w14:paraId="4C7B661F">
      <w:pPr>
        <w:spacing w:line="400" w:lineRule="exact"/>
        <w:ind w:firstLine="420" w:firstLineChars="200"/>
        <w:jc w:val="left"/>
        <w:rPr>
          <w:rFonts w:ascii="黑体" w:hAnsi="黑体" w:eastAsia="黑体"/>
          <w:szCs w:val="32"/>
        </w:rPr>
      </w:pPr>
      <w:r>
        <w:rPr>
          <w:rFonts w:hint="eastAsia" w:ascii="黑体" w:hAnsi="黑体" w:eastAsia="黑体"/>
          <w:szCs w:val="32"/>
        </w:rPr>
        <w:t>五、评价结论和绩效分析</w:t>
      </w:r>
      <w:r>
        <w:rPr>
          <w:rFonts w:hint="eastAsia" w:ascii="黑体" w:hAnsi="黑体" w:eastAsia="黑体"/>
          <w:szCs w:val="32"/>
        </w:rPr>
        <w:tab/>
      </w:r>
      <w:r>
        <w:rPr>
          <w:rFonts w:hint="eastAsia" w:ascii="黑体" w:hAnsi="黑体" w:eastAsia="黑体"/>
          <w:szCs w:val="32"/>
        </w:rPr>
        <w:t xml:space="preserve"> </w:t>
      </w:r>
    </w:p>
    <w:p w14:paraId="5716A91B">
      <w:pPr>
        <w:spacing w:line="400" w:lineRule="exact"/>
        <w:ind w:firstLine="420" w:firstLineChars="200"/>
        <w:jc w:val="left"/>
        <w:rPr>
          <w:rFonts w:ascii="黑体" w:hAnsi="黑体" w:eastAsia="黑体"/>
          <w:szCs w:val="32"/>
        </w:rPr>
      </w:pPr>
      <w:r>
        <w:rPr>
          <w:rFonts w:hint="eastAsia" w:ascii="黑体" w:hAnsi="黑体" w:eastAsia="黑体"/>
          <w:szCs w:val="32"/>
        </w:rPr>
        <w:t>（一）评价结论</w:t>
      </w:r>
      <w:r>
        <w:rPr>
          <w:rFonts w:hint="eastAsia" w:ascii="黑体" w:hAnsi="黑体" w:eastAsia="黑体"/>
          <w:szCs w:val="32"/>
        </w:rPr>
        <w:tab/>
      </w:r>
      <w:r>
        <w:rPr>
          <w:rFonts w:hint="eastAsia" w:ascii="黑体" w:hAnsi="黑体" w:eastAsia="黑体"/>
          <w:szCs w:val="32"/>
        </w:rPr>
        <w:t xml:space="preserve"> </w:t>
      </w:r>
    </w:p>
    <w:p w14:paraId="44A79C5E">
      <w:pPr>
        <w:spacing w:line="400" w:lineRule="exact"/>
        <w:ind w:firstLine="420" w:firstLineChars="200"/>
        <w:jc w:val="left"/>
        <w:rPr>
          <w:rFonts w:ascii="黑体" w:hAnsi="黑体" w:eastAsia="黑体"/>
          <w:szCs w:val="32"/>
        </w:rPr>
      </w:pPr>
      <w:r>
        <w:rPr>
          <w:rFonts w:hint="eastAsia" w:ascii="黑体" w:hAnsi="黑体" w:eastAsia="黑体"/>
          <w:szCs w:val="32"/>
        </w:rPr>
        <w:t>（二）具体绩效分析</w:t>
      </w:r>
      <w:r>
        <w:rPr>
          <w:rFonts w:hint="eastAsia" w:ascii="黑体" w:hAnsi="黑体" w:eastAsia="黑体"/>
          <w:szCs w:val="32"/>
        </w:rPr>
        <w:tab/>
      </w:r>
      <w:r>
        <w:rPr>
          <w:rFonts w:hint="eastAsia" w:ascii="黑体" w:hAnsi="黑体" w:eastAsia="黑体"/>
          <w:szCs w:val="32"/>
        </w:rPr>
        <w:t xml:space="preserve"> </w:t>
      </w:r>
    </w:p>
    <w:p w14:paraId="2043D1BC">
      <w:pPr>
        <w:spacing w:line="400" w:lineRule="exact"/>
        <w:ind w:firstLine="420" w:firstLineChars="200"/>
        <w:jc w:val="left"/>
        <w:rPr>
          <w:rFonts w:ascii="黑体" w:hAnsi="黑体" w:eastAsia="黑体"/>
          <w:szCs w:val="32"/>
        </w:rPr>
      </w:pPr>
      <w:r>
        <w:rPr>
          <w:rFonts w:hint="eastAsia" w:ascii="黑体" w:hAnsi="黑体" w:eastAsia="黑体"/>
          <w:szCs w:val="32"/>
        </w:rPr>
        <w:t>六、主要经验做法</w:t>
      </w:r>
      <w:r>
        <w:rPr>
          <w:rFonts w:hint="eastAsia" w:ascii="黑体" w:hAnsi="黑体" w:eastAsia="黑体"/>
          <w:szCs w:val="32"/>
        </w:rPr>
        <w:tab/>
      </w:r>
      <w:r>
        <w:rPr>
          <w:rFonts w:hint="eastAsia" w:ascii="黑体" w:hAnsi="黑体" w:eastAsia="黑体"/>
          <w:szCs w:val="32"/>
        </w:rPr>
        <w:t xml:space="preserve"> </w:t>
      </w:r>
    </w:p>
    <w:p w14:paraId="6C77C823">
      <w:pPr>
        <w:spacing w:line="400" w:lineRule="exact"/>
        <w:ind w:firstLine="420" w:firstLineChars="200"/>
        <w:jc w:val="left"/>
        <w:rPr>
          <w:rFonts w:ascii="黑体" w:hAnsi="黑体" w:eastAsia="黑体"/>
          <w:szCs w:val="32"/>
        </w:rPr>
      </w:pPr>
      <w:r>
        <w:rPr>
          <w:rFonts w:hint="eastAsia" w:ascii="黑体" w:hAnsi="黑体" w:eastAsia="黑体"/>
          <w:szCs w:val="32"/>
        </w:rPr>
        <w:t>七、存在的问题</w:t>
      </w:r>
      <w:r>
        <w:rPr>
          <w:rFonts w:hint="eastAsia" w:ascii="黑体" w:hAnsi="黑体" w:eastAsia="黑体"/>
          <w:szCs w:val="32"/>
        </w:rPr>
        <w:tab/>
      </w:r>
      <w:r>
        <w:rPr>
          <w:rFonts w:hint="eastAsia" w:ascii="黑体" w:hAnsi="黑体" w:eastAsia="黑体"/>
          <w:szCs w:val="32"/>
        </w:rPr>
        <w:t xml:space="preserve"> </w:t>
      </w:r>
    </w:p>
    <w:p w14:paraId="11EB3B5F">
      <w:pPr>
        <w:spacing w:line="400" w:lineRule="exact"/>
        <w:ind w:firstLine="420" w:firstLineChars="200"/>
        <w:jc w:val="left"/>
        <w:rPr>
          <w:rFonts w:ascii="黑体" w:hAnsi="黑体" w:eastAsia="黑体"/>
          <w:szCs w:val="32"/>
        </w:rPr>
      </w:pPr>
      <w:r>
        <w:rPr>
          <w:rFonts w:hint="eastAsia" w:ascii="黑体" w:hAnsi="黑体" w:eastAsia="黑体"/>
          <w:szCs w:val="32"/>
        </w:rPr>
        <w:t>八、改进措施及建议</w:t>
      </w:r>
      <w:r>
        <w:rPr>
          <w:rFonts w:hint="eastAsia" w:ascii="黑体" w:hAnsi="黑体" w:eastAsia="黑体"/>
          <w:szCs w:val="32"/>
        </w:rPr>
        <w:tab/>
      </w:r>
      <w:r>
        <w:rPr>
          <w:rFonts w:hint="eastAsia" w:ascii="黑体" w:hAnsi="黑体" w:eastAsia="黑体"/>
          <w:szCs w:val="32"/>
        </w:rPr>
        <w:t xml:space="preserve"> </w:t>
      </w:r>
    </w:p>
    <w:p w14:paraId="3C0175C4">
      <w:pPr>
        <w:spacing w:line="400" w:lineRule="exact"/>
        <w:ind w:firstLine="420" w:firstLineChars="200"/>
        <w:jc w:val="left"/>
        <w:rPr>
          <w:rFonts w:ascii="黑体" w:hAnsi="黑体" w:eastAsia="黑体"/>
          <w:szCs w:val="32"/>
        </w:rPr>
      </w:pPr>
    </w:p>
    <w:p w14:paraId="46D9A6AA">
      <w:pPr>
        <w:spacing w:line="400" w:lineRule="exact"/>
        <w:ind w:firstLine="420" w:firstLineChars="200"/>
        <w:jc w:val="left"/>
        <w:rPr>
          <w:rFonts w:ascii="黑体" w:hAnsi="黑体" w:eastAsia="黑体"/>
          <w:szCs w:val="32"/>
        </w:rPr>
      </w:pPr>
      <w:r>
        <w:rPr>
          <w:rFonts w:hint="eastAsia" w:ascii="黑体" w:hAnsi="黑体" w:eastAsia="黑体"/>
          <w:szCs w:val="32"/>
        </w:rPr>
        <w:t>附件1 成本费用分析报告</w:t>
      </w:r>
      <w:r>
        <w:rPr>
          <w:rFonts w:hint="eastAsia" w:ascii="黑体" w:hAnsi="黑体" w:eastAsia="黑体"/>
          <w:szCs w:val="32"/>
        </w:rPr>
        <w:tab/>
      </w:r>
      <w:r>
        <w:rPr>
          <w:rFonts w:hint="eastAsia" w:ascii="黑体" w:hAnsi="黑体" w:eastAsia="黑体"/>
          <w:szCs w:val="32"/>
        </w:rPr>
        <w:t xml:space="preserve"> </w:t>
      </w:r>
    </w:p>
    <w:p w14:paraId="4AAE48DD">
      <w:pPr>
        <w:spacing w:line="400" w:lineRule="exact"/>
        <w:ind w:firstLine="420" w:firstLineChars="200"/>
        <w:jc w:val="left"/>
        <w:rPr>
          <w:rFonts w:ascii="黑体" w:hAnsi="黑体" w:eastAsia="黑体"/>
          <w:szCs w:val="32"/>
        </w:rPr>
      </w:pPr>
      <w:r>
        <w:rPr>
          <w:rFonts w:hint="eastAsia" w:ascii="黑体" w:hAnsi="黑体" w:eastAsia="黑体"/>
          <w:szCs w:val="32"/>
        </w:rPr>
        <w:t>附件2 部门职能分解及20XX年工作完成情况表</w:t>
      </w:r>
      <w:r>
        <w:rPr>
          <w:rFonts w:hint="eastAsia" w:ascii="黑体" w:hAnsi="黑体" w:eastAsia="黑体"/>
          <w:szCs w:val="32"/>
        </w:rPr>
        <w:tab/>
      </w:r>
      <w:r>
        <w:rPr>
          <w:rFonts w:hint="eastAsia" w:ascii="黑体" w:hAnsi="黑体" w:eastAsia="黑体"/>
          <w:szCs w:val="32"/>
        </w:rPr>
        <w:t xml:space="preserve"> </w:t>
      </w:r>
    </w:p>
    <w:p w14:paraId="7EB1A126">
      <w:pPr>
        <w:spacing w:line="400" w:lineRule="exact"/>
        <w:ind w:firstLine="420" w:firstLineChars="200"/>
        <w:jc w:val="left"/>
        <w:rPr>
          <w:rFonts w:ascii="黑体" w:hAnsi="黑体" w:eastAsia="黑体"/>
          <w:szCs w:val="32"/>
        </w:rPr>
      </w:pPr>
      <w:r>
        <w:rPr>
          <w:rFonts w:hint="eastAsia" w:ascii="黑体" w:hAnsi="黑体" w:eastAsia="黑体"/>
          <w:szCs w:val="32"/>
        </w:rPr>
        <w:t xml:space="preserve">附件3评价指标体系 </w:t>
      </w:r>
    </w:p>
    <w:p w14:paraId="3077BBDD">
      <w:pPr>
        <w:spacing w:line="400" w:lineRule="exact"/>
        <w:ind w:firstLine="420" w:firstLineChars="200"/>
        <w:jc w:val="left"/>
        <w:rPr>
          <w:rFonts w:ascii="黑体" w:hAnsi="黑体" w:eastAsia="黑体"/>
          <w:szCs w:val="32"/>
        </w:rPr>
      </w:pPr>
      <w:r>
        <w:rPr>
          <w:rFonts w:hint="eastAsia" w:ascii="黑体" w:hAnsi="黑体" w:eastAsia="黑体"/>
          <w:szCs w:val="32"/>
        </w:rPr>
        <w:t>附件4问卷调查报告</w:t>
      </w:r>
      <w:r>
        <w:rPr>
          <w:rFonts w:hint="eastAsia" w:ascii="黑体" w:hAnsi="黑体" w:eastAsia="黑体"/>
          <w:szCs w:val="32"/>
        </w:rPr>
        <w:tab/>
      </w:r>
      <w:r>
        <w:rPr>
          <w:rFonts w:hint="eastAsia" w:ascii="黑体" w:hAnsi="黑体" w:eastAsia="黑体"/>
          <w:szCs w:val="32"/>
        </w:rPr>
        <w:t xml:space="preserve"> </w:t>
      </w:r>
    </w:p>
    <w:p w14:paraId="283529DA">
      <w:pPr>
        <w:spacing w:line="400" w:lineRule="exact"/>
        <w:ind w:firstLine="420" w:firstLineChars="200"/>
        <w:jc w:val="left"/>
        <w:rPr>
          <w:rFonts w:ascii="黑体" w:hAnsi="黑体" w:eastAsia="黑体"/>
          <w:szCs w:val="32"/>
        </w:rPr>
      </w:pPr>
      <w:r>
        <w:rPr>
          <w:rFonts w:hint="eastAsia" w:ascii="黑体" w:hAnsi="黑体" w:eastAsia="黑体"/>
          <w:szCs w:val="32"/>
        </w:rPr>
        <w:t>附件5工作底稿</w:t>
      </w:r>
      <w:r>
        <w:rPr>
          <w:rFonts w:hint="eastAsia" w:ascii="黑体" w:hAnsi="黑体" w:eastAsia="黑体"/>
          <w:szCs w:val="32"/>
        </w:rPr>
        <w:tab/>
      </w:r>
      <w:r>
        <w:rPr>
          <w:rFonts w:hint="eastAsia" w:ascii="黑体" w:hAnsi="黑体" w:eastAsia="黑体"/>
          <w:szCs w:val="32"/>
        </w:rPr>
        <w:t xml:space="preserve"> </w:t>
      </w:r>
    </w:p>
    <w:p w14:paraId="0EA0D3AD">
      <w:pPr>
        <w:spacing w:line="400" w:lineRule="exact"/>
        <w:ind w:firstLine="420" w:firstLineChars="200"/>
        <w:jc w:val="left"/>
        <w:rPr>
          <w:rFonts w:ascii="黑体" w:hAnsi="黑体" w:eastAsia="黑体"/>
          <w:szCs w:val="32"/>
        </w:rPr>
      </w:pPr>
      <w:r>
        <w:rPr>
          <w:rFonts w:hint="eastAsia" w:ascii="黑体" w:hAnsi="黑体" w:eastAsia="黑体"/>
          <w:szCs w:val="32"/>
        </w:rPr>
        <w:t>附件6 XXXX部门20XX年项目预算、决算明细表（单位：元）</w:t>
      </w:r>
    </w:p>
    <w:p w14:paraId="170BF77C">
      <w:pPr>
        <w:spacing w:line="400" w:lineRule="exact"/>
        <w:ind w:firstLine="420" w:firstLineChars="200"/>
        <w:jc w:val="left"/>
        <w:rPr>
          <w:rFonts w:ascii="黑体" w:hAnsi="黑体" w:eastAsia="黑体"/>
          <w:szCs w:val="32"/>
        </w:rPr>
      </w:pPr>
      <w:r>
        <w:rPr>
          <w:rFonts w:hint="eastAsia" w:ascii="黑体" w:hAnsi="黑体" w:eastAsia="黑体"/>
          <w:szCs w:val="32"/>
        </w:rPr>
        <w:t xml:space="preserve">附件7 </w:t>
      </w:r>
      <w:r>
        <w:rPr>
          <w:rFonts w:ascii="黑体" w:hAnsi="黑体" w:eastAsia="黑体" w:cs="黑体"/>
          <w:sz w:val="24"/>
          <w:szCs w:val="24"/>
          <w:lang w:val="zh-TW"/>
        </w:rPr>
        <w:t>……</w:t>
      </w:r>
    </w:p>
    <w:p w14:paraId="0A5FD164">
      <w:pPr>
        <w:spacing w:line="600" w:lineRule="exact"/>
        <w:ind w:firstLine="420" w:firstLineChars="200"/>
        <w:jc w:val="left"/>
        <w:rPr>
          <w:rFonts w:ascii="黑体" w:hAnsi="黑体" w:eastAsia="黑体"/>
          <w:szCs w:val="32"/>
        </w:rPr>
      </w:pPr>
    </w:p>
    <w:p w14:paraId="7533973E">
      <w:pPr>
        <w:spacing w:line="600" w:lineRule="exact"/>
        <w:ind w:firstLine="420" w:firstLineChars="200"/>
        <w:jc w:val="center"/>
        <w:rPr>
          <w:rFonts w:ascii="方正小标宋_GBK" w:hAnsi="黑体" w:eastAsia="方正小标宋_GBK"/>
          <w:szCs w:val="32"/>
        </w:rPr>
      </w:pPr>
    </w:p>
    <w:p w14:paraId="675CEEDC">
      <w:pPr>
        <w:ind w:firstLine="720" w:firstLineChars="200"/>
        <w:jc w:val="center"/>
        <w:rPr>
          <w:rFonts w:ascii="黑体" w:eastAsia="黑体"/>
          <w:sz w:val="36"/>
          <w:szCs w:val="36"/>
        </w:rPr>
      </w:pPr>
      <w:r>
        <w:rPr>
          <w:rFonts w:hint="eastAsia" w:ascii="黑体" w:eastAsia="黑体"/>
          <w:sz w:val="36"/>
          <w:szCs w:val="36"/>
        </w:rPr>
        <w:t>昆明市盘龙区住房和城乡建设局</w:t>
      </w:r>
    </w:p>
    <w:p w14:paraId="3FFC40AC">
      <w:pPr>
        <w:ind w:firstLine="720" w:firstLineChars="200"/>
        <w:jc w:val="center"/>
        <w:rPr>
          <w:rFonts w:hint="eastAsia" w:ascii="黑体" w:eastAsia="黑体"/>
          <w:sz w:val="36"/>
          <w:szCs w:val="36"/>
        </w:rPr>
      </w:pPr>
      <w:r>
        <w:rPr>
          <w:rFonts w:hint="eastAsia" w:ascii="黑体" w:eastAsia="黑体"/>
          <w:sz w:val="36"/>
          <w:szCs w:val="36"/>
        </w:rPr>
        <w:t>202</w:t>
      </w:r>
      <w:r>
        <w:rPr>
          <w:rFonts w:hint="eastAsia" w:ascii="黑体" w:eastAsia="黑体"/>
          <w:sz w:val="36"/>
          <w:szCs w:val="36"/>
          <w:lang w:val="en-US" w:eastAsia="zh-CN"/>
        </w:rPr>
        <w:t>23</w:t>
      </w:r>
      <w:r>
        <w:rPr>
          <w:rFonts w:hint="eastAsia" w:ascii="黑体" w:eastAsia="黑体"/>
          <w:sz w:val="36"/>
          <w:szCs w:val="36"/>
        </w:rPr>
        <w:t>年度部门整体支出绩效评价报告</w:t>
      </w:r>
    </w:p>
    <w:p w14:paraId="1BC545CE">
      <w:pPr>
        <w:pStyle w:val="2"/>
        <w:tabs>
          <w:tab w:val="left" w:pos="478"/>
        </w:tabs>
        <w:jc w:val="center"/>
        <w:rPr>
          <w:rFonts w:hint="eastAsia" w:eastAsia="黑体"/>
          <w:sz w:val="36"/>
          <w:szCs w:val="36"/>
          <w:lang w:eastAsia="zh-CN"/>
        </w:rPr>
      </w:pPr>
      <w:r>
        <w:rPr>
          <w:rFonts w:hint="eastAsia" w:ascii="黑体" w:eastAsia="黑体"/>
          <w:sz w:val="36"/>
          <w:szCs w:val="36"/>
          <w:lang w:eastAsia="zh-CN"/>
        </w:rPr>
        <w:t>（摘要）</w:t>
      </w:r>
    </w:p>
    <w:p w14:paraId="06D1225F">
      <w:pPr>
        <w:keepNext w:val="0"/>
        <w:keepLines w:val="0"/>
        <w:pageBreakBefore w:val="0"/>
        <w:widowControl/>
        <w:kinsoku/>
        <w:wordWrap/>
        <w:overflowPunct/>
        <w:autoSpaceDE/>
        <w:autoSpaceDN/>
        <w:bidi w:val="0"/>
        <w:spacing w:line="360" w:lineRule="auto"/>
        <w:ind w:firstLine="640" w:firstLineChars="200"/>
        <w:jc w:val="left"/>
        <w:textAlignment w:val="auto"/>
        <w:rPr>
          <w:rFonts w:hint="eastAsia" w:ascii="仿宋_GB2312" w:hAnsi="仿宋_GB2312" w:eastAsia="仿宋_GB2312" w:cs="仿宋_GB2312"/>
          <w:kern w:val="44"/>
          <w:sz w:val="32"/>
          <w:szCs w:val="32"/>
        </w:rPr>
      </w:pPr>
    </w:p>
    <w:p w14:paraId="287D99C2">
      <w:pPr>
        <w:keepNext w:val="0"/>
        <w:keepLines w:val="0"/>
        <w:pageBreakBefore w:val="0"/>
        <w:numPr>
          <w:ilvl w:val="0"/>
          <w:numId w:val="0"/>
        </w:numPr>
        <w:kinsoku/>
        <w:wordWrap/>
        <w:overflowPunct/>
        <w:autoSpaceDE/>
        <w:autoSpaceDN/>
        <w:bidi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部门概况：</w:t>
      </w:r>
    </w:p>
    <w:p w14:paraId="478FED05">
      <w:pPr>
        <w:keepNext w:val="0"/>
        <w:keepLines w:val="0"/>
        <w:pageBreakBefore w:val="0"/>
        <w:widowControl w:val="0"/>
        <w:numPr>
          <w:ilvl w:val="0"/>
          <w:numId w:val="0"/>
        </w:numPr>
        <w:kinsoku/>
        <w:wordWrap/>
        <w:overflowPunct/>
        <w:topLinePunct w:val="0"/>
        <w:autoSpaceDE/>
        <w:autoSpaceDN/>
        <w:bidi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含主要职能职责</w:t>
      </w:r>
    </w:p>
    <w:p w14:paraId="2DF59A82">
      <w:pPr>
        <w:pStyle w:val="2"/>
        <w:keepNext w:val="0"/>
        <w:keepLines w:val="0"/>
        <w:pageBreakBefore w:val="0"/>
        <w:widowControl w:val="0"/>
        <w:shd w:val="clear"/>
        <w:kinsoku/>
        <w:wordWrap/>
        <w:overflowPunct/>
        <w:topLinePunct w:val="0"/>
        <w:autoSpaceDE/>
        <w:autoSpaceDN/>
        <w:bidi w:val="0"/>
        <w:spacing w:line="360" w:lineRule="auto"/>
        <w:ind w:left="0" w:leftChars="0" w:firstLine="640" w:firstLineChars="200"/>
        <w:textAlignment w:val="auto"/>
        <w:rPr>
          <w:rFonts w:hint="eastAsia" w:ascii="仿宋_GB2312" w:hAnsi="仿宋_GB2312" w:eastAsia="仿宋_GB2312" w:cs="仿宋_GB2312"/>
          <w:i w:val="0"/>
          <w:caps w:val="0"/>
          <w:color w:val="auto"/>
          <w:spacing w:val="0"/>
          <w:sz w:val="32"/>
          <w:szCs w:val="32"/>
          <w:shd w:val="clear"/>
        </w:rPr>
      </w:pPr>
      <w:r>
        <w:rPr>
          <w:rFonts w:hint="eastAsia" w:ascii="仿宋_GB2312" w:hAnsi="仿宋_GB2312" w:eastAsia="仿宋_GB2312" w:cs="仿宋_GB2312"/>
          <w:i w:val="0"/>
          <w:caps w:val="0"/>
          <w:color w:val="auto"/>
          <w:spacing w:val="0"/>
          <w:sz w:val="32"/>
          <w:szCs w:val="32"/>
          <w:shd w:val="clear"/>
          <w:lang w:val="en-US" w:eastAsia="zh-CN"/>
        </w:rPr>
        <w:t>1.</w:t>
      </w:r>
      <w:r>
        <w:rPr>
          <w:rFonts w:hint="eastAsia" w:ascii="仿宋_GB2312" w:hAnsi="仿宋_GB2312" w:eastAsia="仿宋_GB2312" w:cs="仿宋_GB2312"/>
          <w:i w:val="0"/>
          <w:caps w:val="0"/>
          <w:color w:val="auto"/>
          <w:spacing w:val="0"/>
          <w:sz w:val="32"/>
          <w:szCs w:val="32"/>
          <w:shd w:val="clear"/>
        </w:rPr>
        <w:t>指导住房保障、住房建设、住房制度改革与住房建设规划；指导房地产业发展规划与行业管理。</w:t>
      </w:r>
      <w:r>
        <w:rPr>
          <w:rFonts w:hint="eastAsia" w:ascii="仿宋_GB2312" w:hAnsi="仿宋_GB2312" w:eastAsia="仿宋_GB2312" w:cs="仿宋_GB2312"/>
          <w:i w:val="0"/>
          <w:caps w:val="0"/>
          <w:color w:val="auto"/>
          <w:spacing w:val="0"/>
          <w:sz w:val="32"/>
          <w:szCs w:val="32"/>
          <w:shd w:val="clear"/>
        </w:rPr>
        <w:br w:type="textWrapping"/>
      </w:r>
      <w:r>
        <w:rPr>
          <w:rFonts w:hint="eastAsia" w:ascii="仿宋_GB2312" w:hAnsi="仿宋_GB2312" w:eastAsia="仿宋_GB2312" w:cs="仿宋_GB2312"/>
          <w:i w:val="0"/>
          <w:caps w:val="0"/>
          <w:color w:val="auto"/>
          <w:spacing w:val="0"/>
          <w:sz w:val="32"/>
          <w:szCs w:val="32"/>
          <w:shd w:val="clear"/>
          <w:lang w:val="en-US" w:eastAsia="zh-CN"/>
        </w:rPr>
        <w:t xml:space="preserve">   2.</w:t>
      </w:r>
      <w:r>
        <w:rPr>
          <w:rFonts w:hint="eastAsia" w:ascii="仿宋_GB2312" w:hAnsi="仿宋_GB2312" w:eastAsia="仿宋_GB2312" w:cs="仿宋_GB2312"/>
          <w:i w:val="0"/>
          <w:caps w:val="0"/>
          <w:color w:val="auto"/>
          <w:spacing w:val="0"/>
          <w:sz w:val="32"/>
          <w:szCs w:val="32"/>
          <w:shd w:val="clear"/>
        </w:rPr>
        <w:t>负责城市基础设施建设工作。制定并组织实施城市道路、桥梁、供水、供气、排水等基础设施的建设计划；组织工程建设的前期准备工作（包括建筑项目的可行性研究、选址定点、规划用地、扩初设计审查、工程地质勘察、工程报建等）；指导和协调重点工程建设项目实施工作。</w:t>
      </w:r>
      <w:r>
        <w:rPr>
          <w:rFonts w:hint="eastAsia" w:ascii="仿宋_GB2312" w:hAnsi="仿宋_GB2312" w:eastAsia="仿宋_GB2312" w:cs="仿宋_GB2312"/>
          <w:i w:val="0"/>
          <w:caps w:val="0"/>
          <w:color w:val="auto"/>
          <w:spacing w:val="0"/>
          <w:sz w:val="32"/>
          <w:szCs w:val="32"/>
          <w:shd w:val="clear"/>
        </w:rPr>
        <w:br w:type="textWrapping"/>
      </w:r>
      <w:r>
        <w:rPr>
          <w:rFonts w:hint="eastAsia" w:ascii="仿宋_GB2312" w:hAnsi="仿宋_GB2312" w:eastAsia="仿宋_GB2312" w:cs="仿宋_GB2312"/>
          <w:i w:val="0"/>
          <w:caps w:val="0"/>
          <w:color w:val="auto"/>
          <w:spacing w:val="0"/>
          <w:sz w:val="32"/>
          <w:szCs w:val="32"/>
          <w:shd w:val="clear"/>
          <w:lang w:val="en-US" w:eastAsia="zh-CN"/>
        </w:rPr>
        <w:t xml:space="preserve">   3.</w:t>
      </w:r>
      <w:r>
        <w:rPr>
          <w:rFonts w:hint="eastAsia" w:ascii="仿宋_GB2312" w:hAnsi="仿宋_GB2312" w:eastAsia="仿宋_GB2312" w:cs="仿宋_GB2312"/>
          <w:i w:val="0"/>
          <w:caps w:val="0"/>
          <w:color w:val="auto"/>
          <w:spacing w:val="0"/>
          <w:sz w:val="32"/>
          <w:szCs w:val="32"/>
          <w:shd w:val="clear"/>
        </w:rPr>
        <w:t>执行工程建设的国标和部标，会同有关部门制定和调整工程建设的统一材料价格；监督和管理市政工程投资概算、工程预决算和工程造价。</w:t>
      </w:r>
      <w:r>
        <w:rPr>
          <w:rFonts w:hint="eastAsia" w:ascii="仿宋_GB2312" w:hAnsi="仿宋_GB2312" w:eastAsia="仿宋_GB2312" w:cs="仿宋_GB2312"/>
          <w:i w:val="0"/>
          <w:caps w:val="0"/>
          <w:color w:val="auto"/>
          <w:spacing w:val="0"/>
          <w:sz w:val="32"/>
          <w:szCs w:val="32"/>
          <w:shd w:val="clear"/>
        </w:rPr>
        <w:br w:type="textWrapping"/>
      </w:r>
      <w:r>
        <w:rPr>
          <w:rFonts w:hint="eastAsia" w:ascii="仿宋_GB2312" w:hAnsi="仿宋_GB2312" w:eastAsia="仿宋_GB2312" w:cs="仿宋_GB2312"/>
          <w:i w:val="0"/>
          <w:caps w:val="0"/>
          <w:color w:val="auto"/>
          <w:spacing w:val="0"/>
          <w:sz w:val="32"/>
          <w:szCs w:val="32"/>
          <w:shd w:val="clear"/>
          <w:lang w:val="en-US" w:eastAsia="zh-CN"/>
        </w:rPr>
        <w:t xml:space="preserve">   4.</w:t>
      </w:r>
      <w:r>
        <w:rPr>
          <w:rFonts w:hint="eastAsia" w:ascii="仿宋_GB2312" w:hAnsi="仿宋_GB2312" w:eastAsia="仿宋_GB2312" w:cs="仿宋_GB2312"/>
          <w:i w:val="0"/>
          <w:caps w:val="0"/>
          <w:color w:val="auto"/>
          <w:spacing w:val="0"/>
          <w:sz w:val="32"/>
          <w:szCs w:val="32"/>
          <w:shd w:val="clear"/>
        </w:rPr>
        <w:t>负责工程勘察设计、施工图设计文件审查、监理、检测、室内装饰装修、墙体材料革新、散装水泥、建筑节能等行业管理；负责建设工程市场、安全、质量监督管理工作。</w:t>
      </w:r>
      <w:r>
        <w:rPr>
          <w:rFonts w:hint="eastAsia" w:ascii="仿宋_GB2312" w:hAnsi="仿宋_GB2312" w:eastAsia="仿宋_GB2312" w:cs="仿宋_GB2312"/>
          <w:i w:val="0"/>
          <w:caps w:val="0"/>
          <w:color w:val="auto"/>
          <w:spacing w:val="0"/>
          <w:sz w:val="32"/>
          <w:szCs w:val="32"/>
          <w:shd w:val="clear"/>
        </w:rPr>
        <w:br w:type="textWrapping"/>
      </w:r>
      <w:r>
        <w:rPr>
          <w:rFonts w:hint="eastAsia" w:ascii="仿宋_GB2312" w:hAnsi="仿宋_GB2312" w:eastAsia="仿宋_GB2312" w:cs="仿宋_GB2312"/>
          <w:i w:val="0"/>
          <w:caps w:val="0"/>
          <w:color w:val="auto"/>
          <w:spacing w:val="0"/>
          <w:sz w:val="32"/>
          <w:szCs w:val="32"/>
          <w:shd w:val="clear"/>
          <w:lang w:val="en-US" w:eastAsia="zh-CN"/>
        </w:rPr>
        <w:t xml:space="preserve">   5.</w:t>
      </w:r>
      <w:r>
        <w:rPr>
          <w:rFonts w:hint="eastAsia" w:ascii="仿宋_GB2312" w:hAnsi="仿宋_GB2312" w:eastAsia="仿宋_GB2312" w:cs="仿宋_GB2312"/>
          <w:i w:val="0"/>
          <w:caps w:val="0"/>
          <w:color w:val="auto"/>
          <w:spacing w:val="0"/>
          <w:sz w:val="32"/>
          <w:szCs w:val="32"/>
          <w:shd w:val="clear"/>
        </w:rPr>
        <w:t>监管全市供水供气等公用事业。负责城市供水业和燃气行业的监管工作。加强城市供水、排水、污水处理及其配套管网等公用设施建设、维护及运营管理。</w:t>
      </w:r>
      <w:r>
        <w:rPr>
          <w:rFonts w:hint="eastAsia" w:ascii="仿宋_GB2312" w:hAnsi="仿宋_GB2312" w:eastAsia="仿宋_GB2312" w:cs="仿宋_GB2312"/>
          <w:i w:val="0"/>
          <w:caps w:val="0"/>
          <w:color w:val="auto"/>
          <w:spacing w:val="0"/>
          <w:sz w:val="32"/>
          <w:szCs w:val="32"/>
          <w:shd w:val="clear"/>
        </w:rPr>
        <w:br w:type="textWrapping"/>
      </w:r>
      <w:r>
        <w:rPr>
          <w:rFonts w:hint="eastAsia" w:ascii="仿宋_GB2312" w:hAnsi="仿宋_GB2312" w:eastAsia="仿宋_GB2312" w:cs="仿宋_GB2312"/>
          <w:i w:val="0"/>
          <w:caps w:val="0"/>
          <w:color w:val="auto"/>
          <w:spacing w:val="0"/>
          <w:sz w:val="32"/>
          <w:szCs w:val="32"/>
          <w:shd w:val="clear"/>
          <w:lang w:val="en-US" w:eastAsia="zh-CN"/>
        </w:rPr>
        <w:t xml:space="preserve">   6.</w:t>
      </w:r>
      <w:r>
        <w:rPr>
          <w:rFonts w:hint="eastAsia" w:ascii="仿宋_GB2312" w:hAnsi="仿宋_GB2312" w:eastAsia="仿宋_GB2312" w:cs="仿宋_GB2312"/>
          <w:i w:val="0"/>
          <w:caps w:val="0"/>
          <w:color w:val="auto"/>
          <w:spacing w:val="0"/>
          <w:sz w:val="32"/>
          <w:szCs w:val="32"/>
          <w:shd w:val="clear"/>
        </w:rPr>
        <w:t>负责规范和指导村镇建设。拟订小城镇和村庄建设政策及发展规划并指导实施；指导农村住房建设；指导小城镇和村庄人居环境的改善工作；指导重点镇建设和村镇建设试点工作。</w:t>
      </w:r>
      <w:r>
        <w:rPr>
          <w:rFonts w:hint="eastAsia" w:ascii="仿宋_GB2312" w:hAnsi="仿宋_GB2312" w:eastAsia="仿宋_GB2312" w:cs="仿宋_GB2312"/>
          <w:i w:val="0"/>
          <w:caps w:val="0"/>
          <w:color w:val="auto"/>
          <w:spacing w:val="0"/>
          <w:sz w:val="32"/>
          <w:szCs w:val="32"/>
          <w:shd w:val="clear"/>
        </w:rPr>
        <w:br w:type="textWrapping"/>
      </w:r>
      <w:r>
        <w:rPr>
          <w:rFonts w:hint="eastAsia" w:ascii="仿宋_GB2312" w:hAnsi="仿宋_GB2312" w:eastAsia="仿宋_GB2312" w:cs="仿宋_GB2312"/>
          <w:i w:val="0"/>
          <w:caps w:val="0"/>
          <w:color w:val="auto"/>
          <w:spacing w:val="0"/>
          <w:sz w:val="32"/>
          <w:szCs w:val="32"/>
          <w:shd w:val="clear"/>
          <w:lang w:val="en-US" w:eastAsia="zh-CN"/>
        </w:rPr>
        <w:t xml:space="preserve">   7.</w:t>
      </w:r>
      <w:r>
        <w:rPr>
          <w:rFonts w:hint="eastAsia" w:ascii="仿宋_GB2312" w:hAnsi="仿宋_GB2312" w:eastAsia="仿宋_GB2312" w:cs="仿宋_GB2312"/>
          <w:i w:val="0"/>
          <w:caps w:val="0"/>
          <w:color w:val="auto"/>
          <w:spacing w:val="0"/>
          <w:sz w:val="32"/>
          <w:szCs w:val="32"/>
          <w:shd w:val="clear"/>
        </w:rPr>
        <w:t>主管全市建设行业的安全生产工作。</w:t>
      </w:r>
      <w:r>
        <w:rPr>
          <w:rFonts w:hint="eastAsia" w:ascii="仿宋_GB2312" w:hAnsi="仿宋_GB2312" w:eastAsia="仿宋_GB2312" w:cs="仿宋_GB2312"/>
          <w:i w:val="0"/>
          <w:caps w:val="0"/>
          <w:color w:val="auto"/>
          <w:spacing w:val="0"/>
          <w:sz w:val="32"/>
          <w:szCs w:val="32"/>
          <w:shd w:val="clear"/>
        </w:rPr>
        <w:br w:type="textWrapping"/>
      </w:r>
      <w:r>
        <w:rPr>
          <w:rFonts w:hint="eastAsia" w:ascii="仿宋_GB2312" w:hAnsi="仿宋_GB2312" w:eastAsia="仿宋_GB2312" w:cs="仿宋_GB2312"/>
          <w:i w:val="0"/>
          <w:caps w:val="0"/>
          <w:color w:val="auto"/>
          <w:spacing w:val="0"/>
          <w:sz w:val="32"/>
          <w:szCs w:val="32"/>
          <w:shd w:val="clear"/>
          <w:lang w:val="en-US" w:eastAsia="zh-CN"/>
        </w:rPr>
        <w:t xml:space="preserve">   8.</w:t>
      </w:r>
      <w:r>
        <w:rPr>
          <w:rFonts w:hint="eastAsia" w:ascii="仿宋_GB2312" w:hAnsi="仿宋_GB2312" w:eastAsia="仿宋_GB2312" w:cs="仿宋_GB2312"/>
          <w:i w:val="0"/>
          <w:caps w:val="0"/>
          <w:color w:val="auto"/>
          <w:spacing w:val="0"/>
          <w:sz w:val="32"/>
          <w:szCs w:val="32"/>
          <w:shd w:val="clear"/>
        </w:rPr>
        <w:t>负责制定行业科技发展规划。引进开发、推广运用新技术、新材料、新工艺；组织技术攻关和技术革新；统筹本系统的人才培训。</w:t>
      </w:r>
      <w:r>
        <w:rPr>
          <w:rFonts w:hint="eastAsia" w:ascii="仿宋_GB2312" w:hAnsi="仿宋_GB2312" w:eastAsia="仿宋_GB2312" w:cs="仿宋_GB2312"/>
          <w:i w:val="0"/>
          <w:caps w:val="0"/>
          <w:color w:val="auto"/>
          <w:spacing w:val="0"/>
          <w:sz w:val="32"/>
          <w:szCs w:val="32"/>
          <w:shd w:val="clear"/>
        </w:rPr>
        <w:br w:type="textWrapping"/>
      </w:r>
      <w:r>
        <w:rPr>
          <w:rFonts w:hint="eastAsia" w:ascii="仿宋_GB2312" w:hAnsi="仿宋_GB2312" w:eastAsia="仿宋_GB2312" w:cs="仿宋_GB2312"/>
          <w:i w:val="0"/>
          <w:caps w:val="0"/>
          <w:color w:val="auto"/>
          <w:spacing w:val="0"/>
          <w:sz w:val="32"/>
          <w:szCs w:val="32"/>
          <w:shd w:val="clear"/>
          <w:lang w:val="en-US" w:eastAsia="zh-CN"/>
        </w:rPr>
        <w:t xml:space="preserve">   9.</w:t>
      </w:r>
      <w:r>
        <w:rPr>
          <w:rFonts w:hint="eastAsia" w:ascii="仿宋_GB2312" w:hAnsi="仿宋_GB2312" w:eastAsia="仿宋_GB2312" w:cs="仿宋_GB2312"/>
          <w:i w:val="0"/>
          <w:caps w:val="0"/>
          <w:color w:val="auto"/>
          <w:spacing w:val="0"/>
          <w:sz w:val="32"/>
          <w:szCs w:val="32"/>
          <w:shd w:val="clear"/>
        </w:rPr>
        <w:t>承担市建筑节能与墙体材料革新领导小组的日常工作。</w:t>
      </w:r>
      <w:r>
        <w:rPr>
          <w:rFonts w:hint="eastAsia" w:ascii="仿宋_GB2312" w:hAnsi="仿宋_GB2312" w:eastAsia="仿宋_GB2312" w:cs="仿宋_GB2312"/>
          <w:i w:val="0"/>
          <w:caps w:val="0"/>
          <w:color w:val="auto"/>
          <w:spacing w:val="0"/>
          <w:sz w:val="32"/>
          <w:szCs w:val="32"/>
          <w:shd w:val="clear"/>
          <w:lang w:val="en-US" w:eastAsia="zh-CN"/>
        </w:rPr>
        <w:t xml:space="preserve">                                                                                                                                                                                                                                                                                                                                                                                                                                                                                                                                                                                                                                                                                                                                                                                                                                                                                                                                                                                                                                                                                                                                                                                                                                                                                                              </w:t>
      </w:r>
      <w:r>
        <w:rPr>
          <w:rFonts w:hint="eastAsia" w:ascii="仿宋_GB2312" w:hAnsi="仿宋_GB2312" w:eastAsia="仿宋_GB2312" w:cs="仿宋_GB2312"/>
          <w:i w:val="0"/>
          <w:caps w:val="0"/>
          <w:color w:val="auto"/>
          <w:spacing w:val="0"/>
          <w:sz w:val="32"/>
          <w:szCs w:val="32"/>
          <w:shd w:val="clear"/>
        </w:rPr>
        <w:br w:type="textWrapping"/>
      </w:r>
      <w:r>
        <w:rPr>
          <w:rFonts w:hint="eastAsia" w:ascii="仿宋_GB2312" w:hAnsi="仿宋_GB2312" w:eastAsia="仿宋_GB2312" w:cs="仿宋_GB2312"/>
          <w:i w:val="0"/>
          <w:caps w:val="0"/>
          <w:color w:val="auto"/>
          <w:spacing w:val="0"/>
          <w:sz w:val="32"/>
          <w:szCs w:val="32"/>
          <w:shd w:val="clear"/>
          <w:lang w:val="en-US" w:eastAsia="zh-CN"/>
        </w:rPr>
        <w:t xml:space="preserve">   10.</w:t>
      </w:r>
      <w:r>
        <w:rPr>
          <w:rFonts w:hint="eastAsia" w:ascii="仿宋_GB2312" w:hAnsi="仿宋_GB2312" w:eastAsia="仿宋_GB2312" w:cs="仿宋_GB2312"/>
          <w:i w:val="0"/>
          <w:caps w:val="0"/>
          <w:color w:val="auto"/>
          <w:spacing w:val="0"/>
          <w:sz w:val="32"/>
          <w:szCs w:val="32"/>
          <w:shd w:val="clear"/>
        </w:rPr>
        <w:t>负责局机关和局属单位的机构编制、劳资和人事工作；指导行业的劳动工资、劳动就业保险、劳动标准等工作。</w:t>
      </w:r>
      <w:r>
        <w:rPr>
          <w:rFonts w:hint="eastAsia" w:ascii="仿宋_GB2312" w:hAnsi="仿宋_GB2312" w:eastAsia="仿宋_GB2312" w:cs="仿宋_GB2312"/>
          <w:i w:val="0"/>
          <w:caps w:val="0"/>
          <w:color w:val="auto"/>
          <w:spacing w:val="0"/>
          <w:sz w:val="32"/>
          <w:szCs w:val="32"/>
          <w:shd w:val="clear"/>
        </w:rPr>
        <w:br w:type="textWrapping"/>
      </w:r>
      <w:r>
        <w:rPr>
          <w:rFonts w:hint="eastAsia" w:ascii="仿宋_GB2312" w:hAnsi="仿宋_GB2312" w:eastAsia="仿宋_GB2312" w:cs="仿宋_GB2312"/>
          <w:i w:val="0"/>
          <w:caps w:val="0"/>
          <w:color w:val="auto"/>
          <w:spacing w:val="0"/>
          <w:sz w:val="32"/>
          <w:szCs w:val="32"/>
          <w:shd w:val="clear"/>
          <w:lang w:val="en-US" w:eastAsia="zh-CN"/>
        </w:rPr>
        <w:t xml:space="preserve">   11.</w:t>
      </w:r>
      <w:r>
        <w:rPr>
          <w:rFonts w:hint="eastAsia" w:ascii="仿宋_GB2312" w:hAnsi="仿宋_GB2312" w:eastAsia="仿宋_GB2312" w:cs="仿宋_GB2312"/>
          <w:i w:val="0"/>
          <w:caps w:val="0"/>
          <w:color w:val="auto"/>
          <w:spacing w:val="0"/>
          <w:sz w:val="32"/>
          <w:szCs w:val="32"/>
          <w:shd w:val="clear"/>
        </w:rPr>
        <w:t>指导住房保障、房地产管理工作。</w:t>
      </w:r>
      <w:r>
        <w:rPr>
          <w:rFonts w:hint="eastAsia" w:ascii="仿宋_GB2312" w:hAnsi="仿宋_GB2312" w:eastAsia="仿宋_GB2312" w:cs="仿宋_GB2312"/>
          <w:i w:val="0"/>
          <w:caps w:val="0"/>
          <w:color w:val="auto"/>
          <w:spacing w:val="0"/>
          <w:sz w:val="32"/>
          <w:szCs w:val="32"/>
          <w:shd w:val="clear"/>
        </w:rPr>
        <w:br w:type="textWrapping"/>
      </w:r>
      <w:r>
        <w:rPr>
          <w:rFonts w:hint="eastAsia" w:ascii="仿宋_GB2312" w:hAnsi="仿宋_GB2312" w:eastAsia="仿宋_GB2312" w:cs="仿宋_GB2312"/>
          <w:i w:val="0"/>
          <w:caps w:val="0"/>
          <w:color w:val="auto"/>
          <w:spacing w:val="0"/>
          <w:sz w:val="32"/>
          <w:szCs w:val="32"/>
          <w:shd w:val="clear"/>
          <w:lang w:val="en-US" w:eastAsia="zh-CN"/>
        </w:rPr>
        <w:t xml:space="preserve">   12.</w:t>
      </w:r>
      <w:r>
        <w:rPr>
          <w:rFonts w:hint="eastAsia" w:ascii="仿宋_GB2312" w:hAnsi="仿宋_GB2312" w:eastAsia="仿宋_GB2312" w:cs="仿宋_GB2312"/>
          <w:i w:val="0"/>
          <w:caps w:val="0"/>
          <w:color w:val="auto"/>
          <w:spacing w:val="0"/>
          <w:sz w:val="32"/>
          <w:szCs w:val="32"/>
          <w:shd w:val="clear"/>
        </w:rPr>
        <w:t>为重点投资项目和重点工业企业提供绿色通道服务。</w:t>
      </w:r>
      <w:r>
        <w:rPr>
          <w:rFonts w:hint="eastAsia" w:ascii="仿宋_GB2312" w:hAnsi="仿宋_GB2312" w:eastAsia="仿宋_GB2312" w:cs="仿宋_GB2312"/>
          <w:i w:val="0"/>
          <w:caps w:val="0"/>
          <w:color w:val="auto"/>
          <w:spacing w:val="0"/>
          <w:sz w:val="32"/>
          <w:szCs w:val="32"/>
          <w:shd w:val="clear"/>
        </w:rPr>
        <w:br w:type="textWrapping"/>
      </w:r>
      <w:r>
        <w:rPr>
          <w:rFonts w:hint="eastAsia" w:ascii="仿宋_GB2312" w:hAnsi="仿宋_GB2312" w:eastAsia="仿宋_GB2312" w:cs="仿宋_GB2312"/>
          <w:i w:val="0"/>
          <w:caps w:val="0"/>
          <w:color w:val="auto"/>
          <w:spacing w:val="0"/>
          <w:sz w:val="32"/>
          <w:szCs w:val="32"/>
          <w:shd w:val="clear"/>
          <w:lang w:val="en-US" w:eastAsia="zh-CN"/>
        </w:rPr>
        <w:t xml:space="preserve">   13.</w:t>
      </w:r>
      <w:r>
        <w:rPr>
          <w:rFonts w:hint="eastAsia" w:ascii="仿宋_GB2312" w:hAnsi="仿宋_GB2312" w:eastAsia="仿宋_GB2312" w:cs="仿宋_GB2312"/>
          <w:i w:val="0"/>
          <w:caps w:val="0"/>
          <w:color w:val="auto"/>
          <w:spacing w:val="0"/>
          <w:sz w:val="32"/>
          <w:szCs w:val="32"/>
          <w:shd w:val="clear"/>
        </w:rPr>
        <w:t>承办上级交办的其他事项。</w:t>
      </w:r>
    </w:p>
    <w:p w14:paraId="0AAAF9A5">
      <w:pPr>
        <w:pStyle w:val="2"/>
        <w:keepNext w:val="0"/>
        <w:keepLines w:val="0"/>
        <w:pageBreakBefore w:val="0"/>
        <w:widowControl w:val="0"/>
        <w:shd w:val="clear"/>
        <w:kinsoku/>
        <w:wordWrap/>
        <w:overflowPunct/>
        <w:topLinePunct w:val="0"/>
        <w:autoSpaceDE/>
        <w:autoSpaceDN/>
        <w:bidi w:val="0"/>
        <w:spacing w:line="360" w:lineRule="auto"/>
        <w:ind w:left="0" w:lef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年度重点工作</w:t>
      </w:r>
    </w:p>
    <w:p w14:paraId="0F1D7D7B">
      <w:pPr>
        <w:pStyle w:val="2"/>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强化组织保障，打造新时代高素质干部部队：</w:t>
      </w:r>
    </w:p>
    <w:p w14:paraId="0C55225F">
      <w:pPr>
        <w:pStyle w:val="2"/>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提升城市形象，完善市政基础设施建设；加强市政项目顶层规划，夯实市政基础设施建设，全力推进路网建设；加强市政基础设施管养维护，加大下去市政道路、桥梁、洗手池设施巡查管养力度；强化住房保障，改善城乡居住条件；加强物业管理，提升物业服务水平；抓宣传减灾，提高抵御灾害风险能力。</w:t>
      </w:r>
    </w:p>
    <w:p w14:paraId="17D74E10">
      <w:pPr>
        <w:pStyle w:val="2"/>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3.着力攻坚克难，抓实住建领域产业发展，全力推进建筑业发展，力促房地产业发展平稳。</w:t>
      </w:r>
    </w:p>
    <w:p w14:paraId="26F7B716">
      <w:pPr>
        <w:pStyle w:val="2"/>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4.狠抓安全生产，加大行业监管治理力度。</w:t>
      </w:r>
    </w:p>
    <w:p w14:paraId="66F6B89C">
      <w:pPr>
        <w:pStyle w:val="2"/>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5.推进改革事项，扎实开展营商环境优化。</w:t>
      </w:r>
    </w:p>
    <w:p w14:paraId="60A2693E">
      <w:pPr>
        <w:pStyle w:val="2"/>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6.提升治理效能，强化住建领域风险矛盾化解。</w:t>
      </w:r>
    </w:p>
    <w:p w14:paraId="77D37D95">
      <w:pPr>
        <w:keepNext w:val="0"/>
        <w:keepLines w:val="0"/>
        <w:pageBreakBefore w:val="0"/>
        <w:widowControl w:val="0"/>
        <w:numPr>
          <w:ilvl w:val="0"/>
          <w:numId w:val="0"/>
        </w:numPr>
        <w:kinsoku/>
        <w:wordWrap/>
        <w:overflowPunct/>
        <w:topLinePunct w:val="0"/>
        <w:autoSpaceDE/>
        <w:autoSpaceDN/>
        <w:bidi w:val="0"/>
        <w:spacing w:line="360" w:lineRule="auto"/>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预算收支总额、预算执行情况</w:t>
      </w:r>
    </w:p>
    <w:p w14:paraId="09F1DDDC">
      <w:pPr>
        <w:pStyle w:val="2"/>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2023年预算收入为</w:t>
      </w:r>
      <w:r>
        <w:rPr>
          <w:rFonts w:hint="eastAsia" w:ascii="Times New Roman" w:hAnsi="Times New Roman" w:eastAsia="仿宋_GB2312" w:cs="Times New Roman"/>
          <w:kern w:val="0"/>
          <w:sz w:val="32"/>
          <w:szCs w:val="32"/>
          <w:highlight w:val="none"/>
          <w:lang w:val="en-US" w:eastAsia="zh-CN"/>
        </w:rPr>
        <w:t>5685.88万元</w:t>
      </w:r>
      <w:r>
        <w:rPr>
          <w:rFonts w:hint="eastAsia" w:ascii="仿宋_GB2312" w:hAnsi="仿宋_GB2312" w:eastAsia="仿宋_GB2312" w:cs="仿宋_GB2312"/>
          <w:sz w:val="32"/>
          <w:szCs w:val="32"/>
          <w:lang w:val="en-US" w:eastAsia="zh-CN"/>
        </w:rPr>
        <w:t>，一般公共预算财政拨款</w:t>
      </w:r>
      <w:r>
        <w:rPr>
          <w:rFonts w:hint="eastAsia" w:ascii="Times New Roman" w:hAnsi="Times New Roman" w:eastAsia="仿宋_GB2312" w:cs="Times New Roman"/>
          <w:kern w:val="0"/>
          <w:sz w:val="32"/>
          <w:szCs w:val="32"/>
          <w:highlight w:val="none"/>
          <w:lang w:val="en-US" w:eastAsia="zh-CN"/>
        </w:rPr>
        <w:t>5685.88万元</w:t>
      </w:r>
      <w:r>
        <w:rPr>
          <w:rFonts w:hint="eastAsia" w:ascii="仿宋_GB2312" w:hAnsi="仿宋_GB2312" w:eastAsia="仿宋_GB2312" w:cs="仿宋_GB2312"/>
          <w:sz w:val="32"/>
          <w:szCs w:val="32"/>
          <w:lang w:val="en-US" w:eastAsia="zh-CN"/>
        </w:rPr>
        <w:t>，政府性基金预算财政拨款0元，年初财政拨款结转和结余0元；预算支出为</w:t>
      </w:r>
      <w:r>
        <w:rPr>
          <w:rFonts w:hint="eastAsia" w:ascii="Times New Roman" w:hAnsi="Times New Roman" w:eastAsia="仿宋_GB2312" w:cs="Times New Roman"/>
          <w:kern w:val="0"/>
          <w:sz w:val="32"/>
          <w:szCs w:val="32"/>
          <w:highlight w:val="none"/>
          <w:lang w:val="en-US" w:eastAsia="zh-CN"/>
        </w:rPr>
        <w:t>5685.88万元</w:t>
      </w:r>
      <w:r>
        <w:rPr>
          <w:rFonts w:hint="eastAsia" w:ascii="仿宋_GB2312" w:hAnsi="仿宋_GB2312" w:eastAsia="仿宋_GB2312" w:cs="仿宋_GB2312"/>
          <w:sz w:val="32"/>
          <w:szCs w:val="32"/>
          <w:lang w:val="en-US" w:eastAsia="zh-CN"/>
        </w:rPr>
        <w:t>，基本支出为</w:t>
      </w:r>
      <w:r>
        <w:rPr>
          <w:rFonts w:hint="eastAsia" w:ascii="Times New Roman" w:hAnsi="Times New Roman" w:eastAsia="仿宋_GB2312" w:cs="Times New Roman"/>
          <w:kern w:val="0"/>
          <w:sz w:val="32"/>
          <w:szCs w:val="32"/>
          <w:highlight w:val="none"/>
          <w:lang w:val="en-US" w:eastAsia="zh-CN" w:bidi="ar-SA"/>
        </w:rPr>
        <w:t>2159.14万</w:t>
      </w:r>
      <w:r>
        <w:rPr>
          <w:rFonts w:hint="eastAsia" w:ascii="仿宋_GB2312" w:hAnsi="仿宋_GB2312" w:eastAsia="仿宋_GB2312" w:cs="仿宋_GB2312"/>
          <w:sz w:val="32"/>
          <w:szCs w:val="32"/>
          <w:lang w:val="en-US" w:eastAsia="zh-CN"/>
        </w:rPr>
        <w:t>元，项目支出</w:t>
      </w:r>
      <w:r>
        <w:rPr>
          <w:rFonts w:hint="eastAsia" w:ascii="Times New Roman" w:hAnsi="Times New Roman" w:eastAsia="仿宋_GB2312" w:cs="Times New Roman"/>
          <w:kern w:val="0"/>
          <w:sz w:val="32"/>
          <w:szCs w:val="32"/>
          <w:highlight w:val="none"/>
          <w:lang w:val="en-US" w:eastAsia="zh-CN" w:bidi="ar-SA"/>
        </w:rPr>
        <w:t>3526.74万</w:t>
      </w:r>
      <w:r>
        <w:rPr>
          <w:rFonts w:hint="eastAsia" w:ascii="仿宋_GB2312" w:hAnsi="仿宋_GB2312" w:eastAsia="仿宋_GB2312" w:cs="仿宋_GB2312"/>
          <w:sz w:val="32"/>
          <w:szCs w:val="32"/>
          <w:lang w:val="en-US" w:eastAsia="zh-CN"/>
        </w:rPr>
        <w:t>元；预算皆已按照区财政局要求全部执行完成。</w:t>
      </w:r>
    </w:p>
    <w:p w14:paraId="6C5A3888">
      <w:pPr>
        <w:pStyle w:val="2"/>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评价结论及绩效分析：</w:t>
      </w:r>
    </w:p>
    <w:p w14:paraId="4A5BDE0E">
      <w:pPr>
        <w:pStyle w:val="2"/>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（一）评价结论</w:t>
      </w:r>
    </w:p>
    <w:p w14:paraId="54D0F224">
      <w:pPr>
        <w:pStyle w:val="2"/>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度部门整体支出情况良好，各项资金使用规范，无虚列项目支出情况，无截留挤占挪用情况，无超标开支情况，无超预算情况，内部控制制度基本健全，管理规范，有力贯彻落实相关项目的决策部署，及时做好上传下达、学习领会、布置安排、督促落实，不存在消极抵触，推诿扯皮，弄虚作假，敷衍塞则的现象，做到定目标、定时限，定期会议推进制，积极妥善地协调解决好工作中存在的问题和困难，通过不断的努力学习，职工专业素质不断提高，在工作过程中，本着“为民、务实、清廉、高效”的要求，围绕区昆明市盘龙区住房和城乡建设局的中心工作和任务，认真履行职责，提高行政效能，各项工作进展顺利，年度工作目标按时按质完成，绩效目标得以实现。</w:t>
      </w:r>
    </w:p>
    <w:p w14:paraId="01BB09EF">
      <w:pPr>
        <w:keepNext w:val="0"/>
        <w:keepLines w:val="0"/>
        <w:pageBreakBefore w:val="0"/>
        <w:widowControl w:val="0"/>
        <w:numPr>
          <w:ilvl w:val="0"/>
          <w:numId w:val="0"/>
        </w:numPr>
        <w:kinsoku/>
        <w:wordWrap/>
        <w:overflowPunct/>
        <w:topLinePunct w:val="0"/>
        <w:autoSpaceDE/>
        <w:autoSpaceDN/>
        <w:bidi w:val="0"/>
        <w:spacing w:line="360" w:lineRule="auto"/>
        <w:ind w:firstLine="320" w:firstLineChars="1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绩效分析</w:t>
      </w:r>
    </w:p>
    <w:p w14:paraId="03A3F053">
      <w:pPr>
        <w:pStyle w:val="2"/>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1.坚持站高谋远，聚力攻坚北京路</w:t>
      </w:r>
    </w:p>
    <w:p w14:paraId="7FCB61A5">
      <w:pPr>
        <w:pStyle w:val="2"/>
        <w:keepNext w:val="0"/>
        <w:keepLines w:val="0"/>
        <w:pageBreakBefore w:val="0"/>
        <w:widowControl w:val="0"/>
        <w:kinsoku/>
        <w:wordWrap/>
        <w:overflowPunct/>
        <w:topLinePunct w:val="0"/>
        <w:autoSpaceDE/>
        <w:autoSpaceDN/>
        <w:bidi w:val="0"/>
        <w:spacing w:line="554" w:lineRule="exact"/>
        <w:ind w:firstLine="640" w:firstLineChars="200"/>
        <w:jc w:val="left"/>
        <w:rPr>
          <w:rFonts w:hint="default" w:ascii="Times New Roman" w:hAnsi="Times New Roman" w:eastAsia="仿宋_GB2312" w:cs="Times New Roman"/>
          <w:color w:val="auto"/>
          <w:kern w:val="0"/>
          <w:sz w:val="32"/>
          <w:lang w:eastAsia="zh-CN"/>
        </w:rPr>
      </w:pPr>
      <w:r>
        <w:rPr>
          <w:rFonts w:hint="default" w:ascii="Times New Roman" w:hAnsi="Times New Roman" w:eastAsia="仿宋_GB2312" w:cs="Times New Roman"/>
          <w:color w:val="auto"/>
          <w:kern w:val="0"/>
          <w:sz w:val="32"/>
        </w:rPr>
        <w:t>持续开展北京路沿线交通综合整治</w:t>
      </w:r>
      <w:r>
        <w:rPr>
          <w:rFonts w:hint="default" w:ascii="Times New Roman" w:hAnsi="Times New Roman" w:eastAsia="仿宋_GB2312" w:cs="Times New Roman"/>
          <w:color w:val="auto"/>
          <w:kern w:val="0"/>
          <w:sz w:val="32"/>
          <w:lang w:eastAsia="zh-CN"/>
        </w:rPr>
        <w:t>，</w:t>
      </w:r>
      <w:r>
        <w:rPr>
          <w:rFonts w:hint="default" w:ascii="Times New Roman" w:hAnsi="Times New Roman" w:eastAsia="仿宋_GB2312" w:cs="Times New Roman"/>
          <w:color w:val="auto"/>
          <w:kern w:val="0"/>
          <w:sz w:val="32"/>
        </w:rPr>
        <w:t>加快推进龙波路连接104号路节点综合整治提升工程、跨金汁河连接169号路桥梁工程</w:t>
      </w:r>
      <w:r>
        <w:rPr>
          <w:rFonts w:hint="default" w:ascii="Times New Roman" w:hAnsi="Times New Roman" w:eastAsia="仿宋_GB2312" w:cs="Times New Roman"/>
          <w:color w:val="auto"/>
          <w:kern w:val="0"/>
          <w:sz w:val="32"/>
          <w:lang w:eastAsia="zh-CN"/>
        </w:rPr>
        <w:t>，</w:t>
      </w:r>
      <w:r>
        <w:rPr>
          <w:rFonts w:hint="default" w:ascii="Times New Roman" w:hAnsi="Times New Roman" w:eastAsia="仿宋_GB2312" w:cs="Times New Roman"/>
          <w:color w:val="auto"/>
          <w:kern w:val="0"/>
          <w:sz w:val="32"/>
        </w:rPr>
        <w:t>精准实施北京路沿线城市道路及桥梁设施管养维护工程，全面加强沿线地下管线和窨井盖</w:t>
      </w:r>
      <w:r>
        <w:rPr>
          <w:rFonts w:hint="eastAsia" w:ascii="Times New Roman" w:hAnsi="Times New Roman" w:eastAsia="仿宋_GB2312" w:cs="Times New Roman"/>
          <w:color w:val="auto"/>
          <w:kern w:val="0"/>
          <w:sz w:val="32"/>
          <w:lang w:eastAsia="zh-CN"/>
        </w:rPr>
        <w:t>管理工作</w:t>
      </w:r>
      <w:r>
        <w:rPr>
          <w:rFonts w:hint="default" w:ascii="Times New Roman" w:hAnsi="Times New Roman" w:eastAsia="仿宋_GB2312" w:cs="Times New Roman"/>
          <w:color w:val="auto"/>
          <w:kern w:val="0"/>
          <w:sz w:val="32"/>
          <w:lang w:eastAsia="zh-CN"/>
        </w:rPr>
        <w:t>。</w:t>
      </w:r>
    </w:p>
    <w:p w14:paraId="7AF80B76">
      <w:pPr>
        <w:pStyle w:val="2"/>
        <w:keepNext w:val="0"/>
        <w:keepLines w:val="0"/>
        <w:pageBreakBefore w:val="0"/>
        <w:widowControl w:val="0"/>
        <w:kinsoku/>
        <w:wordWrap/>
        <w:overflowPunct/>
        <w:topLinePunct w:val="0"/>
        <w:autoSpaceDE/>
        <w:autoSpaceDN/>
        <w:bidi w:val="0"/>
        <w:spacing w:line="554"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围绕“保民生、保稳定”的目标，</w:t>
      </w:r>
      <w:r>
        <w:rPr>
          <w:rFonts w:hint="default" w:ascii="Times New Roman" w:hAnsi="Times New Roman" w:eastAsia="仿宋_GB2312" w:cs="Times New Roman"/>
          <w:snapToGrid w:val="0"/>
          <w:kern w:val="0"/>
          <w:sz w:val="32"/>
          <w:szCs w:val="32"/>
        </w:rPr>
        <w:t>坚持“一楼一策”工作机制，</w:t>
      </w:r>
      <w:r>
        <w:rPr>
          <w:rFonts w:hint="default" w:ascii="Times New Roman" w:hAnsi="Times New Roman" w:eastAsia="仿宋_GB2312" w:cs="Times New Roman"/>
          <w:sz w:val="32"/>
          <w:szCs w:val="32"/>
        </w:rPr>
        <w:t>精</w:t>
      </w:r>
      <w:r>
        <w:rPr>
          <w:rFonts w:hint="default" w:ascii="Times New Roman" w:hAnsi="Times New Roman" w:eastAsia="仿宋_GB2312" w:cs="Times New Roman"/>
          <w:color w:val="auto"/>
          <w:kern w:val="0"/>
          <w:sz w:val="32"/>
        </w:rPr>
        <w:t>准施策</w:t>
      </w:r>
      <w:r>
        <w:rPr>
          <w:rFonts w:hint="default" w:ascii="Times New Roman" w:hAnsi="Times New Roman" w:eastAsia="仿宋_GB2312" w:cs="Times New Roman"/>
          <w:color w:val="auto"/>
          <w:kern w:val="0"/>
          <w:sz w:val="32"/>
          <w:lang w:eastAsia="zh-CN"/>
        </w:rPr>
        <w:t>，</w:t>
      </w:r>
      <w:r>
        <w:rPr>
          <w:rFonts w:hint="default" w:ascii="Times New Roman" w:hAnsi="Times New Roman" w:eastAsia="仿宋_GB2312" w:cs="Times New Roman"/>
          <w:color w:val="auto"/>
          <w:kern w:val="0"/>
          <w:sz w:val="32"/>
        </w:rPr>
        <w:t>全力推进</w:t>
      </w:r>
      <w:r>
        <w:rPr>
          <w:rFonts w:hint="default" w:ascii="Times New Roman" w:hAnsi="Times New Roman" w:eastAsia="仿宋_GB2312" w:cs="Times New Roman"/>
          <w:color w:val="auto"/>
          <w:kern w:val="0"/>
          <w:sz w:val="32"/>
          <w:lang w:val="en-US" w:eastAsia="zh-CN"/>
        </w:rPr>
        <w:t>北京路沿线5个项目“保交楼”工作，盘龙区第一批“保交楼”项目全部交</w:t>
      </w:r>
      <w:r>
        <w:rPr>
          <w:rFonts w:hint="default" w:ascii="Times New Roman" w:hAnsi="Times New Roman" w:eastAsia="仿宋_GB2312" w:cs="Times New Roman"/>
          <w:sz w:val="32"/>
          <w:szCs w:val="32"/>
          <w:lang w:val="en-US" w:eastAsia="zh-CN"/>
        </w:rPr>
        <w:t>付，累计完成</w:t>
      </w:r>
      <w:r>
        <w:rPr>
          <w:rFonts w:hint="default" w:ascii="Times New Roman" w:hAnsi="Times New Roman" w:eastAsia="仿宋_GB2312" w:cs="Times New Roman"/>
          <w:color w:val="auto"/>
          <w:sz w:val="32"/>
          <w:szCs w:val="32"/>
          <w:lang w:eastAsia="zh-CN"/>
        </w:rPr>
        <w:t>住房</w:t>
      </w:r>
      <w:r>
        <w:rPr>
          <w:rFonts w:hint="default" w:ascii="Times New Roman" w:hAnsi="Times New Roman" w:eastAsia="仿宋_GB2312" w:cs="Times New Roman"/>
          <w:sz w:val="32"/>
          <w:szCs w:val="32"/>
          <w:lang w:val="en-US" w:eastAsia="zh-CN"/>
        </w:rPr>
        <w:t>交付</w:t>
      </w:r>
      <w:r>
        <w:rPr>
          <w:rFonts w:hint="default" w:ascii="Times New Roman" w:hAnsi="Times New Roman" w:eastAsia="仿宋_GB2312" w:cs="Times New Roman"/>
          <w:color w:val="auto"/>
          <w:sz w:val="32"/>
          <w:szCs w:val="32"/>
          <w:lang w:eastAsia="zh-CN"/>
        </w:rPr>
        <w:t>7931套，</w:t>
      </w:r>
      <w:r>
        <w:rPr>
          <w:rFonts w:hint="default" w:ascii="Times New Roman" w:hAnsi="Times New Roman" w:eastAsia="仿宋_GB2312" w:cs="Times New Roman"/>
          <w:color w:val="auto"/>
          <w:sz w:val="32"/>
          <w:szCs w:val="32"/>
          <w:lang w:val="en-US" w:eastAsia="zh-CN"/>
        </w:rPr>
        <w:t>有效解决群众急难险重问题</w:t>
      </w:r>
      <w:r>
        <w:rPr>
          <w:rFonts w:hint="default" w:ascii="Times New Roman" w:hAnsi="Times New Roman" w:eastAsia="仿宋_GB2312" w:cs="Times New Roman"/>
          <w:sz w:val="32"/>
          <w:szCs w:val="32"/>
          <w:lang w:val="en-US" w:eastAsia="zh-CN"/>
        </w:rPr>
        <w:t>。</w:t>
      </w:r>
    </w:p>
    <w:p w14:paraId="43F16AE3">
      <w:pPr>
        <w:pStyle w:val="2"/>
        <w:keepNext w:val="0"/>
        <w:keepLines w:val="0"/>
        <w:pageBreakBefore w:val="0"/>
        <w:widowControl w:val="0"/>
        <w:numPr>
          <w:ilvl w:val="0"/>
          <w:numId w:val="1"/>
        </w:numPr>
        <w:kinsoku/>
        <w:wordWrap/>
        <w:overflowPunct/>
        <w:topLinePunct w:val="0"/>
        <w:autoSpaceDE/>
        <w:autoSpaceDN/>
        <w:bidi w:val="0"/>
        <w:spacing w:line="554" w:lineRule="exact"/>
        <w:ind w:firstLine="640" w:firstLineChars="200"/>
        <w:jc w:val="left"/>
        <w:rPr>
          <w:rFonts w:hint="default" w:ascii="Times New Roman" w:hAnsi="Times New Roman" w:eastAsia="仿宋_GB2312" w:cs="Times New Roman"/>
          <w:color w:val="auto"/>
          <w:kern w:val="0"/>
          <w:sz w:val="32"/>
          <w:lang w:val="en-US" w:eastAsia="zh-CN"/>
        </w:rPr>
      </w:pPr>
      <w:r>
        <w:rPr>
          <w:rFonts w:hint="default" w:ascii="Times New Roman" w:hAnsi="Times New Roman" w:eastAsia="仿宋_GB2312" w:cs="Times New Roman"/>
          <w:color w:val="auto"/>
          <w:kern w:val="0"/>
          <w:sz w:val="32"/>
          <w:lang w:val="en-US" w:eastAsia="zh-CN"/>
        </w:rPr>
        <w:t>抓好经济指标，助力房地产、建筑业平稳发展</w:t>
      </w:r>
    </w:p>
    <w:p w14:paraId="2D244828">
      <w:pPr>
        <w:pStyle w:val="2"/>
        <w:keepNext w:val="0"/>
        <w:keepLines w:val="0"/>
        <w:pageBreakBefore w:val="0"/>
        <w:widowControl w:val="0"/>
        <w:kinsoku/>
        <w:wordWrap/>
        <w:overflowPunct/>
        <w:topLinePunct w:val="0"/>
        <w:autoSpaceDE/>
        <w:autoSpaceDN/>
        <w:bidi w:val="0"/>
        <w:spacing w:line="554" w:lineRule="exact"/>
        <w:ind w:firstLine="640" w:firstLineChars="200"/>
        <w:jc w:val="left"/>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color w:val="auto"/>
          <w:sz w:val="32"/>
          <w:szCs w:val="32"/>
          <w:lang w:val="en-US" w:eastAsia="zh-CN"/>
        </w:rPr>
        <w:t>2023年</w:t>
      </w:r>
      <w:r>
        <w:rPr>
          <w:rFonts w:hint="default" w:ascii="Times New Roman" w:hAnsi="Times New Roman" w:eastAsia="仿宋_GB2312" w:cs="Times New Roman"/>
          <w:color w:val="auto"/>
          <w:sz w:val="32"/>
          <w:szCs w:val="32"/>
          <w:lang w:eastAsia="zh-CN"/>
        </w:rPr>
        <w:t>前三季度</w:t>
      </w:r>
      <w:r>
        <w:rPr>
          <w:rFonts w:hint="default" w:ascii="Times New Roman" w:hAnsi="Times New Roman" w:eastAsia="仿宋_GB2312" w:cs="Times New Roman"/>
          <w:color w:val="auto"/>
          <w:sz w:val="32"/>
          <w:szCs w:val="32"/>
        </w:rPr>
        <w:t>完成建筑业产值</w:t>
      </w:r>
      <w:r>
        <w:rPr>
          <w:rFonts w:hint="default" w:ascii="Times New Roman" w:hAnsi="Times New Roman" w:eastAsia="仿宋_GB2312" w:cs="Times New Roman"/>
          <w:color w:val="auto"/>
          <w:sz w:val="32"/>
          <w:szCs w:val="32"/>
          <w:lang w:val="en-US" w:eastAsia="zh-CN"/>
        </w:rPr>
        <w:t>285.03亿元，同比增长2.3%，</w:t>
      </w:r>
      <w:r>
        <w:rPr>
          <w:rFonts w:hint="default" w:ascii="Times New Roman" w:hAnsi="Times New Roman" w:eastAsia="仿宋_GB2312" w:cs="Times New Roman"/>
          <w:color w:val="auto"/>
          <w:sz w:val="32"/>
          <w:szCs w:val="32"/>
          <w:lang w:eastAsia="zh-CN"/>
        </w:rPr>
        <w:t>预计四季度完成产值</w:t>
      </w:r>
      <w:r>
        <w:rPr>
          <w:rFonts w:hint="default" w:ascii="Times New Roman" w:hAnsi="Times New Roman" w:eastAsia="仿宋_GB2312" w:cs="Times New Roman"/>
          <w:color w:val="auto"/>
          <w:sz w:val="32"/>
          <w:szCs w:val="32"/>
          <w:lang w:val="en-US" w:eastAsia="zh-CN"/>
        </w:rPr>
        <w:t>110亿元，全年预计完成产值395亿元；2023年1-9月，</w:t>
      </w:r>
      <w:r>
        <w:rPr>
          <w:rFonts w:hint="default" w:ascii="Times New Roman" w:hAnsi="Times New Roman" w:eastAsia="仿宋_GB2312" w:cs="Times New Roman"/>
          <w:color w:val="auto"/>
          <w:sz w:val="32"/>
          <w:szCs w:val="32"/>
          <w:lang w:eastAsia="zh-CN"/>
        </w:rPr>
        <w:t>完成房地产投资138.48亿元，完成商品房销售面积67.01万平方米；</w:t>
      </w:r>
      <w:r>
        <w:rPr>
          <w:rFonts w:hint="default" w:ascii="Times New Roman" w:hAnsi="Times New Roman" w:eastAsia="仿宋_GB2312" w:cs="Times New Roman"/>
          <w:color w:val="auto"/>
          <w:sz w:val="32"/>
          <w:szCs w:val="32"/>
          <w:lang w:val="en-US" w:eastAsia="zh-CN"/>
        </w:rPr>
        <w:t>完成市场主体倍增新入库企业45家，</w:t>
      </w:r>
      <w:r>
        <w:rPr>
          <w:rFonts w:hint="default" w:ascii="Times New Roman" w:hAnsi="Times New Roman" w:eastAsia="仿宋_GB2312" w:cs="Times New Roman"/>
          <w:color w:val="auto"/>
          <w:kern w:val="2"/>
          <w:sz w:val="32"/>
          <w:szCs w:val="32"/>
          <w:lang w:val="en-US" w:eastAsia="zh-CN"/>
        </w:rPr>
        <w:t>完成新增建筑业企业542家，全力推进“四上企业”入库落地工作</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i w:val="0"/>
          <w:caps w:val="0"/>
          <w:color w:val="auto"/>
          <w:spacing w:val="0"/>
          <w:sz w:val="32"/>
          <w:szCs w:val="32"/>
          <w:shd w:val="clear" w:fill="FFFFFF"/>
        </w:rPr>
        <w:t>加强建筑企业</w:t>
      </w:r>
      <w:r>
        <w:rPr>
          <w:rFonts w:hint="default" w:ascii="Times New Roman" w:hAnsi="Times New Roman" w:eastAsia="仿宋_GB2312" w:cs="Times New Roman"/>
          <w:i w:val="0"/>
          <w:caps w:val="0"/>
          <w:color w:val="auto"/>
          <w:spacing w:val="0"/>
          <w:sz w:val="32"/>
          <w:szCs w:val="32"/>
          <w:shd w:val="clear" w:fill="FFFFFF"/>
          <w:lang w:eastAsia="zh-CN"/>
        </w:rPr>
        <w:t>资质监管</w:t>
      </w:r>
      <w:r>
        <w:rPr>
          <w:rFonts w:hint="default" w:ascii="Times New Roman" w:hAnsi="Times New Roman" w:eastAsia="仿宋_GB2312" w:cs="Times New Roman"/>
          <w:i w:val="0"/>
          <w:caps w:val="0"/>
          <w:color w:val="auto"/>
          <w:spacing w:val="0"/>
          <w:sz w:val="32"/>
          <w:szCs w:val="32"/>
          <w:shd w:val="clear" w:fill="FFFFFF"/>
          <w:lang w:val="en-US" w:eastAsia="zh-CN"/>
        </w:rPr>
        <w:t>服务</w:t>
      </w:r>
      <w:r>
        <w:rPr>
          <w:rFonts w:hint="default" w:ascii="Times New Roman" w:hAnsi="Times New Roman" w:eastAsia="仿宋_GB2312" w:cs="Times New Roman"/>
          <w:i w:val="0"/>
          <w:caps w:val="0"/>
          <w:color w:val="auto"/>
          <w:spacing w:val="0"/>
          <w:sz w:val="32"/>
          <w:szCs w:val="32"/>
          <w:shd w:val="clear" w:fill="FFFFFF"/>
        </w:rPr>
        <w:t>，</w:t>
      </w:r>
      <w:r>
        <w:rPr>
          <w:rFonts w:hint="default" w:ascii="Times New Roman" w:hAnsi="Times New Roman" w:eastAsia="仿宋_GB2312" w:cs="Times New Roman"/>
          <w:b w:val="0"/>
          <w:bCs w:val="0"/>
          <w:color w:val="auto"/>
          <w:sz w:val="32"/>
          <w:szCs w:val="32"/>
        </w:rPr>
        <w:t>办理资质申请105条，资质增项76条，资质升级3条，资质变更286条，劳务资质75条</w:t>
      </w:r>
      <w:r>
        <w:rPr>
          <w:rFonts w:hint="default" w:ascii="Times New Roman" w:hAnsi="Times New Roman" w:eastAsia="仿宋_GB2312" w:cs="Times New Roman"/>
          <w:b w:val="0"/>
          <w:bCs w:val="0"/>
          <w:color w:val="auto"/>
          <w:sz w:val="32"/>
          <w:szCs w:val="32"/>
          <w:lang w:eastAsia="zh-CN"/>
        </w:rPr>
        <w:t>。</w:t>
      </w:r>
    </w:p>
    <w:p w14:paraId="39BC6019">
      <w:pPr>
        <w:pStyle w:val="2"/>
        <w:keepNext w:val="0"/>
        <w:keepLines w:val="0"/>
        <w:pageBreakBefore w:val="0"/>
        <w:widowControl w:val="0"/>
        <w:numPr>
          <w:ilvl w:val="0"/>
          <w:numId w:val="1"/>
        </w:numPr>
        <w:kinsoku/>
        <w:wordWrap/>
        <w:overflowPunct/>
        <w:topLinePunct w:val="0"/>
        <w:autoSpaceDE/>
        <w:autoSpaceDN/>
        <w:bidi w:val="0"/>
        <w:spacing w:line="554" w:lineRule="exact"/>
        <w:ind w:firstLine="640" w:firstLineChars="200"/>
        <w:jc w:val="left"/>
        <w:rPr>
          <w:rFonts w:hint="default" w:ascii="Times New Roman" w:hAnsi="Times New Roman" w:eastAsia="仿宋_GB2312" w:cs="Times New Roman"/>
          <w:color w:val="auto"/>
          <w:kern w:val="0"/>
          <w:sz w:val="32"/>
          <w:lang w:val="en-US" w:eastAsia="zh-CN"/>
        </w:rPr>
      </w:pPr>
      <w:r>
        <w:rPr>
          <w:rFonts w:hint="default" w:ascii="Times New Roman" w:hAnsi="Times New Roman" w:eastAsia="仿宋_GB2312" w:cs="Times New Roman"/>
          <w:color w:val="auto"/>
          <w:kern w:val="0"/>
          <w:sz w:val="32"/>
          <w:lang w:val="en-US" w:eastAsia="zh-CN"/>
        </w:rPr>
        <w:t>完善城市功能，加强基础设施建设</w:t>
      </w:r>
    </w:p>
    <w:p w14:paraId="08AE6F2F">
      <w:pPr>
        <w:pStyle w:val="2"/>
        <w:keepNext w:val="0"/>
        <w:keepLines w:val="0"/>
        <w:pageBreakBefore w:val="0"/>
        <w:widowControl w:val="0"/>
        <w:kinsoku/>
        <w:wordWrap/>
        <w:overflowPunct/>
        <w:topLinePunct w:val="0"/>
        <w:autoSpaceDE/>
        <w:autoSpaceDN/>
        <w:bidi w:val="0"/>
        <w:spacing w:line="554" w:lineRule="exact"/>
        <w:ind w:firstLine="640" w:firstLineChars="200"/>
        <w:jc w:val="left"/>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color w:val="auto"/>
          <w:kern w:val="2"/>
          <w:sz w:val="32"/>
          <w:szCs w:val="32"/>
          <w:lang w:val="en-US" w:eastAsia="zh-CN" w:bidi="ar-SA"/>
        </w:rPr>
        <w:t>践行“</w:t>
      </w:r>
      <w:r>
        <w:rPr>
          <w:rFonts w:hint="eastAsia" w:ascii="Times New Roman" w:hAnsi="Times New Roman" w:eastAsia="仿宋_GB2312" w:cs="Times New Roman"/>
          <w:b w:val="0"/>
          <w:bCs/>
          <w:color w:val="auto"/>
          <w:kern w:val="2"/>
          <w:sz w:val="32"/>
          <w:szCs w:val="32"/>
          <w:lang w:val="en-US" w:eastAsia="zh-CN" w:bidi="ar-SA"/>
        </w:rPr>
        <w:t>以人民为中心</w:t>
      </w:r>
      <w:r>
        <w:rPr>
          <w:rFonts w:hint="default" w:ascii="Times New Roman" w:hAnsi="Times New Roman" w:eastAsia="仿宋_GB2312" w:cs="Times New Roman"/>
          <w:b w:val="0"/>
          <w:bCs/>
          <w:color w:val="auto"/>
          <w:kern w:val="2"/>
          <w:sz w:val="32"/>
          <w:szCs w:val="32"/>
          <w:lang w:val="en-US" w:eastAsia="zh-CN" w:bidi="ar-SA"/>
        </w:rPr>
        <w:t>”的理念。按照“有路无灯、有灯不亮”三年行动计划，对12条道路实施片区路灯照明设施查缺补建工作；完成人民东路延安医院、白龙路石闸立交2座人行天桥建设并投入使用；完成</w:t>
      </w:r>
      <w:r>
        <w:rPr>
          <w:rFonts w:hint="default" w:ascii="Times New Roman" w:hAnsi="Times New Roman" w:eastAsia="仿宋_GB2312" w:cs="Times New Roman"/>
          <w:color w:val="auto"/>
          <w:sz w:val="32"/>
          <w:szCs w:val="32"/>
        </w:rPr>
        <w:t>盘龙区城市交通堵点治理工程性改造项目</w:t>
      </w:r>
      <w:r>
        <w:rPr>
          <w:rFonts w:hint="default" w:ascii="Times New Roman" w:hAnsi="Times New Roman" w:eastAsia="仿宋_GB2312" w:cs="Times New Roman"/>
          <w:color w:val="auto"/>
          <w:sz w:val="32"/>
          <w:szCs w:val="32"/>
          <w:lang w:val="en-US" w:eastAsia="zh-CN"/>
        </w:rPr>
        <w:t>5个，完成</w:t>
      </w:r>
      <w:r>
        <w:rPr>
          <w:rFonts w:hint="default" w:ascii="Times New Roman" w:hAnsi="Times New Roman" w:eastAsia="仿宋_GB2312" w:cs="Times New Roman"/>
          <w:b w:val="0"/>
          <w:bCs w:val="0"/>
          <w:color w:val="auto"/>
          <w:sz w:val="32"/>
          <w:szCs w:val="32"/>
          <w:lang w:eastAsia="zh-CN"/>
        </w:rPr>
        <w:t>城市道路及桥梁设施维护工程等8个项目立项、初设、规划意见、水保、环评等前期要件办理工作。</w:t>
      </w:r>
    </w:p>
    <w:p w14:paraId="2CEC06A9">
      <w:pPr>
        <w:pStyle w:val="2"/>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b w:val="0"/>
          <w:bCs w:val="0"/>
          <w:color w:val="auto"/>
          <w:sz w:val="32"/>
          <w:szCs w:val="32"/>
          <w:highlight w:val="none"/>
          <w:lang w:val="en-US" w:eastAsia="zh-CN"/>
        </w:rPr>
        <w:t>着力保障群众脚下安全。全面排查整治城市窨井设施，共排查辖区路网井盖</w:t>
      </w:r>
      <w:r>
        <w:rPr>
          <w:rFonts w:hint="eastAsia" w:ascii="Times New Roman" w:hAnsi="Times New Roman" w:eastAsia="仿宋_GB2312" w:cs="Times New Roman"/>
          <w:b w:val="0"/>
          <w:bCs w:val="0"/>
          <w:color w:val="auto"/>
          <w:sz w:val="32"/>
          <w:szCs w:val="32"/>
          <w:highlight w:val="none"/>
          <w:lang w:val="en-US" w:eastAsia="zh-CN"/>
        </w:rPr>
        <w:t>235893</w:t>
      </w:r>
      <w:r>
        <w:rPr>
          <w:rFonts w:hint="default" w:ascii="Times New Roman" w:hAnsi="Times New Roman" w:eastAsia="仿宋_GB2312" w:cs="Times New Roman"/>
          <w:b w:val="0"/>
          <w:bCs w:val="0"/>
          <w:color w:val="auto"/>
          <w:sz w:val="32"/>
          <w:szCs w:val="32"/>
          <w:highlight w:val="none"/>
          <w:lang w:val="en-US" w:eastAsia="zh-CN"/>
        </w:rPr>
        <w:t>个，病害井盖</w:t>
      </w:r>
      <w:r>
        <w:rPr>
          <w:rFonts w:hint="eastAsia" w:ascii="Times New Roman" w:hAnsi="Times New Roman" w:eastAsia="仿宋_GB2312" w:cs="Times New Roman"/>
          <w:b w:val="0"/>
          <w:bCs w:val="0"/>
          <w:color w:val="auto"/>
          <w:sz w:val="32"/>
          <w:szCs w:val="32"/>
          <w:highlight w:val="none"/>
          <w:lang w:val="en-US" w:eastAsia="zh-CN"/>
        </w:rPr>
        <w:t>3075</w:t>
      </w:r>
      <w:r>
        <w:rPr>
          <w:rFonts w:hint="default" w:ascii="Times New Roman" w:hAnsi="Times New Roman" w:eastAsia="仿宋_GB2312" w:cs="Times New Roman"/>
          <w:b w:val="0"/>
          <w:bCs w:val="0"/>
          <w:color w:val="auto"/>
          <w:sz w:val="32"/>
          <w:szCs w:val="32"/>
          <w:highlight w:val="none"/>
          <w:lang w:val="en-US" w:eastAsia="zh-CN"/>
        </w:rPr>
        <w:t>个，完成整治</w:t>
      </w:r>
      <w:r>
        <w:rPr>
          <w:rFonts w:hint="eastAsia" w:ascii="Times New Roman" w:hAnsi="Times New Roman" w:eastAsia="仿宋_GB2312" w:cs="Times New Roman"/>
          <w:b w:val="0"/>
          <w:bCs w:val="0"/>
          <w:color w:val="auto"/>
          <w:sz w:val="32"/>
          <w:szCs w:val="32"/>
          <w:highlight w:val="none"/>
          <w:lang w:val="en-US" w:eastAsia="zh-CN"/>
        </w:rPr>
        <w:t>3064</w:t>
      </w:r>
      <w:r>
        <w:rPr>
          <w:rFonts w:hint="default" w:ascii="Times New Roman" w:hAnsi="Times New Roman" w:eastAsia="仿宋_GB2312" w:cs="Times New Roman"/>
          <w:b w:val="0"/>
          <w:bCs w:val="0"/>
          <w:color w:val="auto"/>
          <w:sz w:val="32"/>
          <w:szCs w:val="32"/>
          <w:highlight w:val="none"/>
          <w:lang w:val="en-US" w:eastAsia="zh-CN"/>
        </w:rPr>
        <w:t>个；完成北京路、穿金路、环城路、景润路、求实街、东江路、小龙巷等道路的日常维护，对铂金大道桥、北部客运站桥、凤凰河桥等15座桥梁专项检测；完成</w:t>
      </w:r>
      <w:r>
        <w:rPr>
          <w:rFonts w:hint="default" w:ascii="Times New Roman" w:hAnsi="Times New Roman" w:eastAsia="仿宋_GB2312" w:cs="Times New Roman"/>
          <w:b w:val="0"/>
          <w:bCs/>
          <w:color w:val="auto"/>
          <w:kern w:val="2"/>
          <w:sz w:val="32"/>
          <w:szCs w:val="32"/>
          <w:lang w:val="en-US" w:eastAsia="zh-CN" w:bidi="ar-SA"/>
        </w:rPr>
        <w:t>东三环</w:t>
      </w:r>
      <w:r>
        <w:rPr>
          <w:rFonts w:hint="default" w:ascii="仿宋_GB2312" w:hAnsi="仿宋_GB2312" w:eastAsia="仿宋_GB2312" w:cs="仿宋_GB2312"/>
          <w:sz w:val="32"/>
          <w:szCs w:val="32"/>
          <w:lang w:val="en-US" w:eastAsia="zh-CN"/>
        </w:rPr>
        <w:t>（白龙路—白沙街段）病害、隐患整治工程。</w:t>
      </w:r>
    </w:p>
    <w:p w14:paraId="6290BF79">
      <w:pPr>
        <w:pStyle w:val="2"/>
        <w:keepNext w:val="0"/>
        <w:keepLines w:val="0"/>
        <w:pageBreakBefore w:val="0"/>
        <w:widowControl w:val="0"/>
        <w:numPr>
          <w:ilvl w:val="0"/>
          <w:numId w:val="1"/>
        </w:numPr>
        <w:kinsoku/>
        <w:wordWrap/>
        <w:overflowPunct/>
        <w:topLinePunct w:val="0"/>
        <w:autoSpaceDE/>
        <w:autoSpaceDN/>
        <w:bidi w:val="0"/>
        <w:adjustRightInd/>
        <w:snapToGrid/>
        <w:spacing w:line="554"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强化住房保障，改善居住条件</w:t>
      </w:r>
    </w:p>
    <w:p w14:paraId="6866A922">
      <w:pPr>
        <w:keepNext w:val="0"/>
        <w:keepLines w:val="0"/>
        <w:pageBreakBefore w:val="0"/>
        <w:widowControl w:val="0"/>
        <w:kinsoku/>
        <w:wordWrap/>
        <w:overflowPunct/>
        <w:topLinePunct w:val="0"/>
        <w:autoSpaceDE/>
        <w:autoSpaceDN/>
        <w:bidi w:val="0"/>
        <w:spacing w:line="554"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val="0"/>
          <w:bCs w:val="0"/>
          <w:i w:val="0"/>
          <w:caps w:val="0"/>
          <w:color w:val="auto"/>
          <w:spacing w:val="0"/>
          <w:sz w:val="32"/>
          <w:szCs w:val="32"/>
          <w:shd w:val="clear" w:fill="FFFFFF"/>
          <w:lang w:val="en-US" w:eastAsia="zh-CN"/>
        </w:rPr>
        <w:t>持续</w:t>
      </w:r>
      <w:r>
        <w:rPr>
          <w:rFonts w:hint="default" w:ascii="Times New Roman" w:hAnsi="Times New Roman" w:eastAsia="仿宋_GB2312" w:cs="Times New Roman"/>
          <w:b w:val="0"/>
          <w:bCs w:val="0"/>
          <w:i w:val="0"/>
          <w:caps w:val="0"/>
          <w:color w:val="auto"/>
          <w:spacing w:val="0"/>
          <w:sz w:val="32"/>
          <w:szCs w:val="32"/>
          <w:shd w:val="clear" w:fill="FFFFFF"/>
          <w:lang w:eastAsia="zh-CN"/>
        </w:rPr>
        <w:t>抓好公租房、廉租房管理服务，</w:t>
      </w:r>
      <w:r>
        <w:rPr>
          <w:rFonts w:hint="default" w:ascii="Times New Roman" w:hAnsi="Times New Roman" w:eastAsia="仿宋_GB2312" w:cs="Times New Roman"/>
          <w:b w:val="0"/>
          <w:bCs w:val="0"/>
          <w:i w:val="0"/>
          <w:caps w:val="0"/>
          <w:color w:val="auto"/>
          <w:spacing w:val="0"/>
          <w:sz w:val="32"/>
          <w:szCs w:val="32"/>
          <w:shd w:val="clear" w:fill="FFFFFF"/>
          <w:lang w:val="en-US" w:eastAsia="zh-CN"/>
        </w:rPr>
        <w:t>全年</w:t>
      </w:r>
      <w:r>
        <w:rPr>
          <w:rFonts w:hint="default" w:ascii="Times New Roman" w:hAnsi="Times New Roman" w:eastAsia="仿宋_GB2312" w:cs="Times New Roman"/>
          <w:b w:val="0"/>
          <w:bCs w:val="0"/>
          <w:i w:val="0"/>
          <w:caps w:val="0"/>
          <w:color w:val="auto"/>
          <w:spacing w:val="0"/>
          <w:sz w:val="32"/>
          <w:szCs w:val="32"/>
          <w:shd w:val="clear" w:fill="FFFFFF"/>
          <w:lang w:eastAsia="zh-CN"/>
        </w:rPr>
        <w:t>共计</w:t>
      </w:r>
      <w:r>
        <w:rPr>
          <w:rFonts w:hint="default" w:ascii="Times New Roman" w:hAnsi="Times New Roman" w:eastAsia="仿宋_GB2312" w:cs="Times New Roman"/>
          <w:b w:val="0"/>
          <w:bCs w:val="0"/>
          <w:color w:val="auto"/>
          <w:sz w:val="32"/>
          <w:szCs w:val="32"/>
          <w:highlight w:val="none"/>
          <w:lang w:eastAsia="zh-CN"/>
        </w:rPr>
        <w:t>办理廉租房申请</w:t>
      </w:r>
      <w:r>
        <w:rPr>
          <w:rFonts w:hint="default" w:ascii="Times New Roman" w:hAnsi="Times New Roman" w:eastAsia="仿宋_GB2312" w:cs="Times New Roman"/>
          <w:b w:val="0"/>
          <w:bCs w:val="0"/>
          <w:color w:val="auto"/>
          <w:sz w:val="32"/>
          <w:szCs w:val="32"/>
          <w:highlight w:val="none"/>
          <w:lang w:val="en-US" w:eastAsia="zh-CN"/>
        </w:rPr>
        <w:t>64户，</w:t>
      </w:r>
      <w:r>
        <w:rPr>
          <w:rFonts w:hint="default" w:ascii="Times New Roman" w:hAnsi="Times New Roman" w:eastAsia="仿宋_GB2312" w:cs="Times New Roman"/>
          <w:b w:val="0"/>
          <w:bCs w:val="0"/>
          <w:color w:val="auto"/>
          <w:sz w:val="32"/>
          <w:szCs w:val="32"/>
          <w:highlight w:val="none"/>
          <w:lang w:eastAsia="zh-CN"/>
        </w:rPr>
        <w:t>公租房</w:t>
      </w:r>
      <w:r>
        <w:rPr>
          <w:rFonts w:hint="default" w:ascii="Times New Roman" w:hAnsi="Times New Roman" w:eastAsia="仿宋_GB2312" w:cs="Times New Roman"/>
          <w:b w:val="0"/>
          <w:bCs w:val="0"/>
          <w:color w:val="auto"/>
          <w:sz w:val="32"/>
          <w:szCs w:val="32"/>
          <w:highlight w:val="none"/>
        </w:rPr>
        <w:t>申请</w:t>
      </w:r>
      <w:r>
        <w:rPr>
          <w:rFonts w:hint="default" w:ascii="Times New Roman" w:hAnsi="Times New Roman" w:eastAsia="仿宋_GB2312" w:cs="Times New Roman"/>
          <w:b w:val="0"/>
          <w:bCs w:val="0"/>
          <w:color w:val="auto"/>
          <w:kern w:val="2"/>
          <w:sz w:val="32"/>
          <w:szCs w:val="32"/>
          <w:lang w:val="en-US" w:eastAsia="zh-CN" w:bidi="ar-SA"/>
        </w:rPr>
        <w:t>2600余户</w:t>
      </w:r>
      <w:r>
        <w:rPr>
          <w:rFonts w:hint="default" w:ascii="Times New Roman" w:hAnsi="Times New Roman" w:eastAsia="仿宋_GB2312" w:cs="Times New Roman"/>
          <w:b w:val="0"/>
          <w:bCs w:val="0"/>
          <w:color w:val="auto"/>
          <w:sz w:val="32"/>
          <w:szCs w:val="32"/>
          <w:highlight w:val="none"/>
        </w:rPr>
        <w:t>，审核通过申请人员优抚确认</w:t>
      </w:r>
      <w:r>
        <w:rPr>
          <w:rFonts w:hint="default" w:ascii="Times New Roman" w:hAnsi="Times New Roman" w:eastAsia="仿宋" w:cs="Times New Roman"/>
          <w:color w:val="auto"/>
          <w:sz w:val="32"/>
          <w:szCs w:val="32"/>
        </w:rPr>
        <w:t>280余人</w:t>
      </w:r>
      <w:r>
        <w:rPr>
          <w:rFonts w:hint="default" w:ascii="Times New Roman" w:hAnsi="Times New Roman" w:eastAsia="仿宋" w:cs="Times New Roman"/>
          <w:color w:val="auto"/>
          <w:sz w:val="32"/>
          <w:szCs w:val="32"/>
          <w:lang w:eastAsia="zh-CN"/>
        </w:rPr>
        <w:t>，受理业务咨询</w:t>
      </w:r>
      <w:r>
        <w:rPr>
          <w:rFonts w:hint="default" w:ascii="Times New Roman" w:hAnsi="Times New Roman" w:eastAsia="仿宋" w:cs="Times New Roman"/>
          <w:color w:val="auto"/>
          <w:sz w:val="32"/>
          <w:szCs w:val="32"/>
          <w:lang w:val="en-US" w:eastAsia="zh-CN"/>
        </w:rPr>
        <w:t>4000余人次</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kern w:val="2"/>
          <w:sz w:val="32"/>
          <w:szCs w:val="32"/>
          <w:lang w:val="en-US" w:eastAsia="zh-CN" w:bidi="ar-SA"/>
        </w:rPr>
        <w:t>完成城镇保障性住房租赁补贴资金兑付583户次，发放廉租住房补贴共计</w:t>
      </w:r>
      <w:r>
        <w:rPr>
          <w:rFonts w:hint="eastAsia" w:ascii="Times New Roman" w:hAnsi="Times New Roman" w:eastAsia="仿宋_GB2312" w:cs="Times New Roman"/>
          <w:b w:val="0"/>
          <w:bCs w:val="0"/>
          <w:color w:val="auto"/>
          <w:kern w:val="2"/>
          <w:sz w:val="32"/>
          <w:szCs w:val="32"/>
          <w:highlight w:val="none"/>
          <w:lang w:val="en-US" w:eastAsia="zh-CN" w:bidi="ar-SA"/>
        </w:rPr>
        <w:t>26万</w:t>
      </w:r>
      <w:r>
        <w:rPr>
          <w:rFonts w:hint="default" w:ascii="Times New Roman" w:hAnsi="Times New Roman" w:eastAsia="仿宋_GB2312" w:cs="Times New Roman"/>
          <w:b w:val="0"/>
          <w:bCs w:val="0"/>
          <w:color w:val="auto"/>
          <w:kern w:val="2"/>
          <w:sz w:val="32"/>
          <w:szCs w:val="32"/>
          <w:lang w:val="en-US" w:eastAsia="zh-CN" w:bidi="ar-SA"/>
        </w:rPr>
        <w:t>元，减免公租房优抚对象租金</w:t>
      </w:r>
      <w:r>
        <w:rPr>
          <w:rFonts w:hint="eastAsia" w:ascii="Times New Roman" w:hAnsi="Times New Roman" w:eastAsia="仿宋_GB2312" w:cs="Times New Roman"/>
          <w:b w:val="0"/>
          <w:bCs w:val="0"/>
          <w:color w:val="auto"/>
          <w:kern w:val="2"/>
          <w:sz w:val="32"/>
          <w:szCs w:val="32"/>
          <w:lang w:val="en-US" w:eastAsia="zh-CN" w:bidi="ar-SA"/>
        </w:rPr>
        <w:t>41人，最大租金减免额度达95%</w:t>
      </w:r>
      <w:r>
        <w:rPr>
          <w:rFonts w:hint="default"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sz w:val="32"/>
          <w:szCs w:val="32"/>
          <w:highlight w:val="none"/>
        </w:rPr>
        <w:t>严格按照收支两条线原则管理公租房</w:t>
      </w:r>
      <w:r>
        <w:rPr>
          <w:rFonts w:hint="default" w:ascii="Times New Roman" w:hAnsi="Times New Roman" w:eastAsia="仿宋_GB2312" w:cs="Times New Roman"/>
          <w:b w:val="0"/>
          <w:bCs w:val="0"/>
          <w:color w:val="auto"/>
          <w:sz w:val="32"/>
          <w:szCs w:val="32"/>
          <w:highlight w:val="none"/>
          <w:lang w:eastAsia="zh-CN"/>
        </w:rPr>
        <w:t>、廉租房</w:t>
      </w:r>
      <w:r>
        <w:rPr>
          <w:rFonts w:hint="default" w:ascii="Times New Roman" w:hAnsi="Times New Roman" w:eastAsia="仿宋_GB2312" w:cs="Times New Roman"/>
          <w:b w:val="0"/>
          <w:bCs w:val="0"/>
          <w:color w:val="auto"/>
          <w:sz w:val="32"/>
          <w:szCs w:val="32"/>
          <w:highlight w:val="none"/>
        </w:rPr>
        <w:t>租金、履约金</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kern w:val="2"/>
          <w:sz w:val="32"/>
          <w:szCs w:val="32"/>
          <w:lang w:val="en-US" w:eastAsia="zh-CN" w:bidi="ar-SA"/>
        </w:rPr>
        <w:t>收缴租金1601万元，</w:t>
      </w:r>
      <w:r>
        <w:rPr>
          <w:rFonts w:hint="default" w:ascii="Times New Roman" w:hAnsi="Times New Roman" w:eastAsia="仿宋_GB2312" w:cs="Times New Roman"/>
          <w:b w:val="0"/>
          <w:bCs w:val="0"/>
          <w:color w:val="auto"/>
          <w:sz w:val="32"/>
          <w:szCs w:val="32"/>
          <w:highlight w:val="none"/>
          <w:lang w:eastAsia="zh-CN"/>
        </w:rPr>
        <w:t>公租房租金</w:t>
      </w:r>
      <w:r>
        <w:rPr>
          <w:rFonts w:hint="default" w:ascii="Times New Roman" w:hAnsi="Times New Roman" w:eastAsia="仿宋_GB2312" w:cs="Times New Roman"/>
          <w:b w:val="0"/>
          <w:bCs w:val="0"/>
          <w:color w:val="auto"/>
          <w:sz w:val="32"/>
          <w:szCs w:val="32"/>
          <w:highlight w:val="none"/>
        </w:rPr>
        <w:t>收缴率在90%以上</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保障性住房小区人居环境日益提升</w:t>
      </w:r>
      <w:r>
        <w:rPr>
          <w:rFonts w:hint="default" w:ascii="Times New Roman" w:hAnsi="Times New Roman" w:eastAsia="仿宋_GB2312" w:cs="Times New Roman"/>
          <w:color w:val="auto"/>
          <w:kern w:val="2"/>
          <w:sz w:val="32"/>
          <w:szCs w:val="32"/>
          <w:lang w:val="en-US" w:eastAsia="zh-CN" w:bidi="ar-SA"/>
        </w:rPr>
        <w:t>。</w:t>
      </w:r>
    </w:p>
    <w:p w14:paraId="1EA168A9">
      <w:pPr>
        <w:keepNext w:val="0"/>
        <w:keepLines w:val="0"/>
        <w:pageBreakBefore w:val="0"/>
        <w:widowControl w:val="0"/>
        <w:kinsoku/>
        <w:wordWrap/>
        <w:overflowPunct/>
        <w:topLinePunct w:val="0"/>
        <w:autoSpaceDE/>
        <w:autoSpaceDN/>
        <w:bidi w:val="0"/>
        <w:spacing w:line="554" w:lineRule="exact"/>
        <w:ind w:firstLine="640" w:firstLineChars="200"/>
        <w:rPr>
          <w:rFonts w:hint="default" w:ascii="Times New Roman" w:hAnsi="Times New Roman" w:eastAsia="仿宋_GB2312" w:cs="Times New Roman"/>
          <w:b w:val="0"/>
          <w:bCs w:val="0"/>
          <w:i w:val="0"/>
          <w:caps w:val="0"/>
          <w:color w:val="auto"/>
          <w:spacing w:val="0"/>
          <w:w w:val="100"/>
          <w:kern w:val="0"/>
          <w:sz w:val="32"/>
          <w:szCs w:val="32"/>
          <w:lang w:val="en-US" w:eastAsia="zh-CN" w:bidi="ar-SA"/>
        </w:rPr>
      </w:pPr>
      <w:r>
        <w:rPr>
          <w:rFonts w:hint="default" w:ascii="Times New Roman" w:hAnsi="Times New Roman" w:eastAsia="仿宋_GB2312" w:cs="Times New Roman"/>
          <w:b w:val="0"/>
          <w:bCs w:val="0"/>
          <w:i w:val="0"/>
          <w:caps w:val="0"/>
          <w:color w:val="auto"/>
          <w:spacing w:val="0"/>
          <w:w w:val="100"/>
          <w:kern w:val="0"/>
          <w:sz w:val="32"/>
          <w:szCs w:val="32"/>
          <w:lang w:val="en-US" w:eastAsia="zh-CN" w:bidi="ar-SA"/>
        </w:rPr>
        <w:t>加快推进</w:t>
      </w:r>
      <w:r>
        <w:rPr>
          <w:rFonts w:hint="default" w:ascii="Times New Roman" w:hAnsi="Times New Roman" w:eastAsia="仿宋_GB2312" w:cs="Times New Roman"/>
          <w:b w:val="0"/>
          <w:bCs w:val="0"/>
          <w:i w:val="0"/>
          <w:caps w:val="0"/>
          <w:color w:val="auto"/>
          <w:spacing w:val="0"/>
          <w:sz w:val="32"/>
          <w:szCs w:val="32"/>
          <w:shd w:val="clear" w:fill="FFFFFF"/>
          <w:lang w:eastAsia="zh-CN"/>
        </w:rPr>
        <w:t>保障性租赁住房</w:t>
      </w:r>
      <w:r>
        <w:rPr>
          <w:rFonts w:hint="default" w:ascii="Times New Roman" w:hAnsi="Times New Roman" w:eastAsia="仿宋_GB2312" w:cs="Times New Roman"/>
          <w:b w:val="0"/>
          <w:bCs w:val="0"/>
          <w:i w:val="0"/>
          <w:caps w:val="0"/>
          <w:color w:val="auto"/>
          <w:spacing w:val="0"/>
          <w:w w:val="100"/>
          <w:kern w:val="0"/>
          <w:sz w:val="32"/>
          <w:szCs w:val="32"/>
          <w:lang w:val="en-US" w:eastAsia="zh-CN" w:bidi="ar-SA"/>
        </w:rPr>
        <w:t>建设，区属5各保障性住房项目合计11000余套保障性租赁住房正在建设、转换过程中，“惠尚城”、“惠悦城”2各项目预计于2024年底竣工，2025年投入运营使用。</w:t>
      </w:r>
    </w:p>
    <w:p w14:paraId="4D85C50F">
      <w:pPr>
        <w:pStyle w:val="2"/>
        <w:keepNext w:val="0"/>
        <w:keepLines w:val="0"/>
        <w:pageBreakBefore w:val="0"/>
        <w:widowControl w:val="0"/>
        <w:kinsoku/>
        <w:wordWrap/>
        <w:overflowPunct/>
        <w:topLinePunct w:val="0"/>
        <w:autoSpaceDE/>
        <w:autoSpaceDN/>
        <w:bidi w:val="0"/>
        <w:adjustRightInd/>
        <w:snapToGrid/>
        <w:spacing w:line="554" w:lineRule="exact"/>
        <w:ind w:left="0" w:leftChars="0" w:firstLine="640" w:firstLineChars="200"/>
        <w:jc w:val="left"/>
        <w:textAlignment w:val="auto"/>
        <w:rPr>
          <w:rFonts w:hint="default" w:ascii="Times New Roman" w:hAnsi="Times New Roman" w:eastAsia="仿宋_GB2312" w:cs="Times New Roman"/>
          <w:b w:val="0"/>
          <w:bCs w:val="0"/>
          <w:i w:val="0"/>
          <w:caps w:val="0"/>
          <w:color w:val="auto"/>
          <w:spacing w:val="0"/>
          <w:w w:val="100"/>
          <w:kern w:val="0"/>
          <w:sz w:val="32"/>
          <w:szCs w:val="32"/>
          <w:lang w:val="en-US" w:eastAsia="zh-CN" w:bidi="ar-SA"/>
        </w:rPr>
      </w:pPr>
      <w:r>
        <w:rPr>
          <w:rFonts w:hint="eastAsia" w:ascii="Times New Roman" w:hAnsi="Times New Roman" w:eastAsia="仿宋_GB2312" w:cs="Times New Roman"/>
          <w:b w:val="0"/>
          <w:bCs w:val="0"/>
          <w:i w:val="0"/>
          <w:caps w:val="0"/>
          <w:color w:val="auto"/>
          <w:spacing w:val="0"/>
          <w:w w:val="100"/>
          <w:kern w:val="0"/>
          <w:sz w:val="32"/>
          <w:szCs w:val="32"/>
          <w:lang w:val="en-US" w:eastAsia="zh-CN" w:bidi="ar-SA"/>
        </w:rPr>
        <w:t>5.</w:t>
      </w:r>
      <w:r>
        <w:rPr>
          <w:rFonts w:hint="default" w:ascii="Times New Roman" w:hAnsi="Times New Roman" w:eastAsia="仿宋_GB2312" w:cs="Times New Roman"/>
          <w:b w:val="0"/>
          <w:bCs w:val="0"/>
          <w:i w:val="0"/>
          <w:caps w:val="0"/>
          <w:color w:val="auto"/>
          <w:spacing w:val="0"/>
          <w:w w:val="100"/>
          <w:kern w:val="0"/>
          <w:sz w:val="32"/>
          <w:szCs w:val="32"/>
          <w:lang w:val="en-US" w:eastAsia="zh-CN" w:bidi="ar-SA"/>
        </w:rPr>
        <w:t>全面开展辖区自建房、城市危旧房排查整治工作</w:t>
      </w:r>
    </w:p>
    <w:p w14:paraId="45392551">
      <w:pPr>
        <w:pStyle w:val="2"/>
        <w:keepNext w:val="0"/>
        <w:keepLines w:val="0"/>
        <w:pageBreakBefore w:val="0"/>
        <w:widowControl w:val="0"/>
        <w:kinsoku/>
        <w:wordWrap/>
        <w:overflowPunct/>
        <w:topLinePunct w:val="0"/>
        <w:autoSpaceDE/>
        <w:autoSpaceDN/>
        <w:bidi w:val="0"/>
        <w:adjustRightInd/>
        <w:snapToGrid/>
        <w:spacing w:line="554"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为筑牢辖区群众住房安全底线，根据市、区工作部署，盘龙区积极开展整治工作。目前，已完成辖区经营性自建房排查9352栋，非经营性自建房排查24597栋，经营性自建房发现存在安全隐患房屋47栋，已完成整治销号43栋；城市危旧房摸底调查中，共摸底调查城市危旧房38栋，其中36栋经现场调查不存在安全隐患，剩余2栋经现场调查和鉴定为C级危房；同步开展农村房屋安全隐患排查“回头看”整治工作，排查农房18309户；</w:t>
      </w:r>
      <w:r>
        <w:rPr>
          <w:rFonts w:hint="default" w:ascii="Times New Roman" w:hAnsi="Times New Roman" w:eastAsia="仿宋_GB2312" w:cs="Times New Roman"/>
          <w:color w:val="auto"/>
          <w:sz w:val="32"/>
          <w:szCs w:val="32"/>
          <w:lang w:val="en-US" w:eastAsia="zh-CN"/>
        </w:rPr>
        <w:t>严格落实既有超高层建筑安全排查整治工作，全面排查超高层建筑139栋，发现隐患28处，均已完成排查整治。</w:t>
      </w:r>
    </w:p>
    <w:p w14:paraId="7E66CFA6">
      <w:pPr>
        <w:keepNext w:val="0"/>
        <w:keepLines w:val="0"/>
        <w:pageBreakBefore w:val="0"/>
        <w:widowControl w:val="0"/>
        <w:kinsoku/>
        <w:wordWrap/>
        <w:overflowPunct/>
        <w:topLinePunct w:val="0"/>
        <w:autoSpaceDE/>
        <w:autoSpaceDN/>
        <w:bidi w:val="0"/>
        <w:snapToGrid/>
        <w:spacing w:before="0" w:beforeAutospacing="0" w:afterAutospacing="0" w:line="554" w:lineRule="exact"/>
        <w:ind w:left="0" w:firstLine="640" w:firstLineChars="200"/>
        <w:jc w:val="both"/>
        <w:textAlignment w:val="baseline"/>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b w:val="0"/>
          <w:bCs w:val="0"/>
          <w:color w:val="auto"/>
          <w:kern w:val="2"/>
          <w:sz w:val="32"/>
          <w:szCs w:val="32"/>
          <w:lang w:val="en-US" w:eastAsia="zh-CN" w:bidi="ar-SA"/>
        </w:rPr>
        <w:t>强化燃气安全监管，消除燃气安全隐患</w:t>
      </w:r>
    </w:p>
    <w:p w14:paraId="4544F3C2">
      <w:pPr>
        <w:pStyle w:val="2"/>
        <w:keepNext w:val="0"/>
        <w:keepLines w:val="0"/>
        <w:pageBreakBefore w:val="0"/>
        <w:widowControl w:val="0"/>
        <w:kinsoku/>
        <w:wordWrap/>
        <w:overflowPunct/>
        <w:topLinePunct w:val="0"/>
        <w:autoSpaceDE/>
        <w:autoSpaceDN/>
        <w:bidi w:val="0"/>
        <w:adjustRightInd/>
        <w:snapToGrid/>
        <w:spacing w:line="554"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积极开展应急演练5次并加大安全宣传工作，与6家燃气经营企业签订安全经营服务责任书，全面推动燃气报警器检查安装工作，全区完成安装</w:t>
      </w:r>
      <w:r>
        <w:rPr>
          <w:rFonts w:hint="eastAsia" w:ascii="Times New Roman" w:hAnsi="Times New Roman" w:eastAsia="仿宋_GB2312" w:cs="Times New Roman"/>
          <w:b w:val="0"/>
          <w:bCs w:val="0"/>
          <w:color w:val="auto"/>
          <w:sz w:val="32"/>
          <w:szCs w:val="32"/>
          <w:highlight w:val="none"/>
          <w:lang w:val="en-US" w:eastAsia="zh-CN"/>
        </w:rPr>
        <w:t>3620</w:t>
      </w:r>
      <w:r>
        <w:rPr>
          <w:rFonts w:hint="default" w:ascii="Times New Roman" w:hAnsi="Times New Roman" w:eastAsia="仿宋_GB2312" w:cs="Times New Roman"/>
          <w:b w:val="0"/>
          <w:bCs w:val="0"/>
          <w:color w:val="auto"/>
          <w:sz w:val="32"/>
          <w:szCs w:val="32"/>
          <w:highlight w:val="none"/>
          <w:lang w:val="en-US" w:eastAsia="zh-CN"/>
        </w:rPr>
        <w:t>户</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深入开展燃气安全专项检查工作，牵头拟写《昆明市盘龙区燃气安全专项整治工作方案》，成立14个专项检查组，对燃气充装、经营、使用开展检查，累计检查燃气供应站点89家，燃气用户1000余户，发现问题460余项，已完成整改440余项；三</w:t>
      </w:r>
      <w:r>
        <w:rPr>
          <w:rFonts w:hint="default" w:ascii="Times New Roman" w:hAnsi="Times New Roman" w:eastAsia="仿宋_GB2312" w:cs="Times New Roman"/>
          <w:b/>
          <w:bCs/>
          <w:color w:val="auto"/>
          <w:sz w:val="32"/>
          <w:szCs w:val="32"/>
          <w:lang w:val="en-US" w:eastAsia="zh-CN"/>
        </w:rPr>
        <w:t>是</w:t>
      </w:r>
      <w:r>
        <w:rPr>
          <w:rFonts w:hint="default" w:ascii="Times New Roman" w:hAnsi="Times New Roman" w:eastAsia="仿宋_GB2312" w:cs="Times New Roman"/>
          <w:b w:val="0"/>
          <w:bCs w:val="0"/>
          <w:color w:val="auto"/>
          <w:sz w:val="32"/>
          <w:szCs w:val="32"/>
          <w:lang w:val="en-US" w:eastAsia="zh-CN"/>
        </w:rPr>
        <w:t>推动燃气管道老化更新改造，2023年已申请中央补助资金10805万元，报审印发《昆明市盘龙区城市燃气管道老化更新改造工作方案》，目前，燃气管道老化更新改造项目已完成立项、施工及监理单位招选工作，项目正式进入实施阶段。</w:t>
      </w:r>
    </w:p>
    <w:p w14:paraId="560C0793">
      <w:pPr>
        <w:pStyle w:val="2"/>
        <w:keepNext w:val="0"/>
        <w:keepLines w:val="0"/>
        <w:pageBreakBefore w:val="0"/>
        <w:widowControl w:val="0"/>
        <w:numPr>
          <w:ilvl w:val="0"/>
          <w:numId w:val="0"/>
        </w:numPr>
        <w:kinsoku/>
        <w:wordWrap/>
        <w:overflowPunct/>
        <w:topLinePunct w:val="0"/>
        <w:autoSpaceDE/>
        <w:autoSpaceDN/>
        <w:bidi w:val="0"/>
        <w:spacing w:line="554" w:lineRule="exact"/>
        <w:ind w:leftChars="200" w:firstLine="320" w:firstLineChars="100"/>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7.</w:t>
      </w:r>
      <w:r>
        <w:rPr>
          <w:rFonts w:hint="default" w:ascii="Times New Roman" w:hAnsi="Times New Roman" w:eastAsia="楷体_GB2312" w:cs="Times New Roman"/>
          <w:color w:val="auto"/>
          <w:sz w:val="32"/>
          <w:szCs w:val="32"/>
          <w:lang w:val="en-US" w:eastAsia="zh-CN"/>
        </w:rPr>
        <w:t>情系边疆建设，打造美丽幸福尚岗村</w:t>
      </w:r>
    </w:p>
    <w:p w14:paraId="1E7FE0C4">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highlight w:val="none"/>
          <w:lang w:val="en-US" w:eastAsia="zh-CN"/>
        </w:rPr>
        <w:t>尚冈村现代化边境幸福村项目总投资2800万元，建成后将有效补齐基础设施短板，改善村庄人居环境质量，提升村庄整体风貌水平。我局以村庄人居环境整治提升和基础设施建设作为建设重点，积极推进盘龙区帮带共建磨憨镇尚岗村边境幸福村建设，根据前期调研摸排情况，有序开展雨污分流、自来水及照明工程管路敷设施工，加强村内及小学旁水池供水线路详细探勘，同时启动28户村民屋面换瓦试点工作。截至目前已完成给排水、道路、照明工程、公厕改造、停车场、主题广场、寨心广场、宅门古井修复、景观节点等施工内容，完成施工产值1800余万元，公共基础设施部分整体形象进度90%。</w:t>
      </w:r>
    </w:p>
    <w:p w14:paraId="088FA9C9">
      <w:pPr>
        <w:pStyle w:val="2"/>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三、经验、问题和建议</w:t>
      </w:r>
    </w:p>
    <w:p w14:paraId="7AE2AFC3">
      <w:pPr>
        <w:pStyle w:val="2"/>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（一）经验</w:t>
      </w:r>
    </w:p>
    <w:p w14:paraId="1A8D4918">
      <w:pPr>
        <w:pStyle w:val="2"/>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党组按照区委、区政府工作要求，突出党建引领，聚焦重点任务，解决突出问题，不断增强基层党组织政治功能和组织力，将“真抓实干、争做排头兵”活动、“以案促改”、“住建系统专项整治”等工作与业务工作紧密结合，深化改革事项，规范城市管理，强化行业监管，各项民生工程、重点项目有序推进。</w:t>
      </w:r>
    </w:p>
    <w:p w14:paraId="46DC596C">
      <w:pPr>
        <w:pStyle w:val="2"/>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存在的问题</w:t>
      </w:r>
    </w:p>
    <w:p w14:paraId="0CE570E4">
      <w:pPr>
        <w:pStyle w:val="2"/>
        <w:keepNext w:val="0"/>
        <w:keepLines w:val="0"/>
        <w:pageBreakBefore w:val="0"/>
        <w:widowControl w:val="0"/>
        <w:numPr>
          <w:ilvl w:val="0"/>
          <w:numId w:val="0"/>
        </w:numPr>
        <w:kinsoku/>
        <w:wordWrap/>
        <w:overflowPunct/>
        <w:topLinePunct w:val="0"/>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部分市政基础设施建设推进不顺畅。一是因地产企业资金困难，造成如伍家村边坡防护工程、龙江片区道路建设项目等代建市政道路进度严重滞后。二是征地拆迁工作推进不利。如国博西路、国博东路管线及地上附着物迁改推进不力，国博大道征地拆迁工作停滞导致工程停工等。</w:t>
      </w:r>
    </w:p>
    <w:p w14:paraId="01E5D3BF">
      <w:pPr>
        <w:pStyle w:val="2"/>
        <w:keepNext w:val="0"/>
        <w:keepLines w:val="0"/>
        <w:pageBreakBefore w:val="0"/>
        <w:widowControl w:val="0"/>
        <w:numPr>
          <w:ilvl w:val="0"/>
          <w:numId w:val="0"/>
        </w:numPr>
        <w:kinsoku/>
        <w:wordWrap/>
        <w:overflowPunct/>
        <w:topLinePunct w:val="0"/>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产业发展困难导致不稳定因素增多。一是当前全国房地产市场低迷，且商业银行尚未有任何放宽房地产资金政策，导致部分房地产项目施工缓慢，逾期交房事件增多，已逾期交房项目融资困难，农民工欠薪问题突出，存在较大维稳隐患。</w:t>
      </w:r>
    </w:p>
    <w:p w14:paraId="2348A834">
      <w:pPr>
        <w:pStyle w:val="2"/>
        <w:keepNext w:val="0"/>
        <w:keepLines w:val="0"/>
        <w:pageBreakBefore w:val="0"/>
        <w:widowControl w:val="0"/>
        <w:numPr>
          <w:ilvl w:val="0"/>
          <w:numId w:val="0"/>
        </w:numPr>
        <w:kinsoku/>
        <w:wordWrap/>
        <w:overflowPunct/>
        <w:topLinePunct w:val="0"/>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保障性住房监管及新建存在困难。公租房、廉租房均存在租金收缴困难，租赁补贴难解实物配租矛盾，后续动态管理中遇到新问题缺少解决办法等共性问题。同时公租房还存在供需不平衡，导致可分配房源严重不足。</w:t>
      </w:r>
    </w:p>
    <w:p w14:paraId="2F03EF33">
      <w:pPr>
        <w:pStyle w:val="2"/>
        <w:keepNext w:val="0"/>
        <w:keepLines w:val="0"/>
        <w:pageBreakBefore w:val="0"/>
        <w:widowControl w:val="0"/>
        <w:numPr>
          <w:ilvl w:val="0"/>
          <w:numId w:val="0"/>
        </w:numPr>
        <w:kinsoku/>
        <w:wordWrap/>
        <w:overflowPunct/>
        <w:topLinePunct w:val="0"/>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标准化地震应急避难场所难以满足避难需求。城市应急避难场所的选择一般遵循平灾两用的原则，以城市公园、广场、停车场、运动场、学校操场等场地作为避难场所，但由于产权单位不配合、建设资金不足等问题，我区现仅有4个合计11.8万平方米的标准化地震应急避难场所，难以满足全区常住人口的应急避难需求。</w:t>
      </w:r>
    </w:p>
    <w:p w14:paraId="69F339EA">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改进措施及建议</w:t>
      </w:r>
    </w:p>
    <w:p w14:paraId="22C57410">
      <w:pPr>
        <w:pStyle w:val="7"/>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多措并举助力建筑业、房地产领域发展</w:t>
      </w:r>
    </w:p>
    <w:p w14:paraId="2F556195">
      <w:pPr>
        <w:pStyle w:val="7"/>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是继续推行资质证书+省交易平台中标合同额+实地走访的工作模式，强化市场主体倍增工作，落实企业落户奖补制度，筑巢引凤，吸引更多综合实力强、品质优、口碑好的建筑类企业入驻盘龙，推动盘龙区建筑业、房地产业健康平稳发展。二是持续加快第二批“保交楼”专项借款项目推进工作，进一步优化资金审批流程，加快项目资金审批速度，同时督促“保交楼”企业做好还款计划，指导其做好还款工作。三是落实好市级关于房地产市场纾困相关政策，做好盘龙区购房补贴发放工作，并根据相关工作要求，为我区存在已逾期交付或较大逾期交付风险项目，制定预售监管资金“一楼一策”方案，做好风险项目化解工作。</w:t>
      </w:r>
    </w:p>
    <w:p w14:paraId="0A466E8F">
      <w:pPr>
        <w:pStyle w:val="7"/>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继续做好住建领域安全生产工作</w:t>
      </w:r>
    </w:p>
    <w:p w14:paraId="4DB2C2CA">
      <w:pPr>
        <w:pStyle w:val="7"/>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是深入学习燃气相关事故教训，采取企业自查自改、行业主管部门暗访、政府综合督导等方式，全方位全领域全覆盖开展隐患安全整治工作，不断优化“获得用气”营商环境相关工作；二是根据省、市、区工作安排部署，持续做好城市危旧房排危整治工作，自建房、直管公房、经营性住房安全专项整治工作，及时消除各类安全风险，坚决防止重特大事故发生。</w:t>
      </w:r>
    </w:p>
    <w:p w14:paraId="04A25CD4">
      <w:pPr>
        <w:pStyle w:val="7"/>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提高审批服务效率，全力优化营商环境</w:t>
      </w:r>
    </w:p>
    <w:p w14:paraId="10E71C46">
      <w:pPr>
        <w:pStyle w:val="7"/>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是进一步优化工程建设审批流程和相关制度，进一步研究区级可协调可优化事项，形成盘龙区特色的简化审批流程，提高办事效率，增强政策的连续性和可执行性。二是通过联审联批工作方式疏通城镇老旧小区改造“堵点”，切实解决建设手续审批问题。三是主动寻找政策空间，充分吸取其他部门和地区的优秀经验和做法，结合辖区情况进行移植和优化，进一步提升业务能力、服务水平，为优化我区营商环境作出努力。</w:t>
      </w:r>
    </w:p>
    <w:p w14:paraId="327CBC68">
      <w:pPr>
        <w:pStyle w:val="7"/>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进一步加强辖区居民住房保障</w:t>
      </w:r>
    </w:p>
    <w:p w14:paraId="7FFF2768">
      <w:pPr>
        <w:pStyle w:val="7"/>
        <w:keepNext w:val="0"/>
        <w:keepLines w:val="0"/>
        <w:pageBreakBefore w:val="0"/>
        <w:widowControl w:val="0"/>
        <w:kinsoku/>
        <w:wordWrap/>
        <w:overflowPunct/>
        <w:topLinePunct w:val="0"/>
        <w:autoSpaceDE/>
        <w:autoSpaceDN/>
        <w:bidi w:val="0"/>
        <w:adjustRightInd/>
        <w:snapToGrid/>
        <w:spacing w:after="0" w:line="554" w:lineRule="exact"/>
        <w:ind w:left="0" w:leftChars="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是加强公租房、廉租房项目租后运营管理，进一步加大租金催缴力度，提升公租房、廉租房、直管公房小区人居环境水平。二是稳步推进保障性租赁住房建设工作，切实监督保障性租赁住房计划项目进度，加快保障性租赁住房供给速度，着力解决青年人和新市民住房问题。三是提高物业行业管理水平，探索无人管理老旧小区社会基础治理方式，加大住房维修基金监管力度，推进红色物业党建引领工作。四是根据昆明市、盘龙区人才引进工作政策，结合盘龙区廉租房、公租房、保租房、保障房建设情况，探索人才房保障制度，完善人才住房保障制度。</w:t>
      </w:r>
    </w:p>
    <w:p w14:paraId="41547FA8">
      <w:pPr>
        <w:pStyle w:val="12"/>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360" w:lineRule="auto"/>
        <w:ind w:right="0" w:rightChars="0" w:firstLine="640" w:firstLineChars="20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p>
    <w:p w14:paraId="46C88396">
      <w:pPr>
        <w:pStyle w:val="12"/>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360" w:lineRule="auto"/>
        <w:ind w:right="0" w:rightChars="0" w:firstLine="640" w:firstLineChars="20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p>
    <w:p w14:paraId="065701E2">
      <w:pPr>
        <w:pStyle w:val="12"/>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360" w:lineRule="auto"/>
        <w:ind w:right="0" w:rightChars="0" w:firstLine="640" w:firstLineChars="20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p>
    <w:p w14:paraId="0D08B58F">
      <w:pPr>
        <w:pStyle w:val="12"/>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360" w:lineRule="auto"/>
        <w:ind w:right="0" w:rightChars="0" w:firstLine="640" w:firstLineChars="20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p>
    <w:p w14:paraId="5E339218">
      <w:pPr>
        <w:pStyle w:val="12"/>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360" w:lineRule="auto"/>
        <w:ind w:right="0" w:rightChars="0" w:firstLine="640" w:firstLineChars="20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p>
    <w:p w14:paraId="7CE1A109">
      <w:pPr>
        <w:pStyle w:val="12"/>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360" w:lineRule="auto"/>
        <w:ind w:right="0" w:rightChars="0" w:firstLine="640" w:firstLineChars="20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p>
    <w:p w14:paraId="0C3F8D78">
      <w:pPr>
        <w:pStyle w:val="12"/>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360" w:lineRule="auto"/>
        <w:ind w:right="0" w:rightChars="0" w:firstLine="640" w:firstLineChars="20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p>
    <w:p w14:paraId="1D2FEA66">
      <w:pPr>
        <w:pStyle w:val="12"/>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360" w:lineRule="auto"/>
        <w:ind w:right="0" w:rightChars="0" w:firstLine="640" w:firstLineChars="20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p>
    <w:p w14:paraId="001A0FB2">
      <w:pPr>
        <w:pStyle w:val="12"/>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360" w:lineRule="auto"/>
        <w:ind w:right="0" w:rightChars="0" w:firstLine="640" w:firstLineChars="20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p>
    <w:p w14:paraId="0267B716">
      <w:pPr>
        <w:pStyle w:val="12"/>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360" w:lineRule="auto"/>
        <w:ind w:right="0" w:rightChars="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p>
    <w:p w14:paraId="1C1CAEEE">
      <w:pPr>
        <w:pStyle w:val="12"/>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360" w:lineRule="auto"/>
        <w:ind w:right="0" w:rightChars="0"/>
        <w:jc w:val="left"/>
        <w:textAlignment w:val="auto"/>
        <w:outlineLvl w:val="9"/>
        <w:rPr>
          <w:rFonts w:hint="eastAsia" w:ascii="仿宋_GB2312" w:hAnsi="仿宋_GB2312" w:eastAsia="仿宋_GB2312" w:cs="仿宋_GB2312"/>
          <w:b w:val="0"/>
          <w:bCs w:val="0"/>
          <w:color w:val="auto"/>
          <w:kern w:val="2"/>
          <w:sz w:val="32"/>
          <w:szCs w:val="32"/>
          <w:lang w:val="en-US" w:eastAsia="zh-CN" w:bidi="ar-SA"/>
        </w:rPr>
      </w:pPr>
    </w:p>
    <w:p w14:paraId="4C18FCB5">
      <w:pPr>
        <w:pStyle w:val="12"/>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黑体" w:hAnsi="黑体" w:eastAsia="黑体" w:cs="黑体"/>
          <w:sz w:val="36"/>
          <w:szCs w:val="36"/>
        </w:rPr>
      </w:pPr>
      <w:r>
        <w:rPr>
          <w:rFonts w:hint="eastAsia" w:ascii="黑体" w:hAnsi="黑体" w:eastAsia="黑体" w:cs="黑体"/>
          <w:sz w:val="36"/>
          <w:szCs w:val="36"/>
          <w:lang w:eastAsia="zh-CN"/>
        </w:rPr>
        <w:t>昆明市盘龙区住房和城乡建设局</w:t>
      </w:r>
      <w:r>
        <w:rPr>
          <w:rFonts w:hint="eastAsia" w:ascii="黑体" w:hAnsi="黑体" w:eastAsia="黑体" w:cs="黑体"/>
          <w:sz w:val="36"/>
          <w:szCs w:val="36"/>
        </w:rPr>
        <w:t>20</w:t>
      </w:r>
      <w:r>
        <w:rPr>
          <w:rFonts w:hint="eastAsia" w:ascii="黑体" w:hAnsi="黑体" w:eastAsia="黑体" w:cs="黑体"/>
          <w:sz w:val="36"/>
          <w:szCs w:val="36"/>
          <w:lang w:val="en-US" w:eastAsia="zh-CN"/>
        </w:rPr>
        <w:t>22</w:t>
      </w:r>
      <w:r>
        <w:rPr>
          <w:rFonts w:hint="eastAsia" w:ascii="黑体" w:hAnsi="黑体" w:eastAsia="黑体" w:cs="黑体"/>
          <w:sz w:val="36"/>
          <w:szCs w:val="36"/>
        </w:rPr>
        <w:t>年度部门整体支出绩效评价报告</w:t>
      </w:r>
    </w:p>
    <w:p w14:paraId="4E6D793E">
      <w:pPr>
        <w:pStyle w:val="12"/>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黑体" w:hAnsi="黑体" w:eastAsia="黑体" w:cs="黑体"/>
          <w:sz w:val="36"/>
          <w:szCs w:val="36"/>
          <w:lang w:eastAsia="zh-CN"/>
        </w:rPr>
      </w:pPr>
      <w:r>
        <w:rPr>
          <w:rFonts w:hint="eastAsia" w:ascii="黑体" w:hAnsi="黑体" w:eastAsia="黑体" w:cs="黑体"/>
          <w:sz w:val="36"/>
          <w:szCs w:val="36"/>
          <w:lang w:eastAsia="zh-CN"/>
        </w:rPr>
        <w:t>（</w:t>
      </w:r>
      <w:r>
        <w:rPr>
          <w:rFonts w:hint="eastAsia" w:ascii="黑体" w:hAnsi="黑体" w:eastAsia="黑体" w:cs="黑体"/>
          <w:sz w:val="36"/>
          <w:szCs w:val="36"/>
        </w:rPr>
        <w:t>正文</w:t>
      </w:r>
      <w:r>
        <w:rPr>
          <w:rFonts w:hint="eastAsia" w:ascii="黑体" w:hAnsi="黑体" w:eastAsia="黑体" w:cs="黑体"/>
          <w:sz w:val="36"/>
          <w:szCs w:val="36"/>
          <w:lang w:eastAsia="zh-CN"/>
        </w:rPr>
        <w:t>）</w:t>
      </w:r>
    </w:p>
    <w:p w14:paraId="7154CA73">
      <w:pPr>
        <w:keepNext w:val="0"/>
        <w:keepLines w:val="0"/>
        <w:pageBreakBefore w:val="0"/>
        <w:kinsoku/>
        <w:wordWrap/>
        <w:overflowPunct/>
        <w:topLinePunct/>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一、部门概况</w:t>
      </w:r>
    </w:p>
    <w:p w14:paraId="2278EE26">
      <w:pPr>
        <w:keepNext w:val="0"/>
        <w:keepLines w:val="0"/>
        <w:pageBreakBefore w:val="0"/>
        <w:kinsoku/>
        <w:wordWrap/>
        <w:overflowPunct/>
        <w:topLinePunct/>
        <w:autoSpaceDE/>
        <w:autoSpaceDN/>
        <w:bidi w:val="0"/>
        <w:spacing w:line="360" w:lineRule="auto"/>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（一）部门机构设置、编制。</w:t>
      </w:r>
    </w:p>
    <w:p w14:paraId="452734F2">
      <w:pPr>
        <w:keepNext w:val="0"/>
        <w:keepLines w:val="0"/>
        <w:pageBreakBefore w:val="0"/>
        <w:kinsoku/>
        <w:wordWrap/>
        <w:overflowPunct/>
        <w:autoSpaceDE/>
        <w:autoSpaceDN/>
        <w:bidi w:val="0"/>
        <w:spacing w:line="360" w:lineRule="auto"/>
        <w:ind w:firstLine="640" w:firstLineChars="200"/>
        <w:jc w:val="left"/>
        <w:textAlignment w:val="auto"/>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2021年度，昆明市盘龙区住房和城乡建设局下设8个内设机构：</w:t>
      </w:r>
      <w:r>
        <w:rPr>
          <w:rFonts w:hint="eastAsia" w:ascii="仿宋_GB2312" w:hAnsi="仿宋_GB2312" w:eastAsia="仿宋_GB2312" w:cs="仿宋_GB2312"/>
          <w:color w:val="000000"/>
          <w:sz w:val="32"/>
          <w:szCs w:val="32"/>
        </w:rPr>
        <w:t>综合办公室、财务科、城乡建设科、工程建设审批科、物业服务科、企业服务管理科、政策法规科、人民防空综合科</w:t>
      </w:r>
      <w:r>
        <w:rPr>
          <w:rFonts w:hint="eastAsia" w:ascii="仿宋_GB2312" w:hAnsi="仿宋_GB2312" w:eastAsia="仿宋_GB2312" w:cs="仿宋_GB2312"/>
          <w:kern w:val="44"/>
          <w:sz w:val="32"/>
          <w:szCs w:val="32"/>
        </w:rPr>
        <w:t>;昆明市盘龙区住房和城乡建设局下设7个事业单位：</w:t>
      </w:r>
      <w:r>
        <w:rPr>
          <w:rFonts w:hint="eastAsia" w:ascii="仿宋_GB2312" w:hAnsi="仿宋_GB2312" w:eastAsia="仿宋_GB2312" w:cs="仿宋_GB2312"/>
          <w:sz w:val="32"/>
          <w:szCs w:val="32"/>
        </w:rPr>
        <w:t>昆明市盘龙区市政基础设施管理处（全额拨款正科级）、盘龙区房屋安全鉴定和建设工程质量安全监督站（经2020年“盘机编复[2020]4号”批复，由原盘龙区建设工程质量安全监督站和盘龙区房屋安全鉴定办合并，为全额拨款正科级）、昆明市盘龙区廉租住房建设管理处（自收自支正科级）、昆明市盘龙区住房和城乡建设局房管所（自收自支股级）、盘龙区防震减灾局（全额拨款副科级）、昆明市盘龙区保障性住房管理服务中心（全额拨款正科级）、昆明市盘龙区建设工程定额站（全额拨款股级）。除昆明市市政基础设施管理处和昆明市盘龙区住房和城乡建设局房管所为财务独立核算单独办公外，其他5家事业单位与局机关一体办公。</w:t>
      </w:r>
    </w:p>
    <w:p w14:paraId="40C43DEC">
      <w:pPr>
        <w:keepNext w:val="0"/>
        <w:keepLines w:val="0"/>
        <w:pageBreakBefore w:val="0"/>
        <w:widowControl/>
        <w:kinsoku/>
        <w:wordWrap/>
        <w:overflowPunct/>
        <w:autoSpaceDE/>
        <w:autoSpaceDN/>
        <w:bidi w:val="0"/>
        <w:spacing w:line="360" w:lineRule="auto"/>
        <w:ind w:firstLine="640" w:firstLineChars="200"/>
        <w:jc w:val="left"/>
        <w:textAlignment w:val="auto"/>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人员编制</w:t>
      </w:r>
      <w:r>
        <w:rPr>
          <w:rFonts w:hint="eastAsia" w:ascii="仿宋_GB2312" w:hAnsi="仿宋_GB2312" w:eastAsia="仿宋_GB2312" w:cs="仿宋_GB2312"/>
          <w:kern w:val="44"/>
          <w:sz w:val="32"/>
          <w:szCs w:val="32"/>
          <w:lang w:val="en-US" w:eastAsia="zh-CN"/>
        </w:rPr>
        <w:t>99</w:t>
      </w:r>
      <w:r>
        <w:rPr>
          <w:rFonts w:hint="eastAsia" w:ascii="仿宋_GB2312" w:hAnsi="仿宋_GB2312" w:eastAsia="仿宋_GB2312" w:cs="仿宋_GB2312"/>
          <w:kern w:val="44"/>
          <w:sz w:val="32"/>
          <w:szCs w:val="32"/>
        </w:rPr>
        <w:t>人。其中：公务员核编</w:t>
      </w:r>
      <w:r>
        <w:rPr>
          <w:rFonts w:hint="eastAsia" w:ascii="仿宋_GB2312" w:hAnsi="仿宋_GB2312" w:eastAsia="仿宋_GB2312" w:cs="仿宋_GB2312"/>
          <w:kern w:val="44"/>
          <w:sz w:val="32"/>
          <w:szCs w:val="32"/>
          <w:lang w:val="en-US" w:eastAsia="zh-CN"/>
        </w:rPr>
        <w:t>12</w:t>
      </w:r>
      <w:r>
        <w:rPr>
          <w:rFonts w:hint="eastAsia" w:ascii="仿宋_GB2312" w:hAnsi="仿宋_GB2312" w:eastAsia="仿宋_GB2312" w:cs="仿宋_GB2312"/>
          <w:kern w:val="44"/>
          <w:sz w:val="32"/>
          <w:szCs w:val="32"/>
        </w:rPr>
        <w:t>人，工勤核编</w:t>
      </w:r>
      <w:r>
        <w:rPr>
          <w:rFonts w:hint="eastAsia" w:ascii="仿宋_GB2312" w:hAnsi="仿宋_GB2312" w:eastAsia="仿宋_GB2312" w:cs="仿宋_GB2312"/>
          <w:kern w:val="44"/>
          <w:sz w:val="32"/>
          <w:szCs w:val="32"/>
          <w:lang w:val="en-US" w:eastAsia="zh-CN"/>
        </w:rPr>
        <w:t>2</w:t>
      </w:r>
      <w:r>
        <w:rPr>
          <w:rFonts w:hint="eastAsia" w:ascii="仿宋_GB2312" w:hAnsi="仿宋_GB2312" w:eastAsia="仿宋_GB2312" w:cs="仿宋_GB2312"/>
          <w:kern w:val="44"/>
          <w:sz w:val="32"/>
          <w:szCs w:val="32"/>
        </w:rPr>
        <w:t>人，事业编制</w:t>
      </w:r>
      <w:r>
        <w:rPr>
          <w:rFonts w:hint="eastAsia" w:ascii="仿宋_GB2312" w:hAnsi="仿宋_GB2312" w:eastAsia="仿宋_GB2312" w:cs="仿宋_GB2312"/>
          <w:kern w:val="44"/>
          <w:sz w:val="32"/>
          <w:szCs w:val="32"/>
          <w:lang w:val="en-US" w:eastAsia="zh-CN"/>
        </w:rPr>
        <w:t>85</w:t>
      </w:r>
      <w:r>
        <w:rPr>
          <w:rFonts w:hint="eastAsia" w:ascii="仿宋_GB2312" w:hAnsi="仿宋_GB2312" w:eastAsia="仿宋_GB2312" w:cs="仿宋_GB2312"/>
          <w:kern w:val="44"/>
          <w:sz w:val="32"/>
          <w:szCs w:val="32"/>
        </w:rPr>
        <w:t>人；在职在编实有公务员</w:t>
      </w:r>
      <w:r>
        <w:rPr>
          <w:rFonts w:hint="eastAsia" w:ascii="仿宋_GB2312" w:hAnsi="仿宋_GB2312" w:eastAsia="仿宋_GB2312" w:cs="仿宋_GB2312"/>
          <w:kern w:val="44"/>
          <w:sz w:val="32"/>
          <w:szCs w:val="32"/>
          <w:lang w:val="en-US" w:eastAsia="zh-CN"/>
        </w:rPr>
        <w:t>13</w:t>
      </w:r>
      <w:r>
        <w:rPr>
          <w:rFonts w:hint="eastAsia" w:ascii="仿宋_GB2312" w:hAnsi="仿宋_GB2312" w:eastAsia="仿宋_GB2312" w:cs="仿宋_GB2312"/>
          <w:kern w:val="44"/>
          <w:sz w:val="32"/>
          <w:szCs w:val="32"/>
        </w:rPr>
        <w:t>人，工勤人员</w:t>
      </w:r>
      <w:r>
        <w:rPr>
          <w:rFonts w:hint="eastAsia" w:ascii="仿宋_GB2312" w:hAnsi="仿宋_GB2312" w:eastAsia="仿宋_GB2312" w:cs="仿宋_GB2312"/>
          <w:kern w:val="44"/>
          <w:sz w:val="32"/>
          <w:szCs w:val="32"/>
          <w:lang w:val="en-US" w:eastAsia="zh-CN"/>
        </w:rPr>
        <w:t>1</w:t>
      </w:r>
      <w:r>
        <w:rPr>
          <w:rFonts w:hint="eastAsia" w:ascii="仿宋_GB2312" w:hAnsi="仿宋_GB2312" w:eastAsia="仿宋_GB2312" w:cs="仿宋_GB2312"/>
          <w:kern w:val="44"/>
          <w:sz w:val="32"/>
          <w:szCs w:val="32"/>
        </w:rPr>
        <w:t>人，事业人员</w:t>
      </w:r>
      <w:r>
        <w:rPr>
          <w:rFonts w:hint="eastAsia" w:ascii="仿宋_GB2312" w:hAnsi="仿宋_GB2312" w:eastAsia="仿宋_GB2312" w:cs="仿宋_GB2312"/>
          <w:color w:val="000000" w:themeColor="text1"/>
          <w:kern w:val="44"/>
          <w:sz w:val="32"/>
          <w:szCs w:val="32"/>
          <w:lang w:val="en-US" w:eastAsia="zh-CN"/>
          <w14:textFill>
            <w14:solidFill>
              <w14:schemeClr w14:val="tx1"/>
            </w14:solidFill>
          </w14:textFill>
        </w:rPr>
        <w:t>70</w:t>
      </w:r>
      <w:r>
        <w:rPr>
          <w:rFonts w:hint="eastAsia" w:ascii="仿宋_GB2312" w:hAnsi="仿宋_GB2312" w:eastAsia="仿宋_GB2312" w:cs="仿宋_GB2312"/>
          <w:kern w:val="44"/>
          <w:sz w:val="32"/>
          <w:szCs w:val="32"/>
        </w:rPr>
        <w:t>人。</w:t>
      </w:r>
    </w:p>
    <w:p w14:paraId="174764AC">
      <w:pPr>
        <w:keepNext w:val="0"/>
        <w:keepLines w:val="0"/>
        <w:pageBreakBefore w:val="0"/>
        <w:kinsoku/>
        <w:wordWrap/>
        <w:overflowPunct/>
        <w:topLinePunct/>
        <w:autoSpaceDE/>
        <w:autoSpaceDN/>
        <w:bidi w:val="0"/>
        <w:spacing w:line="360" w:lineRule="auto"/>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（二）部门职能。</w:t>
      </w:r>
    </w:p>
    <w:p w14:paraId="0B21A0E7">
      <w:pPr>
        <w:pStyle w:val="2"/>
        <w:keepNext w:val="0"/>
        <w:keepLines w:val="0"/>
        <w:pageBreakBefore w:val="0"/>
        <w:widowControl w:val="0"/>
        <w:shd w:val="clear"/>
        <w:kinsoku/>
        <w:wordWrap/>
        <w:overflowPunct/>
        <w:topLinePunct w:val="0"/>
        <w:autoSpaceDE/>
        <w:autoSpaceDN/>
        <w:bidi w:val="0"/>
        <w:spacing w:line="360" w:lineRule="auto"/>
        <w:ind w:left="0" w:leftChars="0" w:firstLine="640" w:firstLineChars="200"/>
        <w:textAlignment w:val="auto"/>
        <w:rPr>
          <w:rFonts w:hint="eastAsia" w:ascii="仿宋_GB2312" w:hAnsi="仿宋_GB2312" w:eastAsia="仿宋_GB2312" w:cs="仿宋_GB2312"/>
          <w:color w:val="auto"/>
          <w:sz w:val="32"/>
          <w:szCs w:val="32"/>
          <w:shd w:val="clear"/>
        </w:rPr>
      </w:pPr>
      <w:r>
        <w:rPr>
          <w:rFonts w:hint="eastAsia" w:ascii="仿宋_GB2312" w:hAnsi="仿宋_GB2312" w:eastAsia="仿宋_GB2312" w:cs="仿宋_GB2312"/>
          <w:i w:val="0"/>
          <w:caps w:val="0"/>
          <w:color w:val="auto"/>
          <w:spacing w:val="0"/>
          <w:sz w:val="32"/>
          <w:szCs w:val="32"/>
          <w:shd w:val="clear"/>
          <w:lang w:val="en-US" w:eastAsia="zh-CN"/>
        </w:rPr>
        <w:t>1.</w:t>
      </w:r>
      <w:r>
        <w:rPr>
          <w:rFonts w:hint="eastAsia" w:ascii="仿宋_GB2312" w:hAnsi="仿宋_GB2312" w:eastAsia="仿宋_GB2312" w:cs="仿宋_GB2312"/>
          <w:i w:val="0"/>
          <w:caps w:val="0"/>
          <w:color w:val="auto"/>
          <w:spacing w:val="0"/>
          <w:sz w:val="32"/>
          <w:szCs w:val="32"/>
          <w:shd w:val="clear"/>
        </w:rPr>
        <w:t>指导住房保障、住房建设、住房制度改革与住房建设规划；指导房地产业发展规划与行业管理。</w:t>
      </w:r>
      <w:r>
        <w:rPr>
          <w:rFonts w:hint="eastAsia" w:ascii="仿宋_GB2312" w:hAnsi="仿宋_GB2312" w:eastAsia="仿宋_GB2312" w:cs="仿宋_GB2312"/>
          <w:i w:val="0"/>
          <w:caps w:val="0"/>
          <w:color w:val="auto"/>
          <w:spacing w:val="0"/>
          <w:sz w:val="32"/>
          <w:szCs w:val="32"/>
          <w:shd w:val="clear"/>
        </w:rPr>
        <w:br w:type="textWrapping"/>
      </w:r>
      <w:r>
        <w:rPr>
          <w:rFonts w:hint="eastAsia" w:ascii="仿宋_GB2312" w:hAnsi="仿宋_GB2312" w:eastAsia="仿宋_GB2312" w:cs="仿宋_GB2312"/>
          <w:i w:val="0"/>
          <w:caps w:val="0"/>
          <w:color w:val="auto"/>
          <w:spacing w:val="0"/>
          <w:sz w:val="32"/>
          <w:szCs w:val="32"/>
          <w:shd w:val="clear"/>
          <w:lang w:val="en-US" w:eastAsia="zh-CN"/>
        </w:rPr>
        <w:t xml:space="preserve">    2.</w:t>
      </w:r>
      <w:r>
        <w:rPr>
          <w:rFonts w:hint="eastAsia" w:ascii="仿宋_GB2312" w:hAnsi="仿宋_GB2312" w:eastAsia="仿宋_GB2312" w:cs="仿宋_GB2312"/>
          <w:i w:val="0"/>
          <w:caps w:val="0"/>
          <w:color w:val="auto"/>
          <w:spacing w:val="0"/>
          <w:sz w:val="32"/>
          <w:szCs w:val="32"/>
          <w:shd w:val="clear"/>
        </w:rPr>
        <w:t>负责城市基础设施建设工作。制定并组织实施城市道路、桥梁、供水、供气、排水等基础设施的建设计划；组织工程建设的前期准备工作（包括建筑项目的可行性研究、选址定点、规划用地、扩初设计审查、工程地质勘察、工程报建等）；指导和协调重点工程建设项目实施工作。</w:t>
      </w:r>
      <w:r>
        <w:rPr>
          <w:rFonts w:hint="eastAsia" w:ascii="仿宋_GB2312" w:hAnsi="仿宋_GB2312" w:eastAsia="仿宋_GB2312" w:cs="仿宋_GB2312"/>
          <w:i w:val="0"/>
          <w:caps w:val="0"/>
          <w:color w:val="auto"/>
          <w:spacing w:val="0"/>
          <w:sz w:val="32"/>
          <w:szCs w:val="32"/>
          <w:shd w:val="clear"/>
        </w:rPr>
        <w:br w:type="textWrapping"/>
      </w:r>
      <w:r>
        <w:rPr>
          <w:rFonts w:hint="eastAsia" w:ascii="仿宋_GB2312" w:hAnsi="仿宋_GB2312" w:eastAsia="仿宋_GB2312" w:cs="仿宋_GB2312"/>
          <w:i w:val="0"/>
          <w:caps w:val="0"/>
          <w:color w:val="auto"/>
          <w:spacing w:val="0"/>
          <w:sz w:val="32"/>
          <w:szCs w:val="32"/>
          <w:shd w:val="clear"/>
          <w:lang w:val="en-US" w:eastAsia="zh-CN"/>
        </w:rPr>
        <w:t xml:space="preserve">    3.</w:t>
      </w:r>
      <w:r>
        <w:rPr>
          <w:rFonts w:hint="eastAsia" w:ascii="仿宋_GB2312" w:hAnsi="仿宋_GB2312" w:eastAsia="仿宋_GB2312" w:cs="仿宋_GB2312"/>
          <w:i w:val="0"/>
          <w:caps w:val="0"/>
          <w:color w:val="auto"/>
          <w:spacing w:val="0"/>
          <w:sz w:val="32"/>
          <w:szCs w:val="32"/>
          <w:shd w:val="clear"/>
        </w:rPr>
        <w:t>执行工程建设的国标和部标，会同有关部门制定和调整工程建设的统一材料价格；监督和管理市政工程投资概算、工程预决算和工程造价。</w:t>
      </w:r>
      <w:r>
        <w:rPr>
          <w:rFonts w:hint="eastAsia" w:ascii="仿宋_GB2312" w:hAnsi="仿宋_GB2312" w:eastAsia="仿宋_GB2312" w:cs="仿宋_GB2312"/>
          <w:i w:val="0"/>
          <w:caps w:val="0"/>
          <w:color w:val="auto"/>
          <w:spacing w:val="0"/>
          <w:sz w:val="32"/>
          <w:szCs w:val="32"/>
          <w:shd w:val="clear"/>
        </w:rPr>
        <w:br w:type="textWrapping"/>
      </w:r>
      <w:r>
        <w:rPr>
          <w:rFonts w:hint="eastAsia" w:ascii="仿宋_GB2312" w:hAnsi="仿宋_GB2312" w:eastAsia="仿宋_GB2312" w:cs="仿宋_GB2312"/>
          <w:i w:val="0"/>
          <w:caps w:val="0"/>
          <w:color w:val="auto"/>
          <w:spacing w:val="0"/>
          <w:sz w:val="32"/>
          <w:szCs w:val="32"/>
          <w:shd w:val="clear"/>
          <w:lang w:val="en-US" w:eastAsia="zh-CN"/>
        </w:rPr>
        <w:t xml:space="preserve">    4.</w:t>
      </w:r>
      <w:r>
        <w:rPr>
          <w:rFonts w:hint="eastAsia" w:ascii="仿宋_GB2312" w:hAnsi="仿宋_GB2312" w:eastAsia="仿宋_GB2312" w:cs="仿宋_GB2312"/>
          <w:i w:val="0"/>
          <w:caps w:val="0"/>
          <w:color w:val="auto"/>
          <w:spacing w:val="0"/>
          <w:sz w:val="32"/>
          <w:szCs w:val="32"/>
          <w:shd w:val="clear"/>
        </w:rPr>
        <w:t>负责工程勘察设计、施工图设计文件审查、监理、检测、室内装饰装修、墙体材料革新、散装水泥、建筑节能等行业管理；负责建设工程市场、安全、质量监督管理工作。</w:t>
      </w:r>
      <w:r>
        <w:rPr>
          <w:rFonts w:hint="eastAsia" w:ascii="仿宋_GB2312" w:hAnsi="仿宋_GB2312" w:eastAsia="仿宋_GB2312" w:cs="仿宋_GB2312"/>
          <w:i w:val="0"/>
          <w:caps w:val="0"/>
          <w:color w:val="auto"/>
          <w:spacing w:val="0"/>
          <w:sz w:val="32"/>
          <w:szCs w:val="32"/>
          <w:shd w:val="clear"/>
        </w:rPr>
        <w:br w:type="textWrapping"/>
      </w:r>
      <w:r>
        <w:rPr>
          <w:rFonts w:hint="eastAsia" w:ascii="仿宋_GB2312" w:hAnsi="仿宋_GB2312" w:eastAsia="仿宋_GB2312" w:cs="仿宋_GB2312"/>
          <w:i w:val="0"/>
          <w:caps w:val="0"/>
          <w:color w:val="auto"/>
          <w:spacing w:val="0"/>
          <w:sz w:val="32"/>
          <w:szCs w:val="32"/>
          <w:shd w:val="clear"/>
          <w:lang w:val="en-US" w:eastAsia="zh-CN"/>
        </w:rPr>
        <w:t xml:space="preserve">    5.</w:t>
      </w:r>
      <w:r>
        <w:rPr>
          <w:rFonts w:hint="eastAsia" w:ascii="仿宋_GB2312" w:hAnsi="仿宋_GB2312" w:eastAsia="仿宋_GB2312" w:cs="仿宋_GB2312"/>
          <w:i w:val="0"/>
          <w:caps w:val="0"/>
          <w:color w:val="auto"/>
          <w:spacing w:val="0"/>
          <w:sz w:val="32"/>
          <w:szCs w:val="32"/>
          <w:shd w:val="clear"/>
        </w:rPr>
        <w:t>监管全市供水供气等公用事业。负责城市供水业和燃气行业的监管工作。加强城市供水、排水、污水处理及其配套管网等公用设施建设、维护及运营管理。</w:t>
      </w:r>
      <w:r>
        <w:rPr>
          <w:rFonts w:hint="eastAsia" w:ascii="仿宋_GB2312" w:hAnsi="仿宋_GB2312" w:eastAsia="仿宋_GB2312" w:cs="仿宋_GB2312"/>
          <w:i w:val="0"/>
          <w:caps w:val="0"/>
          <w:color w:val="auto"/>
          <w:spacing w:val="0"/>
          <w:sz w:val="32"/>
          <w:szCs w:val="32"/>
          <w:shd w:val="clear"/>
        </w:rPr>
        <w:br w:type="textWrapping"/>
      </w:r>
      <w:r>
        <w:rPr>
          <w:rFonts w:hint="eastAsia" w:ascii="仿宋_GB2312" w:hAnsi="仿宋_GB2312" w:eastAsia="仿宋_GB2312" w:cs="仿宋_GB2312"/>
          <w:i w:val="0"/>
          <w:caps w:val="0"/>
          <w:color w:val="auto"/>
          <w:spacing w:val="0"/>
          <w:sz w:val="32"/>
          <w:szCs w:val="32"/>
          <w:shd w:val="clear"/>
          <w:lang w:val="en-US" w:eastAsia="zh-CN"/>
        </w:rPr>
        <w:t xml:space="preserve">    6.</w:t>
      </w:r>
      <w:r>
        <w:rPr>
          <w:rFonts w:hint="eastAsia" w:ascii="仿宋_GB2312" w:hAnsi="仿宋_GB2312" w:eastAsia="仿宋_GB2312" w:cs="仿宋_GB2312"/>
          <w:i w:val="0"/>
          <w:caps w:val="0"/>
          <w:color w:val="auto"/>
          <w:spacing w:val="0"/>
          <w:sz w:val="32"/>
          <w:szCs w:val="32"/>
          <w:shd w:val="clear"/>
        </w:rPr>
        <w:t>负责规范和指导村镇建设。拟订小城镇和村庄建设政策及发展规划并指导实施；指导农村住房建设；指导小城镇和村庄人居环境的改善工作；指导重点镇建设和村镇建设试点工作。</w:t>
      </w:r>
      <w:r>
        <w:rPr>
          <w:rFonts w:hint="eastAsia" w:ascii="仿宋_GB2312" w:hAnsi="仿宋_GB2312" w:eastAsia="仿宋_GB2312" w:cs="仿宋_GB2312"/>
          <w:i w:val="0"/>
          <w:caps w:val="0"/>
          <w:color w:val="auto"/>
          <w:spacing w:val="0"/>
          <w:sz w:val="32"/>
          <w:szCs w:val="32"/>
          <w:shd w:val="clear"/>
        </w:rPr>
        <w:br w:type="textWrapping"/>
      </w:r>
      <w:r>
        <w:rPr>
          <w:rFonts w:hint="eastAsia" w:ascii="仿宋_GB2312" w:hAnsi="仿宋_GB2312" w:eastAsia="仿宋_GB2312" w:cs="仿宋_GB2312"/>
          <w:i w:val="0"/>
          <w:caps w:val="0"/>
          <w:color w:val="auto"/>
          <w:spacing w:val="0"/>
          <w:sz w:val="32"/>
          <w:szCs w:val="32"/>
          <w:shd w:val="clear"/>
          <w:lang w:val="en-US" w:eastAsia="zh-CN"/>
        </w:rPr>
        <w:t xml:space="preserve">    7.</w:t>
      </w:r>
      <w:r>
        <w:rPr>
          <w:rFonts w:hint="eastAsia" w:ascii="仿宋_GB2312" w:hAnsi="仿宋_GB2312" w:eastAsia="仿宋_GB2312" w:cs="仿宋_GB2312"/>
          <w:i w:val="0"/>
          <w:caps w:val="0"/>
          <w:color w:val="auto"/>
          <w:spacing w:val="0"/>
          <w:sz w:val="32"/>
          <w:szCs w:val="32"/>
          <w:shd w:val="clear"/>
        </w:rPr>
        <w:t>主管全市建设行业的安全生产工作。</w:t>
      </w:r>
      <w:r>
        <w:rPr>
          <w:rFonts w:hint="eastAsia" w:ascii="仿宋_GB2312" w:hAnsi="仿宋_GB2312" w:eastAsia="仿宋_GB2312" w:cs="仿宋_GB2312"/>
          <w:i w:val="0"/>
          <w:caps w:val="0"/>
          <w:color w:val="auto"/>
          <w:spacing w:val="0"/>
          <w:sz w:val="32"/>
          <w:szCs w:val="32"/>
          <w:shd w:val="clear"/>
        </w:rPr>
        <w:br w:type="textWrapping"/>
      </w:r>
      <w:r>
        <w:rPr>
          <w:rFonts w:hint="eastAsia" w:ascii="仿宋_GB2312" w:hAnsi="仿宋_GB2312" w:eastAsia="仿宋_GB2312" w:cs="仿宋_GB2312"/>
          <w:i w:val="0"/>
          <w:caps w:val="0"/>
          <w:color w:val="auto"/>
          <w:spacing w:val="0"/>
          <w:sz w:val="32"/>
          <w:szCs w:val="32"/>
          <w:shd w:val="clear"/>
          <w:lang w:val="en-US" w:eastAsia="zh-CN"/>
        </w:rPr>
        <w:t xml:space="preserve">    8.</w:t>
      </w:r>
      <w:r>
        <w:rPr>
          <w:rFonts w:hint="eastAsia" w:ascii="仿宋_GB2312" w:hAnsi="仿宋_GB2312" w:eastAsia="仿宋_GB2312" w:cs="仿宋_GB2312"/>
          <w:i w:val="0"/>
          <w:caps w:val="0"/>
          <w:color w:val="auto"/>
          <w:spacing w:val="0"/>
          <w:sz w:val="32"/>
          <w:szCs w:val="32"/>
          <w:shd w:val="clear"/>
        </w:rPr>
        <w:t>负责制定行业科技发展规划。引进开发、推广运用新技术、新材料、新工艺；组织技术攻关和技术革新；统筹本系统的人才培训。</w:t>
      </w:r>
      <w:r>
        <w:rPr>
          <w:rFonts w:hint="eastAsia" w:ascii="仿宋_GB2312" w:hAnsi="仿宋_GB2312" w:eastAsia="仿宋_GB2312" w:cs="仿宋_GB2312"/>
          <w:i w:val="0"/>
          <w:caps w:val="0"/>
          <w:color w:val="auto"/>
          <w:spacing w:val="0"/>
          <w:sz w:val="32"/>
          <w:szCs w:val="32"/>
          <w:shd w:val="clear"/>
        </w:rPr>
        <w:br w:type="textWrapping"/>
      </w:r>
      <w:r>
        <w:rPr>
          <w:rFonts w:hint="eastAsia" w:ascii="仿宋_GB2312" w:hAnsi="仿宋_GB2312" w:eastAsia="仿宋_GB2312" w:cs="仿宋_GB2312"/>
          <w:i w:val="0"/>
          <w:caps w:val="0"/>
          <w:color w:val="auto"/>
          <w:spacing w:val="0"/>
          <w:sz w:val="32"/>
          <w:szCs w:val="32"/>
          <w:shd w:val="clear"/>
          <w:lang w:val="en-US" w:eastAsia="zh-CN"/>
        </w:rPr>
        <w:t xml:space="preserve">    9.</w:t>
      </w:r>
      <w:r>
        <w:rPr>
          <w:rFonts w:hint="eastAsia" w:ascii="仿宋_GB2312" w:hAnsi="仿宋_GB2312" w:eastAsia="仿宋_GB2312" w:cs="仿宋_GB2312"/>
          <w:i w:val="0"/>
          <w:caps w:val="0"/>
          <w:color w:val="auto"/>
          <w:spacing w:val="0"/>
          <w:sz w:val="32"/>
          <w:szCs w:val="32"/>
          <w:shd w:val="clear"/>
        </w:rPr>
        <w:t>承担市建筑节能与墙体材料革新领导小组的日常工作。</w:t>
      </w:r>
      <w:r>
        <w:rPr>
          <w:rFonts w:hint="eastAsia" w:ascii="仿宋_GB2312" w:hAnsi="仿宋_GB2312" w:eastAsia="仿宋_GB2312" w:cs="仿宋_GB2312"/>
          <w:i w:val="0"/>
          <w:caps w:val="0"/>
          <w:color w:val="auto"/>
          <w:spacing w:val="0"/>
          <w:sz w:val="32"/>
          <w:szCs w:val="32"/>
          <w:shd w:val="clear"/>
        </w:rPr>
        <w:br w:type="textWrapping"/>
      </w:r>
      <w:r>
        <w:rPr>
          <w:rFonts w:hint="eastAsia" w:ascii="仿宋_GB2312" w:hAnsi="仿宋_GB2312" w:eastAsia="仿宋_GB2312" w:cs="仿宋_GB2312"/>
          <w:i w:val="0"/>
          <w:caps w:val="0"/>
          <w:color w:val="auto"/>
          <w:spacing w:val="0"/>
          <w:sz w:val="32"/>
          <w:szCs w:val="32"/>
          <w:shd w:val="clear"/>
          <w:lang w:val="en-US" w:eastAsia="zh-CN"/>
        </w:rPr>
        <w:t xml:space="preserve">    10.</w:t>
      </w:r>
      <w:r>
        <w:rPr>
          <w:rFonts w:hint="eastAsia" w:ascii="仿宋_GB2312" w:hAnsi="仿宋_GB2312" w:eastAsia="仿宋_GB2312" w:cs="仿宋_GB2312"/>
          <w:i w:val="0"/>
          <w:caps w:val="0"/>
          <w:color w:val="auto"/>
          <w:spacing w:val="0"/>
          <w:sz w:val="32"/>
          <w:szCs w:val="32"/>
          <w:shd w:val="clear"/>
        </w:rPr>
        <w:t>负责局机关和局属单位的机构编制、劳资和人事工作；指导行业的劳动工资、劳动就业保险、劳动标准等工作。</w:t>
      </w:r>
      <w:r>
        <w:rPr>
          <w:rFonts w:hint="eastAsia" w:ascii="仿宋_GB2312" w:hAnsi="仿宋_GB2312" w:eastAsia="仿宋_GB2312" w:cs="仿宋_GB2312"/>
          <w:i w:val="0"/>
          <w:caps w:val="0"/>
          <w:color w:val="auto"/>
          <w:spacing w:val="0"/>
          <w:sz w:val="32"/>
          <w:szCs w:val="32"/>
          <w:shd w:val="clear"/>
        </w:rPr>
        <w:br w:type="textWrapping"/>
      </w:r>
      <w:r>
        <w:rPr>
          <w:rFonts w:hint="eastAsia" w:ascii="仿宋_GB2312" w:hAnsi="仿宋_GB2312" w:eastAsia="仿宋_GB2312" w:cs="仿宋_GB2312"/>
          <w:i w:val="0"/>
          <w:caps w:val="0"/>
          <w:color w:val="auto"/>
          <w:spacing w:val="0"/>
          <w:sz w:val="32"/>
          <w:szCs w:val="32"/>
          <w:shd w:val="clear"/>
          <w:lang w:val="en-US" w:eastAsia="zh-CN"/>
        </w:rPr>
        <w:t xml:space="preserve">    11.</w:t>
      </w:r>
      <w:r>
        <w:rPr>
          <w:rFonts w:hint="eastAsia" w:ascii="仿宋_GB2312" w:hAnsi="仿宋_GB2312" w:eastAsia="仿宋_GB2312" w:cs="仿宋_GB2312"/>
          <w:i w:val="0"/>
          <w:caps w:val="0"/>
          <w:color w:val="auto"/>
          <w:spacing w:val="0"/>
          <w:sz w:val="32"/>
          <w:szCs w:val="32"/>
          <w:shd w:val="clear"/>
        </w:rPr>
        <w:t>指导住房保障、房地产管理工作。</w:t>
      </w:r>
      <w:r>
        <w:rPr>
          <w:rFonts w:hint="eastAsia" w:ascii="仿宋_GB2312" w:hAnsi="仿宋_GB2312" w:eastAsia="仿宋_GB2312" w:cs="仿宋_GB2312"/>
          <w:i w:val="0"/>
          <w:caps w:val="0"/>
          <w:color w:val="auto"/>
          <w:spacing w:val="0"/>
          <w:sz w:val="32"/>
          <w:szCs w:val="32"/>
          <w:shd w:val="clear"/>
        </w:rPr>
        <w:br w:type="textWrapping"/>
      </w:r>
      <w:r>
        <w:rPr>
          <w:rFonts w:hint="eastAsia" w:ascii="仿宋_GB2312" w:hAnsi="仿宋_GB2312" w:eastAsia="仿宋_GB2312" w:cs="仿宋_GB2312"/>
          <w:i w:val="0"/>
          <w:caps w:val="0"/>
          <w:color w:val="auto"/>
          <w:spacing w:val="0"/>
          <w:sz w:val="32"/>
          <w:szCs w:val="32"/>
          <w:shd w:val="clear"/>
          <w:lang w:val="en-US" w:eastAsia="zh-CN"/>
        </w:rPr>
        <w:t xml:space="preserve">    12.</w:t>
      </w:r>
      <w:r>
        <w:rPr>
          <w:rFonts w:hint="eastAsia" w:ascii="仿宋_GB2312" w:hAnsi="仿宋_GB2312" w:eastAsia="仿宋_GB2312" w:cs="仿宋_GB2312"/>
          <w:i w:val="0"/>
          <w:caps w:val="0"/>
          <w:color w:val="auto"/>
          <w:spacing w:val="0"/>
          <w:sz w:val="32"/>
          <w:szCs w:val="32"/>
          <w:shd w:val="clear"/>
        </w:rPr>
        <w:t>为重点投资项目和重点工业企业提供绿色通道服务。</w:t>
      </w:r>
      <w:r>
        <w:rPr>
          <w:rFonts w:hint="eastAsia" w:ascii="仿宋_GB2312" w:hAnsi="仿宋_GB2312" w:eastAsia="仿宋_GB2312" w:cs="仿宋_GB2312"/>
          <w:i w:val="0"/>
          <w:caps w:val="0"/>
          <w:color w:val="auto"/>
          <w:spacing w:val="0"/>
          <w:sz w:val="32"/>
          <w:szCs w:val="32"/>
          <w:shd w:val="clear"/>
        </w:rPr>
        <w:br w:type="textWrapping"/>
      </w:r>
      <w:r>
        <w:rPr>
          <w:rFonts w:hint="eastAsia" w:ascii="仿宋_GB2312" w:hAnsi="仿宋_GB2312" w:eastAsia="仿宋_GB2312" w:cs="仿宋_GB2312"/>
          <w:i w:val="0"/>
          <w:caps w:val="0"/>
          <w:color w:val="auto"/>
          <w:spacing w:val="0"/>
          <w:sz w:val="32"/>
          <w:szCs w:val="32"/>
          <w:shd w:val="clear"/>
          <w:lang w:val="en-US" w:eastAsia="zh-CN"/>
        </w:rPr>
        <w:t xml:space="preserve">    13.</w:t>
      </w:r>
      <w:r>
        <w:rPr>
          <w:rFonts w:hint="eastAsia" w:ascii="仿宋_GB2312" w:hAnsi="仿宋_GB2312" w:eastAsia="仿宋_GB2312" w:cs="仿宋_GB2312"/>
          <w:i w:val="0"/>
          <w:caps w:val="0"/>
          <w:color w:val="auto"/>
          <w:spacing w:val="0"/>
          <w:sz w:val="32"/>
          <w:szCs w:val="32"/>
          <w:shd w:val="clear"/>
        </w:rPr>
        <w:t>承办上级交办的其他事项。</w:t>
      </w:r>
    </w:p>
    <w:p w14:paraId="70015AFC">
      <w:pPr>
        <w:keepNext w:val="0"/>
        <w:keepLines w:val="0"/>
        <w:pageBreakBefore w:val="0"/>
        <w:kinsoku/>
        <w:wordWrap/>
        <w:overflowPunct/>
        <w:topLinePunct/>
        <w:autoSpaceDE/>
        <w:autoSpaceDN/>
        <w:bidi w:val="0"/>
        <w:spacing w:line="360" w:lineRule="auto"/>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（三）部门工作完成情况。</w:t>
      </w:r>
    </w:p>
    <w:p w14:paraId="352A357E">
      <w:pPr>
        <w:pStyle w:val="2"/>
        <w:keepNext w:val="0"/>
        <w:keepLines w:val="0"/>
        <w:pageBreakBefore w:val="0"/>
        <w:kinsoku/>
        <w:wordWrap/>
        <w:overflowPunct/>
        <w:autoSpaceDE/>
        <w:autoSpaceDN/>
        <w:bidi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1.基本支出工作情况</w:t>
      </w:r>
    </w:p>
    <w:p w14:paraId="1A99B301">
      <w:pPr>
        <w:pStyle w:val="2"/>
        <w:keepNext w:val="0"/>
        <w:keepLines w:val="0"/>
        <w:pageBreakBefore w:val="0"/>
        <w:shd w:val="clear"/>
        <w:kinsoku/>
        <w:wordWrap/>
        <w:overflowPunct/>
        <w:autoSpaceDE/>
        <w:autoSpaceDN/>
        <w:bidi w:val="0"/>
        <w:spacing w:line="360" w:lineRule="auto"/>
        <w:ind w:firstLine="640" w:firstLineChars="200"/>
        <w:textAlignment w:val="auto"/>
        <w:rPr>
          <w:rFonts w:hint="eastAsia" w:ascii="仿宋_GB2312" w:hAnsi="仿宋_GB2312" w:eastAsia="仿宋_GB2312" w:cs="仿宋_GB2312"/>
          <w:i w:val="0"/>
          <w:caps w:val="0"/>
          <w:color w:val="353535"/>
          <w:spacing w:val="0"/>
          <w:sz w:val="32"/>
          <w:szCs w:val="32"/>
          <w:shd w:val="clear" w:color="auto" w:fill="auto"/>
        </w:rPr>
      </w:pPr>
      <w:r>
        <w:rPr>
          <w:rFonts w:hint="eastAsia" w:ascii="仿宋_GB2312" w:hAnsi="仿宋_GB2312" w:eastAsia="仿宋_GB2312" w:cs="仿宋_GB2312"/>
          <w:i w:val="0"/>
          <w:caps w:val="0"/>
          <w:color w:val="353535"/>
          <w:spacing w:val="0"/>
          <w:sz w:val="32"/>
          <w:szCs w:val="32"/>
          <w:shd w:val="clear" w:color="auto" w:fill="auto"/>
        </w:rPr>
        <w:t>主要用于保障职工基本工资、津贴补贴、奖金、乡镇工作补贴、社会保障缴费、其他工资福利支出等工资福利支出、办公费、三公经费等商品和服务支出、遗属人员生活补助、独生子女奖励金等对个人和家庭的补助等。</w:t>
      </w:r>
    </w:p>
    <w:p w14:paraId="566701C8">
      <w:pPr>
        <w:pStyle w:val="2"/>
        <w:keepNext w:val="0"/>
        <w:keepLines w:val="0"/>
        <w:pageBreakBefore w:val="0"/>
        <w:shd w:val="clear"/>
        <w:kinsoku/>
        <w:wordWrap/>
        <w:overflowPunct/>
        <w:autoSpaceDE/>
        <w:autoSpaceDN/>
        <w:bidi w:val="0"/>
        <w:spacing w:line="360" w:lineRule="auto"/>
        <w:ind w:firstLine="640" w:firstLineChars="200"/>
        <w:textAlignment w:val="auto"/>
        <w:rPr>
          <w:rFonts w:hint="eastAsia" w:ascii="仿宋_GB2312" w:hAnsi="仿宋_GB2312" w:eastAsia="仿宋_GB2312" w:cs="仿宋_GB2312"/>
          <w:i w:val="0"/>
          <w:caps w:val="0"/>
          <w:color w:val="353535"/>
          <w:spacing w:val="0"/>
          <w:sz w:val="32"/>
          <w:szCs w:val="32"/>
          <w:shd w:val="clear" w:color="auto" w:fill="auto"/>
          <w:lang w:eastAsia="zh-CN"/>
        </w:rPr>
      </w:pPr>
      <w:r>
        <w:rPr>
          <w:rFonts w:hint="eastAsia" w:ascii="仿宋_GB2312" w:hAnsi="仿宋_GB2312" w:eastAsia="仿宋_GB2312" w:cs="仿宋_GB2312"/>
          <w:i w:val="0"/>
          <w:caps w:val="0"/>
          <w:color w:val="353535"/>
          <w:spacing w:val="0"/>
          <w:sz w:val="32"/>
          <w:szCs w:val="32"/>
          <w:shd w:val="clear" w:color="auto" w:fill="auto"/>
          <w:lang w:eastAsia="zh-CN"/>
        </w:rPr>
        <w:t>一般公共服务支出，主要用于发放公务员十三薪、其他社会保障缴费、办公费、水费、邮电费、维修（护）费、培训费、福利费；社会就业和保障支出主要用于行政单位离退休、机关事业单位基本养老保险缴费支出、机关事业单位职业年金缴费支出、死亡抚恤金支出；卫生健康支出主要用于行政单位医疗、事业单位医疗、公务员医疗补助；住房保障支出主要用于住房公积金支出。</w:t>
      </w:r>
    </w:p>
    <w:p w14:paraId="21ADB33C">
      <w:pPr>
        <w:pStyle w:val="2"/>
        <w:keepNext w:val="0"/>
        <w:keepLines w:val="0"/>
        <w:pageBreakBefore w:val="0"/>
        <w:numPr>
          <w:ilvl w:val="0"/>
          <w:numId w:val="0"/>
        </w:numPr>
        <w:shd w:val="clear"/>
        <w:kinsoku/>
        <w:wordWrap/>
        <w:overflowPunct/>
        <w:autoSpaceDE/>
        <w:autoSpaceDN/>
        <w:bidi w:val="0"/>
        <w:spacing w:line="360" w:lineRule="auto"/>
        <w:ind w:firstLine="640" w:firstLineChars="200"/>
        <w:textAlignment w:val="auto"/>
        <w:rPr>
          <w:rFonts w:hint="eastAsia" w:ascii="仿宋_GB2312" w:hAnsi="仿宋_GB2312" w:eastAsia="仿宋_GB2312" w:cs="仿宋_GB2312"/>
          <w:i w:val="0"/>
          <w:caps w:val="0"/>
          <w:color w:val="353535"/>
          <w:spacing w:val="0"/>
          <w:sz w:val="32"/>
          <w:szCs w:val="32"/>
          <w:highlight w:val="none"/>
          <w:shd w:val="clear" w:color="auto" w:fill="auto"/>
          <w:lang w:val="en-US" w:eastAsia="zh-CN"/>
        </w:rPr>
      </w:pPr>
      <w:r>
        <w:rPr>
          <w:rFonts w:hint="eastAsia" w:ascii="仿宋_GB2312" w:hAnsi="仿宋_GB2312" w:eastAsia="仿宋_GB2312" w:cs="仿宋_GB2312"/>
          <w:i w:val="0"/>
          <w:caps w:val="0"/>
          <w:color w:val="353535"/>
          <w:spacing w:val="0"/>
          <w:sz w:val="32"/>
          <w:szCs w:val="32"/>
          <w:highlight w:val="none"/>
          <w:shd w:val="clear" w:color="auto" w:fill="auto"/>
          <w:lang w:val="en-US" w:eastAsia="zh-CN"/>
        </w:rPr>
        <w:t>2、项目支出工作完成情况</w:t>
      </w:r>
    </w:p>
    <w:p w14:paraId="59811A2B">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i w:val="0"/>
          <w:caps w:val="0"/>
          <w:color w:val="353535"/>
          <w:spacing w:val="0"/>
          <w:sz w:val="32"/>
          <w:szCs w:val="32"/>
          <w:shd w:val="clear" w:color="auto" w:fill="auto"/>
          <w:lang w:val="en-US" w:eastAsia="zh-CN"/>
        </w:rPr>
      </w:pPr>
      <w:r>
        <w:rPr>
          <w:rFonts w:hint="eastAsia" w:ascii="仿宋_GB2312" w:hAnsi="仿宋_GB2312" w:eastAsia="仿宋_GB2312" w:cs="仿宋_GB2312"/>
          <w:i w:val="0"/>
          <w:caps w:val="0"/>
          <w:color w:val="353535"/>
          <w:spacing w:val="0"/>
          <w:sz w:val="32"/>
          <w:szCs w:val="32"/>
          <w:shd w:val="clear" w:color="auto" w:fill="auto"/>
          <w:lang w:val="en-US" w:eastAsia="zh-CN"/>
        </w:rPr>
        <w:t>（1）盘龙区帮带共建磨憨镇尚冈现代化边境幸福村建设项目专项资金</w:t>
      </w:r>
    </w:p>
    <w:p w14:paraId="07DCBEBE">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i w:val="0"/>
          <w:caps w:val="0"/>
          <w:color w:val="353535"/>
          <w:spacing w:val="0"/>
          <w:sz w:val="32"/>
          <w:szCs w:val="32"/>
          <w:shd w:val="clear" w:color="auto" w:fill="auto"/>
          <w:lang w:val="en-US" w:eastAsia="zh-CN"/>
        </w:rPr>
      </w:pPr>
      <w:r>
        <w:rPr>
          <w:rFonts w:hint="eastAsia" w:ascii="仿宋_GB2312" w:hAnsi="仿宋_GB2312" w:eastAsia="仿宋_GB2312" w:cs="仿宋_GB2312"/>
          <w:i w:val="0"/>
          <w:caps w:val="0"/>
          <w:color w:val="353535"/>
          <w:spacing w:val="0"/>
          <w:sz w:val="32"/>
          <w:szCs w:val="32"/>
          <w:shd w:val="clear" w:color="auto" w:fill="auto"/>
          <w:lang w:val="en-US" w:eastAsia="zh-CN"/>
        </w:rPr>
        <w:t>盘龙区帮带共建磨憨镇尚冈现代化边境幸福村建设项目主要围绕“补齐基础设施短板、建设美丽宜居村庄、夯实党建引领基础”三个方面开展实施，重点聚焦基础牢、环境美、党建强，补齐基础设施短板，改善村庄人居环境质量，提升村庄整体风貌水平，为今后尚冈村的长远发展打下坚实的基础。</w:t>
      </w:r>
    </w:p>
    <w:p w14:paraId="772B1E0D">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i w:val="0"/>
          <w:caps w:val="0"/>
          <w:color w:val="353535"/>
          <w:spacing w:val="0"/>
          <w:sz w:val="32"/>
          <w:szCs w:val="32"/>
          <w:shd w:val="clear" w:color="auto" w:fill="auto"/>
          <w:lang w:val="en-US" w:eastAsia="zh-CN"/>
        </w:rPr>
      </w:pPr>
      <w:r>
        <w:rPr>
          <w:rFonts w:hint="eastAsia" w:ascii="仿宋_GB2312" w:hAnsi="仿宋_GB2312" w:eastAsia="仿宋_GB2312" w:cs="仿宋_GB2312"/>
          <w:i w:val="0"/>
          <w:caps w:val="0"/>
          <w:color w:val="353535"/>
          <w:spacing w:val="0"/>
          <w:sz w:val="32"/>
          <w:szCs w:val="32"/>
          <w:shd w:val="clear" w:color="auto" w:fill="auto"/>
          <w:lang w:val="en-US" w:eastAsia="zh-CN"/>
        </w:rPr>
        <w:t>尚冈村现代化边境幸福村项目总投资2800万元，建成后将有效补齐基础设施短板，改善村庄人居环境质量，提升村庄整体风貌水平。我局以村庄人居环境整治提升和基础设施建设作为建设重点，积极推进盘龙区帮带共建磨憨镇尚岗村边境幸福村建设，根据前期调研摸排情况，有序开展雨污分流、自来水及照明工程管路敷设施工，加强村内及小学旁水池供水线路详细探勘，同时启动28户村民屋面换瓦试点工作。截至目前已完成给排水、道路、照明工程、公厕改造、停车场、主题广场、寨心广场、宅门古井修复、景观节点等施工内容，完成施工产值1800余万元，公共基础设施部分整体形象进度90%。建立、健全和管理全区的昆明市建筑工程远程视频监控管理平台系统盘龙区二级平台项目工作体系；建立健全昆明市建筑工程远程视频监控管理平台系统盘龙区二级平台项目的综合管理；建立昆明市建筑工程远程视频监控管理平台系统盘龙区二级平台项目工作体系。</w:t>
      </w:r>
    </w:p>
    <w:p w14:paraId="2F5BD121">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i w:val="0"/>
          <w:caps w:val="0"/>
          <w:color w:val="353535"/>
          <w:spacing w:val="0"/>
          <w:sz w:val="32"/>
          <w:szCs w:val="32"/>
          <w:shd w:val="clear" w:color="auto" w:fill="auto"/>
          <w:lang w:val="en-US" w:eastAsia="zh-CN"/>
        </w:rPr>
      </w:pPr>
      <w:r>
        <w:rPr>
          <w:rFonts w:hint="eastAsia" w:ascii="仿宋_GB2312" w:hAnsi="仿宋_GB2312" w:eastAsia="仿宋_GB2312" w:cs="仿宋_GB2312"/>
          <w:i w:val="0"/>
          <w:caps w:val="0"/>
          <w:color w:val="353535"/>
          <w:spacing w:val="0"/>
          <w:sz w:val="32"/>
          <w:szCs w:val="32"/>
          <w:shd w:val="clear" w:color="auto" w:fill="auto"/>
          <w:lang w:val="en-US" w:eastAsia="zh-CN"/>
        </w:rPr>
        <w:t>（2）液化（燃）气管理办公专项资金</w:t>
      </w:r>
    </w:p>
    <w:p w14:paraId="7B127AFA">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i w:val="0"/>
          <w:caps w:val="0"/>
          <w:color w:val="353535"/>
          <w:spacing w:val="0"/>
          <w:sz w:val="32"/>
          <w:szCs w:val="32"/>
          <w:shd w:val="clear" w:color="auto" w:fill="auto"/>
          <w:lang w:val="en-US" w:eastAsia="zh-CN"/>
        </w:rPr>
      </w:pPr>
      <w:r>
        <w:rPr>
          <w:rFonts w:hint="eastAsia" w:ascii="仿宋_GB2312" w:hAnsi="仿宋_GB2312" w:eastAsia="仿宋_GB2312" w:cs="仿宋_GB2312"/>
          <w:i w:val="0"/>
          <w:caps w:val="0"/>
          <w:color w:val="353535"/>
          <w:spacing w:val="0"/>
          <w:sz w:val="32"/>
          <w:szCs w:val="32"/>
          <w:shd w:val="clear" w:color="auto" w:fill="auto"/>
          <w:lang w:val="en-US" w:eastAsia="zh-CN"/>
        </w:rPr>
        <w:t>一是积极开展应急演练5次并加大安全宣传工作，与6家燃气经营企业签订安全经营服务责任书，全面推动燃气报警器检查安装工作，全区完成安装3620户；二是深入开展燃气安全专项检查工作，牵头拟写《昆明市盘龙区燃气安全专项整治工作方案》，成立14个专项检查组，对燃气充装、经营、使用开展检查，累计检查燃气供应站点89家，燃气用户1000余户，发现问题460余项，已完成整改440余项；三是推动燃气管道老化更新改造，2023年已申请中央补助资金10805万元，报审印发《昆明市盘龙区城市燃气管道老化更新改造工作方案》，目前，燃气管道老化更新改造项目已完成立项、施工及监理单位招选工作，项目正式进入实施阶段。</w:t>
      </w:r>
    </w:p>
    <w:p w14:paraId="66BA3456">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i w:val="0"/>
          <w:caps w:val="0"/>
          <w:color w:val="353535"/>
          <w:spacing w:val="0"/>
          <w:sz w:val="32"/>
          <w:szCs w:val="32"/>
          <w:shd w:val="clear" w:color="auto" w:fill="auto"/>
          <w:lang w:val="en-US" w:eastAsia="zh-CN"/>
        </w:rPr>
      </w:pPr>
      <w:r>
        <w:rPr>
          <w:rFonts w:hint="eastAsia" w:ascii="仿宋_GB2312" w:hAnsi="仿宋_GB2312" w:eastAsia="仿宋_GB2312" w:cs="仿宋_GB2312"/>
          <w:i w:val="0"/>
          <w:caps w:val="0"/>
          <w:color w:val="353535"/>
          <w:spacing w:val="0"/>
          <w:sz w:val="32"/>
          <w:szCs w:val="32"/>
          <w:shd w:val="clear" w:color="auto" w:fill="auto"/>
          <w:lang w:val="en-US" w:eastAsia="zh-CN"/>
        </w:rPr>
        <w:t>（3）业务补助专项经费</w:t>
      </w:r>
    </w:p>
    <w:p w14:paraId="0993E440">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i w:val="0"/>
          <w:caps w:val="0"/>
          <w:color w:val="353535"/>
          <w:spacing w:val="0"/>
          <w:sz w:val="32"/>
          <w:szCs w:val="32"/>
          <w:shd w:val="clear" w:color="auto" w:fill="auto"/>
          <w:lang w:val="en-US" w:eastAsia="zh-CN"/>
        </w:rPr>
      </w:pPr>
      <w:r>
        <w:rPr>
          <w:rFonts w:hint="eastAsia" w:ascii="仿宋_GB2312" w:hAnsi="仿宋_GB2312" w:eastAsia="仿宋_GB2312" w:cs="仿宋_GB2312"/>
          <w:i w:val="0"/>
          <w:caps w:val="0"/>
          <w:color w:val="353535"/>
          <w:spacing w:val="0"/>
          <w:sz w:val="32"/>
          <w:szCs w:val="32"/>
          <w:shd w:val="clear" w:color="auto" w:fill="auto"/>
          <w:lang w:val="en-US" w:eastAsia="zh-CN"/>
        </w:rPr>
        <w:t xml:space="preserve"> 保障全局工作运转支出，主要用于物业管理服务费、印刷费、劳务费、日常办公费等。</w:t>
      </w:r>
    </w:p>
    <w:p w14:paraId="2125A825">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i w:val="0"/>
          <w:caps w:val="0"/>
          <w:color w:val="353535"/>
          <w:spacing w:val="0"/>
          <w:sz w:val="32"/>
          <w:szCs w:val="32"/>
          <w:shd w:val="clear" w:color="auto" w:fill="auto"/>
          <w:lang w:val="en-US" w:eastAsia="zh-CN"/>
        </w:rPr>
      </w:pPr>
      <w:r>
        <w:rPr>
          <w:rFonts w:hint="eastAsia" w:ascii="仿宋_GB2312" w:hAnsi="仿宋_GB2312" w:eastAsia="仿宋_GB2312" w:cs="仿宋_GB2312"/>
          <w:i w:val="0"/>
          <w:caps w:val="0"/>
          <w:color w:val="353535"/>
          <w:spacing w:val="0"/>
          <w:sz w:val="32"/>
          <w:szCs w:val="32"/>
          <w:shd w:val="clear" w:color="auto" w:fill="auto"/>
          <w:lang w:val="en-US" w:eastAsia="zh-CN"/>
        </w:rPr>
        <w:t>（4）房地产市场的监测数据服务专项经费</w:t>
      </w:r>
    </w:p>
    <w:p w14:paraId="4C76867D">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i w:val="0"/>
          <w:caps w:val="0"/>
          <w:color w:val="353535"/>
          <w:spacing w:val="0"/>
          <w:sz w:val="32"/>
          <w:szCs w:val="32"/>
          <w:shd w:val="clear" w:color="auto" w:fill="auto"/>
          <w:lang w:val="en-US" w:eastAsia="zh-CN"/>
        </w:rPr>
      </w:pPr>
      <w:r>
        <w:rPr>
          <w:rFonts w:hint="eastAsia" w:ascii="仿宋_GB2312" w:hAnsi="仿宋_GB2312" w:eastAsia="仿宋_GB2312" w:cs="仿宋_GB2312"/>
          <w:i w:val="0"/>
          <w:caps w:val="0"/>
          <w:color w:val="353535"/>
          <w:spacing w:val="0"/>
          <w:sz w:val="32"/>
          <w:szCs w:val="32"/>
          <w:shd w:val="clear" w:color="auto" w:fill="auto"/>
          <w:lang w:val="en-US" w:eastAsia="zh-CN"/>
        </w:rPr>
        <w:t>我局有效的摸清我区土地交易、新建商品房供应与成交情况，总体了解全市房地产投资情况，发现房地产市场潜在风险，研判房地产市场走向，为盘龙区房地产良性发展提出相关建议全面系统地反映房地产市场的运行状况，对房地产市场政策、土地储备供应及成交均价指数等影响房地产市场各要素进行重点监测，及时反应市场状况，发现存在的问题，便于相关政策颁布，对市场形势做出判断，对盘龙区房地产市场运行状况进行分析评价，精准有效的对房地产业具体情况进行真实反映，并对涉及宏观性的问题采取针对性措施进行调控，提高政府管理水平，为科学决策提供依据，从而正确引导房地产投资与消费，引导和促进房地产健康发展，推动国民经济增长，促进我区房地产市场平稳健康发展。</w:t>
      </w:r>
    </w:p>
    <w:p w14:paraId="16A0D5DB">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i w:val="0"/>
          <w:caps w:val="0"/>
          <w:color w:val="353535"/>
          <w:spacing w:val="0"/>
          <w:sz w:val="32"/>
          <w:szCs w:val="32"/>
          <w:shd w:val="clear" w:color="auto" w:fill="auto"/>
          <w:lang w:val="en-US" w:eastAsia="zh-CN"/>
        </w:rPr>
      </w:pPr>
      <w:r>
        <w:rPr>
          <w:rFonts w:hint="eastAsia" w:ascii="仿宋_GB2312" w:hAnsi="仿宋_GB2312" w:eastAsia="仿宋_GB2312" w:cs="仿宋_GB2312"/>
          <w:i w:val="0"/>
          <w:caps w:val="0"/>
          <w:color w:val="353535"/>
          <w:spacing w:val="0"/>
          <w:sz w:val="32"/>
          <w:szCs w:val="32"/>
          <w:shd w:val="clear" w:color="auto" w:fill="auto"/>
          <w:lang w:val="en-US" w:eastAsia="zh-CN"/>
        </w:rPr>
        <w:t>（5）保障性住房维护和管理支出专项经费</w:t>
      </w:r>
    </w:p>
    <w:p w14:paraId="2519F3DB">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i w:val="0"/>
          <w:caps w:val="0"/>
          <w:color w:val="353535"/>
          <w:spacing w:val="0"/>
          <w:sz w:val="32"/>
          <w:szCs w:val="32"/>
          <w:shd w:val="clear" w:color="auto" w:fill="auto"/>
          <w:lang w:val="en-US" w:eastAsia="zh-CN"/>
        </w:rPr>
      </w:pPr>
      <w:r>
        <w:rPr>
          <w:rFonts w:hint="eastAsia" w:ascii="仿宋_GB2312" w:hAnsi="仿宋_GB2312" w:eastAsia="仿宋_GB2312" w:cs="仿宋_GB2312"/>
          <w:i w:val="0"/>
          <w:caps w:val="0"/>
          <w:color w:val="353535"/>
          <w:spacing w:val="0"/>
          <w:sz w:val="32"/>
          <w:szCs w:val="32"/>
          <w:shd w:val="clear" w:color="auto" w:fill="auto"/>
          <w:lang w:val="en-US" w:eastAsia="zh-CN"/>
        </w:rPr>
        <w:t>随着福泽雅苑、天怡峰景小区居住人数的增多，我中心认真履行部门职责，对福泽雅苑、天怡峰景公租房小区每月进行2-3次例行检查。针对小区卫生保洁、设施破损、乱停乱放、公共区域安全隐患排查等物业管理存在的各项问题提出整改要求，并对小区物业整改情况实施监督，确保小区安全卫生，进一步提升小区的人居居住环境。</w:t>
      </w:r>
    </w:p>
    <w:p w14:paraId="20925AED">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i w:val="0"/>
          <w:caps w:val="0"/>
          <w:color w:val="353535"/>
          <w:spacing w:val="0"/>
          <w:sz w:val="32"/>
          <w:szCs w:val="32"/>
          <w:shd w:val="clear" w:color="auto" w:fill="auto"/>
          <w:lang w:val="en-US" w:eastAsia="zh-CN"/>
        </w:rPr>
      </w:pPr>
      <w:r>
        <w:rPr>
          <w:rFonts w:hint="eastAsia" w:ascii="仿宋_GB2312" w:hAnsi="仿宋_GB2312" w:eastAsia="仿宋_GB2312" w:cs="仿宋_GB2312"/>
          <w:i w:val="0"/>
          <w:caps w:val="0"/>
          <w:color w:val="353535"/>
          <w:spacing w:val="0"/>
          <w:sz w:val="32"/>
          <w:szCs w:val="32"/>
          <w:shd w:val="clear" w:color="auto" w:fill="auto"/>
          <w:lang w:val="en-US" w:eastAsia="zh-CN"/>
        </w:rPr>
        <w:t>（6）餐饮服务经费</w:t>
      </w:r>
    </w:p>
    <w:p w14:paraId="7CDC49D0">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i w:val="0"/>
          <w:caps w:val="0"/>
          <w:color w:val="353535"/>
          <w:spacing w:val="0"/>
          <w:sz w:val="32"/>
          <w:szCs w:val="32"/>
          <w:shd w:val="clear" w:color="auto" w:fill="auto"/>
          <w:lang w:val="en-US" w:eastAsia="zh-CN"/>
        </w:rPr>
      </w:pPr>
      <w:r>
        <w:rPr>
          <w:rFonts w:hint="eastAsia" w:ascii="仿宋_GB2312" w:hAnsi="仿宋_GB2312" w:eastAsia="仿宋_GB2312" w:cs="仿宋_GB2312"/>
          <w:i w:val="0"/>
          <w:caps w:val="0"/>
          <w:color w:val="353535"/>
          <w:spacing w:val="0"/>
          <w:sz w:val="32"/>
          <w:szCs w:val="32"/>
          <w:shd w:val="clear" w:color="auto" w:fill="auto"/>
          <w:lang w:val="en-US" w:eastAsia="zh-CN"/>
        </w:rPr>
        <w:t>用于保障局内人员饮食， 发放食堂工作人员聘用费。</w:t>
      </w:r>
    </w:p>
    <w:p w14:paraId="59E9F810">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i w:val="0"/>
          <w:caps w:val="0"/>
          <w:color w:val="353535"/>
          <w:spacing w:val="0"/>
          <w:sz w:val="32"/>
          <w:szCs w:val="32"/>
          <w:shd w:val="clear" w:color="auto" w:fill="auto"/>
          <w:lang w:val="en-US" w:eastAsia="zh-CN"/>
        </w:rPr>
      </w:pPr>
      <w:r>
        <w:rPr>
          <w:rFonts w:hint="eastAsia" w:ascii="仿宋_GB2312" w:hAnsi="仿宋_GB2312" w:eastAsia="仿宋_GB2312" w:cs="仿宋_GB2312"/>
          <w:i w:val="0"/>
          <w:caps w:val="0"/>
          <w:color w:val="353535"/>
          <w:spacing w:val="0"/>
          <w:sz w:val="32"/>
          <w:szCs w:val="32"/>
          <w:shd w:val="clear" w:color="auto" w:fill="auto"/>
          <w:lang w:val="en-US" w:eastAsia="zh-CN"/>
        </w:rPr>
        <w:t>（7）辅助性岗位工位工作人员薪酬专项经费</w:t>
      </w:r>
    </w:p>
    <w:p w14:paraId="0D3B727B">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i w:val="0"/>
          <w:caps w:val="0"/>
          <w:color w:val="353535"/>
          <w:spacing w:val="0"/>
          <w:sz w:val="32"/>
          <w:szCs w:val="32"/>
          <w:shd w:val="clear" w:color="auto" w:fill="auto"/>
          <w:lang w:val="en-US" w:eastAsia="zh-CN"/>
        </w:rPr>
      </w:pPr>
      <w:r>
        <w:rPr>
          <w:rFonts w:hint="eastAsia" w:ascii="仿宋_GB2312" w:hAnsi="仿宋_GB2312" w:eastAsia="仿宋_GB2312" w:cs="仿宋_GB2312"/>
          <w:i w:val="0"/>
          <w:caps w:val="0"/>
          <w:color w:val="353535"/>
          <w:spacing w:val="0"/>
          <w:sz w:val="32"/>
          <w:szCs w:val="32"/>
          <w:shd w:val="clear" w:color="auto" w:fill="auto"/>
          <w:lang w:val="en-US" w:eastAsia="zh-CN"/>
        </w:rPr>
        <w:t>用于发放聘用人员工资及社保费。</w:t>
      </w:r>
    </w:p>
    <w:p w14:paraId="455050AC">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i w:val="0"/>
          <w:caps w:val="0"/>
          <w:color w:val="353535"/>
          <w:spacing w:val="0"/>
          <w:sz w:val="32"/>
          <w:szCs w:val="32"/>
          <w:shd w:val="clear" w:color="auto" w:fill="auto"/>
          <w:lang w:val="en-US" w:eastAsia="zh-CN"/>
        </w:rPr>
      </w:pPr>
      <w:r>
        <w:rPr>
          <w:rFonts w:hint="eastAsia" w:ascii="仿宋_GB2312" w:hAnsi="仿宋_GB2312" w:eastAsia="仿宋_GB2312" w:cs="仿宋_GB2312"/>
          <w:i w:val="0"/>
          <w:caps w:val="0"/>
          <w:color w:val="353535"/>
          <w:spacing w:val="0"/>
          <w:sz w:val="32"/>
          <w:szCs w:val="32"/>
          <w:shd w:val="clear" w:color="auto" w:fill="auto"/>
          <w:lang w:val="en-US" w:eastAsia="zh-CN"/>
        </w:rPr>
        <w:t>（8）保障性住房维护和管理支出补助经费</w:t>
      </w:r>
    </w:p>
    <w:p w14:paraId="3096B682">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i w:val="0"/>
          <w:caps w:val="0"/>
          <w:color w:val="353535"/>
          <w:spacing w:val="0"/>
          <w:sz w:val="32"/>
          <w:szCs w:val="32"/>
          <w:shd w:val="clear" w:color="auto" w:fill="auto"/>
          <w:lang w:val="en-US" w:eastAsia="zh-CN"/>
        </w:rPr>
      </w:pPr>
      <w:r>
        <w:rPr>
          <w:rFonts w:hint="eastAsia" w:ascii="仿宋_GB2312" w:hAnsi="仿宋_GB2312" w:eastAsia="仿宋_GB2312" w:cs="仿宋_GB2312"/>
          <w:i w:val="0"/>
          <w:caps w:val="0"/>
          <w:color w:val="353535"/>
          <w:spacing w:val="0"/>
          <w:sz w:val="32"/>
          <w:szCs w:val="32"/>
          <w:shd w:val="clear" w:color="auto" w:fill="auto"/>
          <w:lang w:val="en-US" w:eastAsia="zh-CN"/>
        </w:rPr>
        <w:t>根据《昆明市公共租赁住房管理暂行办法》（昆明市人民政府公告第77号）、《昆明市公共租赁住房分配流程》文件规定及《昆明市公共租赁住房合同（个人类）》《昆明市公共租赁住房合同（企业类）》条款，区住保中心制定了《盘龙区保障性住房管理服务中心公共租赁住房租后管理工作流程》。进一步规范了区住保中心管理运营的福泽雅苑、天怡峰景公共租赁住房租后管理流程，落实监管责任，实现公共资源公平善用，督促承租人按合同履行相关义务责任，切实做好国有资产的维护和运营管理。</w:t>
      </w:r>
    </w:p>
    <w:p w14:paraId="5D9E2320">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i w:val="0"/>
          <w:caps w:val="0"/>
          <w:color w:val="353535"/>
          <w:spacing w:val="0"/>
          <w:sz w:val="32"/>
          <w:szCs w:val="32"/>
          <w:shd w:val="clear" w:color="auto" w:fill="auto"/>
          <w:lang w:val="en-US" w:eastAsia="zh-CN"/>
        </w:rPr>
      </w:pPr>
      <w:r>
        <w:rPr>
          <w:rFonts w:hint="eastAsia" w:ascii="仿宋_GB2312" w:hAnsi="仿宋_GB2312" w:eastAsia="仿宋_GB2312" w:cs="仿宋_GB2312"/>
          <w:i w:val="0"/>
          <w:caps w:val="0"/>
          <w:color w:val="353535"/>
          <w:spacing w:val="0"/>
          <w:sz w:val="32"/>
          <w:szCs w:val="32"/>
          <w:shd w:val="clear" w:color="auto" w:fill="auto"/>
          <w:lang w:val="en-US" w:eastAsia="zh-CN"/>
        </w:rPr>
        <w:t>（9）北京路北端连接西北绕城高速立交工程专项经费</w:t>
      </w:r>
    </w:p>
    <w:p w14:paraId="48982E5F">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i w:val="0"/>
          <w:caps w:val="0"/>
          <w:color w:val="353535"/>
          <w:spacing w:val="0"/>
          <w:sz w:val="32"/>
          <w:szCs w:val="32"/>
          <w:shd w:val="clear" w:color="auto" w:fill="auto"/>
          <w:lang w:val="en-US" w:eastAsia="zh-CN"/>
        </w:rPr>
      </w:pPr>
      <w:r>
        <w:rPr>
          <w:rFonts w:hint="default" w:ascii="仿宋_GB2312" w:hAnsi="仿宋_GB2312" w:eastAsia="仿宋_GB2312" w:cs="仿宋_GB2312"/>
          <w:i w:val="0"/>
          <w:caps w:val="0"/>
          <w:color w:val="353535"/>
          <w:spacing w:val="0"/>
          <w:sz w:val="32"/>
          <w:szCs w:val="32"/>
          <w:shd w:val="clear" w:color="auto" w:fill="auto"/>
          <w:lang w:val="en-US" w:eastAsia="zh-CN"/>
        </w:rPr>
        <w:t>北京路北端连接西北绕城高速立交工程为《昆明市“十三五”综合交通发展规划》中24个立交提升改造项目之一。工程通过对北京路端头向北进行延伸，新建T型交叉口与立交收费主匝道相交，同时新建四条匝道实现北京路与西北绕城高速的完全互通。</w:t>
      </w:r>
    </w:p>
    <w:p w14:paraId="55768EED">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i w:val="0"/>
          <w:caps w:val="0"/>
          <w:color w:val="353535"/>
          <w:spacing w:val="0"/>
          <w:sz w:val="32"/>
          <w:szCs w:val="32"/>
          <w:shd w:val="clear" w:color="auto" w:fill="auto"/>
          <w:lang w:val="en-US" w:eastAsia="zh-CN"/>
        </w:rPr>
      </w:pPr>
      <w:r>
        <w:rPr>
          <w:rFonts w:hint="default" w:ascii="仿宋_GB2312" w:hAnsi="仿宋_GB2312" w:eastAsia="仿宋_GB2312" w:cs="仿宋_GB2312"/>
          <w:i w:val="0"/>
          <w:caps w:val="0"/>
          <w:color w:val="353535"/>
          <w:spacing w:val="0"/>
          <w:sz w:val="32"/>
          <w:szCs w:val="32"/>
          <w:shd w:val="clear" w:color="auto" w:fill="auto"/>
          <w:lang w:val="en-US" w:eastAsia="zh-CN"/>
        </w:rPr>
        <w:t>北京路北端连接西北绕城高速立交工程项目绩效编制依据充分，严格遵循了相关规范的要求，同时按照政府和社会资本合作模式，切实开展了项目运营维护工作，保障道路及桥梁设施的使用，确保了市民的出行安全。</w:t>
      </w:r>
    </w:p>
    <w:p w14:paraId="30C37A5A">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i w:val="0"/>
          <w:caps w:val="0"/>
          <w:color w:val="353535"/>
          <w:spacing w:val="0"/>
          <w:sz w:val="32"/>
          <w:szCs w:val="32"/>
          <w:shd w:val="clear" w:color="auto" w:fill="auto"/>
          <w:lang w:val="en-US" w:eastAsia="zh-CN"/>
        </w:rPr>
      </w:pPr>
      <w:r>
        <w:rPr>
          <w:rFonts w:hint="eastAsia" w:ascii="仿宋_GB2312" w:hAnsi="仿宋_GB2312" w:eastAsia="仿宋_GB2312" w:cs="仿宋_GB2312"/>
          <w:i w:val="0"/>
          <w:caps w:val="0"/>
          <w:color w:val="353535"/>
          <w:spacing w:val="0"/>
          <w:sz w:val="32"/>
          <w:szCs w:val="32"/>
          <w:shd w:val="clear" w:color="auto" w:fill="auto"/>
          <w:lang w:val="en-US" w:eastAsia="zh-CN"/>
        </w:rPr>
        <w:t>（10）博欣时代商业中心保租房项目专项资金</w:t>
      </w:r>
    </w:p>
    <w:p w14:paraId="32EA5D46">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i w:val="0"/>
          <w:caps w:val="0"/>
          <w:color w:val="353535"/>
          <w:spacing w:val="0"/>
          <w:sz w:val="32"/>
          <w:szCs w:val="32"/>
          <w:shd w:val="clear" w:color="auto" w:fill="auto"/>
          <w:lang w:val="en-US" w:eastAsia="zh-CN"/>
        </w:rPr>
      </w:pPr>
      <w:r>
        <w:rPr>
          <w:rFonts w:hint="default" w:ascii="仿宋_GB2312" w:hAnsi="仿宋_GB2312" w:eastAsia="仿宋_GB2312" w:cs="仿宋_GB2312"/>
          <w:i w:val="0"/>
          <w:caps w:val="0"/>
          <w:color w:val="353535"/>
          <w:spacing w:val="0"/>
          <w:sz w:val="32"/>
          <w:szCs w:val="32"/>
          <w:shd w:val="clear" w:color="auto" w:fill="auto"/>
          <w:lang w:val="en-US" w:eastAsia="zh-CN"/>
        </w:rPr>
        <w:t>按照昆明市财政局《关于预下达2023年部分中央财政城镇保障性安居工程补助资金的通知》及昆明市住保中心《关于2023年度中央财政城镇保障性安居工程补助资金支出进度专题会》相关要求，关于2023年度“博欣时代商业中心保租房项目”287套保障性租赁住房补贴资金3,782,500.00元（中央补助资金）已于2023年9月20日拨付至云智公司开设的共管账户中，要求企业依规合法使用资金。</w:t>
      </w:r>
    </w:p>
    <w:p w14:paraId="7BE44ED8">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i w:val="0"/>
          <w:caps w:val="0"/>
          <w:color w:val="353535"/>
          <w:spacing w:val="0"/>
          <w:sz w:val="32"/>
          <w:szCs w:val="32"/>
          <w:shd w:val="clear" w:color="auto" w:fill="auto"/>
          <w:lang w:val="en-US" w:eastAsia="zh-CN"/>
        </w:rPr>
      </w:pPr>
      <w:r>
        <w:rPr>
          <w:rFonts w:hint="default" w:ascii="仿宋_GB2312" w:hAnsi="仿宋_GB2312" w:eastAsia="仿宋_GB2312" w:cs="仿宋_GB2312"/>
          <w:i w:val="0"/>
          <w:caps w:val="0"/>
          <w:color w:val="353535"/>
          <w:spacing w:val="0"/>
          <w:sz w:val="32"/>
          <w:szCs w:val="32"/>
          <w:shd w:val="clear" w:color="auto" w:fill="auto"/>
          <w:lang w:val="en-US" w:eastAsia="zh-CN"/>
        </w:rPr>
        <w:t>关于2023年度“博欣时代商业中心保租房项目”287套保障性租赁住房补贴资金3,782,500.00元（中央补助资金）已全部完成拨付。支出进度100%。</w:t>
      </w:r>
    </w:p>
    <w:p w14:paraId="1780780C">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i w:val="0"/>
          <w:caps w:val="0"/>
          <w:color w:val="353535"/>
          <w:spacing w:val="0"/>
          <w:sz w:val="32"/>
          <w:szCs w:val="32"/>
          <w:shd w:val="clear" w:color="auto" w:fill="auto"/>
          <w:lang w:val="en-US" w:eastAsia="zh-CN"/>
        </w:rPr>
      </w:pPr>
      <w:r>
        <w:rPr>
          <w:rFonts w:hint="eastAsia" w:ascii="仿宋_GB2312" w:hAnsi="仿宋_GB2312" w:eastAsia="仿宋_GB2312" w:cs="仿宋_GB2312"/>
          <w:i w:val="0"/>
          <w:caps w:val="0"/>
          <w:color w:val="353535"/>
          <w:spacing w:val="0"/>
          <w:sz w:val="32"/>
          <w:szCs w:val="32"/>
          <w:shd w:val="clear" w:color="auto" w:fill="auto"/>
          <w:lang w:val="en-US" w:eastAsia="zh-CN"/>
        </w:rPr>
        <w:t>（11）昆明市惠悦城保障性租赁住房项目专项资金</w:t>
      </w:r>
    </w:p>
    <w:p w14:paraId="00DB9715">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i w:val="0"/>
          <w:caps w:val="0"/>
          <w:color w:val="353535"/>
          <w:spacing w:val="0"/>
          <w:sz w:val="32"/>
          <w:szCs w:val="32"/>
          <w:shd w:val="clear" w:color="auto" w:fill="auto"/>
          <w:lang w:val="en-US" w:eastAsia="zh-CN"/>
        </w:rPr>
      </w:pPr>
      <w:r>
        <w:rPr>
          <w:rFonts w:hint="default" w:ascii="仿宋_GB2312" w:hAnsi="仿宋_GB2312" w:eastAsia="仿宋_GB2312" w:cs="仿宋_GB2312"/>
          <w:i w:val="0"/>
          <w:caps w:val="0"/>
          <w:color w:val="353535"/>
          <w:spacing w:val="0"/>
          <w:sz w:val="32"/>
          <w:szCs w:val="32"/>
          <w:shd w:val="clear" w:color="auto" w:fill="auto"/>
          <w:lang w:val="en-US" w:eastAsia="zh-CN"/>
        </w:rPr>
        <w:t>2023年8月11日，昆明市安居集团公司上报《关于申请拨付云南城市燃气管道等老化更新和保障性安居工程专项（保障性安居工程方向）2023年中央预算内投资补助资金的请示》（昆安居〔2023〕135号）至盘龙区政府。市安居集团公司申请：“昆明市惠悦城保障性租赁住房项目作为本次下达的中央预算内投资项目。为加快推项目供水、供电等配套基础设施建设，现向盘龙区政府申请尽快拨付本次下达投资补助资金15,361万元。”8月11日晚，区政府办要求我局务必在8月14日前完成报库并将请款单提交区财政局，区财政局按要求拨付至项目实施单位。</w:t>
      </w:r>
    </w:p>
    <w:p w14:paraId="3149E2C3">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i w:val="0"/>
          <w:caps w:val="0"/>
          <w:color w:val="353535"/>
          <w:spacing w:val="0"/>
          <w:sz w:val="32"/>
          <w:szCs w:val="32"/>
          <w:shd w:val="clear" w:color="auto" w:fill="auto"/>
          <w:lang w:val="en-US" w:eastAsia="zh-CN"/>
        </w:rPr>
      </w:pPr>
      <w:r>
        <w:rPr>
          <w:rFonts w:hint="default" w:ascii="仿宋_GB2312" w:hAnsi="仿宋_GB2312" w:eastAsia="仿宋_GB2312" w:cs="仿宋_GB2312"/>
          <w:i w:val="0"/>
          <w:caps w:val="0"/>
          <w:color w:val="353535"/>
          <w:spacing w:val="0"/>
          <w:sz w:val="32"/>
          <w:szCs w:val="32"/>
          <w:shd w:val="clear" w:color="auto" w:fill="auto"/>
          <w:lang w:val="en-US" w:eastAsia="zh-CN"/>
        </w:rPr>
        <w:t>2023年8月12日，我局住保中心收到区政府关于昆明安居集团公司《关于申请拨付云南城市燃气管道等老化更新和保障性安居工程专项（保障性安居工程方向）2023年中央预算内投资补助资金的请示》（昆安居〔2023〕135号）批示件要求，昆明市惠悦城保障性租赁住房项目2023年中央预算内经费（第一笔）8000万元已于2023年8月14日拨付至昆明安居集团公司。</w:t>
      </w:r>
    </w:p>
    <w:p w14:paraId="0A77AC0A">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i w:val="0"/>
          <w:caps w:val="0"/>
          <w:color w:val="353535"/>
          <w:spacing w:val="0"/>
          <w:sz w:val="32"/>
          <w:szCs w:val="32"/>
          <w:shd w:val="clear" w:color="auto" w:fill="auto"/>
          <w:lang w:val="en-US" w:eastAsia="zh-CN"/>
        </w:rPr>
      </w:pPr>
      <w:r>
        <w:rPr>
          <w:rFonts w:hint="default" w:ascii="仿宋_GB2312" w:hAnsi="仿宋_GB2312" w:eastAsia="仿宋_GB2312" w:cs="仿宋_GB2312"/>
          <w:i w:val="0"/>
          <w:caps w:val="0"/>
          <w:color w:val="353535"/>
          <w:spacing w:val="0"/>
          <w:sz w:val="32"/>
          <w:szCs w:val="32"/>
          <w:shd w:val="clear" w:color="auto" w:fill="auto"/>
          <w:lang w:val="en-US" w:eastAsia="zh-CN"/>
        </w:rPr>
        <w:t>2023年12月29日，局财务接到区财政局电话紧急通知，要求于12月29日12时前完成该笔中央预算内经费3681万元（第二次）拨付工作。经请示局分管领导和局主要领导，鉴于本次拨款属紧急事项，同意先行拨付该笔经费，后补相关拨款审批手续。同时，局财务已于2023年12月29日12时将该笔经费3681万元及时拨付至昆明安居集团公司。</w:t>
      </w:r>
    </w:p>
    <w:p w14:paraId="4A807A3F">
      <w:pPr>
        <w:keepNext w:val="0"/>
        <w:keepLines w:val="0"/>
        <w:pageBreakBefore w:val="0"/>
        <w:numPr>
          <w:ilvl w:val="0"/>
          <w:numId w:val="0"/>
        </w:numPr>
        <w:kinsoku/>
        <w:wordWrap/>
        <w:overflowPunct/>
        <w:topLinePunct/>
        <w:autoSpaceDE/>
        <w:autoSpaceDN/>
        <w:bidi w:val="0"/>
        <w:spacing w:line="360" w:lineRule="auto"/>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部门资金来源及使用情况。</w:t>
      </w:r>
    </w:p>
    <w:p w14:paraId="02E5710F">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1.部门资金来源</w:t>
      </w:r>
    </w:p>
    <w:p w14:paraId="014F91D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color w:val="auto"/>
          <w:sz w:val="32"/>
          <w:szCs w:val="32"/>
          <w:highlight w:val="none"/>
          <w:u w:val="none"/>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年度部门资金来源为一般公共预算</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rPr>
        <w:t>拨款</w:t>
      </w:r>
      <w:r>
        <w:rPr>
          <w:rFonts w:hint="eastAsia" w:ascii="仿宋_GB2312" w:hAnsi="仿宋" w:eastAsia="仿宋_GB2312"/>
          <w:color w:val="auto"/>
          <w:sz w:val="32"/>
          <w:szCs w:val="32"/>
          <w:highlight w:val="none"/>
          <w:u w:val="none"/>
          <w:lang w:val="en-US" w:eastAsia="zh-CN"/>
        </w:rPr>
        <w:t>182673432.10万元</w:t>
      </w:r>
    </w:p>
    <w:p w14:paraId="20562A76">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2.使用情况</w:t>
      </w:r>
    </w:p>
    <w:p w14:paraId="19CF7FE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（1）基本支出</w:t>
      </w:r>
    </w:p>
    <w:p w14:paraId="6E708A6F">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2023年度部门基本支出为</w:t>
      </w:r>
      <w:r>
        <w:rPr>
          <w:rFonts w:hint="eastAsia" w:ascii="仿宋_GB2312" w:hAnsi="仿宋" w:eastAsia="仿宋_GB2312"/>
          <w:b w:val="0"/>
          <w:bCs w:val="0"/>
          <w:color w:val="auto"/>
          <w:sz w:val="32"/>
          <w:szCs w:val="32"/>
          <w:highlight w:val="none"/>
          <w:u w:val="none"/>
          <w:lang w:val="en-US" w:eastAsia="zh-CN"/>
        </w:rPr>
        <w:t>2360.57万元</w:t>
      </w:r>
      <w:r>
        <w:rPr>
          <w:rFonts w:hint="eastAsia" w:ascii="仿宋_GB2312" w:hAnsi="仿宋_GB2312" w:eastAsia="仿宋_GB2312" w:cs="仿宋_GB2312"/>
          <w:sz w:val="32"/>
          <w:szCs w:val="32"/>
          <w:lang w:val="en-US" w:eastAsia="zh-CN"/>
        </w:rPr>
        <w:t>。按功能科目分类包括：208社会保障和就业支出778.38万元，210卫生健康支出153.64万元，212城乡社区支出1320.37万元，221住房保障支出108.18万元。</w:t>
      </w:r>
    </w:p>
    <w:p w14:paraId="1966763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w:t>
      </w:r>
    </w:p>
    <w:p w14:paraId="192A57A2">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部门项目支出15906.77万元。按预算项目名称分类包括：盘财建追〔2023〕21号业务补助专项经费38.26万元，盘财建追〔2023〕20号人防专项经费3.04万元，盘财建追〔2023〕20号保障性住房维护和管理支出专项经费63万元，盘财建存〔2023〕8-1号北京路北端连接西北绕城高速工程专项资金</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870.00万元，盘财建追〔2023〕20号廉租处人员专项经费74.14万元，昆财建〔2023〕76号昆明市惠悦城保障性租赁住房项目中央预算内投资经费116,81.00万元，盘财建追〔2023〕20号防震减灾专项资金2.13万元，盘财〔2023〕1号餐饮服务经费52.20万元，盘财〔2023〕1号房地产市场的监测数据服务专项经费15.00万元，盘财建追〔2023〕21号农村危房修缮加固经费16.80万元，盘财建追〔2023〕68号保障性住房租赁补贴专项资金5.00万元，盘财建追【2023】14号盘龙区2023年信创工作经费1.81万元，昆财建〔2023〕4号保障性租赁补贴资金10万元，昆财建〔2023〕73号保障性租赁住房补贴资金620.06万元，昆财农〔2022〕198号结转国博西路（沣源路至白杨路）建设专项资金3,00.00万元，盘财建追〔2023〕20号液化（燃）气管理办公专项资金7.54万元，昆财建〔2023〕71号昆明市盘龙区城市燃气管道老化更新改造项目经费100.00万元，盘财〔2023〕1号辅助性岗位工位工作人员薪酬专项经费12.78万元，昆财建〔2022〕6号保障性住房租金补贴专项资金20.102万元，昆财建〔2022〕68号城镇保障性安居工程补助资金0.5万元，盘财建追【2022】23号追加2018和2019年农村危房改造落架大修补助经费12.00万元，昆财社〔2023〕131号企业军转干部“八一”走访慰问市级补助经费0.1万元，盘财建追〔2023〕20号离退休干部党组织建设经费1.38万元。</w:t>
      </w:r>
    </w:p>
    <w:p w14:paraId="64AE62E8">
      <w:pPr>
        <w:keepNext w:val="0"/>
        <w:keepLines w:val="0"/>
        <w:pageBreakBefore w:val="0"/>
        <w:numPr>
          <w:ilvl w:val="0"/>
          <w:numId w:val="0"/>
        </w:numPr>
        <w:kinsoku/>
        <w:wordWrap/>
        <w:overflowPunct/>
        <w:topLinePunct/>
        <w:autoSpaceDE/>
        <w:autoSpaceDN/>
        <w:bidi w:val="0"/>
        <w:spacing w:line="360" w:lineRule="auto"/>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政府采购情况。</w:t>
      </w:r>
    </w:p>
    <w:p w14:paraId="196DEF34">
      <w:pPr>
        <w:pStyle w:val="2"/>
        <w:keepNext w:val="0"/>
        <w:keepLines w:val="0"/>
        <w:pageBreakBefore w:val="0"/>
        <w:kinsoku/>
        <w:wordWrap/>
        <w:overflowPunct/>
        <w:autoSpaceDE/>
        <w:autoSpaceDN/>
        <w:bidi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执行《中华人民共和国政府采购法实施条例》释义及政府下发的采购文件，按云南省政府集中采购目录及标准申报采购，及时在政采云平台备案，且按财政要求将政府采购信息在“云南省地方财政预算标准化管理平台”进行申报审核。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年，政府采购支出共</w:t>
      </w:r>
      <w:r>
        <w:rPr>
          <w:rFonts w:hint="eastAsia" w:ascii="仿宋_GB2312" w:hAnsi="仿宋_GB2312" w:eastAsia="仿宋_GB2312" w:cs="仿宋_GB2312"/>
          <w:sz w:val="32"/>
          <w:szCs w:val="32"/>
          <w:lang w:val="en-US" w:eastAsia="zh-CN"/>
        </w:rPr>
        <w:t>38.44万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p>
    <w:p w14:paraId="0B394B57">
      <w:pPr>
        <w:keepNext w:val="0"/>
        <w:keepLines w:val="0"/>
        <w:pageBreakBefore w:val="0"/>
        <w:numPr>
          <w:ilvl w:val="0"/>
          <w:numId w:val="0"/>
        </w:numPr>
        <w:kinsoku/>
        <w:wordWrap/>
        <w:overflowPunct/>
        <w:topLinePunct/>
        <w:autoSpaceDE/>
        <w:autoSpaceDN/>
        <w:bidi w:val="0"/>
        <w:spacing w:line="360" w:lineRule="auto"/>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固定资产情况。</w:t>
      </w:r>
    </w:p>
    <w:p w14:paraId="451CB700">
      <w:pPr>
        <w:keepNext w:val="0"/>
        <w:keepLines w:val="0"/>
        <w:pageBreakBefore w:val="0"/>
        <w:kinsoku/>
        <w:wordWrap/>
        <w:overflowPunct/>
        <w:topLinePunct/>
        <w:autoSpaceDE/>
        <w:autoSpaceDN/>
        <w:bidi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进一步加强区昆明市盘龙区住房和城乡建设各项固定资产的管理和使用效益，以达到合理配置资源、科学管理资源、有效利用资源的目的，对单位固定资产实行统一管理、统一调配，实行使用、保管签字登记制度，年底对财产物资进行清查、盘点、核对、处理。</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年12月31日，固定资产账面净值</w:t>
      </w:r>
      <w:r>
        <w:rPr>
          <w:rFonts w:hint="eastAsia" w:ascii="仿宋_GB2312" w:hAnsi="仿宋_GB2312" w:eastAsia="仿宋_GB2312" w:cs="仿宋_GB2312"/>
          <w:sz w:val="32"/>
          <w:szCs w:val="32"/>
          <w:lang w:val="en-US" w:eastAsia="zh-CN"/>
        </w:rPr>
        <w:t>33.43万</w:t>
      </w:r>
      <w:r>
        <w:rPr>
          <w:rFonts w:hint="eastAsia" w:ascii="仿宋_GB2312" w:hAnsi="仿宋_GB2312" w:eastAsia="仿宋_GB2312" w:cs="仿宋_GB2312"/>
          <w:sz w:val="32"/>
          <w:szCs w:val="32"/>
        </w:rPr>
        <w:t>元。</w:t>
      </w:r>
    </w:p>
    <w:p w14:paraId="706D3648">
      <w:pPr>
        <w:keepNext w:val="0"/>
        <w:keepLines w:val="0"/>
        <w:pageBreakBefore w:val="0"/>
        <w:kinsoku/>
        <w:wordWrap/>
        <w:overflowPunct/>
        <w:topLinePunct/>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二、绩效目标</w:t>
      </w:r>
    </w:p>
    <w:p w14:paraId="4E51EB3D">
      <w:pPr>
        <w:keepNext w:val="0"/>
        <w:keepLines w:val="0"/>
        <w:pageBreakBefore w:val="0"/>
        <w:kinsoku/>
        <w:wordWrap/>
        <w:overflowPunct/>
        <w:topLinePunct/>
        <w:autoSpaceDE/>
        <w:autoSpaceDN/>
        <w:bidi w:val="0"/>
        <w:spacing w:line="360" w:lineRule="auto"/>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（一）部门总目标。</w:t>
      </w:r>
    </w:p>
    <w:p w14:paraId="57E6C85C">
      <w:pPr>
        <w:pStyle w:val="2"/>
        <w:keepNext w:val="0"/>
        <w:keepLines w:val="0"/>
        <w:pageBreakBefore w:val="0"/>
        <w:kinsoku/>
        <w:wordWrap/>
        <w:overflowPunct/>
        <w:autoSpaceDE/>
        <w:autoSpaceDN/>
        <w:bidi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贯彻执行国家和省、市有关住房城乡建设事业的法律法规，强化制度建设，加强政策解读，构成主要领导亲自抓，分管领导具体抓，相关科室工作人员全力抓的工作格局，在日常工作中，紧紧围绕中心工作，保持拼搏进取的精神状态、苦干实干的工作作风，全力冲刺全年各项目标任务，推动意识形态阵地管理工作落到实处，不断研究完善落实工作措施，解决实际问题，确保年度内各项工作圆满完成，促进住房和城乡建设事业健康快速发展。</w:t>
      </w:r>
    </w:p>
    <w:p w14:paraId="06A7BFBB">
      <w:pPr>
        <w:keepNext w:val="0"/>
        <w:keepLines w:val="0"/>
        <w:pageBreakBefore w:val="0"/>
        <w:numPr>
          <w:ilvl w:val="0"/>
          <w:numId w:val="0"/>
        </w:numPr>
        <w:kinsoku/>
        <w:wordWrap/>
        <w:overflowPunct/>
        <w:topLinePunct/>
        <w:autoSpaceDE/>
        <w:autoSpaceDN/>
        <w:bidi w:val="0"/>
        <w:spacing w:line="360" w:lineRule="auto"/>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部门项目具体计划目标。</w:t>
      </w:r>
    </w:p>
    <w:p w14:paraId="169B609C">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1、负责贯彻执行国家、省、市有关住房和城乡建设、人民防空的法律、法规、规章及方针政策，拟订全区住房和城乡建设中长期发展规划、年度建设计划，并组织实施。</w:t>
      </w:r>
    </w:p>
    <w:p w14:paraId="5259DE9A">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2、负责审批权限范围内的城市建设计划、初步设计审查、施工许可及工程竣工验收备案。</w:t>
      </w:r>
    </w:p>
    <w:p w14:paraId="36629CC6">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3、负责审批权限范围内的建设工程消防设计审查、消防验收、备案和抽查。</w:t>
      </w:r>
    </w:p>
    <w:p w14:paraId="5EA43272">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4、负责工程建设项目的质量监督及本行业领域的安全生产监管；负责建筑施工企业安全生产许可证核发、延期审查和批后管理；负责建设工程标准化和造价管理工作，参与编制建筑经济定额。</w:t>
      </w:r>
    </w:p>
    <w:p w14:paraId="70F287AE">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5、负责贯彻执行建筑业的行业管理法律、法规及政策，规范建筑市场，推进建筑业发展；在权限范围内负责建筑业企业的资质审查、报批管理。</w:t>
      </w:r>
    </w:p>
    <w:p w14:paraId="7DA78B42">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6、负责贯彻执行房地产业的行业管理法律、法规及政策，规范房地产市场秩序；负责贯彻执行物业服务行业的法律、法规及政策，指导、监督辖区内各物业服务企业工作；</w:t>
      </w:r>
    </w:p>
    <w:p w14:paraId="2BD47A93">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负责贯彻执行房屋租赁行业的地方性法规、规章和规范性文件，指导、监督辖区内各房屋中介机构工作；负责辖区房屋安全管理鉴定工作。</w:t>
      </w:r>
    </w:p>
    <w:p w14:paraId="4AB1B98F">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7、负责辖区内瓶装液化燃气供应站（点）、液化燃气用户的行业管理、安全管理工作；负责对辖区内瓶装液化气供应站（点）操作人员持证上岗情况的监督检查工作。</w:t>
      </w:r>
    </w:p>
    <w:p w14:paraId="725ABEA1">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8、按照上级业务主管部门的要求承担滇池流域外城镇排水与污水处理职责。</w:t>
      </w:r>
    </w:p>
    <w:p w14:paraId="66FEB4B3">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负责政府工程项目的代建监督、指导工作；配合做好建筑和市政工程施工图设计文件审查备案工作；负责主城区城市道路、桥梁（隧道）的路面平整及井盖运行管理（不含其他附属设施），指导、监督、检查日常维护管养工作；负责辖区内城市道路、桥梁占用挖掘的监管，指导辖区内城市规划道路、桥梁（隧道）路面及井盖的管养维护工作。</w:t>
      </w:r>
    </w:p>
    <w:p w14:paraId="6F717767">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10、负责贯彻有关村镇建设的法律、法规及政策，指导辖区内村镇建设、安全及危房改造，负责农村民居通用图的设计及推广；配合做好特色小（城）镇、美丽乡村等创建工作。</w:t>
      </w:r>
    </w:p>
    <w:p w14:paraId="37E669AA">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11、负责辖区内建筑工程抗震设防管理及农村民居抗震安全工作；负责建设工程的抗震设防专项审查，协助有关部门做好震后抢险工作；指导和组织震后恢复重建工作。</w:t>
      </w:r>
    </w:p>
    <w:p w14:paraId="62EA2636">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负责拟订辖区保障性安居工程的发展规划、计划并监督实施；负责指导监督辖区直管公房的维修、抗震加固和改造；承担直管公房房屋租金收取工作；负责直管公房统计年报工作；指导参与辖区住房制度改革工作及住房补贴发放工作；负责私有房产历史遗留问题的核查和政策落实工作。</w:t>
      </w:r>
    </w:p>
    <w:p w14:paraId="47036DC6">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13、负责依据城市发展总体规划，平时组织开展人民防空建设，战时组织开展城市人民防空袭斗争。负责人防工程维护管理，负责人防设施拆除迁移审批。</w:t>
      </w:r>
    </w:p>
    <w:p w14:paraId="0DEB09C2">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14、负责贯彻执行国家和省、市、区颁布的工程建设有关消防工程的政策、法律、法规、规范、标准；负责辖区内新建、扩建、改建工程项目的消防工程设计审查、验收和备案。</w:t>
      </w:r>
    </w:p>
    <w:p w14:paraId="0667EA87">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15、负责建筑起重机械的安全监督管理。</w:t>
      </w:r>
    </w:p>
    <w:p w14:paraId="5CB0DBE2">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16、完成区委、区政府和上级机关交办的其他任务。</w:t>
      </w:r>
    </w:p>
    <w:p w14:paraId="7E6C669C">
      <w:pPr>
        <w:keepNext w:val="0"/>
        <w:keepLines w:val="0"/>
        <w:pageBreakBefore w:val="0"/>
        <w:kinsoku/>
        <w:wordWrap/>
        <w:overflowPunct/>
        <w:topLinePunct/>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三、评价思路和过程</w:t>
      </w:r>
    </w:p>
    <w:p w14:paraId="692DF5B2">
      <w:pPr>
        <w:keepNext w:val="0"/>
        <w:keepLines w:val="0"/>
        <w:pageBreakBefore w:val="0"/>
        <w:kinsoku/>
        <w:wordWrap/>
        <w:overflowPunct/>
        <w:topLinePunct/>
        <w:autoSpaceDE/>
        <w:autoSpaceDN/>
        <w:bidi w:val="0"/>
        <w:spacing w:line="360" w:lineRule="auto"/>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价思路：在年初确定的部门整体支出绩效目标基础上，梳理部门内部管理制度及存量资源，根据部门整体支出情况，确定当年部门整体支出的评价重点，结合部门特征和工作目标，制定绩效评价指标体系，根据绩效评价指标体系逐一打分，确定评价结果。</w:t>
      </w:r>
    </w:p>
    <w:p w14:paraId="248469D9">
      <w:pPr>
        <w:keepNext w:val="0"/>
        <w:keepLines w:val="0"/>
        <w:pageBreakBefore w:val="0"/>
        <w:kinsoku/>
        <w:wordWrap/>
        <w:overflowPunct/>
        <w:autoSpaceDE/>
        <w:autoSpaceDN/>
        <w:bidi w:val="0"/>
        <w:adjustRightInd w:val="0"/>
        <w:spacing w:line="360" w:lineRule="auto"/>
        <w:ind w:firstLine="320" w:firstLineChars="1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（二）评价目的。</w:t>
      </w:r>
      <w:r>
        <w:rPr>
          <w:rFonts w:hint="eastAsia" w:ascii="仿宋_GB2312" w:hAnsi="仿宋_GB2312" w:eastAsia="仿宋_GB2312" w:cs="仿宋_GB2312"/>
          <w:color w:val="000000"/>
          <w:kern w:val="0"/>
          <w:sz w:val="32"/>
          <w:szCs w:val="32"/>
        </w:rPr>
        <w:t>通过收集部门基本情况、预算制定与明细、部门中长期规划目标及组织架构等信息，分析部门资源配置的合理性及中长期规划目标完成与履职情况，总结经验做法，找出预算绩效管理中的薄弱环节，提出改进建议，提高财政资金的使用效益。制定具体的评价工作方案，明确单位整体绩效、道路桥梁维护费、桥梁安全检测费为自评项目；明确评价目的、组织形式、指标体系框架的具体评价内容；以及可使用的成本效益分析法、比较法、公众评判法等评价方法。</w:t>
      </w:r>
    </w:p>
    <w:p w14:paraId="78240B51">
      <w:pPr>
        <w:keepNext w:val="0"/>
        <w:keepLines w:val="0"/>
        <w:pageBreakBefore w:val="0"/>
        <w:kinsoku/>
        <w:wordWrap/>
        <w:overflowPunct/>
        <w:topLinePunct/>
        <w:autoSpaceDE/>
        <w:autoSpaceDN/>
        <w:bidi w:val="0"/>
        <w:spacing w:line="360" w:lineRule="auto"/>
        <w:ind w:firstLine="320" w:firstLineChars="1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（三）评价依据。</w:t>
      </w:r>
    </w:p>
    <w:p w14:paraId="2C5A08F1">
      <w:pPr>
        <w:pStyle w:val="2"/>
        <w:keepNext w:val="0"/>
        <w:keepLines w:val="0"/>
        <w:pageBreakBefore w:val="0"/>
        <w:kinsoku/>
        <w:wordWrap/>
        <w:overflowPunct/>
        <w:autoSpaceDE/>
        <w:autoSpaceDN/>
        <w:bidi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昆明市盘龙区财政局关于开展2023年度区级预算支出绩效自评工作的通知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（盘财绩[2024]5号）</w:t>
      </w:r>
    </w:p>
    <w:p w14:paraId="2F451BBA">
      <w:pPr>
        <w:pStyle w:val="2"/>
        <w:keepNext w:val="0"/>
        <w:keepLines w:val="0"/>
        <w:pageBreakBefore w:val="0"/>
        <w:kinsoku/>
        <w:wordWrap/>
        <w:overflowPunct/>
        <w:autoSpaceDE/>
        <w:autoSpaceDN/>
        <w:bidi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2、《盘龙区区级部门预算绩效自评管理暂行办法》。</w:t>
      </w:r>
    </w:p>
    <w:p w14:paraId="39EF5B5F">
      <w:pPr>
        <w:pStyle w:val="2"/>
        <w:keepNext w:val="0"/>
        <w:keepLines w:val="0"/>
        <w:pageBreakBefore w:val="0"/>
        <w:kinsoku/>
        <w:wordWrap/>
        <w:overflowPunct/>
        <w:autoSpaceDE/>
        <w:autoSpaceDN/>
        <w:bidi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、昆明市盘龙区住房和城乡建设局内部管理制度。</w:t>
      </w:r>
    </w:p>
    <w:p w14:paraId="29F2784F">
      <w:pPr>
        <w:keepNext w:val="0"/>
        <w:keepLines w:val="0"/>
        <w:pageBreakBefore w:val="0"/>
        <w:kinsoku/>
        <w:wordWrap/>
        <w:overflowPunct/>
        <w:topLinePunct/>
        <w:autoSpaceDE/>
        <w:autoSpaceDN/>
        <w:bidi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（四）评价对象及评价时段。</w:t>
      </w:r>
    </w:p>
    <w:p w14:paraId="622F2E69">
      <w:pPr>
        <w:pStyle w:val="2"/>
        <w:keepNext w:val="0"/>
        <w:keepLines w:val="0"/>
        <w:pageBreakBefore w:val="0"/>
        <w:kinsoku/>
        <w:wordWrap/>
        <w:overflowPunct/>
        <w:autoSpaceDE/>
        <w:autoSpaceDN/>
        <w:bidi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本次评价对象为昆明市盘龙区住房和城乡建设局202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年部门整体支出，评价时段为202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w:t>
      </w:r>
    </w:p>
    <w:p w14:paraId="2595B2BA">
      <w:pPr>
        <w:pStyle w:val="2"/>
        <w:keepNext w:val="0"/>
        <w:keepLines w:val="0"/>
        <w:pageBreakBefore w:val="0"/>
        <w:kinsoku/>
        <w:wordWrap/>
        <w:overflowPunct/>
        <w:autoSpaceDE/>
        <w:autoSpaceDN/>
        <w:bidi w:val="0"/>
        <w:spacing w:line="36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四、评价结论和绩效分析</w:t>
      </w:r>
    </w:p>
    <w:p w14:paraId="11D6657C">
      <w:pPr>
        <w:pStyle w:val="2"/>
        <w:keepNext w:val="0"/>
        <w:keepLines w:val="0"/>
        <w:pageBreakBefore w:val="0"/>
        <w:kinsoku/>
        <w:wordWrap/>
        <w:overflowPunct/>
        <w:autoSpaceDE/>
        <w:autoSpaceDN/>
        <w:bidi w:val="0"/>
        <w:spacing w:line="360" w:lineRule="auto"/>
        <w:ind w:left="0" w:lef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（一）评价结论</w:t>
      </w:r>
    </w:p>
    <w:p w14:paraId="0FB94D56">
      <w:pPr>
        <w:pStyle w:val="2"/>
        <w:keepNext w:val="0"/>
        <w:keepLines w:val="0"/>
        <w:pageBreakBefore w:val="0"/>
        <w:kinsoku/>
        <w:wordWrap/>
        <w:overflowPunct/>
        <w:autoSpaceDE/>
        <w:autoSpaceDN/>
        <w:bidi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1.评价结果</w:t>
      </w:r>
    </w:p>
    <w:p w14:paraId="7BA4E5B4">
      <w:pPr>
        <w:pStyle w:val="2"/>
        <w:keepNext w:val="0"/>
        <w:keepLines w:val="0"/>
        <w:pageBreakBefore w:val="0"/>
        <w:kinsoku/>
        <w:wordWrap/>
        <w:overflowPunct/>
        <w:autoSpaceDE/>
        <w:autoSpaceDN/>
        <w:bidi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部门整体支出情况良好，各项资金使用规范，无虚列项目支出情况，无截留挤占挪用情况，无超标开支情况，无超预算情况，内部控制制度基本健全，管理规范，有力贯彻落实相关项目的决策部署，及时做好上传下达、学习领会、布置安排、督促落实，不存在消极抵触，推诿扯皮，弄虚作假，敷衍塞则的现象，做到定目标、定时限，定期会议推进制，积极妥善地协调解决好工作中存在的问题和困难，通过不断的努力学习，职工专业素质不断提高，在工作过程中，本着“为民、务实、清廉、高效”的要求，围绕区昆明市盘龙区住房和城乡建设局的中心工作和任务，认真履行职责，提高行政效能，各项工作进展顺利，年度工作目标按时按质完成，绩效目标得以实现；根据指标评价体系，本次绩效考核自评得分 100 分，评价结果为“优”。</w:t>
      </w:r>
    </w:p>
    <w:p w14:paraId="552C61A5">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主要绩效。</w:t>
      </w:r>
    </w:p>
    <w:p w14:paraId="5ECB290F">
      <w:pPr>
        <w:pStyle w:val="2"/>
        <w:keepNext w:val="0"/>
        <w:keepLines w:val="0"/>
        <w:pageBreakBefore w:val="0"/>
        <w:widowControl w:val="0"/>
        <w:numPr>
          <w:ilvl w:val="0"/>
          <w:numId w:val="0"/>
        </w:numPr>
        <w:kinsoku/>
        <w:wordWrap/>
        <w:overflowPunct/>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局党组按照区委、区政府工作要求，突出党建引领，聚焦重点任务，解决突出问题，不断增强基层党组织政治功能和组织力，将“真抓实干、争做排头兵”活动、“以案促改”、“住建系统专项整治”等工作与业务工作紧密结合，深化改革事项，规范城市管理，强化行业监管，各项民生工程、重点项目有序推进。一年来，主要做了以下方面工作。</w:t>
      </w:r>
    </w:p>
    <w:p w14:paraId="28C8667C">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（1）坚持站高谋远，聚力攻坚北京路</w:t>
      </w:r>
    </w:p>
    <w:p w14:paraId="5DC54EB0">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今年以来，区住建局贯彻落实区委、区政府关于聚力攻坚北京路加快建设现代服务业示范区的决策部署，以提高北京路通行效率为目标，结合片区总体规划开发方案，进一步完善北京路周边路网建设，持续推进北京路沿线交通综合整治，推进城市基础设施品质提升。</w:t>
      </w:r>
    </w:p>
    <w:p w14:paraId="6AC2212E">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一是按质按量完成金星片区道路提升改造工程，督促北京路沿线商业片区市政道路代建单位加快推进马家营城中村改造项目、金刀营城中村改造项目、俊发城片区道路建设工程。</w:t>
      </w:r>
    </w:p>
    <w:p w14:paraId="2B98E989">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是持续开展北京路沿线交通综合整治，加快推进龙波路连接104号路节点综合整治提升工程、跨金汁河连接169号路桥梁工程，精准实施北京路沿线城市道路及桥梁设施管养维护工程，全面加强沿线地下管线和窨井盖管理工作。</w:t>
      </w:r>
    </w:p>
    <w:p w14:paraId="3BBD07F2">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是围绕“保民生、保稳定”的目标，坚持“一楼一策”工作机制，精准施策，全力推进北京路沿线5个项目“保交楼”工作，盘龙区第一批“保交楼”项目全部交付，累计完成住房交付7931套，有效解决群众急难险重问题。</w:t>
      </w:r>
    </w:p>
    <w:p w14:paraId="4500B56E">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（2）抓好经济指标，助力房地产、建筑业平稳发展</w:t>
      </w:r>
    </w:p>
    <w:p w14:paraId="31E1EED7">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前三季度完成建筑业产值285.03亿元，同比增长2.3%，预计四季度完成产值110亿元，全年预计完成产值395亿元；2023年1-9月，完成房地产投资138.48亿元，完成商品房销售面积67.01万平方米；完成市场主体倍增新入库企业45家，完成新增建筑业企业542家，全力推进“四上企业”入库落地工作；加强建筑企业资质监管服务，办理资质申请105条，资质增项76条，资质升级3条，资质变更286条，劳务资质75条。</w:t>
      </w:r>
    </w:p>
    <w:p w14:paraId="51B7231A">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（3）整治提升背街小巷，全面美化城市形象</w:t>
      </w:r>
    </w:p>
    <w:p w14:paraId="54CAEA51">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牵头开展全区14条背街小巷整治提升工作，统筹城管、街道、交警等部门按“一路一策”方案开展管线铺设、路面、立面、文化形象墙等建设工作，全部道路路面工程均已完成铺设，整体工程预计于11月底前全面完成，力争全市竞赛排名靠前。</w:t>
      </w:r>
    </w:p>
    <w:p w14:paraId="00406851">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（4）抓细非房固投，完成专项债发行任务</w:t>
      </w:r>
    </w:p>
    <w:p w14:paraId="496C4C65">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督促企业加快非房项目推进，做到产值应统尽统，截至2023年10月，共计完成非房固投约51600万元；积极推进北部山水新区惠尚城项目专项债券发行工作，2022年发行专项债券7亿元，2023年将发行专项债券10亿元，区住建局将会同区发改局、区财政局按照专项债券资金使用管理有关规定，在职责范围内共同行使履行好各方专项债券资金使用的权利与监管职责。</w:t>
      </w:r>
    </w:p>
    <w:p w14:paraId="59332D6C">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（5）完善城市功能，加强基础设施建设</w:t>
      </w:r>
    </w:p>
    <w:p w14:paraId="37A34298">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践行“以人民为中心”的理念。按照“有路无灯、有灯不亮”三年行动计划，对12条道路实施片区路灯照明设施查缺补建工作；完成人民东路延安医院、白龙路石闸立交2座人行天桥建设并投入使用；完成盘龙区城市交通堵点治理工程性改造项目5个，完成城市道路及桥梁设施维护工程等8个项目立项、初设、规划意见、水保、环评等前期要件办理工作。</w:t>
      </w:r>
    </w:p>
    <w:p w14:paraId="6A7BA65E">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是着力保障群众脚下安全。全面排查整治城市窨井设施，共排查辖区路网井盖235893个，病害井盖3075个，完成整治3064个；完成北京路、穿金路、环城路、景润路、求实街、东江路、小龙巷等道路的日常维护，对铂金大道桥、北部客运站桥、凤凰河桥等15座桥梁专项检测；完成东三环（白龙路—白沙街段）病害、隐患整治工程。</w:t>
      </w:r>
    </w:p>
    <w:p w14:paraId="03759CBD">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是理顺基础设施管养机制。制定《盘龙区窨井盖应急处置实施细则》《盘龙区城市窨井维护管理计分扣分规则办法》《盘龙区市政处窨井盖投诉件权属核查及病害整改处置督促工作方案》；创新“甲代+监理”代建道路双管模式，建立代建道路管理台账，强化代建道路监管工作；加强与市级部门联系，全面推进三环闭合盘龙段建设工作，目前已完成施工、监理相关单位招标工作。</w:t>
      </w:r>
    </w:p>
    <w:p w14:paraId="3D0A278C">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是统筹项目包装谋划，积极争取上级资金支持。围绕中央资金申报要点，结合保障性住房建设、基础设施建设、城市供水、适儿化改造等相关政策，包装谋划住建领域项目11个，均已完成国家重大项目库录入工作。</w:t>
      </w:r>
    </w:p>
    <w:p w14:paraId="44650FFB">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（6）深化审批改革，大力优化营商环境</w:t>
      </w:r>
    </w:p>
    <w:p w14:paraId="2A47CDB0">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今年以来，我局以深化工程建设审批制度改革工作为重要抓手，围绕优化服务的思想，切实做好审批服务工作，限时办结各项审批服务事项。</w:t>
      </w:r>
    </w:p>
    <w:p w14:paraId="52E539A1">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为进一步疏解既有建筑改造项目的难点、打通堵点，更好地推动城市更新，我局坚持“以问题为导向，用创新破难题”的基本思想，拟定《盘龙区临时改变既有建筑使用功能建设工程消防设计审查、验收、备案的管理办法（试行）》并加以实施，优化了审批程序，推进了互联互通。2023年7月7日，该亮点经验被昆明市工程建设项目审批制度改革领导小组办公室作为好经验、好做法全市范围推广。</w:t>
      </w:r>
    </w:p>
    <w:p w14:paraId="049377AB">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是通过“精简办证资料、网上办理不见面、数据跑腿、电子证照”等举措，大幅简化了住建领域审批时限及环节。全年完成房屋建筑工程和市政基础设施建设工程初步设计审批共13件、房屋建筑工程和市政基础设施建设工程施工许可证新证核发23件、《建筑工程施工许可证》变更21件、商品住宅精装修手续5件、房屋装饰装修工程施工许可意见21件、工程建设抗震设防专项审查3件、城镇污水排入排水管网许可55件、既有住宅加装电梯2件，燃气供应许可行政现场踏勘5次，供应站点地址变更手续3件，办结建设工程消防设计审查26件、建设工程消防验收23件、建设工程消防验收备案11件、围挡占道审批284件，道路开挖审批68件。</w:t>
      </w:r>
    </w:p>
    <w:p w14:paraId="6071AAF8">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是加强预售资金监管及网签审核工作，严格审核项目网签材料，加快项目销售回款，审核预售资金用途，确保资金用于复工续建，推进交付进度。同时按“新老划断”、“封闭监管”的原则，为置地广场、云润天阳等烂尾楼项目，制定预售监管资金一楼一策方案，有效推进烂尾楼化解工作有序推进。</w:t>
      </w:r>
    </w:p>
    <w:p w14:paraId="21CA749B">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（7）强化住房保障，改善居住条件</w:t>
      </w:r>
    </w:p>
    <w:p w14:paraId="49F18F3E">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持续抓好公租房、廉租房管理服务，全年共计办理廉租房申请64户，公租房申请2600余户，审核通过申请人员优抚确认280余人，受理业务咨询4000余人次；完成城镇保障性住房租赁补贴资金兑付583户次，发放廉租住房补贴共计26万元，减免公租房优抚对象租金41人，最大租金减免额度达95%；严格按照收支两条线原则管理公租房、廉租房租金、履约金，收缴租金1601万元，公租房租金收缴率在90%以上，保障性住房小区人居环境日益提升。</w:t>
      </w:r>
    </w:p>
    <w:p w14:paraId="7DFAA1C0">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二是加快推进保障性租赁住房建设，区属5各保障性住房项目合计11000余套保障性租赁住房正在建设、转换过程中，“惠尚城”、“惠悦城”2各项目预计于2024年底竣工，2025年投入运营使用。</w:t>
      </w:r>
    </w:p>
    <w:p w14:paraId="3CEFD8FC">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（8）加强物业管理，提升服务水平</w:t>
      </w:r>
    </w:p>
    <w:p w14:paraId="7B5990C6">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积极推进维修资金追缴。通过破产重整、非诉执行等方式对国家审计认定的16个项目进行追缴，截至目前共追缴5个项目部分维修资金918.21万元；对国家审计认定外的26个项目，我局采取约谈、下发限期缴纳住宅专项维修资金通知书方式进行追缴，截至目前共追缴金额20614.76万元。</w:t>
      </w:r>
    </w:p>
    <w:p w14:paraId="15CD7A0E">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是继续提高物业行业管理水平。以“党建引领”、“红色物业”为抓手，组织开展“红色物业”创建培训工作会2次，完成物业项目属地备案15个，物业服务政府指导价备案4个；拟定《关于进一步细化盘龙区物业管理工作的通知》，进一步理顺物业管理相关部门管理职责，实现物业管理闭环无缝衔接；组织成立盘龙区物业管理专家库，协助政府物业主管部门处理行业纠纷；探索信托制物业管理模式，制定《盘龙区物业管理社会治理深化改革工作方案》，力求老旧无人管理小区社会治理取得新突破。</w:t>
      </w:r>
    </w:p>
    <w:p w14:paraId="2FC61803">
      <w:pPr>
        <w:keepNext w:val="0"/>
        <w:keepLines w:val="0"/>
        <w:pageBreakBefore w:val="0"/>
        <w:numPr>
          <w:ilvl w:val="0"/>
          <w:numId w:val="0"/>
        </w:numPr>
        <w:kinsoku/>
        <w:wordWrap/>
        <w:overflowPunct/>
        <w:topLinePunct/>
        <w:autoSpaceDE/>
        <w:autoSpaceDN/>
        <w:bidi w:val="0"/>
        <w:spacing w:line="360" w:lineRule="auto"/>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具体绩效分析。</w:t>
      </w:r>
    </w:p>
    <w:p w14:paraId="578D4082">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一级指标：部门决策（35分）</w:t>
      </w:r>
    </w:p>
    <w:p w14:paraId="7E5A0E59">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部门决策设立部门目标、部门职能、资源配置3个二级指标。</w:t>
      </w:r>
    </w:p>
    <w:p w14:paraId="3D768C85">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（1）二级指标：部门目标（12分）</w:t>
      </w:r>
    </w:p>
    <w:p w14:paraId="77089D3D">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昆明市盘龙区人民政府办公室关于印发《昆明市盘龙区住房和城乡建设局主要职责内设机构和人员编制规定》的通知，设定了部门中长期规划目标，部门中长期规划目标明确且与盘龙区城市管理“十四五”规划目标及部门职能相一致，能够与部门职能相适应。年度工作目标具有明确性与合理性，并与中长期规划目标一致；制定了年度工作计划，并与年度工作目标对应匹配；绩效目标与部门中长期规划、年度工作目标任务相一致；所设定的整体绩效指标将部门整体绩效目标细化分解为具体工作任务，指标值具有清晰可衡量性，与本年度任务、计划数向对应，与本年度部门预算资金相匹配。部门目标自评得分12分。</w:t>
      </w:r>
    </w:p>
    <w:p w14:paraId="7D26A3AF">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二级指标：部门职能（10分）</w:t>
      </w:r>
    </w:p>
    <w:p w14:paraId="7BAD9F18">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过评价分析，昆明市盘龙区住房和城乡建设局职能设定以“三定”方案为准，职能描述明确，设定依据充分；年度工作目标明确，均在“三定”方案明确的范围内；部门年度具体工作与部门职能对应相匹配；年度具体工作与部门职能的匹配性;盘龙区住建局内设8个职能部门，下设7个事业单位；明确了各职能部门的具体职责，且具体职责明确。部门职能自评分得分10分。</w:t>
      </w:r>
    </w:p>
    <w:p w14:paraId="5EAE83FC">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二级指标：资源配置（13分）</w:t>
      </w:r>
    </w:p>
    <w:p w14:paraId="7141BD75">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经过评价分析，盘龙区住建局年初预算人员编制基数按202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年初实有在</w:t>
      </w:r>
      <w:r>
        <w:rPr>
          <w:rFonts w:hint="eastAsia" w:ascii="仿宋_GB2312" w:hAnsi="仿宋_GB2312" w:eastAsia="仿宋_GB2312" w:cs="仿宋_GB2312"/>
          <w:sz w:val="32"/>
          <w:szCs w:val="32"/>
          <w:lang w:eastAsia="zh-CN"/>
        </w:rPr>
        <w:t>职</w:t>
      </w:r>
      <w:r>
        <w:rPr>
          <w:rFonts w:hint="eastAsia" w:ascii="仿宋_GB2312" w:hAnsi="仿宋_GB2312" w:eastAsia="仿宋_GB2312" w:cs="仿宋_GB2312"/>
          <w:sz w:val="32"/>
          <w:szCs w:val="32"/>
        </w:rPr>
        <w:t>公务员</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人，工勤人员</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人，事业人员</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人。基本支出根据区财政局给定的标准计算，基本支出预算编制合理；项目支出按区财政局下达的预算编制文件上报，经区财政局对预算编制进行了审核，预算程序合理，预算依据充分，符合资金使用范围，不存在违规使用资金的情况；根据编制文件及内设机构岗位设置情况，人力资源配置合理；办公资源经费保障充足，配置合理，电脑、打印机、复印机、传真机等办公资源能满足办公需要；重点项目顺利实施，目标任务圆满完成，项目资金得以保障。资源配置自评得分13分。</w:t>
      </w:r>
    </w:p>
    <w:p w14:paraId="0675C05B">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综上分析，部门决策自评得分35分。</w:t>
      </w:r>
    </w:p>
    <w:p w14:paraId="407E384E">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2、一级指标：部门管理（20分）</w:t>
      </w:r>
    </w:p>
    <w:p w14:paraId="59B8C55E">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部门管理设立预算管理、财务管理、人力资源管理、资产管理、业务管理5个二级指标。</w:t>
      </w:r>
    </w:p>
    <w:p w14:paraId="0A3AA8CC">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（1）二级指标：预算管理（7分）</w:t>
      </w:r>
    </w:p>
    <w:p w14:paraId="11CB9B84">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资金，根据财政的要求按时申报，通过区财政审核批准后，根据工作开展，向区财政申请所需的项目费用。基本支出：根据工作进展，合理预算日常工作所需的经费并向区财政申请，包括职工报酬、日常办公经费以及相关人员享受的补贴申请等，根据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预算执行情况表，基本支出预算执行率达100%。项目支出：本着专款专用的原则，根据项目进展合理申请相关经费，预算年度内的所有资金，都通过区财政的把关，根据工作中预算执行情况及时申报，对于需作预算调整的按区财政相关规定程序进行预算调整，根据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预算执行情况表，项目支出预算执行率达100%。三公经费支出：三公经费控制率&lt;100%,其中：年度预算安排的因公出国（境）费0，实际支出0，控制率&lt;100%，公务用车购置及运行维护费控制率&lt;100%,公务接待费预算0，实际支出0，控制率&lt;100%，经费开支控制在预算范围内。根据中央新增项目“保障性住房租金补贴专项资金”，及时做好项目入库挂接工作。预算管理自评得分7分。</w:t>
      </w:r>
    </w:p>
    <w:p w14:paraId="14FC0C10">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（2）二级指标：财务管理（6分）</w:t>
      </w:r>
    </w:p>
    <w:p w14:paraId="2F42806C">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昆明市盘龙区住房和城乡建设局严格依据</w:t>
      </w:r>
      <w:bookmarkStart w:id="0" w:name="_GoBack"/>
      <w:bookmarkEnd w:id="0"/>
      <w:r>
        <w:rPr>
          <w:rFonts w:hint="eastAsia" w:ascii="仿宋_GB2312" w:hAnsi="仿宋_GB2312" w:eastAsia="仿宋_GB2312" w:cs="仿宋_GB2312"/>
          <w:sz w:val="32"/>
          <w:szCs w:val="32"/>
          <w:lang w:eastAsia="zh-CN"/>
        </w:rPr>
        <w:t>《中华人民共和国会计法》</w:t>
      </w:r>
      <w:r>
        <w:rPr>
          <w:rFonts w:hint="eastAsia" w:ascii="仿宋_GB2312" w:hAnsi="仿宋_GB2312" w:eastAsia="仿宋_GB2312" w:cs="仿宋_GB2312"/>
          <w:sz w:val="32"/>
          <w:szCs w:val="32"/>
        </w:rPr>
        <w:t>、《政府会计制度》及《昆明市盘龙区住建局项目管理制度》，《专项资金管理办法》、《预算、决算管理制度》、《公务卡管理制度》等进行项目资金拨付。按照专项资金的管理制度执行，层层审核、专款专用，无挪用、截留、虚列项目支出等违规情况，支出手续健全，审批严谨，严格执行专项资金管理办法，制度健全，合法合规；预算资金使用全部通过零余额账户用款额度拨付，并经单位负责人审批，重大资金支出均经集体决策；预算资金的使用符合预算资金的用途；财务监控方面，严格按制度、程序执行。财务管理自评得分6分。</w:t>
      </w:r>
    </w:p>
    <w:p w14:paraId="427E7790">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）二级指标：人力资源管理（2分）</w:t>
      </w:r>
    </w:p>
    <w:p w14:paraId="73F486B4">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经过评价分析，公务员核编</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人，实有</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人，工勤核编2人，实有人员</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人，事业核编86人，实有事业人员</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lang w:eastAsia="zh-CN"/>
        </w:rPr>
        <w:t>人，在职人员控制率位69.23%，控制在编制范围内；制定了《人事管理制度》，并按上级相关规定及所制定的《综合目标考核办法及细则》对相关人员进行考核。人力资源管理自评得分2分。</w:t>
      </w:r>
    </w:p>
    <w:p w14:paraId="58F276A5">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（4）二级指标：资产管理（2分）</w:t>
      </w:r>
    </w:p>
    <w:p w14:paraId="40AC9820">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经过评价分析，区住建局建立了《固定资产管理制度》，制度符合相关法律法规规定，每月按时计提折旧，定期进行盘点和资产清理，总体执行较好。资产管理自评得分2分。</w:t>
      </w:r>
    </w:p>
    <w:p w14:paraId="50DF32C8">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（5）二级指标：业务管理（3分）</w:t>
      </w:r>
    </w:p>
    <w:p w14:paraId="76B8F76E">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评价分析，根据“昆明市盘龙区人民政府办公室关于印发《昆明市盘龙区住房和城乡建设局主要职责内设机构和人员编制规定》的通知”进行相关的管理，建立了《管理制度汇编》，包含了《安全生产管理制度》、《道路桥梁维护工程实施办法及细则》、《道路桥梁巡查管理办法》、《道路桥梁巡查与维修养护质量管理办法》等业务管理制度，细化部门职责，工作合理分配，管理合法、合规、完整，执行到位；严格执行政府采购相关规定，采购方式、程序规范；对所属部门严格监督考核做好考核记录，每个季度考核结果进行公示，对项目实施主体的相关工作进行定期或不定期检查，监管到位。业务管理自评得分3分。</w:t>
      </w:r>
    </w:p>
    <w:p w14:paraId="7BA8E48E">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综上分析，部门管理自评得分20分。</w:t>
      </w:r>
    </w:p>
    <w:p w14:paraId="6D04A898">
      <w:pPr>
        <w:pStyle w:val="2"/>
        <w:keepNext w:val="0"/>
        <w:keepLines w:val="0"/>
        <w:pageBreakBefore w:val="0"/>
        <w:numPr>
          <w:ilvl w:val="0"/>
          <w:numId w:val="0"/>
        </w:numPr>
        <w:kinsoku/>
        <w:wordWrap/>
        <w:overflowPunct/>
        <w:autoSpaceDE/>
        <w:autoSpaceDN/>
        <w:bidi w:val="0"/>
        <w:spacing w:line="360" w:lineRule="auto"/>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一级指标：</w:t>
      </w:r>
      <w:r>
        <w:rPr>
          <w:rFonts w:hint="eastAsia" w:ascii="仿宋_GB2312" w:hAnsi="仿宋_GB2312" w:eastAsia="仿宋_GB2312" w:cs="仿宋_GB2312"/>
          <w:sz w:val="32"/>
          <w:szCs w:val="32"/>
          <w:lang w:val="en-US" w:eastAsia="zh-CN"/>
        </w:rPr>
        <w:t>部门绩效自评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分）</w:t>
      </w:r>
    </w:p>
    <w:p w14:paraId="692BF970">
      <w:pPr>
        <w:pStyle w:val="2"/>
        <w:keepNext w:val="0"/>
        <w:keepLines w:val="0"/>
        <w:pageBreakBefore w:val="0"/>
        <w:numPr>
          <w:ilvl w:val="0"/>
          <w:numId w:val="0"/>
        </w:numPr>
        <w:kinsoku/>
        <w:wordWrap/>
        <w:overflowPunct/>
        <w:autoSpaceDE/>
        <w:autoSpaceDN/>
        <w:bidi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部门绩效自评</w:t>
      </w:r>
      <w:r>
        <w:rPr>
          <w:rFonts w:hint="eastAsia" w:ascii="仿宋_GB2312" w:hAnsi="仿宋_GB2312" w:eastAsia="仿宋_GB2312" w:cs="仿宋_GB2312"/>
          <w:sz w:val="32"/>
          <w:szCs w:val="32"/>
        </w:rPr>
        <w:t>设立</w:t>
      </w:r>
      <w:r>
        <w:rPr>
          <w:rFonts w:hint="eastAsia" w:ascii="仿宋_GB2312" w:hAnsi="仿宋_GB2312" w:eastAsia="仿宋_GB2312" w:cs="仿宋_GB2312"/>
          <w:sz w:val="32"/>
          <w:szCs w:val="32"/>
          <w:lang w:eastAsia="zh-CN"/>
        </w:rPr>
        <w:t>部门产出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部门效果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部门可持续发展</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个二级指标。</w:t>
      </w:r>
    </w:p>
    <w:p w14:paraId="1CE351F6">
      <w:pPr>
        <w:pStyle w:val="2"/>
        <w:keepNext w:val="0"/>
        <w:keepLines w:val="0"/>
        <w:pageBreakBefore w:val="0"/>
        <w:numPr>
          <w:ilvl w:val="0"/>
          <w:numId w:val="0"/>
        </w:numPr>
        <w:kinsoku/>
        <w:wordWrap/>
        <w:overflowPunct/>
        <w:autoSpaceDE/>
        <w:autoSpaceDN/>
        <w:bidi w:val="0"/>
        <w:spacing w:line="360" w:lineRule="auto"/>
        <w:ind w:firstLine="320" w:firstLineChars="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）二级指标：部门产出（18分）</w:t>
      </w:r>
    </w:p>
    <w:p w14:paraId="486AD038">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过评价分析，负责人防工程维护和管理，负责辖区内市政基础设施建设计划并组织实施，负责指导监督保障性住房建设管理；指导监督辖区直管公房租赁管理；指导参与辖区住房制度改革工作及住房补贴发放，指导辖区内防震减灾工作、辅助辖区瓶装液化燃气供应站（点）许可证行政审批，完成率100%。政府投资建设项目，按时完成计划工作进度，完成率100%。建设工程质量安全监督，分派相关工作人员进行施工质量监督，完成率100%。保障性住房工作，做好资金拨付，完成率100%。住房补贴，按季发放所有住房租户租赁补贴，全部户数发放完毕，完成率100%。高举“党建引领”、“红色物业”的新时代旗帜，不断提升物业管理水平，成立昆明市盘龙区物业管理协会，组建物业协会专家组，目前我局正同专家组拟定盘龙区老旧小区物业服务标准，探索老旧小区引入物业管理新模式。目前，辖区748个小区的业委会、物委会覆盖率已达100%；全年共处理物业领域投诉3062件；审计认定需整改的13个住宅维修资金项目已追回5个的部分资金；对23个物业项目进行属地备案，对10个物业项目进行物业服务政府指导价备案；对辖区全部居住小区物业服务企业开展信用等级评价；385个物业服务小区全部完成物业服务及收费信息公示；积极推动垃圾分类，共计向小区发放宣传资料22500余份；开展了“春城党建新力量”专项服务、“双星小区”评选等活动。考核工作严格按考核标准执行，完成率100%。部门产出自评得分18分。积极开展房屋安全鉴定及自建房排查整治，切实保障城乡居民住房安全。截至目前，共计完成68幢房屋安全鉴定；辖区9286栋经营性自建房已经全部完成排查，存在安全隐患的43栋已全部采取整治措施；辖区农村存量危房进行“回头看”排查出的26户存量危房中3户已拆除重建，其余23户正积极推进整治。</w:t>
      </w:r>
    </w:p>
    <w:p w14:paraId="2EB56EA5">
      <w:pPr>
        <w:pStyle w:val="2"/>
        <w:keepNext w:val="0"/>
        <w:keepLines w:val="0"/>
        <w:pageBreakBefore w:val="0"/>
        <w:numPr>
          <w:ilvl w:val="0"/>
          <w:numId w:val="0"/>
        </w:numPr>
        <w:kinsoku/>
        <w:wordWrap/>
        <w:overflowPunct/>
        <w:autoSpaceDE/>
        <w:autoSpaceDN/>
        <w:bidi w:val="0"/>
        <w:spacing w:line="360" w:lineRule="auto"/>
        <w:ind w:firstLine="320" w:firstLineChars="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二级指标：部门效果（21分）</w:t>
      </w:r>
    </w:p>
    <w:p w14:paraId="39ABAE11">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进一步完善矛盾纠纷排查化解工作制度，不断规范信访工作程序，截至目前，办理12345市长热线平台投诉件4040件、电话交办件288件、信访系统派件办结411件，实地接访超过45批次共计110余人次；共计办理回复依申请信息公开平台件、邮寄件、上级部门转办件29件；完成城市管理网格化案件处置1100件；承办人大建议35件，政协提案18件。</w:t>
      </w:r>
    </w:p>
    <w:p w14:paraId="3760F3A2">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年共计办理廉租房申请64户，公租房申请2600余户，审核通过申请人员优抚确认280余人，受理业务咨询4000余人次；完成城镇保障性住房租赁补贴资金兑付583户次，发放廉租住房补贴共计26万元，减免公租房优抚对象租金41人，最大租金减免额度达95%；严格按照收支两条线原则管理公租房、廉租房租金、履约金，收缴租金1601万元，公租房租金收缴率在90%以上，保障性住房小区人居环境日益提升。部门效果自评得分21分。</w:t>
      </w:r>
    </w:p>
    <w:p w14:paraId="09CEF4C8">
      <w:pPr>
        <w:pStyle w:val="2"/>
        <w:keepNext w:val="0"/>
        <w:keepLines w:val="0"/>
        <w:pageBreakBefore w:val="0"/>
        <w:numPr>
          <w:ilvl w:val="0"/>
          <w:numId w:val="0"/>
        </w:numPr>
        <w:kinsoku/>
        <w:wordWrap/>
        <w:overflowPunct/>
        <w:autoSpaceDE/>
        <w:autoSpaceDN/>
        <w:bidi w:val="0"/>
        <w:spacing w:line="360" w:lineRule="auto"/>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（3）二级指标：部门可持续发展（6分）</w:t>
      </w:r>
    </w:p>
    <w:p w14:paraId="4ABDD9B0">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经过评价分析，区住建局职工定期参加培训，不断提高业务能力， 2022年度部门预算、绩效、决算及其他信息已向社会公开。建立健全各项管理制度,为提高管理、效率、信息化建设等方面提供了可持续发展的保障。部门可持续发展自评得分6分。</w:t>
      </w:r>
    </w:p>
    <w:p w14:paraId="7CD0788A">
      <w:pPr>
        <w:pStyle w:val="2"/>
        <w:keepNext w:val="0"/>
        <w:keepLines w:val="0"/>
        <w:pageBreakBefore w:val="0"/>
        <w:numPr>
          <w:ilvl w:val="0"/>
          <w:numId w:val="0"/>
        </w:numPr>
        <w:kinsoku/>
        <w:wordWrap/>
        <w:overflowPunct/>
        <w:autoSpaceDE/>
        <w:autoSpaceDN/>
        <w:bidi w:val="0"/>
        <w:spacing w:line="360" w:lineRule="auto"/>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综上分析：部门绩效自评得分45分。</w:t>
      </w:r>
    </w:p>
    <w:p w14:paraId="0CFFCA82">
      <w:pPr>
        <w:keepNext w:val="0"/>
        <w:keepLines w:val="0"/>
        <w:pageBreakBefore w:val="0"/>
        <w:numPr>
          <w:ilvl w:val="0"/>
          <w:numId w:val="0"/>
        </w:numPr>
        <w:kinsoku/>
        <w:wordWrap/>
        <w:overflowPunct/>
        <w:topLinePunct/>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主要经验做法</w:t>
      </w:r>
    </w:p>
    <w:p w14:paraId="31DABBE4">
      <w:pPr>
        <w:pStyle w:val="2"/>
        <w:keepNext w:val="0"/>
        <w:keepLines w:val="0"/>
        <w:pageBreakBefore w:val="0"/>
        <w:numPr>
          <w:ilvl w:val="0"/>
          <w:numId w:val="0"/>
        </w:numPr>
        <w:kinsoku/>
        <w:wordWrap/>
        <w:overflowPunct/>
        <w:autoSpaceDE/>
        <w:autoSpaceDN/>
        <w:bidi w:val="0"/>
        <w:spacing w:line="360" w:lineRule="auto"/>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（一）建立健全各项管理制度汇编成册，将目标责任分解落实下达到每个部门，并建立定期考核制度，保障部门工作的长期可持续发展。</w:t>
      </w:r>
    </w:p>
    <w:p w14:paraId="2CE2E0AD">
      <w:pPr>
        <w:pStyle w:val="2"/>
        <w:keepNext w:val="0"/>
        <w:keepLines w:val="0"/>
        <w:pageBreakBefore w:val="0"/>
        <w:numPr>
          <w:ilvl w:val="0"/>
          <w:numId w:val="0"/>
        </w:numPr>
        <w:kinsoku/>
        <w:wordWrap/>
        <w:overflowPunct/>
        <w:autoSpaceDE/>
        <w:autoSpaceDN/>
        <w:bidi w:val="0"/>
        <w:spacing w:line="360" w:lineRule="auto"/>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与辖区各办事处及各物业公司联系，对办事处上报的破损道路分重点进行维护，加强对建筑工地的质量安全文明施工的监督、对物业小区的文明服务的要求、按照创文工作要求在确保主次干道平整通畅的前提下，继续加大对背街小巷、老旧小区、校园周边、农贸市场周边与人民群众生活直接相关的破损道路维护，对建筑工地、对防震减灾设施，人防工程的实施监督。</w:t>
      </w:r>
    </w:p>
    <w:p w14:paraId="6C3CC35C">
      <w:pPr>
        <w:pStyle w:val="2"/>
        <w:keepNext w:val="0"/>
        <w:keepLines w:val="0"/>
        <w:pageBreakBefore w:val="0"/>
        <w:numPr>
          <w:ilvl w:val="0"/>
          <w:numId w:val="0"/>
        </w:numPr>
        <w:kinsoku/>
        <w:wordWrap/>
        <w:overflowPunct/>
        <w:autoSpaceDE/>
        <w:autoSpaceDN/>
        <w:bidi w:val="0"/>
        <w:spacing w:line="360" w:lineRule="auto"/>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细化预算编制工作，严格按照预算相关制度和要求，进一步提高预算编制的科学性、严谨性和可控性。加强财务管理，严格财务审批，在费用保障支付时，按照预算规定费用和用途进行资金使用、审核、列报支付。</w:t>
      </w:r>
    </w:p>
    <w:p w14:paraId="70611CDA">
      <w:pPr>
        <w:pStyle w:val="2"/>
        <w:keepNext w:val="0"/>
        <w:keepLines w:val="0"/>
        <w:pageBreakBefore w:val="0"/>
        <w:numPr>
          <w:ilvl w:val="0"/>
          <w:numId w:val="0"/>
        </w:numPr>
        <w:kinsoku/>
        <w:wordWrap/>
        <w:overflowPunct/>
        <w:autoSpaceDE/>
        <w:autoSpaceDN/>
        <w:bidi w:val="0"/>
        <w:spacing w:line="360" w:lineRule="auto"/>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（四）通过“三级巡查”制度对道路桥梁设施进行全面巡查，细化道路桥梁设施权责，责任到人，真正将维护工作做到实处，精益求精。</w:t>
      </w:r>
    </w:p>
    <w:p w14:paraId="2D4AC8BF">
      <w:pPr>
        <w:pStyle w:val="2"/>
        <w:keepNext w:val="0"/>
        <w:keepLines w:val="0"/>
        <w:pageBreakBefore w:val="0"/>
        <w:numPr>
          <w:ilvl w:val="0"/>
          <w:numId w:val="0"/>
        </w:numPr>
        <w:kinsoku/>
        <w:wordWrap/>
        <w:overflowPunct/>
        <w:autoSpaceDE/>
        <w:autoSpaceDN/>
        <w:bidi w:val="0"/>
        <w:spacing w:line="360" w:lineRule="auto"/>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加强与辖区各办事处联系，对办事处上报的破损道路分重点进行维护。按照创文工作要求在确保主次干道平整通畅的前提下，继续加大对背街小巷、老旧小区、校园周边、农贸市场周边与人民群众生活直接相关的破损道路维护。</w:t>
      </w:r>
    </w:p>
    <w:p w14:paraId="154A7E96">
      <w:pPr>
        <w:pStyle w:val="2"/>
        <w:keepNext w:val="0"/>
        <w:keepLines w:val="0"/>
        <w:pageBreakBefore w:val="0"/>
        <w:numPr>
          <w:ilvl w:val="0"/>
          <w:numId w:val="0"/>
        </w:numPr>
        <w:kinsoku/>
        <w:wordWrap/>
        <w:overflowPunct/>
        <w:autoSpaceDE/>
        <w:autoSpaceDN/>
        <w:bidi w:val="0"/>
        <w:spacing w:line="360" w:lineRule="auto"/>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细化预算编制工作，严格按照预算相关制度和要求，进一步提高预算编制的科学性、严谨性和可控性。加强财务管理，严格财务审批，在费用保障支付时，按照预算规定费用和用途进行资金使用、审核、列报支付。</w:t>
      </w:r>
    </w:p>
    <w:p w14:paraId="7708ACAC">
      <w:pPr>
        <w:pStyle w:val="2"/>
        <w:keepNext w:val="0"/>
        <w:keepLines w:val="0"/>
        <w:pageBreakBefore w:val="0"/>
        <w:numPr>
          <w:ilvl w:val="0"/>
          <w:numId w:val="0"/>
        </w:numPr>
        <w:kinsoku/>
        <w:wordWrap/>
        <w:overflowPunct/>
        <w:autoSpaceDE/>
        <w:autoSpaceDN/>
        <w:bidi w:val="0"/>
        <w:spacing w:line="360" w:lineRule="auto"/>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自评结果应用。及时整理、归纳分析、绩效自评结果，积累和储备历史数据，补充完善绩效评价指标并将其作为改进预算绩效管理和安排以后年度预算的重要依据。针对绩效自评中存在的问题，及时调整，更加合理配置资源，加强财务管理，完善项目管理办法，切实提高项目管理水平、资金使用效益和部门工作效率。认真落实整改意见，不断提高预算绩效管理水平。将绩效自评整改意见的落实情况等及时报送主管部门和区财政局。并按照相关规定，及时向社会公开，接受社会监督。</w:t>
      </w:r>
    </w:p>
    <w:p w14:paraId="49AC6B76">
      <w:pPr>
        <w:keepNext w:val="0"/>
        <w:keepLines w:val="0"/>
        <w:pageBreakBefore w:val="0"/>
        <w:widowControl w:val="0"/>
        <w:kinsoku/>
        <w:wordWrap/>
        <w:overflowPunct/>
        <w:topLinePunct/>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六、存在的问题</w:t>
      </w:r>
    </w:p>
    <w:p w14:paraId="56DEA662">
      <w:pPr>
        <w:keepNext w:val="0"/>
        <w:keepLines w:val="0"/>
        <w:pageBreakBefore w:val="0"/>
        <w:widowControl w:val="0"/>
        <w:kinsoku/>
        <w:wordWrap/>
        <w:overflowPunct/>
        <w:topLinePunct/>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（一）建筑业及房地产市场方面</w:t>
      </w:r>
    </w:p>
    <w:p w14:paraId="7D1D7177">
      <w:pPr>
        <w:keepNext w:val="0"/>
        <w:keepLines w:val="0"/>
        <w:pageBreakBefore w:val="0"/>
        <w:widowControl w:val="0"/>
        <w:kinsoku/>
        <w:wordWrap/>
        <w:overflowPunct/>
        <w:topLinePunct/>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一是经济下行压力增大，政府投资的市政、房建、水利、公路项目减少，部分建筑施工企业面临“无标可投、无事可做”的尴尬境地，建筑业产值下降趋势持续，平稳健康发展提振信心不足。</w:t>
      </w:r>
    </w:p>
    <w:p w14:paraId="00F606E4">
      <w:pPr>
        <w:keepNext w:val="0"/>
        <w:keepLines w:val="0"/>
        <w:pageBreakBefore w:val="0"/>
        <w:widowControl w:val="0"/>
        <w:kinsoku/>
        <w:wordWrap/>
        <w:overflowPunct/>
        <w:topLinePunct/>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房地产相关政策市场刺激效果不明显，保交楼压力大，农民工讨薪、延期交房等房地产领域信访维稳事件增多，同时在房地产领域维稳事件处置过程中，存在维权事件处置机制不完善、职能部门职责不清等问题。</w:t>
      </w:r>
    </w:p>
    <w:p w14:paraId="4F6D4004">
      <w:pPr>
        <w:keepNext w:val="0"/>
        <w:keepLines w:val="0"/>
        <w:pageBreakBefore w:val="0"/>
        <w:widowControl w:val="0"/>
        <w:kinsoku/>
        <w:wordWrap/>
        <w:overflowPunct/>
        <w:topLinePunct/>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（二）营商环境优化方面</w:t>
      </w:r>
    </w:p>
    <w:p w14:paraId="4FC333A2">
      <w:pPr>
        <w:keepNext w:val="0"/>
        <w:keepLines w:val="0"/>
        <w:pageBreakBefore w:val="0"/>
        <w:widowControl w:val="0"/>
        <w:kinsoku/>
        <w:wordWrap/>
        <w:overflowPunct/>
        <w:topLinePunct/>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一是推广优化审批流程和简化办事材料的思路不够多样，全市统筹工建系统优化涉及自规、发改、政务部门等，统筹高度需要提升，在减少企业办理业务跑动次数方面，需加速推广省工建系统电子证照的应用。</w:t>
      </w:r>
    </w:p>
    <w:p w14:paraId="45F47103">
      <w:pPr>
        <w:keepNext w:val="0"/>
        <w:keepLines w:val="0"/>
        <w:pageBreakBefore w:val="0"/>
        <w:widowControl w:val="0"/>
        <w:kinsoku/>
        <w:wordWrap/>
        <w:overflowPunct/>
        <w:topLinePunct/>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二是因涉及规划许可、绿化许可等环节还未实现同步受理，获得用气“并联审批”工作推进困难。</w:t>
      </w:r>
    </w:p>
    <w:p w14:paraId="5A78AD7F">
      <w:pPr>
        <w:keepNext w:val="0"/>
        <w:keepLines w:val="0"/>
        <w:pageBreakBefore w:val="0"/>
        <w:widowControl w:val="0"/>
        <w:kinsoku/>
        <w:wordWrap/>
        <w:overflowPunct/>
        <w:topLinePunct/>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（三）住房保障运营管理和建设方面</w:t>
      </w:r>
    </w:p>
    <w:p w14:paraId="43B38DD8">
      <w:pPr>
        <w:keepNext w:val="0"/>
        <w:keepLines w:val="0"/>
        <w:pageBreakBefore w:val="0"/>
        <w:widowControl w:val="0"/>
        <w:kinsoku/>
        <w:wordWrap/>
        <w:overflowPunct/>
        <w:topLinePunct/>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一是公租房、廉租房保障对象多为中低收入群体，人员结构复杂，租后运营管理过程中催租压力、难度大。</w:t>
      </w:r>
    </w:p>
    <w:p w14:paraId="6CD752D4">
      <w:pPr>
        <w:keepNext w:val="0"/>
        <w:keepLines w:val="0"/>
        <w:pageBreakBefore w:val="0"/>
        <w:widowControl w:val="0"/>
        <w:kinsoku/>
        <w:wordWrap/>
        <w:overflowPunct/>
        <w:topLinePunct/>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二是公租房供需极度不平衡，可分配房源严重不足。</w:t>
      </w:r>
    </w:p>
    <w:p w14:paraId="731609A0">
      <w:pPr>
        <w:keepNext w:val="0"/>
        <w:keepLines w:val="0"/>
        <w:pageBreakBefore w:val="0"/>
        <w:widowControl w:val="0"/>
        <w:kinsoku/>
        <w:wordWrap/>
        <w:overflowPunct/>
        <w:topLinePunct/>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三是保障性租赁住房缺乏专业化、规模化的建设、租赁和运营管理机构。</w:t>
      </w:r>
    </w:p>
    <w:p w14:paraId="1EA505A9">
      <w:pPr>
        <w:keepNext w:val="0"/>
        <w:keepLines w:val="0"/>
        <w:pageBreakBefore w:val="0"/>
        <w:widowControl w:val="0"/>
        <w:kinsoku/>
        <w:wordWrap/>
        <w:overflowPunct/>
        <w:topLinePunct/>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（四）维修资金追缴方面</w:t>
      </w:r>
    </w:p>
    <w:p w14:paraId="3FD2102A">
      <w:pPr>
        <w:keepNext w:val="0"/>
        <w:keepLines w:val="0"/>
        <w:pageBreakBefore w:val="0"/>
        <w:widowControl w:val="0"/>
        <w:kinsoku/>
        <w:wordWrap/>
        <w:overflowPunct/>
        <w:topLinePunct/>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目前仅能通过向市场监督管理部门函询及互联网查询等方式了解欠缴企业相关情况，辖区法院仅能查询到属地辖区内地产企业的涉诉执行情况，无法掌握在全省范围地产企业的涉案情况，三类企业后续强制执行推进过程存在困难。</w:t>
      </w:r>
    </w:p>
    <w:p w14:paraId="0FA90997">
      <w:pPr>
        <w:keepNext w:val="0"/>
        <w:keepLines w:val="0"/>
        <w:pageBreakBefore w:val="0"/>
        <w:widowControl w:val="0"/>
        <w:kinsoku/>
        <w:wordWrap/>
        <w:overflowPunct/>
        <w:topLinePunct/>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七、改进措施及建议</w:t>
      </w:r>
    </w:p>
    <w:p w14:paraId="6EDD161C">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（二）抓好市政项目建设和基础设施管养</w:t>
      </w:r>
    </w:p>
    <w:p w14:paraId="3B3B6478">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完善路网结构，积极推进通源路（6号路至沣源路段）、诚信路、东三环闭合等项目实施，改善群众出行体验。二是加强项目监管，严格合同招标，做好项目合同的拟稿、谈判、审查工作，做好建设项目造价控制及预决算编制审查工作，把控好政府投资市政项目过程监管。三是做好市政基础设施管养维护，加强工作的计划性和预防性，合理安排养护维修作业，加大病害井盖整治力度，提前消除安全隐患，按要求完成2024年桥梁安全检测工作。四是结合保障性住房基础设施建设、城中村及老旧小区改造、儿童友好型城市、长江经济带建设等国家战略方针，科学包装谋划一批住建领域可行性强、成熟度高、上级资金支持力度大的重点项目，最大限度获取中央、省市建设资金支持。</w:t>
      </w:r>
    </w:p>
    <w:p w14:paraId="5EACD40C">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（三）多措并举助力建筑业、房地产领域发展</w:t>
      </w:r>
    </w:p>
    <w:p w14:paraId="51316C6B">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继续推行资质证书+省交易平台中标合同额+实地走访的工作模式，强化市场主体倍增工作，落实企业落户奖补制度，筑巢引凤，吸引更多综合实力强、品质优、口碑好的建筑类企业入驻盘龙，推动盘龙区建筑业、房地产业健康平稳发展。二是持续加快第二批“保交楼”专项借款项目推进工作，进一步优化资金审批流程，加快项目资金审批速度，同时督促“保交楼”企业做好还款计划，指导其做好还款工作。三是落实好市级关于房地产市场纾困相关政策，做好盘龙区购房补贴发放工作，并根据相关工作要求，为我区存在已逾期交付或较大逾期交付风险项目，制定预售监管资金“一楼一策”方案，做好风险项目化解工作。</w:t>
      </w:r>
    </w:p>
    <w:p w14:paraId="1A73DE8A">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（四）继续做好住建领域安全生产工作</w:t>
      </w:r>
    </w:p>
    <w:p w14:paraId="25E804C7">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深入学习燃气相关事故教训，采取企业自查自改、行业主管部门暗访、政府综合督导等方式，全方位全领域全覆盖开展隐患安全整治工作，不断优化“获得用气”营商环境相关工作；二是根据省、市、区工作安排部署，持续做好城市危旧房排危整治工作，自建房、直管公房、经营性住房安全专项整治工作，及时消除各类安全风险，坚决防止重特大事故发生。</w:t>
      </w:r>
    </w:p>
    <w:p w14:paraId="5E918113">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（五）提高审批服务效率，全力优化营商环境</w:t>
      </w:r>
    </w:p>
    <w:p w14:paraId="7B8C4289">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进一步优化工程建设审批流程和相关制度，进一步研究区级可协调可优化事项，形成盘龙区特色的简化审批流程，提高办事效率，增强政策的连续性和可执行性。二是通过联审联批工作方式疏通城镇老旧小区改造“堵点”，切实解决建设手续审批问题。三是主动寻找政策空间，充分吸取其他部门和地区的优秀经验和做法，结合辖区情况进行移植和优化，进一步提升业务能力、服务水平，为优化我区营商环境作出努力。</w:t>
      </w:r>
    </w:p>
    <w:p w14:paraId="4FE52484">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（六）进一步加强辖区居民住房保障</w:t>
      </w:r>
    </w:p>
    <w:p w14:paraId="1BA80747">
      <w:pPr>
        <w:pStyle w:val="2"/>
        <w:keepNext w:val="0"/>
        <w:keepLines w:val="0"/>
        <w:pageBreakBefore w:val="0"/>
        <w:widowControl w:val="0"/>
        <w:kinsoku/>
        <w:wordWrap/>
        <w:overflowPunct/>
        <w:autoSpaceDE/>
        <w:autoSpaceDN/>
        <w:bidi w:val="0"/>
        <w:adjustRightInd/>
        <w:snapToGrid/>
        <w:spacing w:line="360" w:lineRule="auto"/>
        <w:ind w:left="0" w:leftChars="0" w:firstLine="640" w:firstLineChars="200"/>
        <w:textAlignment w:val="auto"/>
        <w:rPr>
          <w:rFonts w:hint="eastAsia" w:asciiTheme="majorEastAsia" w:hAnsiTheme="majorEastAsia" w:eastAsiaTheme="majorEastAsia" w:cstheme="majorEastAsia"/>
          <w:sz w:val="28"/>
          <w:szCs w:val="28"/>
        </w:rPr>
      </w:pPr>
      <w:r>
        <w:rPr>
          <w:rFonts w:hint="eastAsia" w:ascii="仿宋_GB2312" w:hAnsi="仿宋_GB2312" w:eastAsia="仿宋_GB2312" w:cs="仿宋_GB2312"/>
          <w:sz w:val="32"/>
          <w:szCs w:val="32"/>
        </w:rPr>
        <w:t>一是加强公租房、廉租房项目租后运营管理，进一步加大租金催缴力度，提升公租房、廉租房、直管公房小区人居环境水平。二是稳步推进保障性租赁住房建设工作，切实监督保障性租赁住房计划项目进度，加快保障性租赁住房供给速度，着力解决青年人和新市民住房问题。三是提高物业行业管理水平，探索无人管理老旧小区社会基础治理方式，加大住房维修基金监管力度，推进红色物业党建引领工作。四是根据昆明市、盘龙区人才引进工作政策，结合盘龙区廉租房、公租房、保租房、保障房建设情况，探索人才房保障制度，完善人才住房保障制度。</w:t>
      </w:r>
    </w:p>
    <w:p w14:paraId="74241079">
      <w:pPr>
        <w:pStyle w:val="2"/>
        <w:ind w:left="0" w:leftChars="0" w:firstLine="0" w:firstLineChars="0"/>
        <w:rPr>
          <w:rFonts w:hint="eastAsia" w:asciiTheme="majorEastAsia" w:hAnsiTheme="majorEastAsia" w:eastAsiaTheme="majorEastAsia" w:cstheme="majorEastAsia"/>
          <w:sz w:val="28"/>
          <w:szCs w:val="28"/>
        </w:rPr>
      </w:pPr>
    </w:p>
    <w:p w14:paraId="179E0FAC">
      <w:pPr>
        <w:pStyle w:val="2"/>
        <w:ind w:left="0" w:leftChars="0" w:firstLine="0" w:firstLineChars="0"/>
        <w:rPr>
          <w:rFonts w:hint="eastAsia" w:asciiTheme="majorEastAsia" w:hAnsiTheme="majorEastAsia" w:eastAsiaTheme="majorEastAsia" w:cstheme="majorEastAsia"/>
          <w:sz w:val="28"/>
          <w:szCs w:val="28"/>
        </w:rPr>
      </w:pPr>
    </w:p>
    <w:p w14:paraId="5ECDB9C1">
      <w:pPr>
        <w:pStyle w:val="2"/>
        <w:ind w:left="0" w:leftChars="0" w:firstLine="0" w:firstLineChars="0"/>
        <w:rPr>
          <w:rFonts w:hint="eastAsia" w:asciiTheme="majorEastAsia" w:hAnsiTheme="majorEastAsia" w:eastAsiaTheme="majorEastAsia" w:cstheme="majorEastAsia"/>
          <w:sz w:val="28"/>
          <w:szCs w:val="28"/>
        </w:rPr>
      </w:pPr>
    </w:p>
    <w:p w14:paraId="411FC8DB">
      <w:pPr>
        <w:spacing w:line="52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绩效评价报告正文后附以下佐证材料</w:t>
      </w:r>
    </w:p>
    <w:p w14:paraId="6957CD0B">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成本效益分析报告（选取部分与本部门履职密切相关的项目或专项支出，对其收入和支出结构；项目和资金管理情况；资金使用的节约性；资金使用效果；变化趋势等进行评价，总结经验、分析存在的问题，形成分析报告）；</w:t>
      </w:r>
    </w:p>
    <w:p w14:paraId="6C1A454B">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2.部门职能分解及20</w:t>
      </w:r>
      <w:r>
        <w:rPr>
          <w:rFonts w:hint="eastAsia" w:asciiTheme="majorEastAsia" w:hAnsiTheme="majorEastAsia" w:eastAsiaTheme="majorEastAsia" w:cstheme="majorEastAsia"/>
          <w:sz w:val="28"/>
          <w:szCs w:val="28"/>
          <w:lang w:val="en-US" w:eastAsia="zh-CN"/>
        </w:rPr>
        <w:t>23</w:t>
      </w:r>
      <w:r>
        <w:rPr>
          <w:rFonts w:hint="eastAsia" w:asciiTheme="majorEastAsia" w:hAnsiTheme="majorEastAsia" w:eastAsiaTheme="majorEastAsia" w:cstheme="majorEastAsia"/>
          <w:sz w:val="28"/>
          <w:szCs w:val="28"/>
        </w:rPr>
        <w:t>年度工作完成情况表；</w:t>
      </w:r>
    </w:p>
    <w:p w14:paraId="1DFFAA5E">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3.绩效评价指标体系；</w:t>
      </w:r>
    </w:p>
    <w:p w14:paraId="252150FE">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4.问卷调查报告；</w:t>
      </w:r>
    </w:p>
    <w:p w14:paraId="4DAE2E74">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5.工作底稿（每一个单项评分需附1份工作底稿，工作底稿样式见附件6）；</w:t>
      </w:r>
    </w:p>
    <w:p w14:paraId="7AF05858">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6.①部门中长期规划目标；②市政府相关规划；③部门“三定”方案；④部门职能文件；⑤部门</w:t>
      </w:r>
      <w:r>
        <w:rPr>
          <w:rFonts w:hint="eastAsia" w:asciiTheme="majorEastAsia" w:hAnsiTheme="majorEastAsia" w:eastAsiaTheme="majorEastAsia" w:cstheme="majorEastAsia"/>
          <w:sz w:val="28"/>
          <w:szCs w:val="28"/>
          <w:lang w:val="en-US" w:eastAsia="zh-CN"/>
        </w:rPr>
        <w:t>2023</w:t>
      </w:r>
      <w:r>
        <w:rPr>
          <w:rFonts w:hint="eastAsia" w:asciiTheme="majorEastAsia" w:hAnsiTheme="majorEastAsia" w:eastAsiaTheme="majorEastAsia" w:cstheme="majorEastAsia"/>
          <w:sz w:val="28"/>
          <w:szCs w:val="28"/>
        </w:rPr>
        <w:t>年度工作目标；⑥部门</w:t>
      </w:r>
      <w:r>
        <w:rPr>
          <w:rFonts w:hint="eastAsia" w:asciiTheme="majorEastAsia" w:hAnsiTheme="majorEastAsia" w:eastAsiaTheme="majorEastAsia" w:cstheme="majorEastAsia"/>
          <w:sz w:val="28"/>
          <w:szCs w:val="28"/>
          <w:lang w:val="en-US" w:eastAsia="zh-CN"/>
        </w:rPr>
        <w:t>2023</w:t>
      </w:r>
      <w:r>
        <w:rPr>
          <w:rFonts w:hint="eastAsia" w:asciiTheme="majorEastAsia" w:hAnsiTheme="majorEastAsia" w:eastAsiaTheme="majorEastAsia" w:cstheme="majorEastAsia"/>
          <w:sz w:val="28"/>
          <w:szCs w:val="28"/>
        </w:rPr>
        <w:t>年度工作计划；</w:t>
      </w:r>
    </w:p>
    <w:p w14:paraId="0FBC8FF4">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7.部门</w:t>
      </w:r>
      <w:r>
        <w:rPr>
          <w:rFonts w:hint="eastAsia" w:asciiTheme="majorEastAsia" w:hAnsiTheme="majorEastAsia" w:eastAsiaTheme="majorEastAsia" w:cstheme="majorEastAsia"/>
          <w:sz w:val="28"/>
          <w:szCs w:val="28"/>
          <w:lang w:val="en-US" w:eastAsia="zh-CN"/>
        </w:rPr>
        <w:t>2023</w:t>
      </w:r>
      <w:r>
        <w:rPr>
          <w:rFonts w:hint="eastAsia" w:asciiTheme="majorEastAsia" w:hAnsiTheme="majorEastAsia" w:eastAsiaTheme="majorEastAsia" w:cstheme="majorEastAsia"/>
          <w:sz w:val="28"/>
          <w:szCs w:val="28"/>
        </w:rPr>
        <w:t>年项目预算、决算明细表（单位：元）。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A5597">
    <w:pPr>
      <w:pStyle w:val="5"/>
    </w:pPr>
    <w:r>
      <w:fldChar w:fldCharType="begin"/>
    </w:r>
    <w:r>
      <w:instrText xml:space="preserve"> PAGE   \* MERGEFORMAT </w:instrText>
    </w:r>
    <w:r>
      <w:fldChar w:fldCharType="separate"/>
    </w:r>
    <w:r>
      <w:rPr>
        <w:lang w:val="zh-CN"/>
      </w:rPr>
      <w:t>39</w:t>
    </w:r>
    <w:r>
      <w:fldChar w:fldCharType="end"/>
    </w:r>
  </w:p>
  <w:p w14:paraId="7D864C2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5AD8">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271DC2"/>
    <w:multiLevelType w:val="singleLevel"/>
    <w:tmpl w:val="66271DC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YWYzYzAyMTM5OThiNWRlZjI5MDc2M2ZjMmNkNDEifQ=="/>
  </w:docVars>
  <w:rsids>
    <w:rsidRoot w:val="69466ADA"/>
    <w:rsid w:val="01561880"/>
    <w:rsid w:val="022D08E0"/>
    <w:rsid w:val="03014591"/>
    <w:rsid w:val="033F1390"/>
    <w:rsid w:val="04363170"/>
    <w:rsid w:val="05431A9D"/>
    <w:rsid w:val="07065307"/>
    <w:rsid w:val="087F262A"/>
    <w:rsid w:val="0C2E7977"/>
    <w:rsid w:val="0D3F3A0E"/>
    <w:rsid w:val="10F31197"/>
    <w:rsid w:val="11230EA2"/>
    <w:rsid w:val="11BA1147"/>
    <w:rsid w:val="11FE45B5"/>
    <w:rsid w:val="123679CF"/>
    <w:rsid w:val="126D0997"/>
    <w:rsid w:val="12F36492"/>
    <w:rsid w:val="1443585C"/>
    <w:rsid w:val="158D75E6"/>
    <w:rsid w:val="161D0D3B"/>
    <w:rsid w:val="183A6012"/>
    <w:rsid w:val="191C7685"/>
    <w:rsid w:val="1C1C3FFD"/>
    <w:rsid w:val="1D6F1981"/>
    <w:rsid w:val="1E5B407A"/>
    <w:rsid w:val="1E853FD2"/>
    <w:rsid w:val="1FEE0381"/>
    <w:rsid w:val="20D82B4D"/>
    <w:rsid w:val="215238B8"/>
    <w:rsid w:val="215D64C2"/>
    <w:rsid w:val="215E68BC"/>
    <w:rsid w:val="21F669DD"/>
    <w:rsid w:val="22A36ABB"/>
    <w:rsid w:val="23A33CA2"/>
    <w:rsid w:val="240C6ACC"/>
    <w:rsid w:val="24CC31C8"/>
    <w:rsid w:val="250F32FD"/>
    <w:rsid w:val="26057B74"/>
    <w:rsid w:val="262C0572"/>
    <w:rsid w:val="276A0B74"/>
    <w:rsid w:val="28B7144A"/>
    <w:rsid w:val="2A6F2B28"/>
    <w:rsid w:val="2BAA5F9C"/>
    <w:rsid w:val="2D1B02F5"/>
    <w:rsid w:val="2DF73EFF"/>
    <w:rsid w:val="2E6512D7"/>
    <w:rsid w:val="2EA07C29"/>
    <w:rsid w:val="2EBD01A9"/>
    <w:rsid w:val="2F360E0A"/>
    <w:rsid w:val="2F521988"/>
    <w:rsid w:val="305122EF"/>
    <w:rsid w:val="32594F85"/>
    <w:rsid w:val="32AB7746"/>
    <w:rsid w:val="32EE7164"/>
    <w:rsid w:val="331F45F5"/>
    <w:rsid w:val="34371E8D"/>
    <w:rsid w:val="348008CA"/>
    <w:rsid w:val="36395C1F"/>
    <w:rsid w:val="36701E8E"/>
    <w:rsid w:val="36ED7656"/>
    <w:rsid w:val="378C6C2C"/>
    <w:rsid w:val="386C3059"/>
    <w:rsid w:val="389648F1"/>
    <w:rsid w:val="396773F5"/>
    <w:rsid w:val="39B16230"/>
    <w:rsid w:val="3A0E6518"/>
    <w:rsid w:val="3AE474EC"/>
    <w:rsid w:val="3B455E91"/>
    <w:rsid w:val="3BCB6BF0"/>
    <w:rsid w:val="3D196C1F"/>
    <w:rsid w:val="3D802C39"/>
    <w:rsid w:val="3ECC642B"/>
    <w:rsid w:val="3F372EA5"/>
    <w:rsid w:val="3F562ECC"/>
    <w:rsid w:val="40A5628C"/>
    <w:rsid w:val="40F82B1F"/>
    <w:rsid w:val="41174150"/>
    <w:rsid w:val="418A74AB"/>
    <w:rsid w:val="43B274F4"/>
    <w:rsid w:val="44722517"/>
    <w:rsid w:val="447A31D0"/>
    <w:rsid w:val="454232F9"/>
    <w:rsid w:val="46BA23C9"/>
    <w:rsid w:val="48266AC1"/>
    <w:rsid w:val="48286549"/>
    <w:rsid w:val="482E6D9F"/>
    <w:rsid w:val="48751B3D"/>
    <w:rsid w:val="48A71E8C"/>
    <w:rsid w:val="4A9D52F4"/>
    <w:rsid w:val="4B0445F2"/>
    <w:rsid w:val="4B436A0F"/>
    <w:rsid w:val="4B450259"/>
    <w:rsid w:val="4B907AFF"/>
    <w:rsid w:val="4BD12B4A"/>
    <w:rsid w:val="4C6F2494"/>
    <w:rsid w:val="4CA16B80"/>
    <w:rsid w:val="4D19646B"/>
    <w:rsid w:val="4E1E058C"/>
    <w:rsid w:val="4E9E5334"/>
    <w:rsid w:val="4F631DF5"/>
    <w:rsid w:val="509D5F91"/>
    <w:rsid w:val="5252194C"/>
    <w:rsid w:val="527E6DC5"/>
    <w:rsid w:val="534E1882"/>
    <w:rsid w:val="54421C41"/>
    <w:rsid w:val="54B73C3A"/>
    <w:rsid w:val="552F2BDE"/>
    <w:rsid w:val="55897AD1"/>
    <w:rsid w:val="558E6661"/>
    <w:rsid w:val="55DB1D28"/>
    <w:rsid w:val="560F6D44"/>
    <w:rsid w:val="56145CEE"/>
    <w:rsid w:val="57C06C85"/>
    <w:rsid w:val="5895102F"/>
    <w:rsid w:val="58A04EF2"/>
    <w:rsid w:val="59A50989"/>
    <w:rsid w:val="5A0C2935"/>
    <w:rsid w:val="5A315A59"/>
    <w:rsid w:val="5AA121DB"/>
    <w:rsid w:val="5AFD4F25"/>
    <w:rsid w:val="5B87197E"/>
    <w:rsid w:val="5C00561F"/>
    <w:rsid w:val="5C274B8A"/>
    <w:rsid w:val="5EFD5AA1"/>
    <w:rsid w:val="5F3B488D"/>
    <w:rsid w:val="5F674F5C"/>
    <w:rsid w:val="5F6D5B77"/>
    <w:rsid w:val="60280E75"/>
    <w:rsid w:val="602B70FA"/>
    <w:rsid w:val="6158284E"/>
    <w:rsid w:val="619C292B"/>
    <w:rsid w:val="61A33C8B"/>
    <w:rsid w:val="61D0703C"/>
    <w:rsid w:val="62113E7B"/>
    <w:rsid w:val="635E3F5F"/>
    <w:rsid w:val="64E64880"/>
    <w:rsid w:val="65260B2B"/>
    <w:rsid w:val="660C57D0"/>
    <w:rsid w:val="665A7CE1"/>
    <w:rsid w:val="66DF1A43"/>
    <w:rsid w:val="67104E32"/>
    <w:rsid w:val="68FA6C41"/>
    <w:rsid w:val="69466ADA"/>
    <w:rsid w:val="69892FBA"/>
    <w:rsid w:val="69B42EBC"/>
    <w:rsid w:val="6C3F080F"/>
    <w:rsid w:val="6DC203AC"/>
    <w:rsid w:val="6E631BD1"/>
    <w:rsid w:val="701F6F5E"/>
    <w:rsid w:val="716B3D85"/>
    <w:rsid w:val="71EC1AFA"/>
    <w:rsid w:val="71F109A9"/>
    <w:rsid w:val="732C4955"/>
    <w:rsid w:val="739E2841"/>
    <w:rsid w:val="73FF3D61"/>
    <w:rsid w:val="75AD781E"/>
    <w:rsid w:val="75DD425B"/>
    <w:rsid w:val="75F6759B"/>
    <w:rsid w:val="7A7E69E4"/>
    <w:rsid w:val="7B7242FD"/>
    <w:rsid w:val="7D1C372C"/>
    <w:rsid w:val="7DBD2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实施方案正文"/>
    <w:basedOn w:val="1"/>
    <w:qFormat/>
    <w:uiPriority w:val="0"/>
    <w:pPr>
      <w:ind w:firstLine="566" w:firstLineChars="202"/>
    </w:pPr>
    <w:rPr>
      <w:rFonts w:ascii="等线" w:hAnsi="等线" w:eastAsia="等线"/>
      <w:szCs w:val="28"/>
    </w:rPr>
  </w:style>
  <w:style w:type="paragraph" w:styleId="4">
    <w:name w:val="Body Text Indent"/>
    <w:basedOn w:val="1"/>
    <w:qFormat/>
    <w:uiPriority w:val="0"/>
    <w:pPr>
      <w:ind w:firstLine="627" w:firstLineChars="196"/>
    </w:pPr>
    <w:rPr>
      <w:szCs w:val="24"/>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Body Text First Indent 2"/>
    <w:basedOn w:val="4"/>
    <w:qFormat/>
    <w:uiPriority w:val="0"/>
    <w:pPr>
      <w:spacing w:after="120"/>
      <w:ind w:left="420" w:leftChars="200" w:firstLine="420" w:firstLineChars="200"/>
    </w:pPr>
    <w:rPr>
      <w:szCs w:val="20"/>
    </w:rPr>
  </w:style>
  <w:style w:type="paragraph" w:customStyle="1" w:styleId="10">
    <w:name w:val="正文 A"/>
    <w:qFormat/>
    <w:uiPriority w:val="99"/>
    <w:pPr>
      <w:spacing w:after="200" w:line="276" w:lineRule="auto"/>
    </w:pPr>
    <w:rPr>
      <w:rFonts w:ascii="Calibri" w:hAnsi="Calibri" w:eastAsia="宋体" w:cs="Calibri"/>
      <w:color w:val="000000"/>
      <w:sz w:val="22"/>
      <w:szCs w:val="22"/>
      <w:u w:val="none" w:color="000000"/>
      <w:lang w:val="en-US" w:eastAsia="zh-CN" w:bidi="ar-SA"/>
    </w:rPr>
  </w:style>
  <w:style w:type="paragraph" w:customStyle="1" w:styleId="11">
    <w:name w:val="TOC 标题1"/>
    <w:basedOn w:val="3"/>
    <w:next w:val="1"/>
    <w:qFormat/>
    <w:uiPriority w:val="99"/>
    <w:pPr>
      <w:widowControl/>
      <w:spacing w:before="480" w:after="0" w:line="276" w:lineRule="auto"/>
      <w:jc w:val="left"/>
      <w:outlineLvl w:val="9"/>
    </w:pPr>
    <w:rPr>
      <w:rFonts w:ascii="Cambria" w:hAnsi="Cambria" w:eastAsia="宋体" w:cs="Cambria"/>
      <w:color w:val="365F91"/>
      <w:kern w:val="0"/>
      <w:sz w:val="28"/>
      <w:szCs w:val="28"/>
    </w:rPr>
  </w:style>
  <w:style w:type="paragraph" w:customStyle="1" w:styleId="12">
    <w:name w:val="正文 New New New New New New"/>
    <w:basedOn w:val="1"/>
    <w:qFormat/>
    <w:uiPriority w:val="0"/>
    <w:rPr>
      <w:rFonts w:ascii="Times New Roman" w:hAnsi="Times New Roman" w:eastAsia="宋体" w:cs="Times New Roman"/>
      <w:szCs w:val="24"/>
    </w:rPr>
  </w:style>
  <w:style w:type="character" w:customStyle="1" w:styleId="13">
    <w:name w:val="NormalCharacter"/>
    <w:link w:val="14"/>
    <w:qFormat/>
    <w:uiPriority w:val="0"/>
  </w:style>
  <w:style w:type="paragraph" w:customStyle="1" w:styleId="14">
    <w:name w:val="UserStyle_4"/>
    <w:basedOn w:val="1"/>
    <w:link w:val="13"/>
    <w:qFormat/>
    <w:uiPriority w:val="0"/>
    <w:pPr>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21894</Words>
  <Characters>22906</Characters>
  <Lines>0</Lines>
  <Paragraphs>0</Paragraphs>
  <TotalTime>0</TotalTime>
  <ScaleCrop>false</ScaleCrop>
  <LinksUpToDate>false</LinksUpToDate>
  <CharactersWithSpaces>24309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2023-03-23T01:22:00Z</dcterms:created>
  <dc:creator>Administrator</dc:creator>
  <cp:lastModifiedBy>听潮</cp:lastModifiedBy>
  <cp:lastPrinted>2023-04-27T02:51:00Z</cp:lastPrinted>
  <dcterms:modified xsi:type="dcterms:W3CDTF">2024-12-17T03:32:05Z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31C98007B6B44641A8E35DB072517745_12</vt:lpwstr>
  </property>
</Properties>
</file>