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1F81E">
      <w:pPr>
        <w:spacing w:before="120" w:after="120" w:line="480" w:lineRule="auto"/>
        <w:jc w:val="center"/>
        <w:rPr>
          <w:rFonts w:ascii="Times New Roman" w:hAnsi="Times New Roman" w:eastAsia="黑体"/>
          <w:b/>
          <w:bCs/>
          <w:sz w:val="52"/>
          <w:szCs w:val="52"/>
        </w:rPr>
      </w:pPr>
      <w:bookmarkStart w:id="0" w:name="_GoBack"/>
      <w:bookmarkEnd w:id="0"/>
    </w:p>
    <w:p w14:paraId="46792A59">
      <w:pPr>
        <w:jc w:val="center"/>
        <w:rPr>
          <w:rFonts w:hint="eastAsia" w:ascii="仿宋" w:hAnsi="仿宋" w:eastAsia="仿宋" w:cs="仿宋"/>
          <w:b w:val="0"/>
          <w:bCs/>
          <w:sz w:val="44"/>
          <w:szCs w:val="44"/>
        </w:rPr>
      </w:pPr>
      <w:r>
        <w:rPr>
          <w:rFonts w:hint="eastAsia" w:ascii="仿宋" w:hAnsi="仿宋" w:eastAsia="仿宋" w:cs="仿宋"/>
          <w:b w:val="0"/>
          <w:bCs/>
          <w:sz w:val="44"/>
          <w:szCs w:val="44"/>
          <w:lang w:eastAsia="zh-CN"/>
        </w:rPr>
        <w:t>企业</w:t>
      </w:r>
      <w:r>
        <w:rPr>
          <w:rFonts w:hint="eastAsia" w:ascii="仿宋" w:hAnsi="仿宋" w:eastAsia="仿宋" w:cs="仿宋"/>
          <w:b w:val="0"/>
          <w:bCs/>
          <w:sz w:val="44"/>
          <w:szCs w:val="44"/>
        </w:rPr>
        <w:t>信用监管项目支出绩效自评报告</w:t>
      </w:r>
    </w:p>
    <w:p w14:paraId="1A2FB9C6">
      <w:pPr>
        <w:jc w:val="center"/>
        <w:rPr>
          <w:rFonts w:hint="eastAsia" w:ascii="仿宋" w:hAnsi="仿宋" w:eastAsia="仿宋" w:cs="仿宋"/>
          <w:b w:val="0"/>
          <w:bCs/>
          <w:sz w:val="44"/>
          <w:szCs w:val="44"/>
        </w:rPr>
      </w:pPr>
      <w:r>
        <w:rPr>
          <w:rFonts w:hint="eastAsia" w:ascii="仿宋" w:hAnsi="仿宋" w:eastAsia="仿宋" w:cs="仿宋"/>
          <w:b w:val="0"/>
          <w:bCs/>
          <w:sz w:val="44"/>
          <w:szCs w:val="44"/>
        </w:rPr>
        <w:t>（2021年度）</w:t>
      </w:r>
    </w:p>
    <w:p w14:paraId="522E8BC1">
      <w:pPr>
        <w:spacing w:before="120" w:after="120" w:line="480" w:lineRule="auto"/>
        <w:jc w:val="center"/>
        <w:rPr>
          <w:rFonts w:hint="eastAsia" w:ascii="仿宋" w:hAnsi="仿宋" w:eastAsia="仿宋" w:cs="仿宋"/>
          <w:b w:val="0"/>
          <w:bCs/>
          <w:sz w:val="52"/>
          <w:szCs w:val="52"/>
        </w:rPr>
      </w:pPr>
    </w:p>
    <w:p w14:paraId="098CF4AD">
      <w:pPr>
        <w:spacing w:before="120" w:after="120" w:line="480" w:lineRule="auto"/>
        <w:jc w:val="center"/>
        <w:rPr>
          <w:rFonts w:hint="eastAsia" w:ascii="仿宋" w:hAnsi="仿宋" w:eastAsia="仿宋" w:cs="仿宋"/>
          <w:b w:val="0"/>
          <w:bCs/>
          <w:sz w:val="44"/>
          <w:szCs w:val="44"/>
        </w:rPr>
      </w:pPr>
    </w:p>
    <w:p w14:paraId="6886A921">
      <w:pPr>
        <w:spacing w:before="120" w:after="120" w:line="480" w:lineRule="auto"/>
        <w:jc w:val="center"/>
        <w:rPr>
          <w:rFonts w:hint="eastAsia" w:ascii="仿宋" w:hAnsi="仿宋" w:eastAsia="仿宋" w:cs="仿宋"/>
          <w:b w:val="0"/>
          <w:bCs/>
          <w:sz w:val="44"/>
          <w:szCs w:val="44"/>
        </w:rPr>
      </w:pPr>
    </w:p>
    <w:p w14:paraId="1D078FD8">
      <w:pPr>
        <w:spacing w:before="120" w:after="120" w:line="480" w:lineRule="auto"/>
        <w:jc w:val="center"/>
        <w:rPr>
          <w:rFonts w:hint="eastAsia" w:ascii="仿宋" w:hAnsi="仿宋" w:eastAsia="仿宋" w:cs="仿宋"/>
          <w:b w:val="0"/>
          <w:bCs/>
          <w:sz w:val="44"/>
          <w:szCs w:val="44"/>
        </w:rPr>
      </w:pPr>
    </w:p>
    <w:p w14:paraId="7D9C725D">
      <w:pPr>
        <w:adjustRightInd w:val="0"/>
        <w:snapToGrid w:val="0"/>
        <w:spacing w:line="360" w:lineRule="auto"/>
        <w:ind w:left="1260" w:leftChars="600"/>
        <w:rPr>
          <w:rFonts w:hint="eastAsia" w:ascii="仿宋" w:hAnsi="仿宋" w:eastAsia="仿宋" w:cs="仿宋"/>
          <w:b w:val="0"/>
          <w:bCs/>
          <w:sz w:val="28"/>
          <w:szCs w:val="28"/>
          <w:u w:val="single"/>
        </w:rPr>
      </w:pPr>
      <w:r>
        <w:rPr>
          <w:rFonts w:hint="eastAsia" w:ascii="仿宋" w:hAnsi="仿宋" w:eastAsia="仿宋" w:cs="仿宋"/>
          <w:b w:val="0"/>
          <w:bCs/>
        </w:rPr>
        <w:pict>
          <v:shape id="_x0000_s1026" o:spid="_x0000_s1026" o:spt="32" type="#_x0000_t32" style="position:absolute;left:0pt;margin-left:186.75pt;margin-top:15.45pt;height:0pt;width:196.5pt;z-index:251659264;mso-width-relative:page;mso-height-relative:page;" o:connectortype="straight" filled="f" coordsize="21600,21600">
            <v:path arrowok="t"/>
            <v:fill on="f" focussize="0,0"/>
            <v:stroke/>
            <v:imagedata o:title=""/>
            <o:lock v:ext="edit"/>
          </v:shape>
        </w:pict>
      </w:r>
      <w:r>
        <w:rPr>
          <w:rFonts w:hint="eastAsia" w:ascii="仿宋" w:hAnsi="仿宋" w:eastAsia="仿宋" w:cs="仿宋"/>
          <w:b w:val="0"/>
          <w:bCs/>
          <w:sz w:val="28"/>
          <w:szCs w:val="28"/>
        </w:rPr>
        <w:t>部门名称：</w:t>
      </w:r>
      <w:r>
        <w:rPr>
          <w:rFonts w:hint="eastAsia" w:ascii="仿宋" w:hAnsi="仿宋" w:eastAsia="仿宋" w:cs="仿宋"/>
          <w:b w:val="0"/>
          <w:bCs/>
          <w:sz w:val="28"/>
          <w:szCs w:val="28"/>
          <w:u w:val="single"/>
        </w:rPr>
        <w:t>信用监督管理科</w:t>
      </w:r>
    </w:p>
    <w:p w14:paraId="6AB5B1C2">
      <w:pPr>
        <w:adjustRightInd w:val="0"/>
        <w:snapToGrid w:val="0"/>
        <w:spacing w:line="360" w:lineRule="auto"/>
        <w:ind w:left="1260" w:leftChars="600"/>
        <w:rPr>
          <w:rFonts w:hint="eastAsia" w:ascii="仿宋" w:hAnsi="仿宋" w:eastAsia="仿宋" w:cs="仿宋"/>
          <w:b w:val="0"/>
          <w:bCs/>
          <w:sz w:val="28"/>
          <w:szCs w:val="28"/>
        </w:rPr>
      </w:pPr>
      <w:r>
        <w:rPr>
          <w:rFonts w:hint="eastAsia" w:ascii="仿宋" w:hAnsi="仿宋" w:eastAsia="仿宋" w:cs="仿宋"/>
          <w:b w:val="0"/>
          <w:bCs/>
        </w:rPr>
        <w:pict>
          <v:shape id="_x0000_s1027" o:spid="_x0000_s1027" o:spt="32" type="#_x0000_t32" style="position:absolute;left:0pt;margin-left:135pt;margin-top:17.45pt;height:0pt;width:196.5pt;z-index:251659264;mso-width-relative:page;mso-height-relative:page;" o:connectortype="straight" filled="f" coordsize="21600,21600">
            <v:path arrowok="t"/>
            <v:fill on="f" focussize="0,0"/>
            <v:stroke/>
            <v:imagedata o:title=""/>
            <o:lock v:ext="edit"/>
          </v:shape>
        </w:pict>
      </w:r>
      <w:r>
        <w:rPr>
          <w:rFonts w:hint="eastAsia" w:ascii="仿宋" w:hAnsi="仿宋" w:eastAsia="仿宋" w:cs="仿宋"/>
          <w:b w:val="0"/>
          <w:bCs/>
          <w:sz w:val="28"/>
          <w:szCs w:val="28"/>
        </w:rPr>
        <w:t>项目单位：昆明市盘龙区市场监督管理局</w:t>
      </w:r>
    </w:p>
    <w:p w14:paraId="00BC2AF7">
      <w:pPr>
        <w:adjustRightInd w:val="0"/>
        <w:snapToGrid w:val="0"/>
        <w:spacing w:line="360" w:lineRule="auto"/>
        <w:ind w:left="1260" w:leftChars="600"/>
        <w:rPr>
          <w:rFonts w:hint="eastAsia" w:ascii="仿宋" w:hAnsi="仿宋" w:eastAsia="仿宋" w:cs="仿宋"/>
          <w:b w:val="0"/>
          <w:bCs/>
          <w:sz w:val="28"/>
          <w:szCs w:val="28"/>
        </w:rPr>
      </w:pPr>
      <w:r>
        <w:rPr>
          <w:rFonts w:hint="eastAsia" w:ascii="仿宋" w:hAnsi="仿宋" w:eastAsia="仿宋" w:cs="仿宋"/>
          <w:b w:val="0"/>
          <w:bCs/>
          <w:sz w:val="28"/>
          <w:szCs w:val="28"/>
        </w:rPr>
        <w:pict>
          <v:shape id="_x0000_s1028" o:spid="_x0000_s1028" o:spt="32" type="#_x0000_t32" style="position:absolute;left:0pt;margin-left:135pt;margin-top:14.25pt;height:0pt;width:196.5pt;z-index:251659264;mso-width-relative:page;mso-height-relative:page;" o:connectortype="straight" filled="f" coordsize="21600,21600">
            <v:path arrowok="t"/>
            <v:fill on="f" focussize="0,0"/>
            <v:stroke/>
            <v:imagedata o:title=""/>
            <o:lock v:ext="edit"/>
          </v:shape>
        </w:pict>
      </w:r>
      <w:r>
        <w:rPr>
          <w:rFonts w:hint="eastAsia" w:ascii="仿宋" w:hAnsi="仿宋" w:eastAsia="仿宋" w:cs="仿宋"/>
          <w:b w:val="0"/>
          <w:bCs/>
          <w:sz w:val="28"/>
          <w:szCs w:val="28"/>
        </w:rPr>
        <w:t>主管部门：昆明市盘龙区市场监督管理局</w:t>
      </w:r>
    </w:p>
    <w:p w14:paraId="2DFD3AB7">
      <w:pPr>
        <w:adjustRightInd w:val="0"/>
        <w:snapToGrid w:val="0"/>
        <w:spacing w:line="360" w:lineRule="auto"/>
        <w:ind w:left="1260" w:leftChars="600"/>
        <w:rPr>
          <w:rFonts w:hint="eastAsia" w:ascii="仿宋" w:hAnsi="仿宋" w:eastAsia="仿宋" w:cs="仿宋"/>
          <w:b w:val="0"/>
          <w:bCs/>
          <w:sz w:val="28"/>
          <w:szCs w:val="28"/>
        </w:rPr>
      </w:pPr>
      <w:r>
        <w:rPr>
          <w:rFonts w:hint="eastAsia" w:ascii="仿宋" w:hAnsi="仿宋" w:eastAsia="仿宋" w:cs="仿宋"/>
          <w:b w:val="0"/>
          <w:bCs/>
          <w:sz w:val="28"/>
          <w:szCs w:val="28"/>
        </w:rPr>
        <w:pict>
          <v:shape id="_x0000_s1029" o:spid="_x0000_s1029" o:spt="32" type="#_x0000_t32" style="position:absolute;left:0pt;margin-left:135pt;margin-top:14.25pt;height:0pt;width:196.5pt;z-index:251659264;mso-width-relative:page;mso-height-relative:page;" o:connectortype="straight" filled="f" coordsize="21600,21600">
            <v:path arrowok="t"/>
            <v:fill on="f" focussize="0,0"/>
            <v:stroke/>
            <v:imagedata o:title=""/>
            <o:lock v:ext="edit"/>
          </v:shape>
        </w:pict>
      </w:r>
      <w:r>
        <w:rPr>
          <w:rFonts w:hint="eastAsia" w:ascii="仿宋" w:hAnsi="仿宋" w:eastAsia="仿宋" w:cs="仿宋"/>
          <w:b w:val="0"/>
          <w:bCs/>
          <w:sz w:val="28"/>
          <w:szCs w:val="28"/>
        </w:rPr>
        <w:t>项目名称： 企业信用监管经费</w:t>
      </w:r>
    </w:p>
    <w:p w14:paraId="7B7C8530">
      <w:pPr>
        <w:adjustRightInd w:val="0"/>
        <w:snapToGrid w:val="0"/>
        <w:spacing w:line="360" w:lineRule="auto"/>
        <w:ind w:left="1260" w:leftChars="600"/>
        <w:rPr>
          <w:rFonts w:hint="eastAsia" w:ascii="仿宋" w:hAnsi="仿宋" w:eastAsia="仿宋" w:cs="仿宋"/>
          <w:b w:val="0"/>
          <w:bCs/>
          <w:sz w:val="28"/>
          <w:szCs w:val="28"/>
        </w:rPr>
      </w:pPr>
      <w:r>
        <w:rPr>
          <w:rFonts w:hint="eastAsia" w:ascii="仿宋" w:hAnsi="仿宋" w:eastAsia="仿宋" w:cs="仿宋"/>
          <w:b w:val="0"/>
          <w:bCs/>
          <w:sz w:val="28"/>
          <w:szCs w:val="28"/>
        </w:rPr>
        <w:pict>
          <v:shape id="_x0000_s1030" o:spid="_x0000_s1030" o:spt="32" type="#_x0000_t32" style="position:absolute;left:0pt;margin-left:135pt;margin-top:14.25pt;height:0pt;width:196.5pt;z-index:251659264;mso-width-relative:page;mso-height-relative:page;" o:connectortype="straight" filled="f" coordsize="21600,21600">
            <v:path arrowok="t"/>
            <v:fill on="f" focussize="0,0"/>
            <v:stroke/>
            <v:imagedata o:title=""/>
            <o:lock v:ext="edit"/>
          </v:shape>
        </w:pict>
      </w:r>
      <w:r>
        <w:rPr>
          <w:rFonts w:hint="eastAsia" w:ascii="仿宋" w:hAnsi="仿宋" w:eastAsia="仿宋" w:cs="仿宋"/>
          <w:b w:val="0"/>
          <w:bCs/>
          <w:sz w:val="28"/>
          <w:szCs w:val="28"/>
        </w:rPr>
        <w:t>绩效自评日期： 2022年4月</w:t>
      </w:r>
    </w:p>
    <w:p w14:paraId="55C29BBB">
      <w:pPr>
        <w:spacing w:line="360" w:lineRule="auto"/>
        <w:ind w:left="1218" w:leftChars="580"/>
        <w:rPr>
          <w:rFonts w:hint="eastAsia" w:ascii="仿宋" w:hAnsi="仿宋" w:eastAsia="仿宋" w:cs="仿宋"/>
          <w:b w:val="0"/>
          <w:bCs/>
          <w:sz w:val="28"/>
          <w:szCs w:val="28"/>
        </w:rPr>
      </w:pPr>
    </w:p>
    <w:p w14:paraId="04130683">
      <w:pPr>
        <w:spacing w:line="580" w:lineRule="exact"/>
        <w:jc w:val="center"/>
        <w:rPr>
          <w:rFonts w:hint="eastAsia" w:ascii="仿宋" w:hAnsi="仿宋" w:eastAsia="仿宋" w:cs="仿宋"/>
          <w:bCs/>
          <w:sz w:val="44"/>
          <w:szCs w:val="44"/>
        </w:rPr>
      </w:pPr>
    </w:p>
    <w:p w14:paraId="0C58A38B">
      <w:pPr>
        <w:spacing w:line="580" w:lineRule="exact"/>
        <w:jc w:val="center"/>
        <w:rPr>
          <w:rFonts w:hint="eastAsia" w:ascii="仿宋" w:hAnsi="仿宋" w:eastAsia="仿宋" w:cs="仿宋"/>
          <w:bCs/>
          <w:sz w:val="44"/>
          <w:szCs w:val="44"/>
        </w:rPr>
      </w:pPr>
    </w:p>
    <w:p w14:paraId="761B7E73">
      <w:pPr>
        <w:spacing w:line="580" w:lineRule="exact"/>
        <w:jc w:val="center"/>
        <w:rPr>
          <w:rFonts w:hint="eastAsia" w:ascii="仿宋" w:hAnsi="仿宋" w:eastAsia="仿宋" w:cs="仿宋"/>
          <w:bCs/>
          <w:sz w:val="44"/>
          <w:szCs w:val="44"/>
        </w:rPr>
      </w:pPr>
    </w:p>
    <w:p w14:paraId="3AA3054E">
      <w:pPr>
        <w:spacing w:line="580" w:lineRule="exact"/>
        <w:jc w:val="center"/>
        <w:rPr>
          <w:rFonts w:hint="eastAsia" w:ascii="仿宋" w:hAnsi="仿宋" w:eastAsia="仿宋" w:cs="仿宋"/>
          <w:bCs/>
          <w:sz w:val="44"/>
          <w:szCs w:val="44"/>
        </w:rPr>
      </w:pPr>
    </w:p>
    <w:p w14:paraId="799964AF">
      <w:pPr>
        <w:spacing w:line="580" w:lineRule="exact"/>
        <w:jc w:val="center"/>
        <w:rPr>
          <w:rFonts w:hint="eastAsia" w:ascii="仿宋" w:hAnsi="仿宋" w:eastAsia="仿宋" w:cs="仿宋"/>
          <w:bCs/>
          <w:sz w:val="44"/>
          <w:szCs w:val="44"/>
        </w:rPr>
      </w:pPr>
    </w:p>
    <w:p w14:paraId="03118860">
      <w:pPr>
        <w:spacing w:line="580" w:lineRule="exact"/>
        <w:jc w:val="center"/>
        <w:rPr>
          <w:rFonts w:hint="eastAsia" w:ascii="仿宋" w:hAnsi="仿宋" w:eastAsia="仿宋" w:cs="仿宋"/>
          <w:bCs/>
          <w:sz w:val="44"/>
          <w:szCs w:val="44"/>
        </w:rPr>
      </w:pPr>
    </w:p>
    <w:p w14:paraId="6A68F3BD">
      <w:pPr>
        <w:spacing w:line="580" w:lineRule="exact"/>
        <w:jc w:val="center"/>
        <w:rPr>
          <w:rFonts w:hint="eastAsia" w:ascii="仿宋" w:hAnsi="仿宋" w:eastAsia="仿宋" w:cs="仿宋"/>
          <w:bCs/>
          <w:sz w:val="44"/>
          <w:szCs w:val="44"/>
        </w:rPr>
      </w:pPr>
    </w:p>
    <w:p w14:paraId="6D49829C">
      <w:pPr>
        <w:spacing w:line="580" w:lineRule="exact"/>
        <w:jc w:val="center"/>
        <w:rPr>
          <w:rFonts w:hint="eastAsia" w:ascii="仿宋" w:hAnsi="仿宋" w:eastAsia="仿宋" w:cs="仿宋"/>
          <w:bCs/>
          <w:sz w:val="44"/>
          <w:szCs w:val="44"/>
        </w:rPr>
      </w:pPr>
    </w:p>
    <w:p w14:paraId="516E5432">
      <w:pPr>
        <w:spacing w:line="580" w:lineRule="exact"/>
        <w:jc w:val="center"/>
        <w:rPr>
          <w:rFonts w:hint="eastAsia" w:ascii="仿宋" w:hAnsi="仿宋" w:eastAsia="仿宋" w:cs="仿宋"/>
          <w:bCs/>
          <w:sz w:val="44"/>
          <w:szCs w:val="44"/>
        </w:rPr>
      </w:pPr>
      <w:r>
        <w:rPr>
          <w:rFonts w:hint="eastAsia" w:ascii="仿宋" w:hAnsi="仿宋" w:eastAsia="仿宋" w:cs="仿宋"/>
          <w:bCs/>
          <w:sz w:val="44"/>
          <w:szCs w:val="44"/>
        </w:rPr>
        <w:t>目录</w:t>
      </w:r>
    </w:p>
    <w:p w14:paraId="0473E8FC">
      <w:pPr>
        <w:spacing w:line="580" w:lineRule="exact"/>
        <w:jc w:val="both"/>
        <w:rPr>
          <w:rFonts w:ascii="方正小标宋简体" w:hAnsi="黑体" w:eastAsia="方正小标宋简体" w:cs="黑体"/>
          <w:bCs/>
          <w:sz w:val="44"/>
          <w:szCs w:val="44"/>
        </w:rPr>
      </w:pPr>
    </w:p>
    <w:p w14:paraId="7D3B1127">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摘要</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14:paraId="3C6A50D8">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 项目基本情况</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14:paraId="108A9C5B">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（一）项目立项背景</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14:paraId="04794B20">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（二）项目立项依据 </w:t>
      </w:r>
    </w:p>
    <w:p w14:paraId="7F80F43F">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（三）项目实施内容</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14:paraId="77F00149">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（四）项目实施计划及完成情况</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14:paraId="1DBC1630">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（五）项目的组织及管理</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14:paraId="4A6527EB">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（六）项目绩效目标 </w:t>
      </w:r>
    </w:p>
    <w:p w14:paraId="018AB450">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二、绩效评价工作情况</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14:paraId="6D0E0B65">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(一)评价的目的和依据</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14:paraId="68BD0C53">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(二)绩效评价工作方案制定过程</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14:paraId="56B377A8">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(三)绩效评价原则、评价方法等</w:t>
      </w:r>
      <w:r>
        <w:rPr>
          <w:rFonts w:hint="eastAsia" w:ascii="仿宋_GB2312" w:hAnsi="仿宋_GB2312" w:eastAsia="仿宋_GB2312" w:cs="仿宋_GB2312"/>
          <w:sz w:val="21"/>
          <w:szCs w:val="21"/>
        </w:rPr>
        <w:tab/>
      </w:r>
    </w:p>
    <w:p w14:paraId="358167D4">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(四)绩效评价实施过程</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14:paraId="15EA47F7">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(五)绩效评价的局限性</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14:paraId="717963E4">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三、评价结论及绩效分析 </w:t>
      </w:r>
    </w:p>
    <w:p w14:paraId="662E68BE">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(一)评价结论</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14:paraId="40F7E9D6">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(二)绩效分析</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14:paraId="529208F9">
      <w:pPr>
        <w:spacing w:line="58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四、</w:t>
      </w:r>
      <w:r>
        <w:rPr>
          <w:rFonts w:hint="eastAsia" w:ascii="仿宋_GB2312" w:hAnsi="仿宋_GB2312" w:eastAsia="仿宋_GB2312" w:cs="仿宋_GB2312"/>
          <w:sz w:val="21"/>
          <w:szCs w:val="21"/>
          <w:lang w:eastAsia="zh-CN"/>
        </w:rPr>
        <w:t>成本效益分析</w:t>
      </w:r>
    </w:p>
    <w:p w14:paraId="73FC6378">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五、</w:t>
      </w:r>
      <w:r>
        <w:rPr>
          <w:rFonts w:hint="eastAsia" w:ascii="仿宋_GB2312" w:hAnsi="仿宋_GB2312" w:eastAsia="仿宋_GB2312" w:cs="仿宋_GB2312"/>
          <w:sz w:val="21"/>
          <w:szCs w:val="21"/>
        </w:rPr>
        <w:t xml:space="preserve">项目主要经验及做法、存在的问题和建议 </w:t>
      </w:r>
    </w:p>
    <w:p w14:paraId="5DD8AC15">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(一)主要经验及做法</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14:paraId="0D8FF639">
      <w:pPr>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(二)存在的问题</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14:paraId="0EC469B5">
      <w:pPr>
        <w:tabs>
          <w:tab w:val="left" w:pos="6090"/>
        </w:tabs>
        <w:spacing w:line="58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(三)建议和改进措施 </w:t>
      </w:r>
    </w:p>
    <w:p w14:paraId="020188F0">
      <w:pPr>
        <w:spacing w:line="580" w:lineRule="exact"/>
        <w:ind w:firstLine="640" w:firstLineChars="200"/>
        <w:jc w:val="left"/>
        <w:rPr>
          <w:rFonts w:ascii="黑体" w:hAnsi="黑体" w:eastAsia="黑体"/>
          <w:sz w:val="32"/>
          <w:szCs w:val="32"/>
        </w:rPr>
      </w:pPr>
    </w:p>
    <w:p w14:paraId="70BB7E2D">
      <w:pPr>
        <w:jc w:val="center"/>
        <w:rPr>
          <w:rFonts w:ascii="方正小标宋简体" w:eastAsia="方正小标宋简体"/>
          <w:sz w:val="44"/>
          <w:szCs w:val="44"/>
        </w:rPr>
      </w:pPr>
      <w:r>
        <w:rPr>
          <w:rFonts w:hint="eastAsia" w:ascii="方正小标宋简体" w:hAnsi="黑体" w:eastAsia="方正小标宋简体" w:cs="黑体"/>
          <w:bCs/>
          <w:sz w:val="44"/>
          <w:szCs w:val="44"/>
          <w:lang w:eastAsia="zh-CN"/>
        </w:rPr>
        <w:t>企业</w:t>
      </w:r>
      <w:r>
        <w:rPr>
          <w:rFonts w:hint="eastAsia" w:ascii="方正小标宋简体" w:hAnsi="黑体" w:eastAsia="方正小标宋简体" w:cs="黑体"/>
          <w:bCs/>
          <w:sz w:val="44"/>
          <w:szCs w:val="44"/>
        </w:rPr>
        <w:t>信用监管项目</w:t>
      </w:r>
      <w:r>
        <w:rPr>
          <w:rFonts w:hint="eastAsia" w:ascii="方正小标宋简体" w:eastAsia="方正小标宋简体"/>
          <w:sz w:val="44"/>
          <w:szCs w:val="44"/>
        </w:rPr>
        <w:t>支出绩效自评报告</w:t>
      </w:r>
    </w:p>
    <w:p w14:paraId="7E4F77B1">
      <w:pPr>
        <w:ind w:firstLine="600" w:firstLineChars="200"/>
        <w:jc w:val="center"/>
        <w:rPr>
          <w:rFonts w:ascii="方正小标宋_GBK" w:hAnsi="黑体" w:eastAsia="方正小标宋_GBK"/>
          <w:sz w:val="30"/>
          <w:szCs w:val="30"/>
        </w:rPr>
      </w:pPr>
    </w:p>
    <w:p w14:paraId="41827D0F">
      <w:pPr>
        <w:ind w:firstLine="600" w:firstLineChars="200"/>
        <w:jc w:val="center"/>
        <w:rPr>
          <w:rFonts w:ascii="方正小标宋简体" w:hAnsi="黑体" w:eastAsia="方正小标宋简体"/>
          <w:sz w:val="44"/>
          <w:szCs w:val="44"/>
        </w:rPr>
      </w:pPr>
      <w:r>
        <w:rPr>
          <w:rFonts w:hint="eastAsia" w:ascii="方正小标宋_GBK" w:hAnsi="黑体" w:eastAsia="方正小标宋_GBK"/>
          <w:sz w:val="30"/>
          <w:szCs w:val="30"/>
        </w:rPr>
        <w:t>摘要（</w:t>
      </w:r>
      <w:r>
        <w:rPr>
          <w:rFonts w:ascii="方正小标宋_GBK" w:hAnsi="黑体" w:eastAsia="方正小标宋_GBK"/>
          <w:sz w:val="30"/>
          <w:szCs w:val="30"/>
        </w:rPr>
        <w:t>1500</w:t>
      </w:r>
      <w:r>
        <w:rPr>
          <w:rFonts w:hint="eastAsia" w:ascii="方正小标宋_GBK" w:hAnsi="黑体" w:eastAsia="方正小标宋_GBK"/>
          <w:sz w:val="30"/>
          <w:szCs w:val="30"/>
        </w:rPr>
        <w:t>字以内）</w:t>
      </w:r>
    </w:p>
    <w:p w14:paraId="45545D97">
      <w:pPr>
        <w:topLinePunct/>
        <w:ind w:firstLine="800" w:firstLineChars="250"/>
        <w:rPr>
          <w:rFonts w:ascii="黑体" w:eastAsia="黑体"/>
          <w:sz w:val="32"/>
          <w:szCs w:val="32"/>
        </w:rPr>
      </w:pPr>
      <w:r>
        <w:rPr>
          <w:rFonts w:hint="eastAsia" w:ascii="黑体" w:eastAsia="黑体"/>
          <w:sz w:val="32"/>
          <w:szCs w:val="32"/>
        </w:rPr>
        <w:t>一、项目概况</w:t>
      </w:r>
    </w:p>
    <w:p w14:paraId="0ABDEC7D">
      <w:pPr>
        <w:ind w:firstLine="640" w:firstLineChars="200"/>
        <w:rPr>
          <w:rFonts w:ascii="楷体_GB2312" w:eastAsia="楷体_GB2312"/>
          <w:sz w:val="32"/>
          <w:szCs w:val="32"/>
        </w:rPr>
      </w:pPr>
      <w:r>
        <w:rPr>
          <w:rFonts w:hint="eastAsia" w:ascii="楷体_GB2312" w:eastAsia="楷体_GB2312"/>
          <w:sz w:val="32"/>
          <w:szCs w:val="32"/>
        </w:rPr>
        <w:t>（一）项目立项背景及目的</w:t>
      </w:r>
    </w:p>
    <w:p w14:paraId="7F1B879A">
      <w:pPr>
        <w:ind w:firstLine="640" w:firstLineChars="200"/>
        <w:jc w:val="left"/>
        <w:rPr>
          <w:rFonts w:ascii="仿宋_GB2312" w:eastAsia="仿宋_GB2312"/>
          <w:sz w:val="32"/>
          <w:szCs w:val="32"/>
        </w:rPr>
      </w:pPr>
      <w:r>
        <w:rPr>
          <w:rFonts w:hint="eastAsia" w:ascii="仿宋_GB2312" w:eastAsia="仿宋_GB2312"/>
          <w:sz w:val="32"/>
          <w:szCs w:val="32"/>
        </w:rPr>
        <w:t>通过依法对内资企业、私营企业、个体工商户、农民专业合作社等市场主体从事生产经营活动履行监督管理职责，更好地规范经营活动，以保障公平竞争，促进企业诚信自律，规范企业信息公示，督促企业履行法定义务，强化企业信用约束，加强社会信用体系建设，维护交易安全，提高政府监管效能，扩大社会监督，维护良好市场秩序，努力营造诚实守信、公平有序、充满活力的市场环境，推动形成“一处违法、处处受限”的企业信用监管效应，推进政务诚信、商务诚信和社会诚信建设，为政府客观科学决策提供依据，更好地服务于盘龙经济，更好地为盘龙经济健康持续发展提供保障。</w:t>
      </w:r>
    </w:p>
    <w:p w14:paraId="0D2F8D1F">
      <w:pPr>
        <w:ind w:firstLine="640" w:firstLineChars="200"/>
        <w:rPr>
          <w:rFonts w:ascii="仿宋_GB2312" w:eastAsia="仿宋_GB2312"/>
          <w:sz w:val="32"/>
          <w:szCs w:val="32"/>
        </w:rPr>
      </w:pPr>
      <w:r>
        <w:rPr>
          <w:rFonts w:hint="eastAsia" w:ascii="楷体_GB2312" w:eastAsia="楷体_GB2312"/>
          <w:sz w:val="32"/>
          <w:szCs w:val="32"/>
        </w:rPr>
        <w:t>（二）预算收支</w:t>
      </w:r>
      <w:r>
        <w:rPr>
          <w:rFonts w:hint="eastAsia" w:ascii="仿宋_GB2312" w:eastAsia="仿宋_GB2312"/>
          <w:sz w:val="32"/>
          <w:szCs w:val="32"/>
        </w:rPr>
        <w:t>情况</w:t>
      </w:r>
    </w:p>
    <w:p w14:paraId="2D124B90">
      <w:pPr>
        <w:ind w:firstLine="726" w:firstLineChars="227"/>
        <w:jc w:val="left"/>
        <w:rPr>
          <w:rFonts w:hint="eastAsia" w:ascii="仿宋_GB2312" w:eastAsia="仿宋_GB2312"/>
          <w:sz w:val="32"/>
          <w:szCs w:val="32"/>
          <w:lang w:eastAsia="zh-CN"/>
        </w:rPr>
      </w:pPr>
      <w:r>
        <w:rPr>
          <w:rFonts w:ascii="仿宋_GB2312" w:eastAsia="仿宋_GB2312"/>
          <w:sz w:val="32"/>
          <w:szCs w:val="32"/>
        </w:rPr>
        <w:t>20</w:t>
      </w:r>
      <w:r>
        <w:rPr>
          <w:rFonts w:hint="eastAsia" w:ascii="仿宋_GB2312" w:eastAsia="仿宋_GB2312"/>
          <w:sz w:val="32"/>
          <w:szCs w:val="32"/>
        </w:rPr>
        <w:t>21年，信用监管科共计收到盘龙区财政拨付“企业信用监管工作经费项目资金”</w:t>
      </w:r>
      <w:r>
        <w:rPr>
          <w:rFonts w:hint="eastAsia" w:ascii="仿宋_GB2312" w:eastAsia="仿宋_GB2312"/>
          <w:sz w:val="32"/>
          <w:szCs w:val="32"/>
          <w:lang w:val="en-US" w:eastAsia="zh-CN"/>
        </w:rPr>
        <w:t>98.83</w:t>
      </w:r>
      <w:r>
        <w:rPr>
          <w:rFonts w:hint="eastAsia" w:ascii="仿宋_GB2312" w:eastAsia="仿宋_GB2312"/>
          <w:sz w:val="32"/>
          <w:szCs w:val="32"/>
        </w:rPr>
        <w:t>万元，已全部使用完毕。其中：</w:t>
      </w:r>
      <w:r>
        <w:rPr>
          <w:rFonts w:ascii="仿宋_GB2312" w:eastAsia="仿宋_GB2312"/>
          <w:sz w:val="32"/>
          <w:szCs w:val="32"/>
        </w:rPr>
        <w:t>1</w:t>
      </w:r>
      <w:r>
        <w:rPr>
          <w:rFonts w:hint="eastAsia" w:ascii="仿宋_GB2312" w:eastAsia="仿宋_GB2312"/>
          <w:sz w:val="32"/>
          <w:szCs w:val="32"/>
        </w:rPr>
        <w:t>、支付企业年报核查服务费</w:t>
      </w:r>
      <w:r>
        <w:rPr>
          <w:rFonts w:hint="eastAsia" w:ascii="仿宋_GB2312" w:eastAsia="仿宋_GB2312"/>
          <w:sz w:val="32"/>
          <w:szCs w:val="32"/>
          <w:lang w:val="en-US" w:eastAsia="zh-CN"/>
        </w:rPr>
        <w:t>93.82</w:t>
      </w:r>
      <w:r>
        <w:rPr>
          <w:rFonts w:hint="eastAsia" w:ascii="仿宋_GB2312" w:eastAsia="仿宋_GB2312"/>
          <w:sz w:val="32"/>
          <w:szCs w:val="32"/>
        </w:rPr>
        <w:t>万元；</w:t>
      </w:r>
      <w:r>
        <w:rPr>
          <w:rFonts w:ascii="仿宋_GB2312" w:eastAsia="仿宋_GB2312"/>
          <w:sz w:val="32"/>
          <w:szCs w:val="32"/>
        </w:rPr>
        <w:t>2</w:t>
      </w:r>
      <w:r>
        <w:rPr>
          <w:rFonts w:hint="eastAsia" w:ascii="仿宋_GB2312" w:eastAsia="仿宋_GB2312"/>
          <w:sz w:val="32"/>
          <w:szCs w:val="32"/>
        </w:rPr>
        <w:t>、支付年报工作短信服务费3万元；3、支付年报宣传资料印制费</w:t>
      </w:r>
      <w:r>
        <w:rPr>
          <w:rFonts w:hint="eastAsia" w:ascii="仿宋_GB2312" w:eastAsia="仿宋_GB2312"/>
          <w:sz w:val="32"/>
          <w:szCs w:val="32"/>
          <w:lang w:val="en-US" w:eastAsia="zh-CN"/>
        </w:rPr>
        <w:t>2</w:t>
      </w:r>
      <w:r>
        <w:rPr>
          <w:rFonts w:hint="eastAsia" w:ascii="仿宋_GB2312" w:eastAsia="仿宋_GB2312"/>
          <w:sz w:val="32"/>
          <w:szCs w:val="32"/>
        </w:rPr>
        <w:t>万元</w:t>
      </w:r>
      <w:r>
        <w:rPr>
          <w:rFonts w:hint="eastAsia" w:ascii="仿宋_GB2312" w:eastAsia="仿宋_GB2312"/>
          <w:sz w:val="32"/>
          <w:szCs w:val="32"/>
          <w:lang w:eastAsia="zh-CN"/>
        </w:rPr>
        <w:t>。</w:t>
      </w:r>
    </w:p>
    <w:p w14:paraId="66B39BA9">
      <w:pPr>
        <w:ind w:firstLine="640" w:firstLineChars="200"/>
        <w:rPr>
          <w:rFonts w:ascii="黑体" w:eastAsia="黑体"/>
          <w:sz w:val="32"/>
          <w:szCs w:val="32"/>
        </w:rPr>
      </w:pPr>
      <w:r>
        <w:rPr>
          <w:rFonts w:hint="eastAsia" w:ascii="黑体" w:eastAsia="黑体"/>
          <w:sz w:val="32"/>
          <w:szCs w:val="32"/>
        </w:rPr>
        <w:t>二、评价结论</w:t>
      </w:r>
    </w:p>
    <w:p w14:paraId="2174E534">
      <w:pPr>
        <w:ind w:firstLine="640" w:firstLineChars="200"/>
        <w:jc w:val="left"/>
        <w:rPr>
          <w:rFonts w:hint="eastAsia" w:ascii="仿宋_GB2312" w:eastAsia="仿宋_GB2312"/>
          <w:sz w:val="32"/>
          <w:szCs w:val="32"/>
        </w:rPr>
      </w:pPr>
      <w:r>
        <w:rPr>
          <w:rFonts w:hint="eastAsia" w:ascii="仿宋_GB2312" w:eastAsia="仿宋_GB2312"/>
          <w:sz w:val="32"/>
          <w:szCs w:val="32"/>
        </w:rPr>
        <w:t>2021年度，信用监管项目经费做到了专款专用，信用监管项目支出绩效评价自评分为100分，项目支出绩效评价自评结果为优，其中项目决策20分、项目管理20分、项目绩效60分。</w:t>
      </w:r>
    </w:p>
    <w:p w14:paraId="6B8C3669">
      <w:pPr>
        <w:topLinePunct/>
        <w:spacing w:line="360" w:lineRule="auto"/>
        <w:ind w:firstLine="800" w:firstLineChars="250"/>
        <w:rPr>
          <w:rFonts w:ascii="黑体" w:eastAsia="黑体"/>
          <w:sz w:val="32"/>
          <w:szCs w:val="32"/>
        </w:rPr>
      </w:pPr>
      <w:r>
        <w:rPr>
          <w:rFonts w:hint="eastAsia" w:ascii="黑体" w:eastAsia="黑体"/>
          <w:sz w:val="32"/>
          <w:szCs w:val="32"/>
        </w:rPr>
        <w:t>三、经验、问题和建议</w:t>
      </w:r>
    </w:p>
    <w:p w14:paraId="2FFD7F2D">
      <w:pPr>
        <w:ind w:firstLine="640" w:firstLineChars="200"/>
        <w:rPr>
          <w:rFonts w:ascii="楷体_GB2312" w:eastAsia="楷体_GB2312"/>
          <w:sz w:val="32"/>
          <w:szCs w:val="32"/>
        </w:rPr>
      </w:pPr>
      <w:r>
        <w:rPr>
          <w:rFonts w:hint="eastAsia" w:ascii="楷体_GB2312" w:eastAsia="楷体_GB2312"/>
          <w:sz w:val="32"/>
          <w:szCs w:val="32"/>
        </w:rPr>
        <w:t>（一）主要经验及做法</w:t>
      </w:r>
    </w:p>
    <w:p w14:paraId="79E0315F">
      <w:pPr>
        <w:keepNext w:val="0"/>
        <w:keepLines w:val="0"/>
        <w:pageBreakBefore w:val="0"/>
        <w:widowControl w:val="0"/>
        <w:kinsoku/>
        <w:wordWrap/>
        <w:overflowPunct/>
        <w:autoSpaceDE w:val="0"/>
        <w:autoSpaceDN w:val="0"/>
        <w:bidi w:val="0"/>
        <w:adjustRightInd w:val="0"/>
        <w:ind w:left="0" w:leftChars="0" w:right="0" w:rightChars="0" w:firstLine="640" w:firstLineChars="200"/>
        <w:jc w:val="left"/>
        <w:textAlignment w:val="auto"/>
        <w:outlineLvl w:val="9"/>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、认真开展</w:t>
      </w:r>
      <w:r>
        <w:rPr>
          <w:rFonts w:ascii="仿宋_GB2312" w:eastAsia="仿宋_GB2312"/>
          <w:sz w:val="32"/>
          <w:szCs w:val="32"/>
        </w:rPr>
        <w:t>20</w:t>
      </w:r>
      <w:r>
        <w:rPr>
          <w:rFonts w:hint="eastAsia" w:ascii="仿宋_GB2312" w:eastAsia="仿宋_GB2312"/>
          <w:sz w:val="32"/>
          <w:szCs w:val="32"/>
        </w:rPr>
        <w:t>21年市场主体年报公示工作。领导重视，强化组织，多措并举，圆满完成了国家市场监管总局下达的企业年报工作的刚性目标任务，因企业年报公示工作成绩显著，受到昆明市市场监督管理局给予的通报表扬。</w:t>
      </w:r>
    </w:p>
    <w:p w14:paraId="5172A03A">
      <w:pPr>
        <w:keepNext w:val="0"/>
        <w:keepLines w:val="0"/>
        <w:pageBreakBefore w:val="0"/>
        <w:widowControl w:val="0"/>
        <w:kinsoku/>
        <w:wordWrap/>
        <w:overflowPunct/>
        <w:autoSpaceDE w:val="0"/>
        <w:autoSpaceDN w:val="0"/>
        <w:bidi w:val="0"/>
        <w:adjustRightInd w:val="0"/>
        <w:ind w:left="0" w:leftChars="0" w:right="0" w:rightChars="0" w:firstLine="640" w:firstLineChars="200"/>
        <w:jc w:val="left"/>
        <w:textAlignment w:val="auto"/>
        <w:outlineLvl w:val="9"/>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、进一步开展清理吊销长期停业未经营企业工作。</w:t>
      </w:r>
      <w:r>
        <w:rPr>
          <w:rFonts w:ascii="仿宋_GB2312" w:eastAsia="仿宋_GB2312"/>
          <w:sz w:val="32"/>
          <w:szCs w:val="32"/>
        </w:rPr>
        <w:t>20</w:t>
      </w:r>
      <w:r>
        <w:rPr>
          <w:rFonts w:hint="eastAsia" w:ascii="仿宋_GB2312" w:eastAsia="仿宋_GB2312"/>
          <w:sz w:val="32"/>
          <w:szCs w:val="32"/>
        </w:rPr>
        <w:t>21年共计立案清理吊销长期停业未经营企业1557户，起到了引导企业守法诚信经营，深化商事制度改革，落实“宽进严管”工作要求，加快建立“僵尸企业”强制退出机制，加强社会信用体系建设，为后续市场监管夯实基础，为政府客观科学决策提供依据，促进盘龙经济健康持续发展的积极作用。</w:t>
      </w:r>
    </w:p>
    <w:p w14:paraId="30DCE7E2">
      <w:pPr>
        <w:keepNext w:val="0"/>
        <w:keepLines w:val="0"/>
        <w:pageBreakBefore w:val="0"/>
        <w:widowControl w:val="0"/>
        <w:kinsoku/>
        <w:wordWrap/>
        <w:overflowPunct/>
        <w:bidi w:val="0"/>
        <w:spacing w:line="560" w:lineRule="exact"/>
        <w:ind w:left="0" w:leftChars="0" w:right="0" w:rightChars="0" w:firstLine="640" w:firstLineChars="200"/>
        <w:textAlignment w:val="auto"/>
        <w:outlineLvl w:val="9"/>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认真开展盘龙区市场监管局2021年涉金融类企业信用信息抽查核查工作。为做好盘龙区涉金融类企业的信用监管工作，我局精心组织，周密部署，结合本局工作实际，制定具体实施方案，建立完善工作机制，明确工作任务和职责分工，对盘龙辖区内890户涉金融类企业开展了信用监管定向抽查工作，此次抽查工作进一步强化了对盘龙辖区内涉金融类企业的事中事后监管，进一步促进了涉金融类企业守法经营、诚信经营。</w:t>
      </w:r>
    </w:p>
    <w:p w14:paraId="1AEC7EB8">
      <w:pPr>
        <w:ind w:firstLine="640" w:firstLineChars="200"/>
        <w:jc w:val="left"/>
        <w:rPr>
          <w:rFonts w:hint="eastAsia" w:ascii="仿宋_GB2312" w:eastAsia="仿宋_GB2312"/>
          <w:sz w:val="32"/>
          <w:szCs w:val="32"/>
        </w:rPr>
      </w:pPr>
      <w:r>
        <w:rPr>
          <w:rFonts w:hint="eastAsia" w:ascii="仿宋_GB2312" w:eastAsia="仿宋_GB2312"/>
          <w:sz w:val="32"/>
          <w:szCs w:val="32"/>
        </w:rPr>
        <w:t>4、全面开展了2021年年报公示信息“双随机”抽查工作。由省市场监管局按照5%的比例，以随机摇号的方式，共计随机抽取盘龙区1676户企业（含农民专业合作社）作为抽查检查对象，针对市场主体2020年度的年报公示信息，采取“</w:t>
      </w:r>
      <w:r>
        <w:rPr>
          <w:rFonts w:hint="eastAsia" w:ascii="仿宋_GB2312" w:eastAsia="仿宋_GB2312"/>
          <w:sz w:val="32"/>
          <w:szCs w:val="32"/>
          <w:lang w:eastAsia="zh-CN"/>
        </w:rPr>
        <w:t>双随机、一公开</w:t>
      </w:r>
      <w:r>
        <w:rPr>
          <w:rFonts w:hint="eastAsia" w:ascii="仿宋_GB2312" w:eastAsia="仿宋_GB2312"/>
          <w:sz w:val="32"/>
          <w:szCs w:val="32"/>
        </w:rPr>
        <w:t>”的工作方式，在全区范围内组织开展了2021年年报公示信息“</w:t>
      </w:r>
      <w:r>
        <w:rPr>
          <w:rFonts w:hint="eastAsia" w:ascii="仿宋_GB2312" w:eastAsia="仿宋_GB2312"/>
          <w:sz w:val="32"/>
          <w:szCs w:val="32"/>
          <w:lang w:eastAsia="zh-CN"/>
        </w:rPr>
        <w:t>双随机、一公开</w:t>
      </w:r>
      <w:r>
        <w:rPr>
          <w:rFonts w:hint="eastAsia" w:ascii="仿宋_GB2312" w:eastAsia="仿宋_GB2312"/>
          <w:sz w:val="32"/>
          <w:szCs w:val="32"/>
        </w:rPr>
        <w:t>”抽查工作。在抽查检查工作中，委托公开招标中标</w:t>
      </w:r>
      <w:r>
        <w:rPr>
          <w:rFonts w:hint="eastAsia" w:ascii="仿宋_GB2312" w:eastAsia="仿宋_GB2312"/>
          <w:sz w:val="32"/>
          <w:szCs w:val="32"/>
          <w:lang w:eastAsia="zh-CN"/>
        </w:rPr>
        <w:t>的</w:t>
      </w:r>
      <w:r>
        <w:rPr>
          <w:rFonts w:hint="eastAsia" w:ascii="仿宋_GB2312" w:eastAsia="仿宋_GB2312"/>
          <w:sz w:val="32"/>
          <w:szCs w:val="32"/>
        </w:rPr>
        <w:t>会计师事务所，承担我局企业年报公示信息审计核查的工作，并将抽查检查结果记于市场主体名下，通过国家企业信用信息公示系统（云南）进行了公示。“</w:t>
      </w:r>
      <w:r>
        <w:rPr>
          <w:rFonts w:hint="eastAsia" w:ascii="仿宋_GB2312" w:eastAsia="仿宋_GB2312"/>
          <w:sz w:val="32"/>
          <w:szCs w:val="32"/>
          <w:lang w:eastAsia="zh-CN"/>
        </w:rPr>
        <w:t>双随机、一公开</w:t>
      </w:r>
      <w:r>
        <w:rPr>
          <w:rFonts w:hint="eastAsia" w:ascii="仿宋_GB2312" w:eastAsia="仿宋_GB2312"/>
          <w:sz w:val="32"/>
          <w:szCs w:val="32"/>
        </w:rPr>
        <w:t>”抽查检查工作深化了商事制度改革，落实了“宽进严管”工作要求，强化了事中事后监管，规范了市场交易秩序，净化了市场主体发展环境，优化提升了营商环境。</w:t>
      </w:r>
    </w:p>
    <w:p w14:paraId="310885C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（二）存在的问题</w:t>
      </w:r>
    </w:p>
    <w:p w14:paraId="5835932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无。</w:t>
      </w:r>
    </w:p>
    <w:p w14:paraId="2FAC23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（三）改进措施及建议。</w:t>
      </w:r>
    </w:p>
    <w:p w14:paraId="75684CC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无。</w:t>
      </w:r>
    </w:p>
    <w:p w14:paraId="434F58F2">
      <w:pPr>
        <w:jc w:val="both"/>
        <w:rPr>
          <w:rFonts w:hint="eastAsia" w:ascii="仿宋" w:hAnsi="仿宋" w:eastAsia="仿宋" w:cs="仿宋"/>
          <w:bCs/>
          <w:sz w:val="21"/>
          <w:szCs w:val="21"/>
          <w:lang w:eastAsia="zh-CN"/>
        </w:rPr>
      </w:pPr>
    </w:p>
    <w:p w14:paraId="095E95A2">
      <w:pPr>
        <w:jc w:val="both"/>
        <w:rPr>
          <w:rFonts w:hint="eastAsia" w:ascii="仿宋" w:hAnsi="仿宋" w:eastAsia="仿宋" w:cs="仿宋"/>
          <w:bCs/>
          <w:sz w:val="21"/>
          <w:szCs w:val="21"/>
          <w:lang w:eastAsia="zh-CN"/>
        </w:rPr>
      </w:pPr>
      <w:r>
        <w:rPr>
          <w:rFonts w:hint="eastAsia" w:ascii="仿宋" w:hAnsi="仿宋" w:eastAsia="仿宋" w:cs="仿宋"/>
          <w:bCs/>
          <w:sz w:val="21"/>
          <w:szCs w:val="21"/>
          <w:lang w:eastAsia="zh-CN"/>
        </w:rPr>
        <w:t>正文</w:t>
      </w:r>
    </w:p>
    <w:p w14:paraId="5C8C42CC">
      <w:pPr>
        <w:jc w:val="center"/>
        <w:rPr>
          <w:rFonts w:ascii="方正小标宋简体" w:eastAsia="方正小标宋简体"/>
          <w:sz w:val="44"/>
          <w:szCs w:val="44"/>
        </w:rPr>
      </w:pPr>
      <w:r>
        <w:rPr>
          <w:rFonts w:hint="eastAsia" w:ascii="方正小标宋简体" w:hAnsi="黑体" w:eastAsia="方正小标宋简体" w:cs="黑体"/>
          <w:bCs/>
          <w:sz w:val="44"/>
          <w:szCs w:val="44"/>
        </w:rPr>
        <w:t>信用监管项目</w:t>
      </w:r>
      <w:r>
        <w:rPr>
          <w:rFonts w:hint="eastAsia" w:ascii="方正小标宋简体" w:eastAsia="方正小标宋简体"/>
          <w:sz w:val="44"/>
          <w:szCs w:val="44"/>
        </w:rPr>
        <w:t>支出绩效自评报告</w:t>
      </w:r>
    </w:p>
    <w:p w14:paraId="393F7A28">
      <w:pPr>
        <w:topLinePunct/>
        <w:ind w:firstLine="525" w:firstLineChars="250"/>
        <w:rPr>
          <w:rFonts w:ascii="黑体" w:eastAsia="黑体"/>
          <w:szCs w:val="32"/>
        </w:rPr>
      </w:pPr>
    </w:p>
    <w:p w14:paraId="1E3F8DF7">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640" w:firstLineChars="200"/>
        <w:textAlignment w:val="auto"/>
        <w:outlineLvl w:val="9"/>
        <w:rPr>
          <w:rFonts w:ascii="黑体" w:hAnsi="黑体" w:eastAsia="黑体"/>
          <w:sz w:val="32"/>
          <w:szCs w:val="32"/>
        </w:rPr>
      </w:pPr>
      <w:r>
        <w:rPr>
          <w:rFonts w:hint="eastAsia" w:ascii="黑体" w:hAnsi="黑体" w:eastAsia="黑体"/>
          <w:sz w:val="32"/>
          <w:szCs w:val="32"/>
        </w:rPr>
        <w:t>一、项目基本情况</w:t>
      </w:r>
    </w:p>
    <w:p w14:paraId="48C0EACA">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640" w:firstLineChars="200"/>
        <w:textAlignment w:val="auto"/>
        <w:outlineLvl w:val="9"/>
        <w:rPr>
          <w:rFonts w:ascii="楷体_GB2312" w:eastAsia="楷体_GB2312"/>
          <w:sz w:val="32"/>
          <w:szCs w:val="32"/>
        </w:rPr>
      </w:pPr>
      <w:r>
        <w:rPr>
          <w:rFonts w:hint="eastAsia" w:ascii="楷体_GB2312" w:eastAsia="楷体_GB2312"/>
          <w:sz w:val="32"/>
          <w:szCs w:val="32"/>
        </w:rPr>
        <w:t>（一）项目概况</w:t>
      </w:r>
    </w:p>
    <w:p w14:paraId="58DC583F">
      <w:pPr>
        <w:keepNext w:val="0"/>
        <w:keepLines w:val="0"/>
        <w:pageBreakBefore w:val="0"/>
        <w:widowControl w:val="0"/>
        <w:kinsoku/>
        <w:wordWrap/>
        <w:overflowPunct/>
        <w:autoSpaceDE/>
        <w:autoSpaceDN/>
        <w:bidi w:val="0"/>
        <w:adjustRightInd/>
        <w:snapToGrid/>
        <w:spacing w:line="240" w:lineRule="auto"/>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1.立项背景及目的。</w:t>
      </w:r>
    </w:p>
    <w:p w14:paraId="2E7189BA">
      <w:pPr>
        <w:keepNext w:val="0"/>
        <w:keepLines w:val="0"/>
        <w:pageBreakBefore w:val="0"/>
        <w:widowControl w:val="0"/>
        <w:kinsoku/>
        <w:wordWrap/>
        <w:overflowPunct/>
        <w:autoSpaceDE/>
        <w:autoSpaceDN/>
        <w:bidi w:val="0"/>
        <w:adjustRightInd/>
        <w:snapToGrid/>
        <w:spacing w:line="240" w:lineRule="auto"/>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通过依法对内资企业、私营企业、个体工商户、农民专业合作社等市场主体从事生产经营活动履行监督管理职责，更好地规范经营活动，以保障公平竞争，促进企业诚信自律，规范企业信息公示，督促企业履行法定义务，强化企业信用约束，加强社会信用体系建设，维护交易安全，提高政府监管效能，扩大社会监督，维护良好市场秩序，努力营造诚实守信、公平有序、充满活力的市场环境，推动形成“一处违法、处处受限”的企业信用监管效应，推进政务诚信、商务诚信和社会诚信建设，为政府客观科学决策提供依据，更好地服务于盘龙经济，更好地为盘龙经济健康持续发展提供保障。</w:t>
      </w:r>
    </w:p>
    <w:p w14:paraId="46021D32">
      <w:pPr>
        <w:keepNext w:val="0"/>
        <w:keepLines w:val="0"/>
        <w:pageBreakBefore w:val="0"/>
        <w:widowControl w:val="0"/>
        <w:kinsoku/>
        <w:wordWrap/>
        <w:overflowPunct/>
        <w:autoSpaceDE/>
        <w:autoSpaceDN/>
        <w:bidi w:val="0"/>
        <w:adjustRightInd/>
        <w:snapToGrid/>
        <w:spacing w:line="240" w:lineRule="auto"/>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2.项目实施情况。</w:t>
      </w:r>
    </w:p>
    <w:p w14:paraId="50A7C3EB">
      <w:pPr>
        <w:keepNext w:val="0"/>
        <w:keepLines w:val="0"/>
        <w:pageBreakBefore w:val="0"/>
        <w:widowControl w:val="0"/>
        <w:kinsoku/>
        <w:wordWrap/>
        <w:overflowPunct/>
        <w:autoSpaceDE/>
        <w:autoSpaceDN/>
        <w:bidi w:val="0"/>
        <w:adjustRightInd/>
        <w:snapToGrid/>
        <w:spacing w:line="240" w:lineRule="auto"/>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1）认真开展2021年市场主体年报公示工作。按照国务院令第654号《企业信息公示暂行条例》和国家市场监管总局，以及省市市场监管局的相关工作要求，认真做好2021年市场主体年报公示工作。明确责任分工，做好统筹安排，全局上下一心，加强团结协作，攻坚克难，真抓实干，积极采取多项有力有效措施，全力落实年报工作目标任务，强力推进年报工作，通过不懈努力，截止2021年6月30日，盘龙区市场监管局取得了2020年度企业年报率92.34%，名列昆明市四城区第一的优异成绩，超额完成了国家市场监管总局下达的企业年报率不低于85%的刚性目标任务，圆满完成了省市局下达的企业年报率不低于2020年的目标任务，因此受到昆明市市场监督管理局给予的通报表扬。</w:t>
      </w:r>
    </w:p>
    <w:p w14:paraId="3BE98007">
      <w:pPr>
        <w:ind w:firstLine="320" w:firstLineChars="100"/>
        <w:jc w:val="left"/>
        <w:rPr>
          <w:rFonts w:hint="eastAsia" w:ascii="仿宋_GB2312" w:eastAsia="仿宋_GB2312"/>
          <w:sz w:val="32"/>
          <w:szCs w:val="32"/>
        </w:rPr>
      </w:pPr>
      <w:r>
        <w:rPr>
          <w:rFonts w:hint="eastAsia" w:ascii="仿宋_GB2312" w:eastAsia="仿宋_GB2312"/>
          <w:sz w:val="32"/>
          <w:szCs w:val="32"/>
        </w:rPr>
        <w:t>（2）进一步开展清理吊销长期停业未经营企业工作。按照国家市场监管总局、国家税务总局和省市市场监管局的相关工作要求，进一步开展清理吊销长期停业未经营企业工作。积极与盘龙区税务局进行工作交流协作，积极探索与公安、法院等部门进行数据共享，积极探索清理吊销长期停业未经营企业工作的长效机制，多方联系查找失踪户企业负责人，执法人员实地核查长期停业未经营企业，加快推进清理吊销长期停业未经营企业工作。2021年，共计立案清理吊销长期停业未经营企业1557户，起到了引导企业守法诚信经营，净化市场主体发展环境，有效降低企业年报虚数，有效清理“僵尸户”，深化商事制度改革，落实“宽进严管”工作要求，加快建立“僵尸企业”强制退出机制，督促企业履行法定义务，加强社会信用体系建设，为后续市场监管夯实基础，为政府客观科学决策提供依据，促进盘龙经济健康持续发展的积极作用。</w:t>
      </w:r>
    </w:p>
    <w:p w14:paraId="7C335AF1">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3</w:t>
      </w:r>
      <w:r>
        <w:rPr>
          <w:rFonts w:hint="eastAsia" w:ascii="仿宋_GB2312" w:eastAsia="仿宋_GB2312"/>
          <w:sz w:val="32"/>
          <w:szCs w:val="32"/>
        </w:rPr>
        <w:t>）强化信用约束机制，实施信用约束，进一步推进失信联合惩戒。依托云南省市场监管一体化系统和《昆明市市场主体信用信息服务监管平台》实施市场主体信用信息归集共享工作，强化信用约束机制，实施信用约束，进一步推进失信联合惩戒。同时，积极做好云南省市场监管一体化系统和《昆明市市场主体信用信息服务监管平台》在盘龙区的牵头推广应用工作，加大与盘龙区各平台使用职能部门的沟通协调力度，全力推进以信用监管为核心的新型联合惩戒监管体系的建立，并依托系统和平台进一步归集、共享、运用区属各相关职能部门对各类市场主体的监管服务信息，为开展以信用监管为核心的市场主体事中事后监管提供有力支撑。2021年，盘龙区市场监管局共计通过昆明市场主体信用信息服务监管平台推送登记告知信息11531条，归集行政许可信息36877条，归集行政处罚信息605条，公示企业数量达49013户。</w:t>
      </w:r>
    </w:p>
    <w:p w14:paraId="0AB29FA2">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4</w:t>
      </w:r>
      <w:r>
        <w:rPr>
          <w:rFonts w:hint="eastAsia" w:ascii="仿宋_GB2312" w:eastAsia="仿宋_GB2312"/>
          <w:sz w:val="32"/>
          <w:szCs w:val="32"/>
        </w:rPr>
        <w:t>）积极做好盘龙区</w:t>
      </w:r>
      <w:r>
        <w:rPr>
          <w:rFonts w:ascii="仿宋_GB2312" w:eastAsia="仿宋_GB2312"/>
          <w:sz w:val="32"/>
          <w:szCs w:val="32"/>
        </w:rPr>
        <w:t>20</w:t>
      </w:r>
      <w:r>
        <w:rPr>
          <w:rFonts w:hint="eastAsia" w:ascii="仿宋_GB2312" w:eastAsia="仿宋_GB2312"/>
          <w:sz w:val="32"/>
          <w:szCs w:val="32"/>
        </w:rPr>
        <w:t>21年度查处无证无照经营综合治理的组织协调监督工作，依法查处无证无照经营行为。同时，积极履行盘龙区查处无证无照经营联席会议办公室的各项职能，修订完善了区依法查处无证无照经营工作联席会议制度相关规定。严格按照省、市、区查处取缔无照经营联席会议办公室的相关工作要求，把查处无证无照经营综合治理工作作为本局的一项日常工作抓紧抓实，依法采取措施、集中力量，严厉打击无证无照经营活动，进一步净化市场交易秩序。同时，对盘龙辖区内的无证无照经营行为进行排查，做到查处一批、规范办照办证一批、取缔一批，确保无证无照经营查处取缔工作取得实效。2021年，通过认真牵头组织全区开展查处无证无照经营综合治理工作，盘龙区共出动执法人员46225人次，多部门联合执法462次，检查各类经营主体100232户，发现无证经营户138户，发现有证无照经营户56户，发现无证无照经营户194户，责令整改138户，依法取缔违法经营户106户，引导经营者办照办证242户，受理群众举报24件，处理群众举报24件，开展宣传活动464次，发放宣传资料164400份。依法查处无证无照经营综合治理工作的开展，对盘龙区无证无照经营行为形成了较大震慑力，遏制了无证无照经营行为的蔓延，保护了广大消费者和经营者的合法权益，保障了辖区人民群众的身体健康和安全，维护了良好的市场秩序，营造了良好的市场环境，推动了市场主体的发展壮大，维护了社会的和谐稳定。</w:t>
      </w:r>
    </w:p>
    <w:p w14:paraId="709A7CD8">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5</w:t>
      </w:r>
      <w:r>
        <w:rPr>
          <w:rFonts w:hint="eastAsia" w:ascii="仿宋_GB2312" w:eastAsia="仿宋_GB2312"/>
          <w:sz w:val="32"/>
          <w:szCs w:val="32"/>
        </w:rPr>
        <w:t>）加快构建企业失信联合惩戒机制，严格落实信用约束工作机制，强化企业信用约束。通过建立经营异常名录和严重违法“黑名单”等制度，建立完善经营异常名录和严重违法失信企业名单；对违反《企业信息公示暂行条例》的企业进行列入经营异常名录处理；加快《昆明市场主体信用信息服务监管平台》的推广应用等，建立完善守信联合激励和失信联合惩戒机制，加大对失信企业的监管力度和惩处力度，推动形成“一处违法、处处受限”的企业信用监管效应，推进政务诚信、商务诚信和社会诚信建设，营造诚实守信、公平有序、充满活力的市场环境。2021年，盘龙区市场监管局共将4517户企业列入经营异常名录，移出799户；标记经营异常个体工商户22075户，恢复经营异常9314户；131户企业被列入严重违法失信企业名单；对10户企业进行了信用修复；对不符合企业任职条件的失信被执行人实施信用联合惩戒300余次。积极构建了企业失信联合惩戒机制，严格落实了信用约束工作机制，强化了企业信用约束，信用监管工作成效显著。</w:t>
      </w:r>
    </w:p>
    <w:p w14:paraId="13452A3A">
      <w:pPr>
        <w:keepNext w:val="0"/>
        <w:keepLines w:val="0"/>
        <w:pageBreakBefore w:val="0"/>
        <w:widowControl w:val="0"/>
        <w:kinsoku/>
        <w:wordWrap/>
        <w:overflowPunct/>
        <w:topLinePunct w:val="0"/>
        <w:autoSpaceDE w:val="0"/>
        <w:autoSpaceDN w:val="0"/>
        <w:bidi w:val="0"/>
        <w:adjustRightInd w:val="0"/>
        <w:snapToGrid/>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6</w:t>
      </w:r>
      <w:r>
        <w:rPr>
          <w:rFonts w:hint="eastAsia" w:ascii="仿宋_GB2312" w:eastAsia="仿宋_GB2312"/>
          <w:sz w:val="32"/>
          <w:szCs w:val="32"/>
        </w:rPr>
        <w:t>）加强对企业信用信息的运用，实施失信被执行人惩戒，有效震慑“老赖”。截止目前，共计拦截500多人次“老赖”登记，拟任职务以执行董事兼经理居多。对有偿还到期债务能力但拒不偿还全部或者部分债务的“老赖”形成有效震慑，营造“一处失信、处处受限”的社会氛围。</w:t>
      </w:r>
    </w:p>
    <w:p w14:paraId="05701DFF">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（7）牵头组织协调开展了全区和全局的“双随机</w:t>
      </w:r>
      <w:r>
        <w:rPr>
          <w:rFonts w:hint="eastAsia" w:ascii="仿宋_GB2312" w:eastAsia="仿宋_GB2312"/>
          <w:sz w:val="32"/>
          <w:szCs w:val="32"/>
          <w:lang w:eastAsia="zh-CN"/>
        </w:rPr>
        <w:t>、</w:t>
      </w:r>
      <w:r>
        <w:rPr>
          <w:rFonts w:hint="eastAsia" w:ascii="仿宋_GB2312" w:eastAsia="仿宋_GB2312"/>
          <w:sz w:val="32"/>
          <w:szCs w:val="32"/>
        </w:rPr>
        <w:t>一公开”监管工作。精心组织，周密部署，制定具体实施方案，建立完善工作机制，明确工作任务和职责分工，整理认领完成盘龙区市场监管领域双随机抽查事项清单490项，盘龙区市场监管领域部门联合抽查事项清单42项。制定盘龙区市场监管领域部门抽查计划108项，盘龙区市场监管领域部门联合抽查计划38项。抽查事项涉及市场监管、拍卖活动、计量监督检查、商标代理行为、电子商务、广告行为、产品质量、知识产权、市场主体年报抽查、特种设备的监督检查等。按时完成抽查工作方案122个，通过国家企业信用信息公示系统录入并公示检查结果2090条，并实现了抽查检查结果100%公示。“双随机</w:t>
      </w:r>
      <w:r>
        <w:rPr>
          <w:rFonts w:hint="eastAsia" w:ascii="仿宋_GB2312" w:eastAsia="仿宋_GB2312"/>
          <w:sz w:val="32"/>
          <w:szCs w:val="32"/>
          <w:lang w:eastAsia="zh-CN"/>
        </w:rPr>
        <w:t>、</w:t>
      </w:r>
      <w:r>
        <w:rPr>
          <w:rFonts w:hint="eastAsia" w:ascii="仿宋_GB2312" w:eastAsia="仿宋_GB2312"/>
          <w:sz w:val="32"/>
          <w:szCs w:val="32"/>
        </w:rPr>
        <w:t>一公开”监管工作加强了事中事后监管，营造了公平竞争的市场环境，营造了法治化、便利化的营商环境，规范了市场监管领域行政检查行为。</w:t>
      </w:r>
    </w:p>
    <w:p w14:paraId="1D881184">
      <w:pPr>
        <w:autoSpaceDE w:val="0"/>
        <w:autoSpaceDN w:val="0"/>
        <w:adjustRightInd w:val="0"/>
        <w:ind w:firstLine="640" w:firstLineChars="200"/>
        <w:jc w:val="left"/>
        <w:rPr>
          <w:rFonts w:ascii="仿宋_GB2312" w:eastAsia="仿宋_GB2312"/>
          <w:sz w:val="32"/>
          <w:szCs w:val="32"/>
        </w:rPr>
      </w:pPr>
      <w:r>
        <w:rPr>
          <w:rFonts w:hint="eastAsia" w:ascii="仿宋_GB2312" w:eastAsia="仿宋_GB2312"/>
          <w:sz w:val="32"/>
          <w:szCs w:val="32"/>
        </w:rPr>
        <w:t>（8）全面开展了2021年企业年报公示信息“</w:t>
      </w:r>
      <w:r>
        <w:rPr>
          <w:rFonts w:hint="eastAsia" w:ascii="仿宋_GB2312" w:eastAsia="仿宋_GB2312"/>
          <w:sz w:val="32"/>
          <w:szCs w:val="32"/>
          <w:lang w:eastAsia="zh-CN"/>
        </w:rPr>
        <w:t>双随机、一公开</w:t>
      </w:r>
      <w:r>
        <w:rPr>
          <w:rFonts w:hint="eastAsia" w:ascii="仿宋_GB2312" w:eastAsia="仿宋_GB2312"/>
          <w:sz w:val="32"/>
          <w:szCs w:val="32"/>
        </w:rPr>
        <w:t>”抽查工作。由省市场监管局按照</w:t>
      </w:r>
      <w:r>
        <w:rPr>
          <w:rFonts w:ascii="仿宋_GB2312" w:eastAsia="仿宋_GB2312"/>
          <w:sz w:val="32"/>
          <w:szCs w:val="32"/>
        </w:rPr>
        <w:t>5%</w:t>
      </w:r>
      <w:r>
        <w:rPr>
          <w:rFonts w:hint="eastAsia" w:ascii="仿宋_GB2312" w:eastAsia="仿宋_GB2312"/>
          <w:sz w:val="32"/>
          <w:szCs w:val="32"/>
        </w:rPr>
        <w:t>的比例，以随机摇号的方式，共计随机抽取盘龙区1676户企业（含农民专业合作社）作为抽查检查对象，针对市场主体2020年度的年报公示信息，采取“</w:t>
      </w:r>
      <w:r>
        <w:rPr>
          <w:rFonts w:hint="eastAsia" w:ascii="仿宋_GB2312" w:eastAsia="仿宋_GB2312"/>
          <w:sz w:val="32"/>
          <w:szCs w:val="32"/>
          <w:lang w:eastAsia="zh-CN"/>
        </w:rPr>
        <w:t>双随机、一公开</w:t>
      </w:r>
      <w:r>
        <w:rPr>
          <w:rFonts w:hint="eastAsia" w:ascii="仿宋_GB2312" w:eastAsia="仿宋_GB2312"/>
          <w:sz w:val="32"/>
          <w:szCs w:val="32"/>
        </w:rPr>
        <w:t>”的工作方式，在全区范围内组织开展了2021年年报公示信息“</w:t>
      </w:r>
      <w:r>
        <w:rPr>
          <w:rFonts w:hint="eastAsia" w:ascii="仿宋_GB2312" w:eastAsia="仿宋_GB2312"/>
          <w:sz w:val="32"/>
          <w:szCs w:val="32"/>
          <w:lang w:eastAsia="zh-CN"/>
        </w:rPr>
        <w:t>双随机、一公开</w:t>
      </w:r>
      <w:r>
        <w:rPr>
          <w:rFonts w:hint="eastAsia" w:ascii="仿宋_GB2312" w:eastAsia="仿宋_GB2312"/>
          <w:sz w:val="32"/>
          <w:szCs w:val="32"/>
        </w:rPr>
        <w:t>”抽查工作。在抽查检查工作中，委托公开招标中标</w:t>
      </w:r>
      <w:r>
        <w:rPr>
          <w:rFonts w:hint="eastAsia" w:ascii="仿宋_GB2312" w:eastAsia="仿宋_GB2312"/>
          <w:sz w:val="32"/>
          <w:szCs w:val="32"/>
          <w:lang w:eastAsia="zh-CN"/>
        </w:rPr>
        <w:t>的</w:t>
      </w:r>
      <w:r>
        <w:rPr>
          <w:rFonts w:hint="eastAsia" w:ascii="仿宋_GB2312" w:eastAsia="仿宋_GB2312"/>
          <w:sz w:val="32"/>
          <w:szCs w:val="32"/>
        </w:rPr>
        <w:t>会计师事务所承担我局企业年报公示信息审计核查</w:t>
      </w:r>
      <w:r>
        <w:rPr>
          <w:rFonts w:hint="eastAsia" w:ascii="仿宋_GB2312" w:eastAsia="仿宋_GB2312"/>
          <w:sz w:val="32"/>
          <w:szCs w:val="32"/>
          <w:lang w:eastAsia="zh-CN"/>
        </w:rPr>
        <w:t>工作</w:t>
      </w:r>
      <w:r>
        <w:rPr>
          <w:rFonts w:hint="eastAsia" w:ascii="仿宋_GB2312" w:eastAsia="仿宋_GB2312"/>
          <w:sz w:val="32"/>
          <w:szCs w:val="32"/>
        </w:rPr>
        <w:t>，对企业的年报公示信息开展了专项审计核查工作，并将抽查检查结果记于市场主体名下，通过国家企业信用信息公示系统（云南）进行了公示。“</w:t>
      </w:r>
      <w:r>
        <w:rPr>
          <w:rFonts w:hint="eastAsia" w:ascii="仿宋_GB2312" w:eastAsia="仿宋_GB2312"/>
          <w:sz w:val="32"/>
          <w:szCs w:val="32"/>
          <w:lang w:eastAsia="zh-CN"/>
        </w:rPr>
        <w:t>双随机、一公开</w:t>
      </w:r>
      <w:r>
        <w:rPr>
          <w:rFonts w:hint="eastAsia" w:ascii="仿宋_GB2312" w:eastAsia="仿宋_GB2312"/>
          <w:sz w:val="32"/>
          <w:szCs w:val="32"/>
        </w:rPr>
        <w:t>”抽查检查工作深化了商事制度改革，落实了“宽进严管”工作要求，强化了事中事后监管，规范了市场交易秩序，净化了市场主体发展环境，优化提升了营商环境。</w:t>
      </w:r>
    </w:p>
    <w:p w14:paraId="5439A578">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9）认真做好各项专项监管整治工作。按照省市区政府和省市市场监管局的工作安排，认真做好我局工作职能职责涉及的事中事后监管工作、防范和处置非法集资工作、清理整顿人力资源市场秩序工作、高尔夫球场清理整治工作、长水机场净空保护管理工作、无人机等“低慢小”航空器管理工作、旅游市场专项整治工作、无证无照经营综合治理工作、“放管服”改革工作、“五采区”整治监管工作、汽修厂洗车场整治工作、校外培训机构专项治理工作、砖瓦生产企业环境污染综合整治工作、危险化学品安全综合治理工作、涉金融企业监管工作、民宿安全管理工作、寄递物流企业专项整治工作、全面深化河长制工作、盘龙区液化燃气行业乱象治理工作、水污染防治工作、大气污染防治工作、成品油监管工作、街道吹哨部门报到工作、“互联网+监管”建设工作、优化提升了营商环境工作、安全生产集中整治工作、校园周边专项整治工作、散乱污企业综合整治排查工作、信用修复工作、信用分类监管工作、信用预警工作、严重违法失信名单管理工作等各项专项监管整治工作任务。</w:t>
      </w:r>
    </w:p>
    <w:p w14:paraId="1E3DD586">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10）通过依法对内资企业、私营企业、个体工商户、农民专业合作社等市场主体从事生产经营活动履行监督管理职责，更好地规范经营活动，以保障公平竞争，促进企业诚信自律，规范企业信息公示，督促企业履行法定义务，强化企业信用约束，加强社会信用体系建设，维护交易安全，提高政府监管效能，扩大社会监督，维护良好市场秩序，努力营造诚实守信、公平有序、充满活力的市场环境，推动形成“一处违法、处处受限”的企业信用监管效应，推进政务诚信、商务诚信和社会诚信建设，为政府客观科学决策提供依据，更好地服务于盘龙经济，更好地为盘龙经济健康持续发展提供保障。</w:t>
      </w:r>
    </w:p>
    <w:p w14:paraId="2A59A5DC">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资金来源及使用情况。</w:t>
      </w:r>
    </w:p>
    <w:p w14:paraId="6C57B17F">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1</w:t>
      </w:r>
      <w:r>
        <w:rPr>
          <w:rFonts w:hint="eastAsia" w:ascii="仿宋_GB2312" w:eastAsia="仿宋_GB2312"/>
          <w:sz w:val="32"/>
          <w:szCs w:val="32"/>
        </w:rPr>
        <w:t>）资金来源。</w:t>
      </w:r>
      <w:r>
        <w:rPr>
          <w:rFonts w:ascii="仿宋_GB2312" w:eastAsia="仿宋_GB2312"/>
          <w:sz w:val="32"/>
          <w:szCs w:val="32"/>
        </w:rPr>
        <w:t>20</w:t>
      </w:r>
      <w:r>
        <w:rPr>
          <w:rFonts w:hint="eastAsia" w:ascii="仿宋_GB2312" w:eastAsia="仿宋_GB2312"/>
          <w:sz w:val="32"/>
          <w:szCs w:val="32"/>
        </w:rPr>
        <w:t>21年，信用监管工作经费项目资金”</w:t>
      </w:r>
      <w:r>
        <w:rPr>
          <w:rFonts w:hint="eastAsia" w:ascii="仿宋_GB2312" w:eastAsia="仿宋_GB2312"/>
          <w:sz w:val="32"/>
          <w:szCs w:val="32"/>
          <w:lang w:eastAsia="zh-CN"/>
        </w:rPr>
        <w:t>年初预算</w:t>
      </w:r>
      <w:r>
        <w:rPr>
          <w:rFonts w:hint="eastAsia" w:ascii="仿宋_GB2312" w:eastAsia="仿宋_GB2312"/>
          <w:sz w:val="32"/>
          <w:szCs w:val="32"/>
        </w:rPr>
        <w:t>99万元，</w:t>
      </w:r>
      <w:r>
        <w:rPr>
          <w:rFonts w:hint="eastAsia" w:ascii="仿宋_GB2312" w:eastAsia="仿宋_GB2312"/>
          <w:sz w:val="32"/>
          <w:szCs w:val="32"/>
          <w:lang w:eastAsia="zh-CN"/>
        </w:rPr>
        <w:t>年终使用</w:t>
      </w:r>
      <w:r>
        <w:rPr>
          <w:rFonts w:hint="eastAsia" w:ascii="仿宋_GB2312" w:eastAsia="仿宋_GB2312"/>
          <w:sz w:val="32"/>
          <w:szCs w:val="32"/>
          <w:lang w:val="en-US" w:eastAsia="zh-CN"/>
        </w:rPr>
        <w:t>98.83万元，剩余额度财政已收回</w:t>
      </w:r>
      <w:r>
        <w:rPr>
          <w:rFonts w:hint="eastAsia" w:ascii="仿宋_GB2312" w:eastAsia="仿宋_GB2312"/>
          <w:sz w:val="32"/>
          <w:szCs w:val="32"/>
        </w:rPr>
        <w:t>。</w:t>
      </w:r>
    </w:p>
    <w:p w14:paraId="69081040">
      <w:pPr>
        <w:ind w:firstLine="726" w:firstLineChars="227"/>
        <w:jc w:val="left"/>
        <w:rPr>
          <w:rFonts w:hint="eastAsia" w:ascii="仿宋_GB2312" w:eastAsia="仿宋_GB2312"/>
          <w:sz w:val="32"/>
          <w:szCs w:val="32"/>
          <w:lang w:eastAsia="zh-CN"/>
        </w:rPr>
      </w:pPr>
      <w:r>
        <w:rPr>
          <w:rFonts w:hint="eastAsia" w:ascii="仿宋_GB2312" w:eastAsia="仿宋_GB2312"/>
          <w:sz w:val="32"/>
          <w:szCs w:val="32"/>
        </w:rPr>
        <w:t>（</w:t>
      </w:r>
      <w:r>
        <w:rPr>
          <w:rFonts w:ascii="仿宋_GB2312" w:eastAsia="仿宋_GB2312"/>
          <w:sz w:val="32"/>
          <w:szCs w:val="32"/>
        </w:rPr>
        <w:t>2</w:t>
      </w:r>
      <w:r>
        <w:rPr>
          <w:rFonts w:hint="eastAsia" w:ascii="仿宋_GB2312" w:eastAsia="仿宋_GB2312"/>
          <w:sz w:val="32"/>
          <w:szCs w:val="32"/>
        </w:rPr>
        <w:t>）资金使用情况。</w:t>
      </w:r>
      <w:r>
        <w:rPr>
          <w:rFonts w:ascii="仿宋_GB2312" w:eastAsia="仿宋_GB2312"/>
          <w:sz w:val="32"/>
          <w:szCs w:val="32"/>
        </w:rPr>
        <w:t>20</w:t>
      </w:r>
      <w:r>
        <w:rPr>
          <w:rFonts w:hint="eastAsia" w:ascii="仿宋_GB2312" w:eastAsia="仿宋_GB2312"/>
          <w:sz w:val="32"/>
          <w:szCs w:val="32"/>
        </w:rPr>
        <w:t>21年，信用监管科共计收到盘龙区财政拨付“企业信用监管工作经费项目资金”</w:t>
      </w:r>
      <w:r>
        <w:rPr>
          <w:rFonts w:hint="eastAsia" w:ascii="仿宋_GB2312" w:eastAsia="仿宋_GB2312"/>
          <w:sz w:val="32"/>
          <w:szCs w:val="32"/>
          <w:lang w:val="en-US" w:eastAsia="zh-CN"/>
        </w:rPr>
        <w:t>98.83</w:t>
      </w:r>
      <w:r>
        <w:rPr>
          <w:rFonts w:hint="eastAsia" w:ascii="仿宋_GB2312" w:eastAsia="仿宋_GB2312"/>
          <w:sz w:val="32"/>
          <w:szCs w:val="32"/>
        </w:rPr>
        <w:t>万元，已全部使用完毕。其中：</w:t>
      </w:r>
      <w:r>
        <w:rPr>
          <w:rFonts w:ascii="仿宋_GB2312" w:eastAsia="仿宋_GB2312"/>
          <w:sz w:val="32"/>
          <w:szCs w:val="32"/>
        </w:rPr>
        <w:t>1</w:t>
      </w:r>
      <w:r>
        <w:rPr>
          <w:rFonts w:hint="eastAsia" w:ascii="仿宋_GB2312" w:eastAsia="仿宋_GB2312"/>
          <w:sz w:val="32"/>
          <w:szCs w:val="32"/>
        </w:rPr>
        <w:t>、支付企业年报核查服务费</w:t>
      </w:r>
      <w:r>
        <w:rPr>
          <w:rFonts w:hint="eastAsia" w:ascii="仿宋_GB2312" w:eastAsia="仿宋_GB2312"/>
          <w:sz w:val="32"/>
          <w:szCs w:val="32"/>
          <w:lang w:val="en-US" w:eastAsia="zh-CN"/>
        </w:rPr>
        <w:t>93.82</w:t>
      </w:r>
      <w:r>
        <w:rPr>
          <w:rFonts w:hint="eastAsia" w:ascii="仿宋_GB2312" w:eastAsia="仿宋_GB2312"/>
          <w:sz w:val="32"/>
          <w:szCs w:val="32"/>
        </w:rPr>
        <w:t>万元；</w:t>
      </w:r>
      <w:r>
        <w:rPr>
          <w:rFonts w:ascii="仿宋_GB2312" w:eastAsia="仿宋_GB2312"/>
          <w:sz w:val="32"/>
          <w:szCs w:val="32"/>
        </w:rPr>
        <w:t>2</w:t>
      </w:r>
      <w:r>
        <w:rPr>
          <w:rFonts w:hint="eastAsia" w:ascii="仿宋_GB2312" w:eastAsia="仿宋_GB2312"/>
          <w:sz w:val="32"/>
          <w:szCs w:val="32"/>
        </w:rPr>
        <w:t>、支付年报工作短信服务费3万元；3、支付年报宣传资料印制费</w:t>
      </w:r>
      <w:r>
        <w:rPr>
          <w:rFonts w:hint="eastAsia" w:ascii="仿宋_GB2312" w:eastAsia="仿宋_GB2312"/>
          <w:sz w:val="32"/>
          <w:szCs w:val="32"/>
          <w:lang w:val="en-US" w:eastAsia="zh-CN"/>
        </w:rPr>
        <w:t>2</w:t>
      </w:r>
      <w:r>
        <w:rPr>
          <w:rFonts w:hint="eastAsia" w:ascii="仿宋_GB2312" w:eastAsia="仿宋_GB2312"/>
          <w:sz w:val="32"/>
          <w:szCs w:val="32"/>
        </w:rPr>
        <w:t>万元</w:t>
      </w:r>
      <w:r>
        <w:rPr>
          <w:rFonts w:hint="eastAsia" w:ascii="仿宋_GB2312" w:eastAsia="仿宋_GB2312"/>
          <w:sz w:val="32"/>
          <w:szCs w:val="32"/>
          <w:lang w:eastAsia="zh-CN"/>
        </w:rPr>
        <w:t>。</w:t>
      </w:r>
    </w:p>
    <w:p w14:paraId="6F9E5AD4">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ascii="仿宋_GB2312" w:eastAsia="仿宋_GB2312"/>
          <w:sz w:val="32"/>
          <w:szCs w:val="32"/>
        </w:rPr>
        <w:t xml:space="preserve">4. </w:t>
      </w:r>
      <w:r>
        <w:rPr>
          <w:rFonts w:hint="eastAsia" w:ascii="仿宋_GB2312" w:eastAsia="仿宋_GB2312"/>
          <w:sz w:val="32"/>
          <w:szCs w:val="32"/>
        </w:rPr>
        <w:t>组织及管理情况。</w:t>
      </w:r>
    </w:p>
    <w:p w14:paraId="605BC119">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以上经费使用严格按照预算及实施方案和相关财务规定列支，并严格遵守《盘龙区市场监管局内部财务制度》，符合政府采购的项目依程序办理政府采购手续。</w:t>
      </w:r>
    </w:p>
    <w:p w14:paraId="22F3AEE6">
      <w:pPr>
        <w:keepNext w:val="0"/>
        <w:keepLines w:val="0"/>
        <w:pageBreakBefore w:val="0"/>
        <w:widowControl w:val="0"/>
        <w:kinsoku/>
        <w:wordWrap/>
        <w:overflowPunct/>
        <w:topLinePunct/>
        <w:autoSpaceDE w:val="0"/>
        <w:autoSpaceDN w:val="0"/>
        <w:bidi w:val="0"/>
        <w:adjustRightIn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（二）绩效目标。</w:t>
      </w:r>
    </w:p>
    <w:p w14:paraId="10696C89">
      <w:pPr>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、完成国家市场监管总局下达的</w:t>
      </w:r>
      <w:r>
        <w:rPr>
          <w:rFonts w:ascii="仿宋_GB2312" w:eastAsia="仿宋_GB2312"/>
          <w:sz w:val="32"/>
          <w:szCs w:val="32"/>
        </w:rPr>
        <w:t>20</w:t>
      </w:r>
      <w:r>
        <w:rPr>
          <w:rFonts w:hint="eastAsia" w:ascii="仿宋_GB2312" w:eastAsia="仿宋_GB2312"/>
          <w:sz w:val="32"/>
          <w:szCs w:val="32"/>
        </w:rPr>
        <w:t>21年企业年报率不低于</w:t>
      </w:r>
      <w:r>
        <w:rPr>
          <w:rFonts w:ascii="仿宋_GB2312" w:eastAsia="仿宋_GB2312"/>
          <w:sz w:val="32"/>
          <w:szCs w:val="32"/>
        </w:rPr>
        <w:t>85%</w:t>
      </w:r>
      <w:r>
        <w:rPr>
          <w:rFonts w:hint="eastAsia" w:ascii="仿宋_GB2312" w:eastAsia="仿宋_GB2312"/>
          <w:sz w:val="32"/>
          <w:szCs w:val="32"/>
        </w:rPr>
        <w:t>的刚性目标任务。</w:t>
      </w:r>
    </w:p>
    <w:p w14:paraId="11EDB6DB">
      <w:pPr>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、完成国家市场监管总局、云南省市场监管局和昆明市市场监管局安排部署的</w:t>
      </w:r>
      <w:r>
        <w:rPr>
          <w:rFonts w:ascii="仿宋_GB2312" w:eastAsia="仿宋_GB2312"/>
          <w:sz w:val="32"/>
          <w:szCs w:val="32"/>
        </w:rPr>
        <w:t>20</w:t>
      </w:r>
      <w:r>
        <w:rPr>
          <w:rFonts w:hint="eastAsia" w:ascii="仿宋_GB2312" w:eastAsia="仿宋_GB2312"/>
          <w:sz w:val="32"/>
          <w:szCs w:val="32"/>
        </w:rPr>
        <w:t>21年“双随机、一公开”抽查检查工作任务。</w:t>
      </w:r>
    </w:p>
    <w:p w14:paraId="1B969178">
      <w:pPr>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、完成国家市场监管总局、云南省市场监管局和昆明市市场监管局安排部署的</w:t>
      </w:r>
      <w:r>
        <w:rPr>
          <w:rFonts w:ascii="仿宋_GB2312" w:eastAsia="仿宋_GB2312"/>
          <w:sz w:val="32"/>
          <w:szCs w:val="32"/>
        </w:rPr>
        <w:t>20</w:t>
      </w:r>
      <w:r>
        <w:rPr>
          <w:rFonts w:hint="eastAsia" w:ascii="仿宋_GB2312" w:eastAsia="仿宋_GB2312"/>
          <w:sz w:val="32"/>
          <w:szCs w:val="32"/>
        </w:rPr>
        <w:t>21年度清理吊销长期停业未经营企业工作任务。</w:t>
      </w:r>
    </w:p>
    <w:p w14:paraId="28EF7096">
      <w:pPr>
        <w:keepNext w:val="0"/>
        <w:keepLines w:val="0"/>
        <w:pageBreakBefore w:val="0"/>
        <w:widowControl w:val="0"/>
        <w:kinsoku/>
        <w:wordWrap/>
        <w:overflow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、完成国家市场监管总局、云南省市场监管局和昆明市市场监管局安排部署的2021年市场主体年报公示信息抽查检查工作任务。</w:t>
      </w:r>
    </w:p>
    <w:p w14:paraId="7DD589A1">
      <w:pPr>
        <w:keepNext w:val="0"/>
        <w:keepLines w:val="0"/>
        <w:pageBreakBefore w:val="0"/>
        <w:widowControl w:val="0"/>
        <w:kinsoku/>
        <w:wordWrap/>
        <w:overflowPunct/>
        <w:autoSpaceDE w:val="0"/>
        <w:autoSpaceDN w:val="0"/>
        <w:bidi w:val="0"/>
        <w:adjustRightInd w:val="0"/>
        <w:snapToGrid w:val="0"/>
        <w:spacing w:line="240" w:lineRule="auto"/>
        <w:ind w:left="0" w:leftChars="0" w:right="0" w:rightChars="0" w:firstLine="640" w:firstLineChars="200"/>
        <w:jc w:val="left"/>
        <w:textAlignment w:val="auto"/>
        <w:outlineLvl w:val="9"/>
        <w:rPr>
          <w:rFonts w:hint="eastAsia" w:ascii="楷体" w:hAnsi="楷体" w:eastAsia="楷体" w:cs="楷体"/>
          <w:sz w:val="32"/>
          <w:szCs w:val="32"/>
        </w:rPr>
      </w:pPr>
      <w:r>
        <w:rPr>
          <w:rFonts w:hint="eastAsia" w:ascii="楷体" w:hAnsi="楷体" w:eastAsia="楷体" w:cs="楷体"/>
          <w:sz w:val="32"/>
          <w:szCs w:val="32"/>
        </w:rPr>
        <w:t>二、绩效评价工作情况</w:t>
      </w:r>
    </w:p>
    <w:p w14:paraId="03E070D3">
      <w:pPr>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（一）绩效评价目的。</w:t>
      </w:r>
    </w:p>
    <w:p w14:paraId="3FEF5BAF">
      <w:pPr>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全面了解项目管理过程是否规范、产出目标是否完成以及效果目标是否实现等方面的内容，总结经验，查找不足，为项目在以后年度的开展提供可行性参考建议。</w:t>
      </w:r>
    </w:p>
    <w:p w14:paraId="5382305B">
      <w:pPr>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（二）绩效评价工作方案制定过程。</w:t>
      </w:r>
    </w:p>
    <w:p w14:paraId="49B0D4FE">
      <w:pPr>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根据前期工作调研，经过向盘龙区市场监管局所属12个市场监管所征求意见，最后研究拟定了绩效评价指标体系。</w:t>
      </w:r>
    </w:p>
    <w:p w14:paraId="48093360">
      <w:pPr>
        <w:keepNext w:val="0"/>
        <w:keepLines w:val="0"/>
        <w:pageBreakBefore w:val="0"/>
        <w:widowControl w:val="0"/>
        <w:kinsoku/>
        <w:wordWrap/>
        <w:overflow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（三）绩效评价原则、评价方法</w:t>
      </w:r>
    </w:p>
    <w:p w14:paraId="31DBDFDA">
      <w:pPr>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绩效评价原则。</w:t>
      </w:r>
    </w:p>
    <w:p w14:paraId="4B7660D5">
      <w:pPr>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科学规范、公开公正、绩效相关。严格按照国家市场监管总局、云南省市场监管局和昆明市市场监管局相关文件精神、信用监管科职能职责、区级部门预算绩效自评管理暂行办法进行绩效评价。</w:t>
      </w:r>
    </w:p>
    <w:p w14:paraId="7E044249">
      <w:pPr>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绩效评价方法。</w:t>
      </w:r>
    </w:p>
    <w:p w14:paraId="35412C7F">
      <w:pPr>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包括指标评价、数据采集。通过考察企业年报率、个体年报率、农民专业合作社年报率；考察清理吊销长期停业未经营企业工作完成情况；考察</w:t>
      </w:r>
      <w:r>
        <w:rPr>
          <w:rFonts w:ascii="仿宋_GB2312" w:eastAsia="仿宋_GB2312"/>
          <w:sz w:val="32"/>
          <w:szCs w:val="32"/>
        </w:rPr>
        <w:t>20</w:t>
      </w:r>
      <w:r>
        <w:rPr>
          <w:rFonts w:hint="eastAsia" w:ascii="仿宋_GB2312" w:eastAsia="仿宋_GB2312"/>
          <w:sz w:val="32"/>
          <w:szCs w:val="32"/>
        </w:rPr>
        <w:t>21年“双随机、一公开”抽查检查工作任务完成情况；考察2021年年报公示信息抽查检查工作任务完成情况进行测评。</w:t>
      </w:r>
    </w:p>
    <w:p w14:paraId="7A761B71">
      <w:pPr>
        <w:keepNext w:val="0"/>
        <w:keepLines w:val="0"/>
        <w:pageBreakBefore w:val="0"/>
        <w:kinsoku/>
        <w:wordWrap/>
        <w:overflow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（四）绩效评价实施过程</w:t>
      </w:r>
    </w:p>
    <w:p w14:paraId="0B6F1D28">
      <w:pPr>
        <w:keepNext w:val="0"/>
        <w:keepLines w:val="0"/>
        <w:pageBreakBefore w:val="0"/>
        <w:kinsoku/>
        <w:wordWrap/>
        <w:overflow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数据采集。通过采集</w:t>
      </w:r>
      <w:r>
        <w:rPr>
          <w:rFonts w:ascii="仿宋_GB2312" w:eastAsia="仿宋_GB2312"/>
          <w:sz w:val="32"/>
          <w:szCs w:val="32"/>
        </w:rPr>
        <w:t>20</w:t>
      </w:r>
      <w:r>
        <w:rPr>
          <w:rFonts w:hint="eastAsia" w:ascii="仿宋_GB2312" w:eastAsia="仿宋_GB2312"/>
          <w:sz w:val="32"/>
          <w:szCs w:val="32"/>
        </w:rPr>
        <w:t>21年企业年报数据、个体年报数据、农民专业合作社年报数据；采集</w:t>
      </w:r>
      <w:r>
        <w:rPr>
          <w:rFonts w:ascii="仿宋_GB2312" w:eastAsia="仿宋_GB2312"/>
          <w:sz w:val="32"/>
          <w:szCs w:val="32"/>
        </w:rPr>
        <w:t>20</w:t>
      </w:r>
      <w:r>
        <w:rPr>
          <w:rFonts w:hint="eastAsia" w:ascii="仿宋_GB2312" w:eastAsia="仿宋_GB2312"/>
          <w:sz w:val="32"/>
          <w:szCs w:val="32"/>
        </w:rPr>
        <w:t>21年清理吊销长期停业未经营企业工作数据；采集</w:t>
      </w:r>
      <w:r>
        <w:rPr>
          <w:rFonts w:ascii="仿宋_GB2312" w:eastAsia="仿宋_GB2312"/>
          <w:sz w:val="32"/>
          <w:szCs w:val="32"/>
        </w:rPr>
        <w:t>20</w:t>
      </w:r>
      <w:r>
        <w:rPr>
          <w:rFonts w:hint="eastAsia" w:ascii="仿宋_GB2312" w:eastAsia="仿宋_GB2312"/>
          <w:sz w:val="32"/>
          <w:szCs w:val="32"/>
        </w:rPr>
        <w:t>21年“双随机、一公开”抽查检查工作数据；采集2021年年报公示信息抽查检查工作数据。</w:t>
      </w:r>
    </w:p>
    <w:p w14:paraId="3939B6A0">
      <w:pPr>
        <w:keepNext w:val="0"/>
        <w:keepLines w:val="0"/>
        <w:pageBreakBefore w:val="0"/>
        <w:kinsoku/>
        <w:wordWrap/>
        <w:overflow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数据分析和撰写报告。通过对采集的数据进行数据分析，计算企业年报率、个体年报率及农民专业合作社年报率等，考察测评各项工作任务的完成情况，撰写绩效自评报告。</w:t>
      </w:r>
      <w:r>
        <w:rPr>
          <w:rFonts w:ascii="仿宋_GB2312" w:eastAsia="仿宋_GB2312"/>
          <w:sz w:val="32"/>
          <w:szCs w:val="32"/>
        </w:rPr>
        <w:t xml:space="preserve"> </w:t>
      </w:r>
    </w:p>
    <w:p w14:paraId="10BB42BB">
      <w:pPr>
        <w:keepNext w:val="0"/>
        <w:keepLines w:val="0"/>
        <w:pageBreakBefore w:val="0"/>
        <w:widowControl/>
        <w:kinsoku/>
        <w:wordWrap/>
        <w:overflowPunct/>
        <w:autoSpaceDE w:val="0"/>
        <w:autoSpaceDN w:val="0"/>
        <w:bidi w:val="0"/>
        <w:adjustRightIn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（五）本次绩效评价的局限性。</w:t>
      </w:r>
    </w:p>
    <w:p w14:paraId="03F29832">
      <w:pPr>
        <w:keepNext w:val="0"/>
        <w:keepLines w:val="0"/>
        <w:pageBreakBefore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无。</w:t>
      </w:r>
    </w:p>
    <w:p w14:paraId="0F9D0F53">
      <w:pPr>
        <w:keepNext w:val="0"/>
        <w:keepLines w:val="0"/>
        <w:pageBreakBefore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hint="eastAsia" w:ascii="楷体" w:hAnsi="楷体" w:eastAsia="楷体" w:cs="楷体"/>
          <w:sz w:val="32"/>
          <w:szCs w:val="32"/>
        </w:rPr>
      </w:pPr>
      <w:r>
        <w:rPr>
          <w:rFonts w:hint="eastAsia" w:ascii="楷体" w:hAnsi="楷体" w:eastAsia="楷体" w:cs="楷体"/>
          <w:sz w:val="32"/>
          <w:szCs w:val="32"/>
        </w:rPr>
        <w:t>三、评价结论和绩效分析</w:t>
      </w:r>
    </w:p>
    <w:p w14:paraId="62601086">
      <w:pPr>
        <w:keepNext w:val="0"/>
        <w:keepLines w:val="0"/>
        <w:pageBreakBefore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（一）评价结论。</w:t>
      </w:r>
    </w:p>
    <w:p w14:paraId="0E78FB71">
      <w:pPr>
        <w:keepNext w:val="0"/>
        <w:keepLines w:val="0"/>
        <w:pageBreakBefore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评价结果。</w:t>
      </w:r>
    </w:p>
    <w:p w14:paraId="0DFB071E">
      <w:pPr>
        <w:keepNext w:val="0"/>
        <w:keepLines w:val="0"/>
        <w:pageBreakBefore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21年度，企业信用监管项目经费做到了专款专用，企业信用监管项目支出绩效评价自评分为</w:t>
      </w:r>
      <w:r>
        <w:rPr>
          <w:rFonts w:ascii="仿宋_GB2312" w:eastAsia="仿宋_GB2312"/>
          <w:sz w:val="32"/>
          <w:szCs w:val="32"/>
        </w:rPr>
        <w:t>100</w:t>
      </w:r>
      <w:r>
        <w:rPr>
          <w:rFonts w:hint="eastAsia" w:ascii="仿宋_GB2312" w:eastAsia="仿宋_GB2312"/>
          <w:sz w:val="32"/>
          <w:szCs w:val="32"/>
        </w:rPr>
        <w:t>分，项目支出绩效评价自评结果为优，其中项目决策</w:t>
      </w:r>
      <w:r>
        <w:rPr>
          <w:rFonts w:ascii="仿宋_GB2312" w:eastAsia="仿宋_GB2312"/>
          <w:sz w:val="32"/>
          <w:szCs w:val="32"/>
        </w:rPr>
        <w:t>20</w:t>
      </w:r>
      <w:r>
        <w:rPr>
          <w:rFonts w:hint="eastAsia" w:ascii="仿宋_GB2312" w:eastAsia="仿宋_GB2312"/>
          <w:sz w:val="32"/>
          <w:szCs w:val="32"/>
        </w:rPr>
        <w:t>分、项目管理</w:t>
      </w:r>
      <w:r>
        <w:rPr>
          <w:rFonts w:ascii="仿宋_GB2312" w:eastAsia="仿宋_GB2312"/>
          <w:sz w:val="32"/>
          <w:szCs w:val="32"/>
        </w:rPr>
        <w:t>20</w:t>
      </w:r>
      <w:r>
        <w:rPr>
          <w:rFonts w:hint="eastAsia" w:ascii="仿宋_GB2312" w:eastAsia="仿宋_GB2312"/>
          <w:sz w:val="32"/>
          <w:szCs w:val="32"/>
        </w:rPr>
        <w:t>分、项目绩效</w:t>
      </w:r>
      <w:r>
        <w:rPr>
          <w:rFonts w:ascii="仿宋_GB2312" w:eastAsia="仿宋_GB2312"/>
          <w:sz w:val="32"/>
          <w:szCs w:val="32"/>
        </w:rPr>
        <w:t>60</w:t>
      </w:r>
      <w:r>
        <w:rPr>
          <w:rFonts w:hint="eastAsia" w:ascii="仿宋_GB2312" w:eastAsia="仿宋_GB2312"/>
          <w:sz w:val="32"/>
          <w:szCs w:val="32"/>
        </w:rPr>
        <w:t>分。</w:t>
      </w:r>
    </w:p>
    <w:p w14:paraId="4D0A11A6">
      <w:pPr>
        <w:keepNext w:val="0"/>
        <w:keepLines w:val="0"/>
        <w:pageBreakBefore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outlineLvl w:val="9"/>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主要绩效。</w:t>
      </w:r>
    </w:p>
    <w:p w14:paraId="49E7F538">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1</w:t>
      </w:r>
      <w:r>
        <w:rPr>
          <w:rFonts w:hint="eastAsia" w:ascii="仿宋_GB2312" w:eastAsia="仿宋_GB2312"/>
          <w:sz w:val="32"/>
          <w:szCs w:val="32"/>
        </w:rPr>
        <w:t>）</w:t>
      </w:r>
      <w:r>
        <w:rPr>
          <w:rFonts w:ascii="仿宋_GB2312" w:eastAsia="仿宋_GB2312"/>
          <w:sz w:val="32"/>
          <w:szCs w:val="32"/>
        </w:rPr>
        <w:t>20</w:t>
      </w:r>
      <w:r>
        <w:rPr>
          <w:rFonts w:hint="eastAsia" w:ascii="仿宋_GB2312" w:eastAsia="仿宋_GB2312"/>
          <w:sz w:val="32"/>
          <w:szCs w:val="32"/>
        </w:rPr>
        <w:t>21年,盘龙区市场监管局积极采取多项有力有效措施，明确责任分工，做好统筹安排，全局上下一心，加强团结协作，攻坚克难、真抓实干，狠抓落实，强力推进年报工作, 截止2021年6月30日，盘龙区市场监管局取得了2020年度企业年报率92.34%，名列昆明市四城区第一的优异成绩，超额完成了国家市场监管总局下达的企业年报率不低于85%的刚性目标任务，圆满完成了省市局下达的企业年报率不低于2020年的目标任务，因此受到昆明市市场监督管理局给予的通报表扬。</w:t>
      </w:r>
    </w:p>
    <w:p w14:paraId="5635F072">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2</w:t>
      </w:r>
      <w:r>
        <w:rPr>
          <w:rFonts w:hint="eastAsia" w:ascii="仿宋_GB2312" w:eastAsia="仿宋_GB2312"/>
          <w:sz w:val="32"/>
          <w:szCs w:val="32"/>
        </w:rPr>
        <w:t>）</w:t>
      </w:r>
      <w:r>
        <w:rPr>
          <w:rFonts w:ascii="仿宋_GB2312" w:eastAsia="仿宋_GB2312"/>
          <w:sz w:val="32"/>
          <w:szCs w:val="32"/>
        </w:rPr>
        <w:t>20</w:t>
      </w:r>
      <w:r>
        <w:rPr>
          <w:rFonts w:hint="eastAsia" w:ascii="仿宋_GB2312" w:eastAsia="仿宋_GB2312"/>
          <w:sz w:val="32"/>
          <w:szCs w:val="32"/>
        </w:rPr>
        <w:t>21年，共计立案清理吊销长期停业未经营企业1557户，起到了引导企业守法诚信经营，深化商事制度改革，落实“宽进严管”工作要求，加快建立“僵尸企业”强制退出机制，加强社会信用体系建设，为后续市场监管夯实基础，为政府客观科学决策提供依据，促进盘龙经济健康持续发展的积极作用。</w:t>
      </w:r>
    </w:p>
    <w:p w14:paraId="577A621A">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3）圆满完成了2021年涉金融类企业信用信息抽查核查工作。为做好盘龙区涉金融类企业的信用监管工作，我局精心组织，周密部署，结合本局工作实际，制定具体实施方案，建立完善工作机制，明确工作任务和职责分工，对盘龙辖区内890户涉金融类企业开展了信用监管定向抽查工作。此次抽查工作进一步强化了对盘龙辖区内涉金融类企业的事中事后监管，进一步促进了涉金融类企业守法经营、诚信经营。</w:t>
      </w:r>
    </w:p>
    <w:p w14:paraId="04283A5C">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4）圆满完成了2021年年报公示信息“双随机”抽查工作。由省市场监管局按照5%的比例，以随机摇号的方式，共计随机抽取盘龙区1676户企业（含农民专业合作社）作为抽查检查对象，针对市场主体2020年度的年报公示信息，采取“</w:t>
      </w:r>
      <w:r>
        <w:rPr>
          <w:rFonts w:hint="eastAsia" w:ascii="仿宋_GB2312" w:eastAsia="仿宋_GB2312"/>
          <w:sz w:val="32"/>
          <w:szCs w:val="32"/>
          <w:lang w:eastAsia="zh-CN"/>
        </w:rPr>
        <w:t>双随机、一公开</w:t>
      </w:r>
      <w:r>
        <w:rPr>
          <w:rFonts w:hint="eastAsia" w:ascii="仿宋_GB2312" w:eastAsia="仿宋_GB2312"/>
          <w:sz w:val="32"/>
          <w:szCs w:val="32"/>
        </w:rPr>
        <w:t>”的工作方式，在全区范围内组织开展了2021年年报公示信息“</w:t>
      </w:r>
      <w:r>
        <w:rPr>
          <w:rFonts w:hint="eastAsia" w:ascii="仿宋_GB2312" w:eastAsia="仿宋_GB2312"/>
          <w:sz w:val="32"/>
          <w:szCs w:val="32"/>
          <w:lang w:eastAsia="zh-CN"/>
        </w:rPr>
        <w:t>双随机、一公开</w:t>
      </w:r>
      <w:r>
        <w:rPr>
          <w:rFonts w:hint="eastAsia" w:ascii="仿宋_GB2312" w:eastAsia="仿宋_GB2312"/>
          <w:sz w:val="32"/>
          <w:szCs w:val="32"/>
        </w:rPr>
        <w:t>”抽查工作。在抽查检查工作中，委托公开招标中标</w:t>
      </w:r>
      <w:r>
        <w:rPr>
          <w:rFonts w:hint="eastAsia" w:ascii="仿宋_GB2312" w:eastAsia="仿宋_GB2312"/>
          <w:sz w:val="32"/>
          <w:szCs w:val="32"/>
          <w:lang w:eastAsia="zh-CN"/>
        </w:rPr>
        <w:t>的</w:t>
      </w:r>
      <w:r>
        <w:rPr>
          <w:rFonts w:hint="eastAsia" w:ascii="仿宋_GB2312" w:eastAsia="仿宋_GB2312"/>
          <w:sz w:val="32"/>
          <w:szCs w:val="32"/>
        </w:rPr>
        <w:t>会计师事务所承担我局企业年报公示信息审计核查，对企业的年报公示信息开展了专项审计核查工作，并将抽查检查结果记于市场主体名下，通过国家企业信用信息公示系统（云南）进行了公示。“</w:t>
      </w:r>
      <w:r>
        <w:rPr>
          <w:rFonts w:hint="eastAsia" w:ascii="仿宋_GB2312" w:eastAsia="仿宋_GB2312"/>
          <w:sz w:val="32"/>
          <w:szCs w:val="32"/>
          <w:lang w:eastAsia="zh-CN"/>
        </w:rPr>
        <w:t>双随机、一公开</w:t>
      </w:r>
      <w:r>
        <w:rPr>
          <w:rFonts w:hint="eastAsia" w:ascii="仿宋_GB2312" w:eastAsia="仿宋_GB2312"/>
          <w:sz w:val="32"/>
          <w:szCs w:val="32"/>
        </w:rPr>
        <w:t>”抽查检查工作深化了商事制度改革，落实了“宽进严管”工作要求，强化了事中事后监管，规范了市场交易秩序，净化了市场主体发展环境，优化提升了营商环境。</w:t>
      </w:r>
    </w:p>
    <w:p w14:paraId="2B3EC73E">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（二）具体绩效分析。</w:t>
      </w:r>
    </w:p>
    <w:p w14:paraId="2D0A5C34">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对照绩效评价指标体系逐项进行分析、评价，企业信用监管项目支出绩效评价自评分为100分，项目支出绩效评价自评结果为优。</w:t>
      </w:r>
    </w:p>
    <w:p w14:paraId="7C02C2B9">
      <w:pPr>
        <w:keepNext w:val="0"/>
        <w:keepLines w:val="0"/>
        <w:pageBreakBefore w:val="0"/>
        <w:widowControl w:val="0"/>
        <w:kinsoku/>
        <w:wordWrap/>
        <w:overflowPunct/>
        <w:topLinePunct/>
        <w:autoSpaceDE w:val="0"/>
        <w:autoSpaceDN w:val="0"/>
        <w:bidi w:val="0"/>
        <w:adjustRightInd w:val="0"/>
        <w:snapToGrid w:val="0"/>
        <w:spacing w:line="240" w:lineRule="auto"/>
        <w:ind w:left="0" w:leftChars="0" w:right="0" w:rightChars="0" w:firstLine="640" w:firstLineChars="200"/>
        <w:jc w:val="left"/>
        <w:textAlignment w:val="auto"/>
        <w:rPr>
          <w:rFonts w:ascii="仿宋_GB2312" w:eastAsia="仿宋_GB2312"/>
          <w:sz w:val="32"/>
          <w:szCs w:val="32"/>
        </w:rPr>
      </w:pPr>
      <w:r>
        <w:rPr>
          <w:rFonts w:hint="eastAsia" w:ascii="仿宋_GB2312" w:eastAsia="仿宋_GB2312"/>
          <w:sz w:val="32"/>
          <w:szCs w:val="32"/>
        </w:rPr>
        <w:t>1.项目决策20分，其中项目立项8分，项目目标12分。</w:t>
      </w:r>
    </w:p>
    <w:p w14:paraId="15977FBF">
      <w:pPr>
        <w:keepNext w:val="0"/>
        <w:keepLines w:val="0"/>
        <w:pageBreakBefore w:val="0"/>
        <w:widowControl w:val="0"/>
        <w:kinsoku/>
        <w:wordWrap/>
        <w:overflowPunct/>
        <w:bidi w:val="0"/>
        <w:spacing w:line="240" w:lineRule="auto"/>
        <w:ind w:left="0" w:leftChars="0" w:right="0" w:rightChars="0" w:firstLine="640" w:firstLineChars="200"/>
        <w:jc w:val="left"/>
        <w:textAlignment w:val="auto"/>
        <w:rPr>
          <w:rFonts w:ascii="仿宋_GB2312" w:eastAsia="仿宋_GB2312"/>
          <w:sz w:val="32"/>
          <w:szCs w:val="32"/>
        </w:rPr>
      </w:pPr>
      <w:r>
        <w:rPr>
          <w:rFonts w:hint="eastAsia" w:ascii="仿宋_GB2312" w:eastAsia="仿宋_GB2312"/>
          <w:sz w:val="32"/>
          <w:szCs w:val="32"/>
        </w:rPr>
        <w:t>按照国家市场监管总局、云南省市场监管局和昆明市市场监管局的相关文件精神和工作要求，先后研究制定印发了关于印发《盘龙区市场监督管理局撤销以冒用他人身份证等方式提交虚假材料骗取企业登记有关工作规范（暂行）（修订稿）》的通知》（昆盘市监发〔2021〕17号）、《盘龙区市场监督管理局关于做好2020年度市场主体年报工作的通知》、《盘龙区市场监管局关于开展涉金融类企业信用监管工作的通知》、《盘龙区市场监管局关于开展2021年市场主体登记信息和公示信息不定向抽查工作的通知》等文件。认真履行了信用监管科的职能职责，项目决策和项目立项与盘龙区信用监管工作中长期规划目标相适应，立项依据充分，项目立项规范，绩效目标设定合理明确。</w:t>
      </w:r>
    </w:p>
    <w:p w14:paraId="7674B8B1">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2.项目管理20分，其中投入管理4分、财务管理6分、项目实施10分。</w:t>
      </w:r>
    </w:p>
    <w:p w14:paraId="75990368">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2021年，信用监管科部门资金全部使用完毕，并做到了专款专用。抽查检查结果全部通过国家企业信用信息公示系统（云南）进行了公示；项目经费严格按照预算及实施方案和相关财务规定列支；同时，严格遵守《盘龙区市场监管局内部财务制度》、经费报销程序和经费管理办法。预算编制合理、预算全部执行完毕；项目资金使用符合预算批复的用途，不存在截留、挤占、挪用、虚列支出等情况；财务管理制度健全、财务监控有效；项目管理制度健全，项目管理制度执行有效。</w:t>
      </w:r>
    </w:p>
    <w:p w14:paraId="4884463E">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3.项目绩效60分，其中项目产出30分、项目效益30分。</w:t>
      </w:r>
    </w:p>
    <w:p w14:paraId="3E5CD664">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hint="eastAsia" w:ascii="仿宋_GB2312" w:eastAsia="仿宋_GB2312"/>
          <w:sz w:val="32"/>
          <w:szCs w:val="32"/>
        </w:rPr>
      </w:pPr>
      <w:r>
        <w:rPr>
          <w:rFonts w:hint="eastAsia" w:ascii="仿宋_GB2312" w:eastAsia="仿宋_GB2312"/>
          <w:sz w:val="32"/>
          <w:szCs w:val="32"/>
        </w:rPr>
        <w:t>从数量指标、质量指标、成本指标、时效指标、社会效益及可持续影响指标来看，我部门均认真履行了职能职责，并取得了显著的工作成效和社会效益。</w:t>
      </w:r>
    </w:p>
    <w:p w14:paraId="4D55E7F4">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一是</w:t>
      </w:r>
      <w:r>
        <w:rPr>
          <w:rFonts w:ascii="仿宋_GB2312" w:eastAsia="仿宋_GB2312"/>
          <w:sz w:val="32"/>
          <w:szCs w:val="32"/>
        </w:rPr>
        <w:t>20</w:t>
      </w:r>
      <w:r>
        <w:rPr>
          <w:rFonts w:hint="eastAsia" w:ascii="仿宋_GB2312" w:eastAsia="仿宋_GB2312"/>
          <w:sz w:val="32"/>
          <w:szCs w:val="32"/>
        </w:rPr>
        <w:t>21年,盘龙区市场监管局积极采取多项有力有效措施，明确责任分工，做好统筹安排，全局上下一心，加强团结协作，攻坚克难、真抓实干，狠抓落实，强力推进年报工作, 截止2021年6月30日，盘龙区市场监管局取得了2020年度企业年报率92.34%，名列昆明市四城区第一的优异成绩，超额完成了国家市场监管总局下达的企业年报率不低于85%的刚性目标任务，圆满完成了省市局下达的企业年报率不低于2020年的目标任务，因此受到昆明市市场监督管理局给予的通报表扬。</w:t>
      </w:r>
    </w:p>
    <w:p w14:paraId="35897E7D">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二是</w:t>
      </w:r>
      <w:r>
        <w:rPr>
          <w:rFonts w:ascii="仿宋_GB2312" w:eastAsia="仿宋_GB2312"/>
          <w:sz w:val="32"/>
          <w:szCs w:val="32"/>
        </w:rPr>
        <w:t>20</w:t>
      </w:r>
      <w:r>
        <w:rPr>
          <w:rFonts w:hint="eastAsia" w:ascii="仿宋_GB2312" w:eastAsia="仿宋_GB2312"/>
          <w:sz w:val="32"/>
          <w:szCs w:val="32"/>
        </w:rPr>
        <w:t>21年，共计立案清理吊销长期停业未经营企业1557户，起到了引导企业守法诚信经营，深化商事制度改革，落实“宽进严管”工作要求，加快建立“僵尸企业”强制退出机制，加强社会信用体系建设，为后续市场监管夯实基础，为政府客观科学决策提供依据，促进盘龙经济健康持续发展的积极作用。</w:t>
      </w:r>
    </w:p>
    <w:p w14:paraId="0B511CC1">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三是圆满完成了2021年涉金融类企业信用信息抽查核查工作。为做好盘龙区涉金融类企业的信用监管工作，我局精心组织，周密部署，结合本局工作实际，制定具体实施方案，建立完善工作机制，明确工作任务和职责分工，对盘龙辖区内890户涉金融类企业开展了信用监管定向抽查工作。此次抽查工作进一步强化了对盘龙辖区内涉金融类企业的事中事后监管，进一步促进了涉金融类企业守法经营、诚信经营。</w:t>
      </w:r>
    </w:p>
    <w:p w14:paraId="0F6811F4">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四是圆满完成了2021年年报公示信息“双随机”抽查工作。由省市场监管局按照</w:t>
      </w:r>
      <w:r>
        <w:rPr>
          <w:rFonts w:ascii="仿宋_GB2312" w:eastAsia="仿宋_GB2312"/>
          <w:sz w:val="32"/>
          <w:szCs w:val="32"/>
        </w:rPr>
        <w:t>5%</w:t>
      </w:r>
      <w:r>
        <w:rPr>
          <w:rFonts w:hint="eastAsia" w:ascii="仿宋_GB2312" w:eastAsia="仿宋_GB2312"/>
          <w:sz w:val="32"/>
          <w:szCs w:val="32"/>
        </w:rPr>
        <w:t>的比例，以随机摇号的方式，共计随机抽取盘龙区1676户企业（含农民专业合作社）作为抽查检查对象，针对市场主体2020年度的年报公示信息，采取“</w:t>
      </w:r>
      <w:r>
        <w:rPr>
          <w:rFonts w:hint="eastAsia" w:ascii="仿宋_GB2312" w:eastAsia="仿宋_GB2312"/>
          <w:sz w:val="32"/>
          <w:szCs w:val="32"/>
          <w:lang w:eastAsia="zh-CN"/>
        </w:rPr>
        <w:t>双随机、一公开</w:t>
      </w:r>
      <w:r>
        <w:rPr>
          <w:rFonts w:hint="eastAsia" w:ascii="仿宋_GB2312" w:eastAsia="仿宋_GB2312"/>
          <w:sz w:val="32"/>
          <w:szCs w:val="32"/>
        </w:rPr>
        <w:t>”的工作方式，在全区范围内组织开展了2021年年报公示信息“</w:t>
      </w:r>
      <w:r>
        <w:rPr>
          <w:rFonts w:hint="eastAsia" w:ascii="仿宋_GB2312" w:eastAsia="仿宋_GB2312"/>
          <w:sz w:val="32"/>
          <w:szCs w:val="32"/>
          <w:lang w:eastAsia="zh-CN"/>
        </w:rPr>
        <w:t>双随机、一公开</w:t>
      </w:r>
      <w:r>
        <w:rPr>
          <w:rFonts w:hint="eastAsia" w:ascii="仿宋_GB2312" w:eastAsia="仿宋_GB2312"/>
          <w:sz w:val="32"/>
          <w:szCs w:val="32"/>
        </w:rPr>
        <w:t>”抽查工作。“</w:t>
      </w:r>
      <w:r>
        <w:rPr>
          <w:rFonts w:hint="eastAsia" w:ascii="仿宋_GB2312" w:eastAsia="仿宋_GB2312"/>
          <w:sz w:val="32"/>
          <w:szCs w:val="32"/>
          <w:lang w:eastAsia="zh-CN"/>
        </w:rPr>
        <w:t>双随机、一公开</w:t>
      </w:r>
      <w:r>
        <w:rPr>
          <w:rFonts w:hint="eastAsia" w:ascii="仿宋_GB2312" w:eastAsia="仿宋_GB2312"/>
          <w:sz w:val="32"/>
          <w:szCs w:val="32"/>
        </w:rPr>
        <w:t>”抽查检查工作深化了商事制度改革，落实了“宽进严管”工作要求，强化了事中事后监管，规范了市场交易秩序，净化了市场主体发展环境，优化提升了营商环境。</w:t>
      </w:r>
    </w:p>
    <w:p w14:paraId="4728CFB5">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五是全年对市场主体从事生产经营活动履行了监督管理职责，进一步规范了市场主体经营活动，强化了事中事后监管，保障了公平竞争，维护了良好市场秩序，为政府客观科学决策提供了依据。</w:t>
      </w:r>
    </w:p>
    <w:p w14:paraId="3EF514C6">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六是全年持续强化企业信用约束，实施信用联合惩戒；持续推进商务诚信、企业诚信和社会信用体系建设；大力营造诚实守信、公平有序、充满活力的市场环境；努力推动形成“一处违法、处处受限”的企业信用监管效应。</w:t>
      </w:r>
    </w:p>
    <w:p w14:paraId="3F065BE7">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hint="eastAsia" w:ascii="楷体" w:hAnsi="楷体" w:eastAsia="楷体" w:cs="楷体"/>
          <w:sz w:val="32"/>
          <w:szCs w:val="32"/>
        </w:rPr>
      </w:pPr>
      <w:r>
        <w:rPr>
          <w:rFonts w:hint="eastAsia" w:ascii="楷体" w:hAnsi="楷体" w:eastAsia="楷体" w:cs="楷体"/>
          <w:sz w:val="32"/>
          <w:szCs w:val="32"/>
        </w:rPr>
        <w:t>四、成本效益分析</w:t>
      </w:r>
    </w:p>
    <w:p w14:paraId="747D2B81">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hint="eastAsia" w:ascii="仿宋_GB2312" w:eastAsia="仿宋_GB2312"/>
          <w:sz w:val="32"/>
          <w:szCs w:val="32"/>
          <w:lang w:eastAsia="zh-CN"/>
        </w:rPr>
      </w:pPr>
      <w:r>
        <w:rPr>
          <w:rFonts w:ascii="仿宋_GB2312" w:eastAsia="仿宋_GB2312"/>
          <w:sz w:val="32"/>
          <w:szCs w:val="32"/>
        </w:rPr>
        <w:t>20</w:t>
      </w:r>
      <w:r>
        <w:rPr>
          <w:rFonts w:hint="eastAsia" w:ascii="仿宋_GB2312" w:eastAsia="仿宋_GB2312"/>
          <w:sz w:val="32"/>
          <w:szCs w:val="32"/>
        </w:rPr>
        <w:t>21年，信用监管工作经费项目资金”</w:t>
      </w:r>
      <w:r>
        <w:rPr>
          <w:rFonts w:hint="eastAsia" w:ascii="仿宋_GB2312" w:eastAsia="仿宋_GB2312"/>
          <w:sz w:val="32"/>
          <w:szCs w:val="32"/>
          <w:lang w:eastAsia="zh-CN"/>
        </w:rPr>
        <w:t>年初预算</w:t>
      </w:r>
      <w:r>
        <w:rPr>
          <w:rFonts w:hint="eastAsia" w:ascii="仿宋_GB2312" w:eastAsia="仿宋_GB2312"/>
          <w:sz w:val="32"/>
          <w:szCs w:val="32"/>
        </w:rPr>
        <w:t>99万元，</w:t>
      </w:r>
      <w:r>
        <w:rPr>
          <w:rFonts w:hint="eastAsia" w:ascii="仿宋_GB2312" w:eastAsia="仿宋_GB2312"/>
          <w:sz w:val="32"/>
          <w:szCs w:val="32"/>
          <w:lang w:eastAsia="zh-CN"/>
        </w:rPr>
        <w:t>年终使用</w:t>
      </w:r>
      <w:r>
        <w:rPr>
          <w:rFonts w:hint="eastAsia" w:ascii="仿宋_GB2312" w:eastAsia="仿宋_GB2312"/>
          <w:sz w:val="32"/>
          <w:szCs w:val="32"/>
          <w:lang w:val="en-US" w:eastAsia="zh-CN"/>
        </w:rPr>
        <w:t>98.83万元，剩余额度财政已收回</w:t>
      </w:r>
      <w:r>
        <w:rPr>
          <w:rFonts w:hint="eastAsia" w:ascii="仿宋_GB2312" w:eastAsia="仿宋_GB2312"/>
          <w:sz w:val="32"/>
          <w:szCs w:val="32"/>
        </w:rPr>
        <w:t>。</w:t>
      </w:r>
      <w:r>
        <w:rPr>
          <w:rFonts w:ascii="仿宋_GB2312" w:eastAsia="仿宋_GB2312"/>
          <w:sz w:val="32"/>
          <w:szCs w:val="32"/>
        </w:rPr>
        <w:t>20</w:t>
      </w:r>
      <w:r>
        <w:rPr>
          <w:rFonts w:hint="eastAsia" w:ascii="仿宋_GB2312" w:eastAsia="仿宋_GB2312"/>
          <w:sz w:val="32"/>
          <w:szCs w:val="32"/>
        </w:rPr>
        <w:t>21年，信用监管科共计收到盘龙区财政拨付“企业信用监管工作经费项目资金”</w:t>
      </w:r>
      <w:r>
        <w:rPr>
          <w:rFonts w:hint="eastAsia" w:ascii="仿宋_GB2312" w:eastAsia="仿宋_GB2312"/>
          <w:sz w:val="32"/>
          <w:szCs w:val="32"/>
          <w:lang w:val="en-US" w:eastAsia="zh-CN"/>
        </w:rPr>
        <w:t>98.83</w:t>
      </w:r>
      <w:r>
        <w:rPr>
          <w:rFonts w:hint="eastAsia" w:ascii="仿宋_GB2312" w:eastAsia="仿宋_GB2312"/>
          <w:sz w:val="32"/>
          <w:szCs w:val="32"/>
        </w:rPr>
        <w:t>万元，已全部使用完毕。其中：</w:t>
      </w:r>
      <w:r>
        <w:rPr>
          <w:rFonts w:ascii="仿宋_GB2312" w:eastAsia="仿宋_GB2312"/>
          <w:sz w:val="32"/>
          <w:szCs w:val="32"/>
        </w:rPr>
        <w:t>1</w:t>
      </w:r>
      <w:r>
        <w:rPr>
          <w:rFonts w:hint="eastAsia" w:ascii="仿宋_GB2312" w:eastAsia="仿宋_GB2312"/>
          <w:sz w:val="32"/>
          <w:szCs w:val="32"/>
        </w:rPr>
        <w:t>、支付企业年报核查服务费</w:t>
      </w:r>
      <w:r>
        <w:rPr>
          <w:rFonts w:hint="eastAsia" w:ascii="仿宋_GB2312" w:eastAsia="仿宋_GB2312"/>
          <w:sz w:val="32"/>
          <w:szCs w:val="32"/>
          <w:lang w:val="en-US" w:eastAsia="zh-CN"/>
        </w:rPr>
        <w:t>93.82</w:t>
      </w:r>
      <w:r>
        <w:rPr>
          <w:rFonts w:hint="eastAsia" w:ascii="仿宋_GB2312" w:eastAsia="仿宋_GB2312"/>
          <w:sz w:val="32"/>
          <w:szCs w:val="32"/>
        </w:rPr>
        <w:t>万元；</w:t>
      </w:r>
      <w:r>
        <w:rPr>
          <w:rFonts w:ascii="仿宋_GB2312" w:eastAsia="仿宋_GB2312"/>
          <w:sz w:val="32"/>
          <w:szCs w:val="32"/>
        </w:rPr>
        <w:t>2</w:t>
      </w:r>
      <w:r>
        <w:rPr>
          <w:rFonts w:hint="eastAsia" w:ascii="仿宋_GB2312" w:eastAsia="仿宋_GB2312"/>
          <w:sz w:val="32"/>
          <w:szCs w:val="32"/>
        </w:rPr>
        <w:t>、支付年报工作短信服务费3万元；3、支付年报宣传资料印制费</w:t>
      </w:r>
      <w:r>
        <w:rPr>
          <w:rFonts w:hint="eastAsia" w:ascii="仿宋_GB2312" w:eastAsia="仿宋_GB2312"/>
          <w:sz w:val="32"/>
          <w:szCs w:val="32"/>
          <w:lang w:val="en-US" w:eastAsia="zh-CN"/>
        </w:rPr>
        <w:t>2</w:t>
      </w:r>
      <w:r>
        <w:rPr>
          <w:rFonts w:hint="eastAsia" w:ascii="仿宋_GB2312" w:eastAsia="仿宋_GB2312"/>
          <w:sz w:val="32"/>
          <w:szCs w:val="32"/>
        </w:rPr>
        <w:t>万元</w:t>
      </w:r>
      <w:r>
        <w:rPr>
          <w:rFonts w:hint="eastAsia" w:ascii="仿宋_GB2312" w:eastAsia="仿宋_GB2312"/>
          <w:sz w:val="32"/>
          <w:szCs w:val="32"/>
          <w:lang w:eastAsia="zh-CN"/>
        </w:rPr>
        <w:t>。</w:t>
      </w:r>
    </w:p>
    <w:p w14:paraId="6D284F24">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lang w:val="en-US" w:eastAsia="zh-CN"/>
        </w:rPr>
        <w:t>2021年企业信用监管经费的使用达到了预期的项目效果。</w:t>
      </w:r>
      <w:r>
        <w:rPr>
          <w:rFonts w:hint="eastAsia" w:ascii="仿宋_GB2312" w:eastAsia="仿宋_GB2312"/>
          <w:sz w:val="32"/>
          <w:szCs w:val="32"/>
        </w:rPr>
        <w:t>年报公示信息抽查检查结果全部通过国务院设立的国家企业信用信息公示系统（云南）进行了公示。“双随机”抽查检查工作深化了商事制度改革，落实了“宽进严管”工作要求，强化了事中事后监管，规范了市场交易秩序，净化了市场主体发展环境，优化了营商环境，强化了企业信用约束，实施信用联合惩戒；持续推进了商务诚信、企业诚信和社会信用体系建设；营造了诚实守信、公平有序、充满活力的市场环境；推动形成“一处违法、处处受限”的企业信用监管效应。</w:t>
      </w:r>
    </w:p>
    <w:p w14:paraId="712E71CC">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hint="eastAsia" w:ascii="楷体" w:hAnsi="楷体" w:eastAsia="楷体" w:cs="楷体"/>
          <w:sz w:val="32"/>
          <w:szCs w:val="32"/>
        </w:rPr>
      </w:pPr>
      <w:r>
        <w:rPr>
          <w:rFonts w:hint="eastAsia" w:ascii="楷体" w:hAnsi="楷体" w:eastAsia="楷体" w:cs="楷体"/>
          <w:sz w:val="32"/>
          <w:szCs w:val="32"/>
        </w:rPr>
        <w:t>五、主要经验及做法、存在的问题和建议</w:t>
      </w:r>
    </w:p>
    <w:p w14:paraId="7073EA2C">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（一）主要经验及做法。</w:t>
      </w:r>
    </w:p>
    <w:p w14:paraId="06815431">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第一，高度重视项目经费支出绩效跟踪工作，加强领导，精心组织，采取有效措施，责任明确到人。第二，始终遵循工作经费跟着工作任务走的原则，严格按照计划和预算执行，决不随意变更和调整预算绩效目标，认真开展企业信用监管工作，切实做好企业信用监管项目支出绩效跟踪工作。第三，专款专用。第四，应通过政府采购公开招标的项目，均严格通过政府采购公开招标，签订合同，并严格履行合同，按项目进度支出项目经费；第五，严格按照预算及实施方案和相关财务规定列支项目经费，严格遵守财务制度、报销程序及经费管理办法。</w:t>
      </w:r>
    </w:p>
    <w:p w14:paraId="342C6015">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（二）存在的问题。</w:t>
      </w:r>
    </w:p>
    <w:p w14:paraId="25F1C816">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无。</w:t>
      </w:r>
    </w:p>
    <w:p w14:paraId="7A86A7CF">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（三）建议和改进措施。</w:t>
      </w:r>
    </w:p>
    <w:p w14:paraId="68F678C0">
      <w:pPr>
        <w:keepNext w:val="0"/>
        <w:keepLines w:val="0"/>
        <w:pageBreakBefore w:val="0"/>
        <w:widowControl w:val="0"/>
        <w:kinsoku/>
        <w:wordWrap/>
        <w:overflowPunct/>
        <w:topLinePunct w:val="0"/>
        <w:autoSpaceDE w:val="0"/>
        <w:autoSpaceDN w:val="0"/>
        <w:bidi w:val="0"/>
        <w:adjustRightInd w:val="0"/>
        <w:snapToGrid/>
        <w:spacing w:line="240" w:lineRule="auto"/>
        <w:ind w:left="0" w:leftChars="0" w:right="0" w:rightChars="0" w:firstLine="640" w:firstLineChars="200"/>
        <w:jc w:val="left"/>
        <w:textAlignment w:val="auto"/>
        <w:outlineLvl w:val="9"/>
        <w:rPr>
          <w:rFonts w:ascii="仿宋_GB2312" w:eastAsia="仿宋_GB2312"/>
          <w:sz w:val="32"/>
          <w:szCs w:val="32"/>
        </w:rPr>
      </w:pPr>
      <w:r>
        <w:rPr>
          <w:rFonts w:hint="eastAsia" w:ascii="仿宋_GB2312" w:eastAsia="仿宋_GB2312"/>
          <w:sz w:val="32"/>
          <w:szCs w:val="32"/>
        </w:rPr>
        <w:t>无。</w:t>
      </w:r>
    </w:p>
    <w:p w14:paraId="3E4FFC46">
      <w:pPr>
        <w:autoSpaceDE w:val="0"/>
        <w:autoSpaceDN w:val="0"/>
        <w:adjustRightInd w:val="0"/>
        <w:spacing w:line="560" w:lineRule="exact"/>
        <w:jc w:val="left"/>
        <w:rPr>
          <w:rFonts w:ascii="仿宋_GB2312" w:hAnsi="Arial" w:eastAsia="仿宋_GB2312" w:cs="仿宋_GB2312"/>
          <w:kern w:val="0"/>
          <w:sz w:val="32"/>
          <w:szCs w:val="32"/>
        </w:rPr>
      </w:pPr>
      <w:r>
        <w:rPr>
          <w:rFonts w:hint="eastAsia" w:ascii="仿宋_GB2312" w:hAnsi="Arial" w:eastAsia="仿宋_GB2312" w:cs="仿宋_GB2312"/>
          <w:kern w:val="0"/>
          <w:sz w:val="32"/>
          <w:szCs w:val="32"/>
        </w:rPr>
        <w:t>　　　</w:t>
      </w:r>
      <w:r>
        <w:rPr>
          <w:rFonts w:hint="eastAsia" w:ascii="仿宋_GB2312" w:hAnsi="Arial" w:eastAsia="仿宋_GB2312" w:cs="仿宋_GB2312"/>
          <w:kern w:val="0"/>
          <w:sz w:val="32"/>
          <w:szCs w:val="32"/>
          <w:lang w:val="en-US" w:eastAsia="zh-CN"/>
        </w:rPr>
        <w:t xml:space="preserve">   </w:t>
      </w:r>
    </w:p>
    <w:p w14:paraId="682F4C88">
      <w:pPr>
        <w:topLinePunct/>
        <w:adjustRightInd w:val="0"/>
        <w:snapToGrid w:val="0"/>
        <w:spacing w:beforeLines="50" w:afterLines="50"/>
        <w:ind w:firstLine="803" w:firstLineChars="250"/>
        <w:rPr>
          <w:rFonts w:ascii="仿宋_GB2312" w:hAnsi="仿宋" w:eastAsia="仿宋_GB2312"/>
          <w:b/>
          <w:color w:val="FF0000"/>
          <w:sz w:val="32"/>
          <w:szCs w:val="3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DECAD">
    <w:pPr>
      <w:pStyle w:val="3"/>
      <w:jc w:val="center"/>
    </w:pPr>
    <w:r>
      <w:fldChar w:fldCharType="begin"/>
    </w:r>
    <w:r>
      <w:instrText xml:space="preserve"> PAGE   \* MERGEFORMAT </w:instrText>
    </w:r>
    <w:r>
      <w:fldChar w:fldCharType="separate"/>
    </w:r>
    <w:r>
      <w:rPr>
        <w:lang w:val="zh-CN"/>
      </w:rPr>
      <w:t>23</w:t>
    </w:r>
    <w:r>
      <w:rPr>
        <w:lang w:val="zh-CN"/>
      </w:rPr>
      <w:fldChar w:fldCharType="end"/>
    </w:r>
  </w:p>
  <w:p w14:paraId="56F6876E">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C3AFA">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jU3YWRkZmU5OTJhNGQyMDFmYzgxYmU0MjIxODYxNTUifQ=="/>
  </w:docVars>
  <w:rsids>
    <w:rsidRoot w:val="00AB769D"/>
    <w:rsid w:val="000120D8"/>
    <w:rsid w:val="0001343D"/>
    <w:rsid w:val="00013870"/>
    <w:rsid w:val="00014246"/>
    <w:rsid w:val="00017484"/>
    <w:rsid w:val="000214BD"/>
    <w:rsid w:val="00027C52"/>
    <w:rsid w:val="000316F1"/>
    <w:rsid w:val="00031CA1"/>
    <w:rsid w:val="0003450E"/>
    <w:rsid w:val="000347FA"/>
    <w:rsid w:val="00035DC5"/>
    <w:rsid w:val="000379C1"/>
    <w:rsid w:val="00037A06"/>
    <w:rsid w:val="00043EAA"/>
    <w:rsid w:val="00043EEA"/>
    <w:rsid w:val="00050022"/>
    <w:rsid w:val="00051297"/>
    <w:rsid w:val="0005259D"/>
    <w:rsid w:val="00060AA2"/>
    <w:rsid w:val="00067274"/>
    <w:rsid w:val="000728C9"/>
    <w:rsid w:val="000746FC"/>
    <w:rsid w:val="0007493F"/>
    <w:rsid w:val="00075D27"/>
    <w:rsid w:val="000769F0"/>
    <w:rsid w:val="00084906"/>
    <w:rsid w:val="000926FA"/>
    <w:rsid w:val="00094553"/>
    <w:rsid w:val="000A1443"/>
    <w:rsid w:val="000A36B5"/>
    <w:rsid w:val="000A78BC"/>
    <w:rsid w:val="000A7CB2"/>
    <w:rsid w:val="000A7E1A"/>
    <w:rsid w:val="000C7067"/>
    <w:rsid w:val="000D29FD"/>
    <w:rsid w:val="000D7A3C"/>
    <w:rsid w:val="000F0EA5"/>
    <w:rsid w:val="000F3069"/>
    <w:rsid w:val="000F49C3"/>
    <w:rsid w:val="000F6710"/>
    <w:rsid w:val="0010072A"/>
    <w:rsid w:val="00101AC7"/>
    <w:rsid w:val="00102A68"/>
    <w:rsid w:val="001043B3"/>
    <w:rsid w:val="00105D1F"/>
    <w:rsid w:val="0011280E"/>
    <w:rsid w:val="00114242"/>
    <w:rsid w:val="00114BA1"/>
    <w:rsid w:val="00115466"/>
    <w:rsid w:val="00130603"/>
    <w:rsid w:val="00136283"/>
    <w:rsid w:val="001463D6"/>
    <w:rsid w:val="001464AC"/>
    <w:rsid w:val="001468EE"/>
    <w:rsid w:val="00150111"/>
    <w:rsid w:val="00151725"/>
    <w:rsid w:val="001553D4"/>
    <w:rsid w:val="00155414"/>
    <w:rsid w:val="00156482"/>
    <w:rsid w:val="001572FB"/>
    <w:rsid w:val="00162609"/>
    <w:rsid w:val="001633F2"/>
    <w:rsid w:val="001636D5"/>
    <w:rsid w:val="00173427"/>
    <w:rsid w:val="0017420C"/>
    <w:rsid w:val="001770D3"/>
    <w:rsid w:val="00180137"/>
    <w:rsid w:val="00195423"/>
    <w:rsid w:val="001979E0"/>
    <w:rsid w:val="001A0071"/>
    <w:rsid w:val="001A1B87"/>
    <w:rsid w:val="001A4724"/>
    <w:rsid w:val="001A5F95"/>
    <w:rsid w:val="001A634D"/>
    <w:rsid w:val="001B0C46"/>
    <w:rsid w:val="001B6A49"/>
    <w:rsid w:val="001D1E5A"/>
    <w:rsid w:val="001D2029"/>
    <w:rsid w:val="001D220A"/>
    <w:rsid w:val="001D4CBB"/>
    <w:rsid w:val="001E2411"/>
    <w:rsid w:val="001F15C8"/>
    <w:rsid w:val="001F278D"/>
    <w:rsid w:val="001F2D84"/>
    <w:rsid w:val="001F5108"/>
    <w:rsid w:val="00201AA7"/>
    <w:rsid w:val="00212C07"/>
    <w:rsid w:val="00213150"/>
    <w:rsid w:val="00213737"/>
    <w:rsid w:val="00215BC0"/>
    <w:rsid w:val="00216112"/>
    <w:rsid w:val="00217E57"/>
    <w:rsid w:val="002248A9"/>
    <w:rsid w:val="00230692"/>
    <w:rsid w:val="00237BAF"/>
    <w:rsid w:val="00237C24"/>
    <w:rsid w:val="00240D13"/>
    <w:rsid w:val="00240DAE"/>
    <w:rsid w:val="00241C74"/>
    <w:rsid w:val="002433CC"/>
    <w:rsid w:val="002477B4"/>
    <w:rsid w:val="00250AF0"/>
    <w:rsid w:val="00250F69"/>
    <w:rsid w:val="00251EE2"/>
    <w:rsid w:val="00253F36"/>
    <w:rsid w:val="00257C42"/>
    <w:rsid w:val="00262A58"/>
    <w:rsid w:val="002638F2"/>
    <w:rsid w:val="00263DFB"/>
    <w:rsid w:val="002652D2"/>
    <w:rsid w:val="002660E1"/>
    <w:rsid w:val="00271818"/>
    <w:rsid w:val="00271BA6"/>
    <w:rsid w:val="00282B0E"/>
    <w:rsid w:val="002900AA"/>
    <w:rsid w:val="00290CFF"/>
    <w:rsid w:val="0029102F"/>
    <w:rsid w:val="002939CD"/>
    <w:rsid w:val="00293FE6"/>
    <w:rsid w:val="002940C4"/>
    <w:rsid w:val="00297437"/>
    <w:rsid w:val="002977A0"/>
    <w:rsid w:val="002A510D"/>
    <w:rsid w:val="002B5A33"/>
    <w:rsid w:val="002B65A8"/>
    <w:rsid w:val="002C6B64"/>
    <w:rsid w:val="002D1ECC"/>
    <w:rsid w:val="002D3E51"/>
    <w:rsid w:val="002D6E56"/>
    <w:rsid w:val="002E3565"/>
    <w:rsid w:val="002E41C6"/>
    <w:rsid w:val="002F2DE0"/>
    <w:rsid w:val="002F3749"/>
    <w:rsid w:val="002F555D"/>
    <w:rsid w:val="002F742F"/>
    <w:rsid w:val="003006B0"/>
    <w:rsid w:val="00302F0A"/>
    <w:rsid w:val="00303929"/>
    <w:rsid w:val="00306C3F"/>
    <w:rsid w:val="0031100B"/>
    <w:rsid w:val="003110E2"/>
    <w:rsid w:val="003128ED"/>
    <w:rsid w:val="00315A86"/>
    <w:rsid w:val="00315F6D"/>
    <w:rsid w:val="0031692A"/>
    <w:rsid w:val="00325BC7"/>
    <w:rsid w:val="00334C49"/>
    <w:rsid w:val="0033532D"/>
    <w:rsid w:val="00337AB3"/>
    <w:rsid w:val="00341634"/>
    <w:rsid w:val="0034476A"/>
    <w:rsid w:val="00346B39"/>
    <w:rsid w:val="0035362A"/>
    <w:rsid w:val="00367C0C"/>
    <w:rsid w:val="00371BF0"/>
    <w:rsid w:val="00373B86"/>
    <w:rsid w:val="003741A5"/>
    <w:rsid w:val="00374589"/>
    <w:rsid w:val="00374D47"/>
    <w:rsid w:val="0037520C"/>
    <w:rsid w:val="00375481"/>
    <w:rsid w:val="00377945"/>
    <w:rsid w:val="003801ED"/>
    <w:rsid w:val="00383FA9"/>
    <w:rsid w:val="00391176"/>
    <w:rsid w:val="00394804"/>
    <w:rsid w:val="003A2425"/>
    <w:rsid w:val="003A4DD1"/>
    <w:rsid w:val="003B5FA2"/>
    <w:rsid w:val="003C12F8"/>
    <w:rsid w:val="003C23AA"/>
    <w:rsid w:val="003C2D05"/>
    <w:rsid w:val="003C3FC2"/>
    <w:rsid w:val="003D0830"/>
    <w:rsid w:val="003F1A28"/>
    <w:rsid w:val="003F307C"/>
    <w:rsid w:val="004005B7"/>
    <w:rsid w:val="004007B1"/>
    <w:rsid w:val="00407595"/>
    <w:rsid w:val="004103B0"/>
    <w:rsid w:val="0041480D"/>
    <w:rsid w:val="004153FC"/>
    <w:rsid w:val="00424A2A"/>
    <w:rsid w:val="00427A5F"/>
    <w:rsid w:val="004329C6"/>
    <w:rsid w:val="004347B1"/>
    <w:rsid w:val="00434C5A"/>
    <w:rsid w:val="004415C3"/>
    <w:rsid w:val="004430BA"/>
    <w:rsid w:val="00443A6B"/>
    <w:rsid w:val="004519CB"/>
    <w:rsid w:val="00456E5A"/>
    <w:rsid w:val="00464A78"/>
    <w:rsid w:val="00465D72"/>
    <w:rsid w:val="004714DD"/>
    <w:rsid w:val="00471F1E"/>
    <w:rsid w:val="004755D3"/>
    <w:rsid w:val="0047571F"/>
    <w:rsid w:val="00480FAB"/>
    <w:rsid w:val="00482E4A"/>
    <w:rsid w:val="004868EE"/>
    <w:rsid w:val="004A0D50"/>
    <w:rsid w:val="004A49FF"/>
    <w:rsid w:val="004A4BC2"/>
    <w:rsid w:val="004A5A19"/>
    <w:rsid w:val="004B253D"/>
    <w:rsid w:val="004B330E"/>
    <w:rsid w:val="004C22E3"/>
    <w:rsid w:val="004E6B98"/>
    <w:rsid w:val="004F257C"/>
    <w:rsid w:val="004F5C9D"/>
    <w:rsid w:val="00501015"/>
    <w:rsid w:val="00510CB8"/>
    <w:rsid w:val="0051542B"/>
    <w:rsid w:val="00520926"/>
    <w:rsid w:val="00523756"/>
    <w:rsid w:val="00523CF6"/>
    <w:rsid w:val="005269E7"/>
    <w:rsid w:val="00530922"/>
    <w:rsid w:val="00541C7D"/>
    <w:rsid w:val="005461A3"/>
    <w:rsid w:val="005472A8"/>
    <w:rsid w:val="00550B23"/>
    <w:rsid w:val="0055561D"/>
    <w:rsid w:val="00557C25"/>
    <w:rsid w:val="00561BBE"/>
    <w:rsid w:val="0056561D"/>
    <w:rsid w:val="00573B66"/>
    <w:rsid w:val="00584620"/>
    <w:rsid w:val="0058519C"/>
    <w:rsid w:val="00591579"/>
    <w:rsid w:val="00593036"/>
    <w:rsid w:val="0059661B"/>
    <w:rsid w:val="00596B37"/>
    <w:rsid w:val="005A14F9"/>
    <w:rsid w:val="005A36D2"/>
    <w:rsid w:val="005A5E6F"/>
    <w:rsid w:val="005B3DEF"/>
    <w:rsid w:val="005B4820"/>
    <w:rsid w:val="005B6B3B"/>
    <w:rsid w:val="005C0444"/>
    <w:rsid w:val="005C2865"/>
    <w:rsid w:val="005C36EB"/>
    <w:rsid w:val="005C7257"/>
    <w:rsid w:val="005D01A2"/>
    <w:rsid w:val="005D0830"/>
    <w:rsid w:val="005D643E"/>
    <w:rsid w:val="005D7972"/>
    <w:rsid w:val="005E0AA8"/>
    <w:rsid w:val="005E4C83"/>
    <w:rsid w:val="005F0920"/>
    <w:rsid w:val="00607B14"/>
    <w:rsid w:val="00607E4C"/>
    <w:rsid w:val="00610445"/>
    <w:rsid w:val="006129E8"/>
    <w:rsid w:val="006202F8"/>
    <w:rsid w:val="006227AF"/>
    <w:rsid w:val="00626FFC"/>
    <w:rsid w:val="0062779D"/>
    <w:rsid w:val="00630520"/>
    <w:rsid w:val="006332C5"/>
    <w:rsid w:val="00640FDD"/>
    <w:rsid w:val="0064297C"/>
    <w:rsid w:val="0065209E"/>
    <w:rsid w:val="00652E36"/>
    <w:rsid w:val="00654B32"/>
    <w:rsid w:val="00657764"/>
    <w:rsid w:val="006614BB"/>
    <w:rsid w:val="00667D44"/>
    <w:rsid w:val="00667DB2"/>
    <w:rsid w:val="00670974"/>
    <w:rsid w:val="00671495"/>
    <w:rsid w:val="00671A30"/>
    <w:rsid w:val="00674227"/>
    <w:rsid w:val="0068114A"/>
    <w:rsid w:val="0069097C"/>
    <w:rsid w:val="00693700"/>
    <w:rsid w:val="006974DF"/>
    <w:rsid w:val="006A1DF0"/>
    <w:rsid w:val="006A2BA2"/>
    <w:rsid w:val="006B0032"/>
    <w:rsid w:val="006B25CC"/>
    <w:rsid w:val="006B60F5"/>
    <w:rsid w:val="006B6D2D"/>
    <w:rsid w:val="006C3878"/>
    <w:rsid w:val="006D395F"/>
    <w:rsid w:val="006D7AA1"/>
    <w:rsid w:val="006E6DAF"/>
    <w:rsid w:val="007019E5"/>
    <w:rsid w:val="00707D59"/>
    <w:rsid w:val="00710125"/>
    <w:rsid w:val="00711624"/>
    <w:rsid w:val="00711946"/>
    <w:rsid w:val="00730787"/>
    <w:rsid w:val="00730AF1"/>
    <w:rsid w:val="00731141"/>
    <w:rsid w:val="0074034D"/>
    <w:rsid w:val="00740617"/>
    <w:rsid w:val="0074111C"/>
    <w:rsid w:val="00744A82"/>
    <w:rsid w:val="00746E6A"/>
    <w:rsid w:val="00752D4C"/>
    <w:rsid w:val="00761EF2"/>
    <w:rsid w:val="0076258B"/>
    <w:rsid w:val="007700CD"/>
    <w:rsid w:val="007716B3"/>
    <w:rsid w:val="00771D87"/>
    <w:rsid w:val="00776B76"/>
    <w:rsid w:val="007774B4"/>
    <w:rsid w:val="007838C0"/>
    <w:rsid w:val="00786392"/>
    <w:rsid w:val="00790870"/>
    <w:rsid w:val="007913FE"/>
    <w:rsid w:val="007950F8"/>
    <w:rsid w:val="00795CDB"/>
    <w:rsid w:val="00797749"/>
    <w:rsid w:val="007A1CBC"/>
    <w:rsid w:val="007A6446"/>
    <w:rsid w:val="007B3601"/>
    <w:rsid w:val="007B73AB"/>
    <w:rsid w:val="007B7966"/>
    <w:rsid w:val="007B7CB8"/>
    <w:rsid w:val="007C4A09"/>
    <w:rsid w:val="007C4CAF"/>
    <w:rsid w:val="007D3972"/>
    <w:rsid w:val="007D5346"/>
    <w:rsid w:val="007D5938"/>
    <w:rsid w:val="007D5E3E"/>
    <w:rsid w:val="007E149B"/>
    <w:rsid w:val="007E3748"/>
    <w:rsid w:val="007E494C"/>
    <w:rsid w:val="007F26CE"/>
    <w:rsid w:val="007F32C3"/>
    <w:rsid w:val="007F3F2D"/>
    <w:rsid w:val="007F4C05"/>
    <w:rsid w:val="007F5194"/>
    <w:rsid w:val="007F74E4"/>
    <w:rsid w:val="00802108"/>
    <w:rsid w:val="008102DA"/>
    <w:rsid w:val="00820205"/>
    <w:rsid w:val="00823E36"/>
    <w:rsid w:val="0083121D"/>
    <w:rsid w:val="00835F26"/>
    <w:rsid w:val="008448A5"/>
    <w:rsid w:val="008449BF"/>
    <w:rsid w:val="00844BCC"/>
    <w:rsid w:val="00844D8F"/>
    <w:rsid w:val="00850978"/>
    <w:rsid w:val="00852562"/>
    <w:rsid w:val="008556CC"/>
    <w:rsid w:val="00862ED9"/>
    <w:rsid w:val="008659C2"/>
    <w:rsid w:val="0087221B"/>
    <w:rsid w:val="008803A4"/>
    <w:rsid w:val="00880709"/>
    <w:rsid w:val="00891806"/>
    <w:rsid w:val="00895304"/>
    <w:rsid w:val="008A2760"/>
    <w:rsid w:val="008A316B"/>
    <w:rsid w:val="008A6E49"/>
    <w:rsid w:val="008B26AA"/>
    <w:rsid w:val="008B4A17"/>
    <w:rsid w:val="008B5CB7"/>
    <w:rsid w:val="008C0CAB"/>
    <w:rsid w:val="008D4A43"/>
    <w:rsid w:val="008D7092"/>
    <w:rsid w:val="008D7879"/>
    <w:rsid w:val="008E2498"/>
    <w:rsid w:val="008E2A69"/>
    <w:rsid w:val="008E4D9A"/>
    <w:rsid w:val="008E74FB"/>
    <w:rsid w:val="008F23D2"/>
    <w:rsid w:val="008F4DF6"/>
    <w:rsid w:val="00900F05"/>
    <w:rsid w:val="0090446A"/>
    <w:rsid w:val="00913FB2"/>
    <w:rsid w:val="00922E31"/>
    <w:rsid w:val="00923CA1"/>
    <w:rsid w:val="009315AE"/>
    <w:rsid w:val="0094014E"/>
    <w:rsid w:val="00945DAB"/>
    <w:rsid w:val="00951F69"/>
    <w:rsid w:val="0095281C"/>
    <w:rsid w:val="00957DA6"/>
    <w:rsid w:val="009636B6"/>
    <w:rsid w:val="00975B1C"/>
    <w:rsid w:val="00976AFD"/>
    <w:rsid w:val="00976B57"/>
    <w:rsid w:val="00980816"/>
    <w:rsid w:val="00980849"/>
    <w:rsid w:val="00983E00"/>
    <w:rsid w:val="00993C2A"/>
    <w:rsid w:val="00997AF2"/>
    <w:rsid w:val="009A5A51"/>
    <w:rsid w:val="009A69E1"/>
    <w:rsid w:val="009A7839"/>
    <w:rsid w:val="009B629E"/>
    <w:rsid w:val="009C16B9"/>
    <w:rsid w:val="009C4F8B"/>
    <w:rsid w:val="009C7D51"/>
    <w:rsid w:val="009D0210"/>
    <w:rsid w:val="009D0735"/>
    <w:rsid w:val="009E296B"/>
    <w:rsid w:val="009E7790"/>
    <w:rsid w:val="009E7B3B"/>
    <w:rsid w:val="009F5305"/>
    <w:rsid w:val="00A00A2A"/>
    <w:rsid w:val="00A01DAC"/>
    <w:rsid w:val="00A028CC"/>
    <w:rsid w:val="00A1003B"/>
    <w:rsid w:val="00A1080B"/>
    <w:rsid w:val="00A113DF"/>
    <w:rsid w:val="00A12250"/>
    <w:rsid w:val="00A1245D"/>
    <w:rsid w:val="00A12F74"/>
    <w:rsid w:val="00A1393F"/>
    <w:rsid w:val="00A17985"/>
    <w:rsid w:val="00A17FA1"/>
    <w:rsid w:val="00A2133F"/>
    <w:rsid w:val="00A22E06"/>
    <w:rsid w:val="00A26E0C"/>
    <w:rsid w:val="00A27823"/>
    <w:rsid w:val="00A32130"/>
    <w:rsid w:val="00A3245E"/>
    <w:rsid w:val="00A328B8"/>
    <w:rsid w:val="00A342B6"/>
    <w:rsid w:val="00A34D1F"/>
    <w:rsid w:val="00A37DA6"/>
    <w:rsid w:val="00A420DE"/>
    <w:rsid w:val="00A4449D"/>
    <w:rsid w:val="00A465A7"/>
    <w:rsid w:val="00A527D7"/>
    <w:rsid w:val="00A566CA"/>
    <w:rsid w:val="00A62FDC"/>
    <w:rsid w:val="00A65F0E"/>
    <w:rsid w:val="00A759AE"/>
    <w:rsid w:val="00A76F94"/>
    <w:rsid w:val="00A80015"/>
    <w:rsid w:val="00A83339"/>
    <w:rsid w:val="00A93AAC"/>
    <w:rsid w:val="00A9583B"/>
    <w:rsid w:val="00A961EB"/>
    <w:rsid w:val="00A966C9"/>
    <w:rsid w:val="00AA76A0"/>
    <w:rsid w:val="00AB156D"/>
    <w:rsid w:val="00AB1E4D"/>
    <w:rsid w:val="00AB20EF"/>
    <w:rsid w:val="00AB4307"/>
    <w:rsid w:val="00AB5EA3"/>
    <w:rsid w:val="00AB769D"/>
    <w:rsid w:val="00AC1CE5"/>
    <w:rsid w:val="00AC21D1"/>
    <w:rsid w:val="00AC27EA"/>
    <w:rsid w:val="00AC556F"/>
    <w:rsid w:val="00AD09EB"/>
    <w:rsid w:val="00AD1B66"/>
    <w:rsid w:val="00AE0EAF"/>
    <w:rsid w:val="00AE651D"/>
    <w:rsid w:val="00AF3C00"/>
    <w:rsid w:val="00AF51BA"/>
    <w:rsid w:val="00AF6B92"/>
    <w:rsid w:val="00B0227C"/>
    <w:rsid w:val="00B05444"/>
    <w:rsid w:val="00B05562"/>
    <w:rsid w:val="00B057FD"/>
    <w:rsid w:val="00B060D2"/>
    <w:rsid w:val="00B14765"/>
    <w:rsid w:val="00B14B2A"/>
    <w:rsid w:val="00B26D6E"/>
    <w:rsid w:val="00B37C4D"/>
    <w:rsid w:val="00B40168"/>
    <w:rsid w:val="00B72C0E"/>
    <w:rsid w:val="00B75F48"/>
    <w:rsid w:val="00B824DE"/>
    <w:rsid w:val="00B85276"/>
    <w:rsid w:val="00B85F3C"/>
    <w:rsid w:val="00B90E45"/>
    <w:rsid w:val="00B93ADF"/>
    <w:rsid w:val="00B95956"/>
    <w:rsid w:val="00BA5022"/>
    <w:rsid w:val="00BB0C7C"/>
    <w:rsid w:val="00BB3B6A"/>
    <w:rsid w:val="00BB3F57"/>
    <w:rsid w:val="00BB7167"/>
    <w:rsid w:val="00BC4406"/>
    <w:rsid w:val="00BC44CA"/>
    <w:rsid w:val="00BC58A6"/>
    <w:rsid w:val="00BD2A60"/>
    <w:rsid w:val="00BD3EC0"/>
    <w:rsid w:val="00BD78BC"/>
    <w:rsid w:val="00BF12CC"/>
    <w:rsid w:val="00BF6333"/>
    <w:rsid w:val="00BF66A3"/>
    <w:rsid w:val="00C027C6"/>
    <w:rsid w:val="00C058D6"/>
    <w:rsid w:val="00C12759"/>
    <w:rsid w:val="00C13862"/>
    <w:rsid w:val="00C13A81"/>
    <w:rsid w:val="00C15B37"/>
    <w:rsid w:val="00C20FD6"/>
    <w:rsid w:val="00C24BBC"/>
    <w:rsid w:val="00C25BA2"/>
    <w:rsid w:val="00C2605D"/>
    <w:rsid w:val="00C3226E"/>
    <w:rsid w:val="00C338C8"/>
    <w:rsid w:val="00C40851"/>
    <w:rsid w:val="00C44777"/>
    <w:rsid w:val="00C50BD5"/>
    <w:rsid w:val="00C51D44"/>
    <w:rsid w:val="00C62B16"/>
    <w:rsid w:val="00C65341"/>
    <w:rsid w:val="00C73F41"/>
    <w:rsid w:val="00C82E56"/>
    <w:rsid w:val="00C85B38"/>
    <w:rsid w:val="00C906E8"/>
    <w:rsid w:val="00C96F7D"/>
    <w:rsid w:val="00CA3261"/>
    <w:rsid w:val="00CA43F2"/>
    <w:rsid w:val="00CA5D5C"/>
    <w:rsid w:val="00CA7FB1"/>
    <w:rsid w:val="00CB2D1F"/>
    <w:rsid w:val="00CB67E2"/>
    <w:rsid w:val="00CC173C"/>
    <w:rsid w:val="00CC43D6"/>
    <w:rsid w:val="00CD1276"/>
    <w:rsid w:val="00CE32DB"/>
    <w:rsid w:val="00CF05C4"/>
    <w:rsid w:val="00CF18C1"/>
    <w:rsid w:val="00CF5EB8"/>
    <w:rsid w:val="00CF6801"/>
    <w:rsid w:val="00CF6DB2"/>
    <w:rsid w:val="00CF7798"/>
    <w:rsid w:val="00D03E97"/>
    <w:rsid w:val="00D04078"/>
    <w:rsid w:val="00D150F3"/>
    <w:rsid w:val="00D3452B"/>
    <w:rsid w:val="00D35117"/>
    <w:rsid w:val="00D40092"/>
    <w:rsid w:val="00D41D26"/>
    <w:rsid w:val="00D47192"/>
    <w:rsid w:val="00D50B7B"/>
    <w:rsid w:val="00D51D71"/>
    <w:rsid w:val="00D55904"/>
    <w:rsid w:val="00D56B46"/>
    <w:rsid w:val="00D61A17"/>
    <w:rsid w:val="00D63347"/>
    <w:rsid w:val="00D63864"/>
    <w:rsid w:val="00D6463E"/>
    <w:rsid w:val="00D652C4"/>
    <w:rsid w:val="00D67075"/>
    <w:rsid w:val="00D71E80"/>
    <w:rsid w:val="00D72188"/>
    <w:rsid w:val="00D7634B"/>
    <w:rsid w:val="00D76A4D"/>
    <w:rsid w:val="00D811A3"/>
    <w:rsid w:val="00D92D71"/>
    <w:rsid w:val="00DA17BB"/>
    <w:rsid w:val="00DA20BE"/>
    <w:rsid w:val="00DA6C5F"/>
    <w:rsid w:val="00DA7F13"/>
    <w:rsid w:val="00DB0528"/>
    <w:rsid w:val="00DB2D73"/>
    <w:rsid w:val="00DB69A5"/>
    <w:rsid w:val="00DB7326"/>
    <w:rsid w:val="00DB7D91"/>
    <w:rsid w:val="00DC1A52"/>
    <w:rsid w:val="00DC3D72"/>
    <w:rsid w:val="00DD6682"/>
    <w:rsid w:val="00DD76B0"/>
    <w:rsid w:val="00DE02EF"/>
    <w:rsid w:val="00DF0A11"/>
    <w:rsid w:val="00DF41C7"/>
    <w:rsid w:val="00DF5DC3"/>
    <w:rsid w:val="00E01213"/>
    <w:rsid w:val="00E04BAC"/>
    <w:rsid w:val="00E0692C"/>
    <w:rsid w:val="00E06CDF"/>
    <w:rsid w:val="00E106EB"/>
    <w:rsid w:val="00E126E6"/>
    <w:rsid w:val="00E13F40"/>
    <w:rsid w:val="00E2095B"/>
    <w:rsid w:val="00E24903"/>
    <w:rsid w:val="00E26B71"/>
    <w:rsid w:val="00E30BDE"/>
    <w:rsid w:val="00E33BCB"/>
    <w:rsid w:val="00E4210E"/>
    <w:rsid w:val="00E437EC"/>
    <w:rsid w:val="00E521B3"/>
    <w:rsid w:val="00E63997"/>
    <w:rsid w:val="00E71D34"/>
    <w:rsid w:val="00E72F2E"/>
    <w:rsid w:val="00E73098"/>
    <w:rsid w:val="00E751C3"/>
    <w:rsid w:val="00E874EF"/>
    <w:rsid w:val="00E92E82"/>
    <w:rsid w:val="00E964C6"/>
    <w:rsid w:val="00EA0665"/>
    <w:rsid w:val="00EA30D0"/>
    <w:rsid w:val="00EA462D"/>
    <w:rsid w:val="00EA7482"/>
    <w:rsid w:val="00EB0EAD"/>
    <w:rsid w:val="00EB1599"/>
    <w:rsid w:val="00EB3549"/>
    <w:rsid w:val="00EB629E"/>
    <w:rsid w:val="00EB6F71"/>
    <w:rsid w:val="00EC457C"/>
    <w:rsid w:val="00EC7C9D"/>
    <w:rsid w:val="00ED2E05"/>
    <w:rsid w:val="00ED363B"/>
    <w:rsid w:val="00ED42FA"/>
    <w:rsid w:val="00ED5FA2"/>
    <w:rsid w:val="00EE4106"/>
    <w:rsid w:val="00EF0247"/>
    <w:rsid w:val="00EF12A2"/>
    <w:rsid w:val="00EF17CA"/>
    <w:rsid w:val="00EF5D90"/>
    <w:rsid w:val="00EF6468"/>
    <w:rsid w:val="00F003E8"/>
    <w:rsid w:val="00F02CDC"/>
    <w:rsid w:val="00F12391"/>
    <w:rsid w:val="00F144C0"/>
    <w:rsid w:val="00F3603D"/>
    <w:rsid w:val="00F36743"/>
    <w:rsid w:val="00F42A40"/>
    <w:rsid w:val="00F44FE2"/>
    <w:rsid w:val="00F46EDB"/>
    <w:rsid w:val="00F577AF"/>
    <w:rsid w:val="00F57E6A"/>
    <w:rsid w:val="00F63713"/>
    <w:rsid w:val="00F640C2"/>
    <w:rsid w:val="00F65590"/>
    <w:rsid w:val="00F75B17"/>
    <w:rsid w:val="00F76AD4"/>
    <w:rsid w:val="00F76D73"/>
    <w:rsid w:val="00F773DC"/>
    <w:rsid w:val="00F828AF"/>
    <w:rsid w:val="00F83F68"/>
    <w:rsid w:val="00F907D0"/>
    <w:rsid w:val="00F91FC4"/>
    <w:rsid w:val="00F931CE"/>
    <w:rsid w:val="00F94654"/>
    <w:rsid w:val="00FA5DC8"/>
    <w:rsid w:val="00FA6610"/>
    <w:rsid w:val="00FA77CE"/>
    <w:rsid w:val="00FB7E69"/>
    <w:rsid w:val="00FC5058"/>
    <w:rsid w:val="00FC7318"/>
    <w:rsid w:val="00FC74F0"/>
    <w:rsid w:val="00FF5CB4"/>
    <w:rsid w:val="1BA669AC"/>
    <w:rsid w:val="1E2402D7"/>
    <w:rsid w:val="20243BDD"/>
    <w:rsid w:val="23925F11"/>
    <w:rsid w:val="2B8F5755"/>
    <w:rsid w:val="2EA4355B"/>
    <w:rsid w:val="39CE0C1C"/>
    <w:rsid w:val="3C120C38"/>
    <w:rsid w:val="4CCF59DB"/>
    <w:rsid w:val="4FBC192D"/>
    <w:rsid w:val="58517807"/>
    <w:rsid w:val="5CDB3812"/>
    <w:rsid w:val="5EE372D8"/>
    <w:rsid w:val="67455609"/>
    <w:rsid w:val="6CC71B84"/>
    <w:rsid w:val="6E5333E2"/>
    <w:rsid w:val="7453696C"/>
    <w:rsid w:val="77D73966"/>
    <w:rsid w:val="783F2DF6"/>
    <w:rsid w:val="7D7F1AB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26"/>
        <o:r id="V:Rule2" type="connector" idref="#_x0000_s1027"/>
        <o:r id="V:Rule3" type="connector" idref="#_x0000_s1028"/>
        <o:r id="V:Rule4" type="connector" idref="#_x0000_s1029"/>
        <o:r id="V:Rule5" type="connector" idref="#_x0000_s1030"/>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7"/>
    <w:qFormat/>
    <w:uiPriority w:val="99"/>
    <w:pPr>
      <w:keepNext/>
      <w:keepLines/>
      <w:spacing w:before="340" w:after="330" w:line="578" w:lineRule="auto"/>
      <w:outlineLvl w:val="0"/>
    </w:pPr>
    <w:rPr>
      <w:b/>
      <w:bCs/>
      <w:kern w:val="44"/>
      <w:sz w:val="44"/>
      <w:szCs w:val="44"/>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1 Char"/>
    <w:basedOn w:val="6"/>
    <w:link w:val="2"/>
    <w:qFormat/>
    <w:locked/>
    <w:uiPriority w:val="99"/>
    <w:rPr>
      <w:rFonts w:ascii="Calibri" w:hAnsi="Calibri" w:eastAsia="宋体" w:cs="Times New Roman"/>
      <w:b/>
      <w:bCs/>
      <w:kern w:val="44"/>
      <w:sz w:val="44"/>
      <w:szCs w:val="44"/>
    </w:rPr>
  </w:style>
  <w:style w:type="character" w:customStyle="1" w:styleId="8">
    <w:name w:val="页眉 Char"/>
    <w:basedOn w:val="6"/>
    <w:link w:val="4"/>
    <w:qFormat/>
    <w:locked/>
    <w:uiPriority w:val="99"/>
    <w:rPr>
      <w:rFonts w:cs="Times New Roman"/>
      <w:sz w:val="18"/>
      <w:szCs w:val="18"/>
    </w:rPr>
  </w:style>
  <w:style w:type="character" w:customStyle="1" w:styleId="9">
    <w:name w:val="页脚 Char"/>
    <w:basedOn w:val="6"/>
    <w:link w:val="3"/>
    <w:qFormat/>
    <w:locked/>
    <w:uiPriority w:val="99"/>
    <w:rPr>
      <w:rFonts w:cs="Times New Roman"/>
      <w:sz w:val="18"/>
      <w:szCs w:val="18"/>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1">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Info spid="_x0000_s1028"/>
    <customShpInfo spid="_x0000_s1029"/>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5D57EA-D193-45EC-BBAF-426A352568E3}">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21</Pages>
  <Words>2209</Words>
  <Characters>2291</Characters>
  <Lines>76</Lines>
  <Paragraphs>21</Paragraphs>
  <TotalTime>5</TotalTime>
  <ScaleCrop>false</ScaleCrop>
  <LinksUpToDate>false</LinksUpToDate>
  <CharactersWithSpaces>2330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2019-03-20T07:40:00Z</dcterms:created>
  <dc:creator>USER</dc:creator>
  <cp:lastModifiedBy>听潮</cp:lastModifiedBy>
  <dcterms:modified xsi:type="dcterms:W3CDTF">2025-03-27T09:10:23Z</dcterms:modified>
  <cp:revision>919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4C587D7CF95943A196124358F8F4A054_12</vt:lpwstr>
  </property>
  <property fmtid="{D5CDD505-2E9C-101B-9397-08002B2CF9AE}" pid="4" name="KSOTemplateDocerSaveRecord">
    <vt:lpwstr>eyJoZGlkIjoiYjU3YWRkZmU5OTJhNGQyMDFmYzgxYmU0MjIxODYxNTUiLCJ1c2VySWQiOiIyNDE4NzAyOTkifQ==</vt:lpwstr>
  </property>
</Properties>
</file>