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ADE70">
      <w:pPr>
        <w:spacing w:line="312" w:lineRule="auto"/>
        <w:jc w:val="center"/>
        <w:rPr>
          <w:rFonts w:hint="eastAsia"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val="en-US" w:eastAsia="zh-CN"/>
        </w:rPr>
        <w:t>昆明市生态环境局盘龙分局2019年</w:t>
      </w:r>
    </w:p>
    <w:p w14:paraId="25A86B85">
      <w:pPr>
        <w:spacing w:line="312" w:lineRule="auto"/>
        <w:jc w:val="center"/>
        <w:rPr>
          <w:rFonts w:hint="eastAsia"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val="en-US" w:eastAsia="zh-CN"/>
        </w:rPr>
        <w:t>部门整体支出绩效自评</w:t>
      </w:r>
    </w:p>
    <w:p w14:paraId="37DEF4ED">
      <w:pPr>
        <w:spacing w:line="500" w:lineRule="exact"/>
        <w:ind w:firstLine="600" w:firstLineChars="200"/>
        <w:jc w:val="left"/>
        <w:rPr>
          <w:rFonts w:hint="eastAsia" w:ascii="黑体" w:hAnsi="黑体" w:eastAsia="黑体" w:cs="宋体"/>
          <w:kern w:val="30"/>
          <w:sz w:val="30"/>
          <w:szCs w:val="30"/>
        </w:rPr>
      </w:pPr>
      <w:r>
        <w:rPr>
          <w:rFonts w:hint="eastAsia" w:ascii="黑体" w:hAnsi="黑体" w:eastAsia="黑体" w:cs="宋体"/>
          <w:kern w:val="30"/>
          <w:sz w:val="30"/>
          <w:szCs w:val="30"/>
        </w:rPr>
        <w:t>一、部门概况</w:t>
      </w:r>
    </w:p>
    <w:p w14:paraId="22F9B57B">
      <w:pPr>
        <w:spacing w:line="579" w:lineRule="exact"/>
        <w:ind w:firstLine="600" w:firstLineChars="200"/>
        <w:outlineLvl w:val="1"/>
        <w:rPr>
          <w:rFonts w:hint="eastAsia" w:ascii="楷体" w:hAnsi="楷体" w:eastAsia="楷体"/>
          <w:kern w:val="30"/>
          <w:sz w:val="30"/>
          <w:szCs w:val="30"/>
        </w:rPr>
      </w:pPr>
      <w:r>
        <w:rPr>
          <w:rFonts w:hint="eastAsia" w:ascii="楷体" w:hAnsi="楷体" w:eastAsia="楷体"/>
          <w:kern w:val="30"/>
          <w:sz w:val="30"/>
          <w:szCs w:val="30"/>
        </w:rPr>
        <w:t>（一）部门机构设置、编制</w:t>
      </w:r>
    </w:p>
    <w:p w14:paraId="5A84BD34">
      <w:pPr>
        <w:spacing w:line="579" w:lineRule="exact"/>
        <w:ind w:firstLine="584" w:firstLineChars="200"/>
        <w:jc w:val="both"/>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昆明市生态环境局盘龙分局（以下简称“盘龙区环保局”）为区政府工作部门，属正科级。根据《中共昆明市盘龙区委办公室 昆明市盘龙区人民政府办公室关于印发〈昆明市盘龙区人民政府机构改革实施意见〉的通知》（盘办发〔2010〕</w:t>
      </w:r>
      <w:r>
        <w:rPr>
          <w:rFonts w:hint="default"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 xml:space="preserve">13 </w:t>
      </w: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 xml:space="preserve">号）设立。盘龙区环保局内设4个机构，包括综合科、监督管理与污染控制科（加挂行政审批科牌子）、自然生态与城市环境保护科、政策法规与宣传教育科，机关行政编制 5 名，其中，局长 </w:t>
      </w:r>
      <w:r>
        <w:rPr>
          <w:rFonts w:hint="default"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 xml:space="preserve">1 </w:t>
      </w: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 xml:space="preserve">名（正科级）、副局长 </w:t>
      </w:r>
      <w:r>
        <w:rPr>
          <w:rFonts w:hint="default"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 xml:space="preserve">2 </w:t>
      </w: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名（副科级）。2019年8月22日经市委机构编制委员会第二次会议研究，根据《中共昆明市委机构编制委员会关于组建昆明市生态环境局各县（市）区、开发（度假）园区分局的通知》（昆编〔2019〕23号）、《昆明市盘龙区机构改革方案》，将区环境保护局的职责，以及区发改局的应对气候变化和减排职责，区国土分局的监督防止地下水污染职责，区水务局的编制水功能区划、排污口设置管理、滇池流域外水环境保护职责，区农林局的监督指导、农业面源污染治理职责等进行整合后，组建市生态环境局盘龙分局，作为市生态环境局的派出机构。并将原盘龙区环境保护局人员按照“人随事走”的原则转隶到市生态环境局盘龙分局。截止2019年12月末，部门在职实有46人，其中行政人员12人，参照公务员法管理事业人员21人，非参公事业人员13人。</w:t>
      </w:r>
    </w:p>
    <w:p w14:paraId="5F7FDFC1">
      <w:pPr>
        <w:numPr>
          <w:ilvl w:val="0"/>
          <w:numId w:val="1"/>
        </w:numPr>
        <w:spacing w:line="579" w:lineRule="exact"/>
        <w:ind w:firstLine="600" w:firstLineChars="200"/>
        <w:outlineLvl w:val="1"/>
        <w:rPr>
          <w:rFonts w:hint="eastAsia" w:ascii="楷体" w:hAnsi="楷体" w:eastAsia="楷体"/>
          <w:kern w:val="30"/>
          <w:sz w:val="30"/>
          <w:szCs w:val="30"/>
        </w:rPr>
      </w:pPr>
      <w:r>
        <w:rPr>
          <w:rFonts w:hint="eastAsia" w:ascii="楷体" w:hAnsi="楷体" w:eastAsia="楷体"/>
          <w:kern w:val="30"/>
          <w:sz w:val="30"/>
          <w:szCs w:val="30"/>
        </w:rPr>
        <w:t>部门职能</w:t>
      </w:r>
    </w:p>
    <w:p w14:paraId="4582471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84" w:firstLineChars="200"/>
        <w:textAlignment w:val="auto"/>
        <w:outlineLvl w:val="9"/>
        <w:rPr>
          <w:rFonts w:hint="default" w:ascii="楷体" w:hAnsi="楷体" w:eastAsia="楷体"/>
          <w:kern w:val="30"/>
          <w:sz w:val="30"/>
          <w:szCs w:val="30"/>
          <w:lang w:val="en-US" w:eastAsia="zh-CN"/>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昆明市生态环境局盘龙分局作为市生态环境局的派出机构，其主要职责是：贯彻落实党中央、省委、市委关于生态环境保护工作的方针政策和决策部署，为属地党委和政府履行生态环境保护责任提供支持，强化现场生态环境执法监督，现有生态环境保护许可等职能上交市级生态环境部门，在市级生态环境部门授权范围内依法承担部分生态环境保护许可具体工作。昆明市生态环境局盘龙分局具体职责按照昆明市生态环境局职责执行。具体如下：</w:t>
      </w:r>
    </w:p>
    <w:p w14:paraId="2EDE4B1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1）负责建立健全生态环境基本制度。会同有关部门拟订全市地方性生态环境政策、规划并组织实施，起草地方性法规、政府规章草案。会同有关部门编制并监督实施全市重点区域、流域、饮用水水源地生态环境规划和水功能区划，组织拟订地方性生态环境标准草案，制定地方性生态环境技术规范。</w:t>
      </w:r>
    </w:p>
    <w:p w14:paraId="39F58EA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2）负责全市重大生态环境问题的统筹协调和监督管理。牵头协调重大环境污染事故和生态破坏事件的调查处理，指导协调重大突发环境事件的应急、预警工作，牵头指导全市实施生态环境损害赔偿制度，协调解决有关跨辖区的环境污染纠纷。统筹协调全市重点区域、流域生态环境保护工作。负责本行业领域的安全生产监管工作。</w:t>
      </w:r>
    </w:p>
    <w:p w14:paraId="5B7656A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3）负责监督管理全市减排目标的落实。实施生态环境保护目标责任制，承担对县（市）区党政“一把手”生态环境保护“党政同责”“一岗双责”实绩考核的工作。监督实施各类污染物排放总量控制、排污许可证制度，确定大气、水等纳污能力，按省级确定的污染物总量控制指标和目标，监督检查各地污染物减排任务完成情况。</w:t>
      </w:r>
    </w:p>
    <w:p w14:paraId="1AF1641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4）负责提出生态环境领域固定资产投资规模和方向，负责编制本级生态环境部门的资金预决算，参与全市生态环境保护资金安排计划的提出。负责监督和管理辖区内生态环境部门的资金、固定资产及财务收支活动。配合有关部门做好组织实施、监督工作。参与指导推动循环经济和生态环保产业发展。</w:t>
      </w:r>
    </w:p>
    <w:p w14:paraId="19F08DB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5）负责环境污染防治的监督管理。监督实施大气、水、土壤、噪声、光、恶臭、固体废物、化学品、机动车等的污染防治管理制度。会同有关部门监督管理饮用水源地生态环境保护工作，组织指导城乡生态环境综合整治工作，监督指导农业面源污染治理工作。监督指导辖区大气环境保护工作，组织实施区域大气污染联防联控协作机制。</w:t>
      </w:r>
    </w:p>
    <w:p w14:paraId="4047F79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6）指导协调和监督生态保护修复工作。组织编制生态保护规划，监督对生态环境有影响的自然资源开发利用活动、重要生态环境建设和生态破坏恢复工作。组织制定各类自然保护地生态环境监管制度并监督执法。监督野生动植物保护、湿地生态环境保护、荒漠化防治等工作。指导协调和监督农村生态环境保护，监督生物技术环境安全，牵头开展生物物种（含遗传资源）工作，组织协调生物多样性保护工作，参与生态保护补偿工作。</w:t>
      </w:r>
    </w:p>
    <w:p w14:paraId="53547A6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7）负责核与辐射安全的监督管理。拟订有关政策、规划、地方标准并组织实施。牵头负责核安全工作协调机制有关工作，参与核事故应急处理，负责辐射环境事故应急处理工作。监督管理核设施和放射源安全，监督管理核设施、核技术应用、电磁辐射、伴有放射性矿产资源开发利用中的污染防治。对核材料的管制和民用核安全设备设计、制造、安装及无损检验活动实施监督管理。</w:t>
      </w:r>
    </w:p>
    <w:p w14:paraId="2A38CCA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8）负责生态环境准入的监督管理。受市政府委托，对重大经济和技术政策、发展规划以及重大经济开发计划进行环境影响评价。按照规定审查重大开发建设区域、规划环境影响评价文件，审批建设项目环境影响评价文件。拟订并组织实施生态环境准入清单。</w:t>
      </w:r>
    </w:p>
    <w:p w14:paraId="65D11CE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9）负责生态环境监测工作。制定生态环境监测制度和规范、拟订有关标准并监督实施。会同有关部门统一规划生态环境质量监测站点设置，组织实施生态环境质量监测和污染源监督性监测、温室气体减排监测、应急监测、执法监测。组织对生态环境质量状况进行调查评估、预测预警，组织建设和管理生态环境监测网和生态环境信息网。实行生态环境质量公告制度，统一发布生态环境综合性报告和重大生态环境信息，定期发布重点区域和流域环境质量状况。</w:t>
      </w:r>
    </w:p>
    <w:p w14:paraId="0C37BD5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（10）负责应对气候变化工作。组织拟订实施市级应对气候变化及温室气体减排规划和政策。</w:t>
      </w:r>
    </w:p>
    <w:p w14:paraId="5AD5D8F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11）组织开展全市生态环境保护督察整改工作。建立健全生态环境保护督察制度，组织协调全市生态环境保护督察整改工作，根据授权对各地区各有关部门贯彻落实中央和省委、省政府及市委、市政府生态环境保护决策部署情况进行督察。配合中央生态环境保护督察、云南省生态环境保护督察工作。</w:t>
      </w:r>
    </w:p>
    <w:p w14:paraId="2A4F46B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（12）统一负责生态环境监督执法。组织开展全市生态环境保护执法检查和监督活动。查处重大生态环境违法问题。负责全市生态环境保护综合执法队伍建设和业务工作。</w:t>
      </w:r>
    </w:p>
    <w:p w14:paraId="5AA4B80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13）负责指导和协调生态环境保护宣传教育和科技工作。制定并组织实施生态环境保护宣传教育方案，推动社会组织和公众参与生态环境保护。指导绿色创建工作。开展生态环境科技工作，组织生态环境重大科学研究和技术工程示范，推动生态环境技术管理体系建设。</w:t>
      </w:r>
    </w:p>
    <w:p w14:paraId="4BCB8D5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14）开展生态环境对外合作交流，研究提出对外生态环境合作中有关工作的建议，组织协调州（市）间和区域生态环境保护合作，组织协调有关生态环境国际条约的履约工作，参与处理涉外生态环境事务，参与对外生态环境治理和科技交流有关工作。</w:t>
      </w:r>
    </w:p>
    <w:p w14:paraId="416F37E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（15）完成市委、市政府和上级交办的其他任务。</w:t>
      </w:r>
    </w:p>
    <w:p w14:paraId="74C7C95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579" w:lineRule="exact"/>
        <w:ind w:left="0" w:right="0" w:firstLine="584" w:firstLineChars="200"/>
        <w:jc w:val="left"/>
        <w:textAlignment w:val="auto"/>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16）职能转变。昆明市生态环境局统一行使生态保护和城乡各类污染物排放监管与行政执法职责，切实履行监管责任，全面落实大气、水、土壤污染防治行动计划，全面禁止洋垃圾入境。构建政府为主导、企业为主体、社会组织和公众共同参与的生态环境治理体系，实行最严格的生态环境保护制度，严守生态保护红线和环境质量底线，坚决打好污染防治攻坚战，筑牢生态安全屏障，建设美丽春城。</w:t>
      </w:r>
    </w:p>
    <w:p w14:paraId="6210C7DB">
      <w:pPr>
        <w:spacing w:line="579" w:lineRule="exact"/>
        <w:ind w:firstLine="600" w:firstLineChars="200"/>
        <w:outlineLvl w:val="1"/>
        <w:rPr>
          <w:rFonts w:hint="eastAsia" w:ascii="楷体" w:hAnsi="楷体" w:eastAsia="楷体"/>
          <w:kern w:val="30"/>
          <w:sz w:val="30"/>
          <w:szCs w:val="30"/>
          <w:highlight w:val="none"/>
        </w:rPr>
      </w:pPr>
      <w:r>
        <w:rPr>
          <w:rFonts w:hint="eastAsia" w:ascii="楷体" w:hAnsi="楷体" w:eastAsia="楷体"/>
          <w:kern w:val="30"/>
          <w:sz w:val="30"/>
          <w:szCs w:val="30"/>
          <w:highlight w:val="none"/>
        </w:rPr>
        <w:t>（三）部门工作完成情况</w:t>
      </w:r>
    </w:p>
    <w:p w14:paraId="3F671F1D">
      <w:pPr>
        <w:keepNext w:val="0"/>
        <w:keepLines w:val="0"/>
        <w:pageBreakBefore w:val="0"/>
        <w:kinsoku/>
        <w:wordWrap/>
        <w:overflowPunct/>
        <w:topLinePunct/>
        <w:autoSpaceDE/>
        <w:autoSpaceDN/>
        <w:bidi w:val="0"/>
        <w:spacing w:line="240" w:lineRule="auto"/>
        <w:ind w:left="0" w:leftChars="0" w:right="0" w:rightChars="0" w:firstLine="584" w:firstLineChars="200"/>
        <w:jc w:val="both"/>
        <w:textAlignment w:val="auto"/>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昆明市生态环境局盘龙分局结合部门职能职责，将2019年度主要工作目标任务层层落实分解到各处室，严格要求，明确责任，规范管理，圆满完成了2019年的工作任务。</w:t>
      </w:r>
    </w:p>
    <w:p w14:paraId="57886401">
      <w:pPr>
        <w:spacing w:line="579" w:lineRule="exact"/>
        <w:jc w:val="cente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bidi="ar-SA"/>
          <w14:textFill>
            <w14:solidFill>
              <w14:schemeClr w14:val="tx1"/>
            </w14:solidFill>
          </w14:textFill>
        </w:rPr>
        <w:t>详见附件2部门职能分解及2018年度工作完成情况表。</w:t>
      </w:r>
    </w:p>
    <w:p w14:paraId="56DF5E01">
      <w:pPr>
        <w:spacing w:line="579" w:lineRule="exact"/>
        <w:ind w:firstLine="600" w:firstLineChars="200"/>
        <w:outlineLvl w:val="1"/>
        <w:rPr>
          <w:rFonts w:hint="eastAsia" w:ascii="楷体" w:hAnsi="楷体" w:eastAsia="楷体"/>
          <w:color w:val="000000" w:themeColor="text1"/>
          <w:kern w:val="30"/>
          <w:sz w:val="30"/>
          <w:szCs w:val="30"/>
          <w14:textFill>
            <w14:solidFill>
              <w14:schemeClr w14:val="tx1"/>
            </w14:solidFill>
          </w14:textFill>
        </w:rPr>
      </w:pPr>
      <w:r>
        <w:rPr>
          <w:rFonts w:hint="eastAsia" w:ascii="楷体" w:hAnsi="楷体" w:eastAsia="楷体"/>
          <w:color w:val="000000" w:themeColor="text1"/>
          <w:kern w:val="30"/>
          <w:sz w:val="30"/>
          <w:szCs w:val="30"/>
          <w14:textFill>
            <w14:solidFill>
              <w14:schemeClr w14:val="tx1"/>
            </w14:solidFill>
          </w14:textFill>
        </w:rPr>
        <w:t>（四）部门管理制度</w:t>
      </w:r>
    </w:p>
    <w:p w14:paraId="13613360">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昆明市生态环境局盘龙分局为规范本单位内部控制制度，健全内部控制机制，提高风险防范能力，建立设计规范、运行有效的内部控制体系，保证单位经济业务安全稳健运行，从部门</w:t>
      </w:r>
      <w:r>
        <w:rPr>
          <w:rFonts w:hint="eastAsia" w:ascii="仿宋" w:hAnsi="仿宋" w:eastAsia="仿宋" w:cs="仿宋"/>
          <w:sz w:val="30"/>
          <w:szCs w:val="30"/>
          <w:highlight w:val="none"/>
          <w:lang w:val="en-US" w:eastAsia="zh-CN"/>
        </w:rPr>
        <w:t>业务管理</w:t>
      </w: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多方面，分别编制了内部控制基本制度、预算管理内部控制制度、收支管理内部控制制度、采购管理内部控制制度、国有资产管理内部控制制度、建设项目管理内部控制制度、合同管理内部控制制度、</w:t>
      </w:r>
      <w:r>
        <w:rPr>
          <w:rFonts w:hint="eastAsia" w:ascii="仿宋" w:hAnsi="仿宋" w:eastAsia="仿宋" w:cs="仿宋"/>
          <w:sz w:val="30"/>
          <w:szCs w:val="30"/>
          <w:highlight w:val="none"/>
          <w:lang w:val="en-US" w:eastAsia="zh-CN"/>
        </w:rPr>
        <w:t>大额资金使用管理制度、经费支出管理办法等一系列</w:t>
      </w: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内部控制制度，编制的内控制度与昆明市生态环境局盘龙分局部门管理工作现状相适应，各科室均严格按照制度执行相关职能职责。</w:t>
      </w:r>
    </w:p>
    <w:p w14:paraId="31527CEA">
      <w:pPr>
        <w:keepNext w:val="0"/>
        <w:keepLines w:val="0"/>
        <w:pageBreakBefore w:val="0"/>
        <w:widowControl w:val="0"/>
        <w:kinsoku/>
        <w:wordWrap/>
        <w:overflowPunct/>
        <w:topLinePunct w:val="0"/>
        <w:autoSpaceDE/>
        <w:autoSpaceDN/>
        <w:bidi w:val="0"/>
        <w:adjustRightInd/>
        <w:snapToGrid/>
        <w:spacing w:line="579" w:lineRule="exact"/>
        <w:ind w:firstLine="600" w:firstLineChars="200"/>
        <w:textAlignment w:val="auto"/>
        <w:outlineLvl w:val="1"/>
        <w:rPr>
          <w:rFonts w:hint="eastAsia" w:ascii="楷体" w:hAnsi="楷体" w:eastAsia="楷体"/>
          <w:kern w:val="30"/>
          <w:sz w:val="30"/>
          <w:szCs w:val="30"/>
        </w:rPr>
      </w:pPr>
      <w:r>
        <w:rPr>
          <w:rFonts w:hint="eastAsia" w:ascii="楷体" w:hAnsi="楷体" w:eastAsia="楷体"/>
          <w:kern w:val="30"/>
          <w:sz w:val="30"/>
          <w:szCs w:val="30"/>
        </w:rPr>
        <w:t>（五）部门资金来源及使用情况</w:t>
      </w:r>
    </w:p>
    <w:p w14:paraId="2C06F389">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default"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1.部门资金来源</w:t>
      </w:r>
    </w:p>
    <w:p w14:paraId="49BCCB1E">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default"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 xml:space="preserve">根据《昆明市盘龙区财政局关于下达盘龙区2019年部门预算的批复》（盘财〔2019〕1号）文件，批复昆明市生态环境局盘龙分局部门预算资金1680.47万元，其中：其他一般预算收入1637.97万元，纳入预算管理的非税收入42.5万元。年中调整预算金额为1654.25万元，结余结转73.63万元，本年部门实际预算收入为1727.88万元。  </w:t>
      </w:r>
    </w:p>
    <w:p w14:paraId="38DD382F">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2.资金使用情况</w:t>
      </w:r>
    </w:p>
    <w:p w14:paraId="74701552">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昆明市生态环境局盘龙分局2019年决算总数为1727.88万元，其中：基本支出779.45万元（人员经费686.03万元，日常公用经费93.42万元），项目支出897.84万元，年末结余50.59 万元，预算执行率达100%。</w:t>
      </w:r>
    </w:p>
    <w:p w14:paraId="163180C9">
      <w:pPr>
        <w:keepNext w:val="0"/>
        <w:keepLines w:val="0"/>
        <w:pageBreakBefore w:val="0"/>
        <w:widowControl w:val="0"/>
        <w:kinsoku/>
        <w:wordWrap/>
        <w:overflowPunct/>
        <w:autoSpaceDE/>
        <w:autoSpaceDN/>
        <w:bidi w:val="0"/>
        <w:adjustRightInd/>
        <w:snapToGrid/>
        <w:spacing w:line="579" w:lineRule="exact"/>
        <w:ind w:firstLine="600" w:firstLineChars="200"/>
        <w:textAlignment w:val="auto"/>
        <w:outlineLvl w:val="1"/>
        <w:rPr>
          <w:rFonts w:hint="eastAsia" w:ascii="楷体" w:hAnsi="楷体" w:eastAsia="楷体"/>
          <w:kern w:val="30"/>
          <w:sz w:val="30"/>
          <w:szCs w:val="30"/>
        </w:rPr>
      </w:pPr>
      <w:r>
        <w:rPr>
          <w:rFonts w:hint="eastAsia" w:ascii="楷体" w:hAnsi="楷体" w:eastAsia="楷体"/>
          <w:kern w:val="30"/>
          <w:sz w:val="30"/>
          <w:szCs w:val="30"/>
        </w:rPr>
        <w:t>（六）政府采购情况</w:t>
      </w:r>
    </w:p>
    <w:p w14:paraId="68007F11">
      <w:pPr>
        <w:keepNext w:val="0"/>
        <w:keepLines w:val="0"/>
        <w:pageBreakBefore w:val="0"/>
        <w:widowControl w:val="0"/>
        <w:kinsoku/>
        <w:wordWrap/>
        <w:overflow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昆明市生态环境局盘龙分局</w:t>
      </w:r>
      <w:r>
        <w:rPr>
          <w:rFonts w:hint="eastAsia" w:ascii="仿宋_GB2312" w:hAnsi="仿宋" w:eastAsia="仿宋_GB2312"/>
          <w:spacing w:val="6"/>
          <w:kern w:val="0"/>
          <w:sz w:val="28"/>
          <w:szCs w:val="28"/>
          <w:highlight w:val="none"/>
          <w:lang w:val="en-US" w:eastAsia="zh-CN"/>
        </w:rPr>
        <w:t>2019年部门整体政府采购计划金额为132.64万元，其中：</w:t>
      </w:r>
    </w:p>
    <w:p w14:paraId="2D46FA3E">
      <w:pPr>
        <w:keepNext w:val="0"/>
        <w:keepLines w:val="0"/>
        <w:pageBreakBefore w:val="0"/>
        <w:widowControl w:val="0"/>
        <w:kinsoku/>
        <w:wordWrap/>
        <w:overflow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①基本支出采购8.44万元；</w:t>
      </w:r>
    </w:p>
    <w:p w14:paraId="5DF42420">
      <w:pPr>
        <w:keepNext w:val="0"/>
        <w:keepLines w:val="0"/>
        <w:pageBreakBefore w:val="0"/>
        <w:widowControl w:val="0"/>
        <w:kinsoku/>
        <w:wordWrap/>
        <w:overflowPunct/>
        <w:autoSpaceDE/>
        <w:autoSpaceDN/>
        <w:bidi w:val="0"/>
        <w:adjustRightInd/>
        <w:snapToGrid/>
        <w:spacing w:line="579" w:lineRule="exact"/>
        <w:ind w:firstLine="584" w:firstLineChars="200"/>
        <w:textAlignment w:val="auto"/>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②项目支出采购124.2万元。</w:t>
      </w:r>
    </w:p>
    <w:p w14:paraId="03736DE2">
      <w:pPr>
        <w:keepNext w:val="0"/>
        <w:keepLines w:val="0"/>
        <w:pageBreakBefore w:val="0"/>
        <w:widowControl w:val="0"/>
        <w:shd w:val="clear" w:color="auto" w:fill="FFFFFF" w:themeFill="background1"/>
        <w:kinsoku/>
        <w:wordWrap/>
        <w:overflowPunct/>
        <w:topLinePunct/>
        <w:autoSpaceDE/>
        <w:autoSpaceDN/>
        <w:bidi w:val="0"/>
        <w:adjustRightInd/>
        <w:snapToGrid/>
        <w:spacing w:line="579" w:lineRule="exact"/>
        <w:ind w:left="0" w:leftChars="0" w:right="0" w:rightChars="0" w:firstLine="584" w:firstLineChars="200"/>
        <w:jc w:val="both"/>
        <w:textAlignment w:val="auto"/>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实际政府采购共计支出229.37万元。包括：</w:t>
      </w:r>
    </w:p>
    <w:p w14:paraId="265484C8">
      <w:pPr>
        <w:keepNext w:val="0"/>
        <w:keepLines w:val="0"/>
        <w:pageBreakBefore w:val="0"/>
        <w:widowControl w:val="0"/>
        <w:kinsoku/>
        <w:wordWrap/>
        <w:overflow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①采购设备类项目1.09万元；</w:t>
      </w:r>
    </w:p>
    <w:p w14:paraId="54D34120">
      <w:pPr>
        <w:keepNext w:val="0"/>
        <w:keepLines w:val="0"/>
        <w:pageBreakBefore w:val="0"/>
        <w:widowControl w:val="0"/>
        <w:kinsoku/>
        <w:wordWrap/>
        <w:overflowPunct/>
        <w:autoSpaceDE/>
        <w:autoSpaceDN/>
        <w:bidi w:val="0"/>
        <w:adjustRightInd/>
        <w:snapToGrid/>
        <w:spacing w:line="579" w:lineRule="exact"/>
        <w:ind w:firstLine="584" w:firstLineChars="200"/>
        <w:textAlignment w:val="auto"/>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②采购服务类项目228.28万元。（其中“昆明市松华坝水源区有机农业土壤修复关键技术与应用示范项目”因任务下达时盘龙区部门政府采购预算编制已经结束，故而该项目未能列入2019年初部门政府采购预算中）</w:t>
      </w:r>
    </w:p>
    <w:p w14:paraId="2DA06981">
      <w:pPr>
        <w:keepNext w:val="0"/>
        <w:keepLines w:val="0"/>
        <w:pageBreakBefore w:val="0"/>
        <w:widowControl w:val="0"/>
        <w:kinsoku/>
        <w:wordWrap/>
        <w:overflowPunct/>
        <w:topLinePunct w:val="0"/>
        <w:autoSpaceDE/>
        <w:autoSpaceDN/>
        <w:bidi w:val="0"/>
        <w:adjustRightInd/>
        <w:snapToGrid/>
        <w:spacing w:line="579" w:lineRule="exact"/>
        <w:ind w:firstLine="600" w:firstLineChars="200"/>
        <w:textAlignment w:val="auto"/>
        <w:outlineLvl w:val="1"/>
        <w:rPr>
          <w:rFonts w:hint="eastAsia" w:ascii="楷体" w:hAnsi="楷体" w:eastAsia="楷体"/>
          <w:kern w:val="30"/>
          <w:sz w:val="30"/>
          <w:szCs w:val="30"/>
        </w:rPr>
      </w:pPr>
      <w:r>
        <w:rPr>
          <w:rFonts w:hint="eastAsia" w:ascii="楷体" w:hAnsi="楷体" w:eastAsia="楷体"/>
          <w:kern w:val="30"/>
          <w:sz w:val="30"/>
          <w:szCs w:val="30"/>
        </w:rPr>
        <w:t>（七）固定资产情况</w:t>
      </w:r>
    </w:p>
    <w:p w14:paraId="4B1AAFC7">
      <w:pPr>
        <w:keepNext w:val="0"/>
        <w:keepLines w:val="0"/>
        <w:pageBreakBefore w:val="0"/>
        <w:widowControl w:val="0"/>
        <w:kinsoku/>
        <w:wordWrap/>
        <w:overflowPunct/>
        <w:topLinePunct w:val="0"/>
        <w:autoSpaceDE/>
        <w:autoSpaceDN/>
        <w:bidi w:val="0"/>
        <w:adjustRightInd/>
        <w:snapToGrid/>
        <w:spacing w:line="579" w:lineRule="exact"/>
        <w:ind w:firstLine="584" w:firstLineChars="200"/>
        <w:jc w:val="left"/>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截止2019年12月31日，昆明市生态环境局盘龙分局</w:t>
      </w:r>
      <w:r>
        <w:rPr>
          <w:rFonts w:hint="eastAsia" w:ascii="仿宋_GB2312" w:hAnsi="仿宋" w:eastAsia="仿宋_GB2312"/>
          <w:spacing w:val="6"/>
          <w:kern w:val="0"/>
          <w:sz w:val="28"/>
          <w:szCs w:val="28"/>
          <w:lang w:val="en-US" w:eastAsia="zh-CN"/>
        </w:rPr>
        <w:t>固定资产账面价值共计1555.6万元。其中包括：</w:t>
      </w:r>
    </w:p>
    <w:p w14:paraId="0AE22598">
      <w:pPr>
        <w:keepNext w:val="0"/>
        <w:keepLines w:val="0"/>
        <w:pageBreakBefore w:val="0"/>
        <w:widowControl w:val="0"/>
        <w:kinsoku/>
        <w:wordWrap/>
        <w:overflowPunct/>
        <w:topLinePunct w:val="0"/>
        <w:autoSpaceDE/>
        <w:autoSpaceDN/>
        <w:bidi w:val="0"/>
        <w:adjustRightInd/>
        <w:snapToGrid/>
        <w:spacing w:line="579" w:lineRule="exact"/>
        <w:ind w:firstLine="584" w:firstLineChars="200"/>
        <w:jc w:val="left"/>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①房屋及构筑物60.04万元；</w:t>
      </w:r>
    </w:p>
    <w:p w14:paraId="46D181FB">
      <w:pPr>
        <w:keepNext w:val="0"/>
        <w:keepLines w:val="0"/>
        <w:pageBreakBefore w:val="0"/>
        <w:widowControl w:val="0"/>
        <w:kinsoku/>
        <w:wordWrap/>
        <w:overflowPunct/>
        <w:topLinePunct w:val="0"/>
        <w:autoSpaceDE/>
        <w:autoSpaceDN/>
        <w:bidi w:val="0"/>
        <w:adjustRightInd/>
        <w:snapToGrid/>
        <w:spacing w:line="579" w:lineRule="exact"/>
        <w:ind w:firstLine="584" w:firstLineChars="200"/>
        <w:jc w:val="left"/>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②通用设备117.26万元；</w:t>
      </w:r>
    </w:p>
    <w:p w14:paraId="6CC0A90A">
      <w:pPr>
        <w:keepNext w:val="0"/>
        <w:keepLines w:val="0"/>
        <w:pageBreakBefore w:val="0"/>
        <w:widowControl w:val="0"/>
        <w:kinsoku/>
        <w:wordWrap/>
        <w:overflowPunct/>
        <w:topLinePunct w:val="0"/>
        <w:autoSpaceDE/>
        <w:autoSpaceDN/>
        <w:bidi w:val="0"/>
        <w:adjustRightInd/>
        <w:snapToGrid/>
        <w:spacing w:line="579" w:lineRule="exact"/>
        <w:ind w:firstLine="584" w:firstLineChars="200"/>
        <w:jc w:val="left"/>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③专用设备1355.73万元；</w:t>
      </w:r>
    </w:p>
    <w:p w14:paraId="060BED09">
      <w:pPr>
        <w:keepNext w:val="0"/>
        <w:keepLines w:val="0"/>
        <w:pageBreakBefore w:val="0"/>
        <w:widowControl w:val="0"/>
        <w:kinsoku/>
        <w:wordWrap/>
        <w:overflowPunct/>
        <w:topLinePunct w:val="0"/>
        <w:autoSpaceDE/>
        <w:autoSpaceDN/>
        <w:bidi w:val="0"/>
        <w:adjustRightInd/>
        <w:snapToGrid/>
        <w:spacing w:line="579" w:lineRule="exact"/>
        <w:ind w:firstLine="584" w:firstLineChars="200"/>
        <w:jc w:val="left"/>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④家具、用具、装具及动植物22.57万元。</w:t>
      </w:r>
    </w:p>
    <w:p w14:paraId="4A55AED3">
      <w:pPr>
        <w:keepNext w:val="0"/>
        <w:keepLines w:val="0"/>
        <w:pageBreakBefore w:val="0"/>
        <w:widowControl w:val="0"/>
        <w:kinsoku/>
        <w:wordWrap/>
        <w:overflowPunct/>
        <w:topLinePunct w:val="0"/>
        <w:autoSpaceDE/>
        <w:autoSpaceDN/>
        <w:bidi w:val="0"/>
        <w:adjustRightInd/>
        <w:snapToGrid/>
        <w:spacing w:line="579" w:lineRule="exact"/>
        <w:ind w:firstLine="600" w:firstLineChars="200"/>
        <w:jc w:val="left"/>
        <w:textAlignment w:val="auto"/>
        <w:rPr>
          <w:rFonts w:hint="eastAsia" w:ascii="楷体" w:hAnsi="楷体" w:eastAsia="楷体" w:cs="Times New Roman"/>
          <w:kern w:val="30"/>
          <w:sz w:val="30"/>
          <w:szCs w:val="30"/>
        </w:rPr>
      </w:pPr>
      <w:r>
        <w:rPr>
          <w:rFonts w:hint="eastAsia" w:ascii="黑体" w:hAnsi="黑体" w:eastAsia="黑体" w:cs="宋体"/>
          <w:kern w:val="30"/>
          <w:sz w:val="30"/>
          <w:szCs w:val="30"/>
        </w:rPr>
        <w:t>二、绩效目标</w:t>
      </w:r>
    </w:p>
    <w:p w14:paraId="0DDFEB14">
      <w:pPr>
        <w:keepNext w:val="0"/>
        <w:keepLines w:val="0"/>
        <w:pageBreakBefore w:val="0"/>
        <w:widowControl w:val="0"/>
        <w:kinsoku/>
        <w:wordWrap/>
        <w:overflowPunct/>
        <w:topLinePunct w:val="0"/>
        <w:autoSpaceDE/>
        <w:autoSpaceDN/>
        <w:bidi w:val="0"/>
        <w:adjustRightInd/>
        <w:snapToGrid/>
        <w:spacing w:line="579" w:lineRule="exact"/>
        <w:ind w:firstLine="600" w:firstLineChars="200"/>
        <w:textAlignment w:val="auto"/>
        <w:outlineLvl w:val="1"/>
        <w:rPr>
          <w:rFonts w:hint="eastAsia" w:ascii="楷体" w:hAnsi="楷体" w:eastAsia="楷体" w:cs="Times New Roman"/>
          <w:kern w:val="30"/>
          <w:sz w:val="30"/>
          <w:szCs w:val="30"/>
        </w:rPr>
      </w:pPr>
      <w:r>
        <w:rPr>
          <w:rFonts w:hint="eastAsia" w:ascii="楷体" w:hAnsi="楷体" w:eastAsia="楷体" w:cs="Times New Roman"/>
          <w:kern w:val="30"/>
          <w:sz w:val="30"/>
          <w:szCs w:val="30"/>
        </w:rPr>
        <w:t>（一）部门总目标</w:t>
      </w:r>
    </w:p>
    <w:p w14:paraId="10131041">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1.预算申报绩效目标和指标情况</w:t>
      </w:r>
    </w:p>
    <w:p w14:paraId="529DCCC1">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昆明市生态环境局盘龙分局</w:t>
      </w:r>
      <w:r>
        <w:rPr>
          <w:rFonts w:hint="eastAsia" w:ascii="仿宋_GB2312" w:hAnsi="仿宋" w:eastAsia="仿宋_GB2312"/>
          <w:spacing w:val="6"/>
          <w:kern w:val="0"/>
          <w:sz w:val="28"/>
          <w:szCs w:val="28"/>
          <w:lang w:val="en-US" w:eastAsia="zh-CN"/>
        </w:rPr>
        <w:t>根据年初预算制定了部门整体支出绩效目标表，其总体绩效目标为：</w:t>
      </w:r>
    </w:p>
    <w:p w14:paraId="24538289">
      <w:pPr>
        <w:keepNext w:val="0"/>
        <w:keepLines w:val="0"/>
        <w:pageBreakBefore w:val="0"/>
        <w:widowControl w:val="0"/>
        <w:numPr>
          <w:ilvl w:val="0"/>
          <w:numId w:val="2"/>
        </w:numPr>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严格总量控制，强化节能减排，做好行政审批。进一步强化对第四、第五水质净化厂的督查和运营监管，确保减排工作如期完成。提升审批服务质量、办事效率，按服务承诺制要求，提高人民群众对环境保护工作的满意率。继续加大加油站地下油罐防渗改造工作力度。2019年底前全面完成地下油罐防渗改造工作。</w:t>
      </w:r>
    </w:p>
    <w:p w14:paraId="5ED71A11">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组织开展环保宣教活动，组织全区十二个街道开展宣传活动，营造全社会共同参与生态文明建设、改善环境质量、推动绿色发展的良好氛围。深入开展“绿色创建”，确保创成“绿色学校”3—4所，“绿色社区”1—2个，并在现有“绿色学校、社区、基地”中，打造1—2个亮点示范单位。做好行政处罚、听证、行政复议和申请法院强制执行等日常工作，并尝试创新在我局信息公开网站上公示被处罚单位信息。</w:t>
      </w:r>
    </w:p>
    <w:p w14:paraId="07E924EC">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3）完成省市区三级下达的环境保护目标任务，统一监督管理全区水体、大气、土壤、噪声、光、恶臭、固体废弃物、危险废物、持久性有机污染物等污染防治工作，进一步建立健全饮用水源地“一源一档”。持续强化辐射监管，维护辐射环境安全；加强环境监管，继续开展环保专项行动和环境综合整治工作，确保重点污染源稳定达标排放标准的同时完善污染源监管档案建设。</w:t>
      </w:r>
    </w:p>
    <w:p w14:paraId="0D828345">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84" w:firstLineChars="200"/>
        <w:textAlignment w:val="auto"/>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4）开展违法排污行为整治网格化巡查工作、水源保护区环境综合整治督查工作、河道月检巡查工作、大气污染防治行动、"整治违法排污企业保障群众健康"环保专项行动、环境保护信访投诉调查处理工作、《环境监察执法证》环境监察业务轮训、中央环保督查工作；完成本年度罚没收入任务，使辖区内环境质量得到有效提升；2019年实际工作中畅通信访热线，保护群众环境权益；认真开展环境信访查处工作认真开展中央环境保护督察交办环境问题“回头看”。</w:t>
      </w:r>
    </w:p>
    <w:p w14:paraId="48E11A09">
      <w:pPr>
        <w:spacing w:line="579" w:lineRule="exact"/>
        <w:ind w:firstLine="600" w:firstLineChars="200"/>
        <w:outlineLvl w:val="1"/>
        <w:rPr>
          <w:rFonts w:hint="eastAsia" w:ascii="楷体" w:hAnsi="楷体" w:eastAsia="楷体" w:cs="Times New Roman"/>
          <w:kern w:val="30"/>
          <w:sz w:val="30"/>
          <w:szCs w:val="30"/>
        </w:rPr>
      </w:pPr>
      <w:r>
        <w:rPr>
          <w:rFonts w:hint="eastAsia" w:ascii="楷体" w:hAnsi="楷体" w:eastAsia="楷体" w:cs="Times New Roman"/>
          <w:kern w:val="30"/>
          <w:sz w:val="30"/>
          <w:szCs w:val="30"/>
        </w:rPr>
        <w:t>（二）部门项目具体计划目标</w:t>
      </w:r>
    </w:p>
    <w:p w14:paraId="3B425BA5">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1.加强排放污染物许可证核发工作，确保辖区污染源稳定达标排放。</w:t>
      </w:r>
    </w:p>
    <w:p w14:paraId="114F616D">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 2019年通过污染减排及行政审批工作的实施，实现水污染物的消减，市级下达污染物削减任务完成率100%；对所有排污许可证实行一年一检，大证五年换发一次，年检率达100%。做好日常核发和换发工作。加强监督，2019年度昆明市下达盘龙区的主要污染物减排任务完成率达100%。</w:t>
      </w:r>
    </w:p>
    <w:p w14:paraId="6FEDEEE4">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3.加强对工业企业大气污染治理和厂区扬尘控制，提高大气环境监测能力，进一步改善环境空气质量，确保完成2019年度市级下达的大气环境质量目标任务。</w:t>
      </w:r>
    </w:p>
    <w:p w14:paraId="4AC38518">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4. 巩固我区固体废物处置率，集中式饮用水源地水质达标率、机动车尾气污染防治、总量控制等已达标各项创模指标成果，防止已达标指标出现反弹。</w:t>
      </w:r>
    </w:p>
    <w:p w14:paraId="4BC4FBEF">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5.大力开展环境保护主题活动，大力宣传生态文明理念，提高公众对创模工作的知晓率和对城市环境保护的满意率。</w:t>
      </w:r>
    </w:p>
    <w:p w14:paraId="29CA2A74">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6.组织、指导辖区中小学校、社区、单位开展各级“绿色学校”、“绿色社区”、环境教育基地和国际生态学校的申报与创建，督促已创成的各级学校、社区、单位做好巩固、提高及复核工作，倡导、实践节能减排的绿色生产生活方式。</w:t>
      </w:r>
    </w:p>
    <w:p w14:paraId="7676D5E1">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7.做好全部6块显示屏的运维工作，使之正常显示噪声值等环境信息，全年正常运行。</w:t>
      </w:r>
    </w:p>
    <w:p w14:paraId="0DCAA502">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8.确保实验室各项设备正常运行，检验检测能力不少于现有的68项，设备完好率大于90%。</w:t>
      </w:r>
    </w:p>
    <w:p w14:paraId="3F71C403">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 xml:space="preserve">9.冷水河沿岸村庄、牡羊河（阿子营段）沿岸村庄截污工程项目顺利实施，确保松华坝水库水源保护区的可持续发展。 </w:t>
      </w:r>
    </w:p>
    <w:p w14:paraId="47E89680">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10.2019年度按计划完成的加油站地下油罐防渗改造工作工作任务；完成2019年度饮用水源保护区“一源一档”建设（第一批次）相关工作。</w:t>
      </w:r>
    </w:p>
    <w:p w14:paraId="54B0CD47">
      <w:pPr>
        <w:numPr>
          <w:ilvl w:val="0"/>
          <w:numId w:val="3"/>
        </w:num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强化对第四、第五水质净化厂的督查和运营监管，落实好减排措施，确保减排工作如期完成。</w:t>
      </w:r>
    </w:p>
    <w:p w14:paraId="57FD199B">
      <w:pPr>
        <w:numPr>
          <w:ilvl w:val="0"/>
          <w:numId w:val="3"/>
        </w:num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 xml:space="preserve">开展第二次污染源调查工作，摸清盘龙区各类污染源基本情况，了解污染源数量、结构和分布状况，建立健全盘龙区重点污染源档案、污染源信息数据库和环境统计平台。 </w:t>
      </w:r>
    </w:p>
    <w:p w14:paraId="3E724294">
      <w:pPr>
        <w:spacing w:line="500" w:lineRule="exact"/>
        <w:ind w:firstLine="600" w:firstLineChars="200"/>
        <w:jc w:val="left"/>
        <w:rPr>
          <w:rFonts w:hint="eastAsia" w:ascii="黑体" w:hAnsi="黑体" w:eastAsia="黑体" w:cs="宋体"/>
          <w:kern w:val="30"/>
          <w:sz w:val="30"/>
          <w:szCs w:val="30"/>
        </w:rPr>
      </w:pPr>
      <w:r>
        <w:rPr>
          <w:rFonts w:hint="eastAsia" w:ascii="黑体" w:hAnsi="黑体" w:eastAsia="黑体" w:cs="宋体"/>
          <w:kern w:val="30"/>
          <w:sz w:val="30"/>
          <w:szCs w:val="30"/>
        </w:rPr>
        <w:t>三、评价思路和过程</w:t>
      </w:r>
    </w:p>
    <w:p w14:paraId="42528FD9">
      <w:pPr>
        <w:adjustRightInd w:val="0"/>
        <w:spacing w:line="520" w:lineRule="exact"/>
        <w:ind w:firstLine="600" w:firstLineChars="200"/>
        <w:rPr>
          <w:rFonts w:hint="eastAsia" w:ascii="楷体" w:hAnsi="楷体" w:eastAsia="楷体" w:cs="Times New Roman"/>
          <w:kern w:val="30"/>
          <w:sz w:val="30"/>
          <w:szCs w:val="30"/>
        </w:rPr>
      </w:pPr>
      <w:r>
        <w:rPr>
          <w:rFonts w:hint="eastAsia" w:ascii="楷体" w:hAnsi="楷体" w:eastAsia="楷体" w:cs="Times New Roman"/>
          <w:kern w:val="30"/>
          <w:sz w:val="30"/>
          <w:szCs w:val="30"/>
        </w:rPr>
        <w:t>（一）评价思路</w:t>
      </w:r>
    </w:p>
    <w:p w14:paraId="08B24715">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确认当年度部门整体支出的绩效目标→梳理部门内部管理制度及存量资源→分析确定当年度部门整体支出的评价重点→构建绩效评价指标体系。</w:t>
      </w:r>
    </w:p>
    <w:p w14:paraId="3EAE2F80">
      <w:pPr>
        <w:adjustRightInd w:val="0"/>
        <w:spacing w:line="520" w:lineRule="exact"/>
        <w:ind w:firstLine="600" w:firstLineChars="200"/>
        <w:rPr>
          <w:rFonts w:hint="eastAsia" w:ascii="楷体" w:hAnsi="楷体" w:eastAsia="楷体" w:cs="Times New Roman"/>
          <w:kern w:val="30"/>
          <w:sz w:val="30"/>
          <w:szCs w:val="30"/>
        </w:rPr>
      </w:pPr>
      <w:r>
        <w:rPr>
          <w:rFonts w:hint="eastAsia" w:ascii="楷体" w:hAnsi="楷体" w:eastAsia="楷体" w:cs="Times New Roman"/>
          <w:kern w:val="30"/>
          <w:sz w:val="30"/>
          <w:szCs w:val="30"/>
        </w:rPr>
        <w:t>（二）评价目的</w:t>
      </w:r>
    </w:p>
    <w:p w14:paraId="4203AFED">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通过收集部门（单位）基本情况、预算制定与明细、部门中长期规划目标及组织架构等信息，分析部门（单位）资源配置的合理性及中长期规划目标完成与履职情况，总结经验做法，找出预算绩效管理中的薄弱环节，提出改进建议，提高财政资金的使用效益。</w:t>
      </w:r>
    </w:p>
    <w:p w14:paraId="7BF466BC">
      <w:pPr>
        <w:adjustRightInd w:val="0"/>
        <w:spacing w:line="520" w:lineRule="exact"/>
        <w:ind w:firstLine="600" w:firstLineChars="200"/>
        <w:rPr>
          <w:rFonts w:hint="eastAsia" w:ascii="楷体" w:hAnsi="楷体" w:eastAsia="楷体" w:cs="Times New Roman"/>
          <w:kern w:val="30"/>
          <w:sz w:val="30"/>
          <w:szCs w:val="30"/>
          <w:lang w:val="en-US" w:eastAsia="zh-CN"/>
        </w:rPr>
      </w:pPr>
      <w:r>
        <w:rPr>
          <w:rFonts w:hint="eastAsia" w:ascii="楷体" w:hAnsi="楷体" w:eastAsia="楷体" w:cs="Times New Roman"/>
          <w:kern w:val="30"/>
          <w:sz w:val="30"/>
          <w:szCs w:val="30"/>
          <w:lang w:val="en-US" w:eastAsia="zh-CN"/>
        </w:rPr>
        <w:t>（三）评价依据</w:t>
      </w:r>
    </w:p>
    <w:p w14:paraId="11EFD1AD">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1.《中华人民共和国预算法》（2014年修订）</w:t>
      </w:r>
    </w:p>
    <w:p w14:paraId="0AF75BEB">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2.《云南省省级财政预算绩效管理暂行办法》（云财预〔2015〕295号）</w:t>
      </w:r>
    </w:p>
    <w:p w14:paraId="045F431E">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3.《昆明市财政局关于开展市本级财政支出绩效2019年重点评价工作有关事项的通知》</w:t>
      </w:r>
    </w:p>
    <w:p w14:paraId="0DFD92A7">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4.《昆明市本级部门预算绩效自评管理暂行办法》（云财评审〔2018〕8号）</w:t>
      </w:r>
    </w:p>
    <w:p w14:paraId="5BD9ABC8">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5.《昆明市盘龙区财政局关于开展2019年度区级预算支出绩效自评工作的通知》（盘财绩〔2020〕1号）</w:t>
      </w:r>
    </w:p>
    <w:p w14:paraId="0FEB8BAA">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6.《盘龙区区级部门预算绩效自评管理暂行办法》</w:t>
      </w:r>
    </w:p>
    <w:p w14:paraId="0897837F">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7.《中共昆明市委机构编制委员会关于组建昆明市生态环境局各县（市）区、开发度假园区分局的通知》（昆编〔2019〕23号）</w:t>
      </w:r>
    </w:p>
    <w:p w14:paraId="75FF2EFB">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8.《盘龙区生态建设与环境保护“十三五”规划》</w:t>
      </w:r>
    </w:p>
    <w:p w14:paraId="645AF20A">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9.《盘龙区2019年度大气污染防治工作实施方案》</w:t>
      </w:r>
    </w:p>
    <w:p w14:paraId="2A0C0B66">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10.《2019年昆明市生态环境监测工作方案》</w:t>
      </w:r>
    </w:p>
    <w:p w14:paraId="06B30DB8">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11.《全国环境宣传教育纲要（2016-2020）》</w:t>
      </w:r>
    </w:p>
    <w:p w14:paraId="679DC299">
      <w:p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12.《昆明市人民政府办公厅关于印发昆明市第二次全国污染源普查实施方案得通知》（昆政办〔2018〕16号）</w:t>
      </w:r>
    </w:p>
    <w:p w14:paraId="0DFE6A4A">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13.其他相关依据文件</w:t>
      </w:r>
    </w:p>
    <w:p w14:paraId="5E956F4F">
      <w:pPr>
        <w:adjustRightInd w:val="0"/>
        <w:spacing w:line="520" w:lineRule="exact"/>
        <w:ind w:firstLine="600" w:firstLineChars="200"/>
        <w:rPr>
          <w:rFonts w:hint="eastAsia" w:ascii="楷体" w:hAnsi="楷体" w:eastAsia="楷体" w:cs="Times New Roman"/>
          <w:kern w:val="30"/>
          <w:sz w:val="30"/>
          <w:szCs w:val="30"/>
        </w:rPr>
      </w:pPr>
      <w:r>
        <w:rPr>
          <w:rFonts w:hint="eastAsia" w:ascii="楷体" w:hAnsi="楷体" w:eastAsia="楷体" w:cs="Times New Roman"/>
          <w:kern w:val="30"/>
          <w:sz w:val="30"/>
          <w:szCs w:val="30"/>
        </w:rPr>
        <w:t>（四）评价对象及评价时段</w:t>
      </w:r>
    </w:p>
    <w:p w14:paraId="240EF0B5">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1.评价绩效评价对象：昆明市生态环境局盘龙分局基本支出、项目支出和资产运行，以及涉及到的职责履行、履职效益等绩效情况。</w:t>
      </w:r>
    </w:p>
    <w:p w14:paraId="0D9A5CCB">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2.绩效评价时段</w:t>
      </w:r>
    </w:p>
    <w:p w14:paraId="3E574818">
      <w:p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2019年1月1日-2019年12月31日。</w:t>
      </w:r>
    </w:p>
    <w:p w14:paraId="057C8225">
      <w:pPr>
        <w:spacing w:line="500" w:lineRule="exact"/>
        <w:ind w:firstLine="600" w:firstLineChars="200"/>
        <w:jc w:val="left"/>
        <w:rPr>
          <w:rFonts w:hint="eastAsia" w:ascii="黑体" w:hAnsi="黑体" w:eastAsia="黑体" w:cs="宋体"/>
          <w:kern w:val="30"/>
          <w:sz w:val="30"/>
          <w:szCs w:val="30"/>
        </w:rPr>
      </w:pPr>
      <w:r>
        <w:rPr>
          <w:rFonts w:hint="eastAsia" w:ascii="黑体" w:hAnsi="黑体" w:eastAsia="黑体" w:cs="宋体"/>
          <w:kern w:val="30"/>
          <w:sz w:val="30"/>
          <w:szCs w:val="30"/>
        </w:rPr>
        <w:t>四、评价结论和绩效分析</w:t>
      </w:r>
    </w:p>
    <w:p w14:paraId="705E0014">
      <w:pPr>
        <w:adjustRightInd w:val="0"/>
        <w:spacing w:line="520" w:lineRule="exact"/>
        <w:ind w:firstLine="600" w:firstLineChars="200"/>
        <w:rPr>
          <w:rFonts w:hint="eastAsia" w:ascii="楷体" w:hAnsi="楷体" w:eastAsia="楷体" w:cs="Times New Roman"/>
          <w:kern w:val="30"/>
          <w:sz w:val="30"/>
          <w:szCs w:val="30"/>
        </w:rPr>
      </w:pPr>
      <w:r>
        <w:rPr>
          <w:rFonts w:hint="eastAsia" w:ascii="楷体" w:hAnsi="楷体" w:eastAsia="楷体" w:cs="Times New Roman"/>
          <w:kern w:val="30"/>
          <w:sz w:val="30"/>
          <w:szCs w:val="30"/>
        </w:rPr>
        <w:t>（一）评价结论</w:t>
      </w:r>
    </w:p>
    <w:p w14:paraId="355B7D1D">
      <w:pPr>
        <w:adjustRightInd w:val="0"/>
        <w:spacing w:line="520" w:lineRule="exact"/>
        <w:ind w:firstLine="584" w:firstLineChars="200"/>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1.评价结果</w:t>
      </w:r>
    </w:p>
    <w:p w14:paraId="6FD5F6A1">
      <w:pPr>
        <w:shd w:val="clear" w:color="auto" w:fill="FFFFFF"/>
        <w:topLinePunct/>
        <w:ind w:firstLine="584" w:firstLineChars="200"/>
        <w:rPr>
          <w:rFonts w:ascii="仿宋_GB2312" w:hAnsi="楷体" w:eastAsia="仿宋_GB2312"/>
          <w:sz w:val="30"/>
          <w:szCs w:val="30"/>
        </w:rPr>
      </w:pPr>
      <w:r>
        <w:rPr>
          <w:rFonts w:hint="eastAsia" w:ascii="仿宋_GB2312" w:hAnsi="仿宋" w:eastAsia="仿宋_GB2312"/>
          <w:spacing w:val="6"/>
          <w:kern w:val="0"/>
          <w:sz w:val="28"/>
          <w:szCs w:val="28"/>
          <w:lang w:val="en-US" w:eastAsia="zh-CN"/>
        </w:rPr>
        <w:t>昆明市生态环境局盘龙分局2019年部门整体支出绩效自评得分为96.5分，评价结果为“优”。具体得分情况如表1：</w:t>
      </w:r>
    </w:p>
    <w:p w14:paraId="22E00A98">
      <w:pPr>
        <w:widowControl/>
        <w:jc w:val="center"/>
        <w:rPr>
          <w:rFonts w:ascii="仿宋_GB2312" w:hAnsi="楷体" w:eastAsia="仿宋_GB2312"/>
          <w:b/>
          <w:bCs/>
          <w:sz w:val="24"/>
          <w:szCs w:val="24"/>
        </w:rPr>
      </w:pPr>
      <w:r>
        <w:rPr>
          <w:rFonts w:hint="eastAsia" w:ascii="仿宋_GB2312" w:hAnsi="楷体" w:eastAsia="仿宋_GB2312"/>
          <w:b/>
          <w:bCs/>
          <w:sz w:val="24"/>
          <w:szCs w:val="24"/>
        </w:rPr>
        <w:t>表</w:t>
      </w:r>
      <w:r>
        <w:rPr>
          <w:rFonts w:hint="eastAsia" w:ascii="仿宋_GB2312" w:hAnsi="楷体" w:eastAsia="仿宋_GB2312"/>
          <w:b/>
          <w:bCs/>
          <w:sz w:val="24"/>
          <w:szCs w:val="24"/>
          <w:lang w:val="en-US" w:eastAsia="zh-CN"/>
        </w:rPr>
        <w:t>1</w:t>
      </w:r>
      <w:r>
        <w:rPr>
          <w:rFonts w:hint="eastAsia" w:ascii="仿宋_GB2312" w:hAnsi="楷体" w:eastAsia="仿宋_GB2312"/>
          <w:b/>
          <w:bCs/>
          <w:sz w:val="24"/>
          <w:szCs w:val="24"/>
        </w:rPr>
        <w:t xml:space="preserve"> </w:t>
      </w:r>
      <w:r>
        <w:rPr>
          <w:rFonts w:hint="eastAsia" w:ascii="仿宋_GB2312" w:hAnsi="楷体" w:eastAsia="仿宋_GB2312"/>
          <w:b/>
          <w:bCs/>
          <w:sz w:val="24"/>
          <w:szCs w:val="24"/>
          <w:lang w:val="en-US" w:eastAsia="zh-CN"/>
        </w:rPr>
        <w:t xml:space="preserve">  昆明市生态环境局盘龙分局</w:t>
      </w:r>
      <w:r>
        <w:rPr>
          <w:rFonts w:hint="eastAsia" w:ascii="仿宋_GB2312" w:hAnsi="楷体" w:eastAsia="仿宋_GB2312"/>
          <w:b/>
          <w:bCs/>
          <w:sz w:val="24"/>
          <w:szCs w:val="24"/>
        </w:rPr>
        <w:t>部门整体支出绩效</w:t>
      </w:r>
      <w:r>
        <w:rPr>
          <w:rFonts w:hint="eastAsia" w:ascii="仿宋_GB2312" w:hAnsi="楷体" w:eastAsia="仿宋_GB2312"/>
          <w:b/>
          <w:bCs/>
          <w:sz w:val="24"/>
          <w:szCs w:val="24"/>
          <w:lang w:val="en-US" w:eastAsia="zh-CN"/>
        </w:rPr>
        <w:t>自</w:t>
      </w:r>
      <w:r>
        <w:rPr>
          <w:rFonts w:hint="eastAsia" w:ascii="仿宋_GB2312" w:hAnsi="楷体" w:eastAsia="仿宋_GB2312"/>
          <w:b/>
          <w:bCs/>
          <w:sz w:val="24"/>
          <w:szCs w:val="24"/>
        </w:rPr>
        <w:t>评得分情况表</w:t>
      </w:r>
    </w:p>
    <w:tbl>
      <w:tblPr>
        <w:tblStyle w:val="8"/>
        <w:tblW w:w="4998" w:type="pct"/>
        <w:jc w:val="center"/>
        <w:tblLayout w:type="autofit"/>
        <w:tblCellMar>
          <w:top w:w="57" w:type="dxa"/>
          <w:left w:w="57" w:type="dxa"/>
          <w:bottom w:w="57" w:type="dxa"/>
          <w:right w:w="57" w:type="dxa"/>
        </w:tblCellMar>
      </w:tblPr>
      <w:tblGrid>
        <w:gridCol w:w="1906"/>
        <w:gridCol w:w="2226"/>
        <w:gridCol w:w="2226"/>
        <w:gridCol w:w="2059"/>
      </w:tblGrid>
      <w:tr w14:paraId="2CD18423">
        <w:tblPrEx>
          <w:tblCellMar>
            <w:top w:w="57" w:type="dxa"/>
            <w:left w:w="57" w:type="dxa"/>
            <w:bottom w:w="57" w:type="dxa"/>
            <w:right w:w="57" w:type="dxa"/>
          </w:tblCellMar>
        </w:tblPrEx>
        <w:trPr>
          <w:trHeight w:val="454" w:hRule="atLeast"/>
          <w:tblHeader/>
          <w:jc w:val="center"/>
        </w:trPr>
        <w:tc>
          <w:tcPr>
            <w:tcW w:w="1132" w:type="pct"/>
            <w:tcBorders>
              <w:top w:val="single" w:color="auto" w:sz="4" w:space="0"/>
              <w:left w:val="single" w:color="auto" w:sz="4" w:space="0"/>
              <w:bottom w:val="single" w:color="auto" w:sz="4" w:space="0"/>
              <w:right w:val="single" w:color="auto" w:sz="4" w:space="0"/>
            </w:tcBorders>
            <w:vAlign w:val="center"/>
          </w:tcPr>
          <w:p w14:paraId="4CD79BDF">
            <w:pPr>
              <w:widowControl/>
              <w:jc w:val="center"/>
              <w:rPr>
                <w:rFonts w:ascii="仿宋_GB2312" w:hAnsi="楷体" w:eastAsia="仿宋_GB2312"/>
                <w:b/>
                <w:bCs/>
                <w:sz w:val="24"/>
                <w:szCs w:val="24"/>
              </w:rPr>
            </w:pPr>
            <w:r>
              <w:rPr>
                <w:rFonts w:hint="eastAsia" w:ascii="仿宋_GB2312" w:hAnsi="楷体" w:eastAsia="仿宋_GB2312"/>
                <w:b/>
                <w:bCs/>
                <w:sz w:val="24"/>
                <w:szCs w:val="24"/>
              </w:rPr>
              <w:t>一级指标</w:t>
            </w:r>
          </w:p>
        </w:tc>
        <w:tc>
          <w:tcPr>
            <w:tcW w:w="1322" w:type="pct"/>
            <w:tcBorders>
              <w:top w:val="single" w:color="auto" w:sz="4" w:space="0"/>
              <w:left w:val="nil"/>
              <w:bottom w:val="single" w:color="auto" w:sz="4" w:space="0"/>
              <w:right w:val="single" w:color="auto" w:sz="4" w:space="0"/>
            </w:tcBorders>
            <w:vAlign w:val="center"/>
          </w:tcPr>
          <w:p w14:paraId="5500A740">
            <w:pPr>
              <w:widowControl/>
              <w:jc w:val="center"/>
              <w:rPr>
                <w:rFonts w:ascii="仿宋_GB2312" w:hAnsi="楷体" w:eastAsia="仿宋_GB2312"/>
                <w:b/>
                <w:bCs/>
                <w:sz w:val="24"/>
                <w:szCs w:val="24"/>
              </w:rPr>
            </w:pPr>
            <w:r>
              <w:rPr>
                <w:rFonts w:hint="eastAsia" w:ascii="仿宋_GB2312" w:hAnsi="楷体" w:eastAsia="仿宋_GB2312"/>
                <w:b/>
                <w:bCs/>
                <w:sz w:val="24"/>
                <w:szCs w:val="24"/>
              </w:rPr>
              <w:t>指标分值</w:t>
            </w:r>
          </w:p>
        </w:tc>
        <w:tc>
          <w:tcPr>
            <w:tcW w:w="1322" w:type="pct"/>
            <w:tcBorders>
              <w:top w:val="single" w:color="auto" w:sz="4" w:space="0"/>
              <w:left w:val="nil"/>
              <w:bottom w:val="single" w:color="auto" w:sz="4" w:space="0"/>
              <w:right w:val="single" w:color="auto" w:sz="4" w:space="0"/>
            </w:tcBorders>
            <w:vAlign w:val="center"/>
          </w:tcPr>
          <w:p w14:paraId="481F89A1">
            <w:pPr>
              <w:widowControl/>
              <w:jc w:val="center"/>
              <w:rPr>
                <w:rFonts w:ascii="仿宋_GB2312" w:hAnsi="楷体" w:eastAsia="仿宋_GB2312"/>
                <w:b/>
                <w:bCs/>
                <w:sz w:val="24"/>
                <w:szCs w:val="24"/>
              </w:rPr>
            </w:pPr>
            <w:r>
              <w:rPr>
                <w:rFonts w:hint="eastAsia" w:ascii="仿宋_GB2312" w:hAnsi="楷体" w:eastAsia="仿宋_GB2312"/>
                <w:b/>
                <w:bCs/>
                <w:sz w:val="24"/>
                <w:szCs w:val="24"/>
              </w:rPr>
              <w:t>评价得分</w:t>
            </w:r>
          </w:p>
        </w:tc>
        <w:tc>
          <w:tcPr>
            <w:tcW w:w="1223" w:type="pct"/>
            <w:tcBorders>
              <w:top w:val="single" w:color="auto" w:sz="4" w:space="0"/>
              <w:left w:val="nil"/>
              <w:bottom w:val="single" w:color="auto" w:sz="4" w:space="0"/>
              <w:right w:val="single" w:color="auto" w:sz="4" w:space="0"/>
            </w:tcBorders>
            <w:vAlign w:val="center"/>
          </w:tcPr>
          <w:p w14:paraId="32E66F0B">
            <w:pPr>
              <w:widowControl/>
              <w:jc w:val="center"/>
              <w:rPr>
                <w:rFonts w:ascii="仿宋_GB2312" w:hAnsi="楷体" w:eastAsia="仿宋_GB2312"/>
                <w:b/>
                <w:bCs/>
                <w:sz w:val="24"/>
                <w:szCs w:val="24"/>
              </w:rPr>
            </w:pPr>
            <w:r>
              <w:rPr>
                <w:rFonts w:hint="eastAsia" w:ascii="仿宋_GB2312" w:hAnsi="楷体" w:eastAsia="仿宋_GB2312"/>
                <w:b/>
                <w:bCs/>
                <w:sz w:val="24"/>
                <w:szCs w:val="24"/>
              </w:rPr>
              <w:t>得分率</w:t>
            </w:r>
          </w:p>
        </w:tc>
      </w:tr>
      <w:tr w14:paraId="0C3FE91D">
        <w:tblPrEx>
          <w:tblCellMar>
            <w:top w:w="57" w:type="dxa"/>
            <w:left w:w="57" w:type="dxa"/>
            <w:bottom w:w="57" w:type="dxa"/>
            <w:right w:w="57" w:type="dxa"/>
          </w:tblCellMar>
        </w:tblPrEx>
        <w:trPr>
          <w:trHeight w:val="454" w:hRule="atLeast"/>
          <w:jc w:val="center"/>
        </w:trPr>
        <w:tc>
          <w:tcPr>
            <w:tcW w:w="1132" w:type="pct"/>
            <w:tcBorders>
              <w:top w:val="nil"/>
              <w:left w:val="single" w:color="auto" w:sz="4" w:space="0"/>
              <w:bottom w:val="single" w:color="auto" w:sz="4" w:space="0"/>
              <w:right w:val="single" w:color="auto" w:sz="4" w:space="0"/>
            </w:tcBorders>
            <w:vAlign w:val="center"/>
          </w:tcPr>
          <w:p w14:paraId="32B30552">
            <w:pPr>
              <w:widowControl/>
              <w:spacing w:line="300" w:lineRule="exact"/>
              <w:jc w:val="center"/>
              <w:rPr>
                <w:rFonts w:hAnsi="仿宋" w:cs="宋体"/>
                <w:color w:val="000000"/>
                <w:szCs w:val="21"/>
              </w:rPr>
            </w:pPr>
            <w:r>
              <w:rPr>
                <w:rFonts w:hint="eastAsia" w:ascii="仿宋_GB2312" w:hAnsi="楷体" w:eastAsia="仿宋_GB2312"/>
                <w:szCs w:val="21"/>
              </w:rPr>
              <w:t>部门决策</w:t>
            </w:r>
          </w:p>
        </w:tc>
        <w:tc>
          <w:tcPr>
            <w:tcW w:w="1322" w:type="pct"/>
            <w:tcBorders>
              <w:top w:val="nil"/>
              <w:left w:val="nil"/>
              <w:bottom w:val="single" w:color="auto" w:sz="4" w:space="0"/>
              <w:right w:val="single" w:color="auto" w:sz="4" w:space="0"/>
            </w:tcBorders>
            <w:vAlign w:val="center"/>
          </w:tcPr>
          <w:p w14:paraId="18D88902">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35</w:t>
            </w:r>
          </w:p>
        </w:tc>
        <w:tc>
          <w:tcPr>
            <w:tcW w:w="1322" w:type="pct"/>
            <w:tcBorders>
              <w:top w:val="nil"/>
              <w:left w:val="nil"/>
              <w:bottom w:val="single" w:color="auto" w:sz="4" w:space="0"/>
              <w:right w:val="single" w:color="auto" w:sz="4" w:space="0"/>
            </w:tcBorders>
            <w:vAlign w:val="center"/>
          </w:tcPr>
          <w:p w14:paraId="6A787F1D">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32.5</w:t>
            </w:r>
          </w:p>
        </w:tc>
        <w:tc>
          <w:tcPr>
            <w:tcW w:w="1223" w:type="pct"/>
            <w:tcBorders>
              <w:top w:val="nil"/>
              <w:left w:val="nil"/>
              <w:bottom w:val="single" w:color="auto" w:sz="4" w:space="0"/>
              <w:right w:val="single" w:color="auto" w:sz="4" w:space="0"/>
            </w:tcBorders>
            <w:vAlign w:val="center"/>
          </w:tcPr>
          <w:p w14:paraId="204CA499">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92.86%</w:t>
            </w:r>
          </w:p>
        </w:tc>
      </w:tr>
      <w:tr w14:paraId="55772A83">
        <w:tblPrEx>
          <w:tblCellMar>
            <w:top w:w="57" w:type="dxa"/>
            <w:left w:w="57" w:type="dxa"/>
            <w:bottom w:w="57" w:type="dxa"/>
            <w:right w:w="57" w:type="dxa"/>
          </w:tblCellMar>
        </w:tblPrEx>
        <w:trPr>
          <w:trHeight w:val="454" w:hRule="atLeast"/>
          <w:jc w:val="center"/>
        </w:trPr>
        <w:tc>
          <w:tcPr>
            <w:tcW w:w="1132" w:type="pct"/>
            <w:tcBorders>
              <w:top w:val="nil"/>
              <w:left w:val="single" w:color="auto" w:sz="4" w:space="0"/>
              <w:bottom w:val="single" w:color="auto" w:sz="4" w:space="0"/>
              <w:right w:val="single" w:color="auto" w:sz="4" w:space="0"/>
            </w:tcBorders>
            <w:vAlign w:val="center"/>
          </w:tcPr>
          <w:p w14:paraId="1CFE6921">
            <w:pPr>
              <w:widowControl/>
              <w:spacing w:line="300" w:lineRule="exact"/>
              <w:jc w:val="center"/>
              <w:rPr>
                <w:rFonts w:hAnsi="仿宋" w:cs="宋体"/>
                <w:color w:val="000000"/>
                <w:szCs w:val="21"/>
              </w:rPr>
            </w:pPr>
            <w:r>
              <w:rPr>
                <w:rFonts w:hint="eastAsia" w:ascii="仿宋_GB2312" w:hAnsi="楷体" w:eastAsia="仿宋_GB2312"/>
                <w:szCs w:val="21"/>
              </w:rPr>
              <w:t>部门管理</w:t>
            </w:r>
          </w:p>
        </w:tc>
        <w:tc>
          <w:tcPr>
            <w:tcW w:w="1322" w:type="pct"/>
            <w:tcBorders>
              <w:top w:val="nil"/>
              <w:left w:val="nil"/>
              <w:bottom w:val="single" w:color="auto" w:sz="4" w:space="0"/>
              <w:right w:val="single" w:color="auto" w:sz="4" w:space="0"/>
            </w:tcBorders>
            <w:vAlign w:val="center"/>
          </w:tcPr>
          <w:p w14:paraId="25565C50">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20</w:t>
            </w:r>
          </w:p>
        </w:tc>
        <w:tc>
          <w:tcPr>
            <w:tcW w:w="1322" w:type="pct"/>
            <w:tcBorders>
              <w:top w:val="nil"/>
              <w:left w:val="nil"/>
              <w:bottom w:val="single" w:color="auto" w:sz="4" w:space="0"/>
              <w:right w:val="single" w:color="auto" w:sz="4" w:space="0"/>
            </w:tcBorders>
            <w:vAlign w:val="center"/>
          </w:tcPr>
          <w:p w14:paraId="6674D2C0">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20</w:t>
            </w:r>
          </w:p>
        </w:tc>
        <w:tc>
          <w:tcPr>
            <w:tcW w:w="1223" w:type="pct"/>
            <w:tcBorders>
              <w:top w:val="nil"/>
              <w:left w:val="nil"/>
              <w:bottom w:val="single" w:color="auto" w:sz="4" w:space="0"/>
              <w:right w:val="single" w:color="auto" w:sz="4" w:space="0"/>
            </w:tcBorders>
            <w:vAlign w:val="center"/>
          </w:tcPr>
          <w:p w14:paraId="75C63861">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100%</w:t>
            </w:r>
          </w:p>
        </w:tc>
      </w:tr>
      <w:tr w14:paraId="1A2F34AC">
        <w:tblPrEx>
          <w:tblCellMar>
            <w:top w:w="57" w:type="dxa"/>
            <w:left w:w="57" w:type="dxa"/>
            <w:bottom w:w="57" w:type="dxa"/>
            <w:right w:w="57" w:type="dxa"/>
          </w:tblCellMar>
        </w:tblPrEx>
        <w:trPr>
          <w:trHeight w:val="454" w:hRule="atLeast"/>
          <w:jc w:val="center"/>
        </w:trPr>
        <w:tc>
          <w:tcPr>
            <w:tcW w:w="1132" w:type="pct"/>
            <w:tcBorders>
              <w:top w:val="single" w:color="auto" w:sz="4" w:space="0"/>
              <w:left w:val="single" w:color="auto" w:sz="4" w:space="0"/>
              <w:bottom w:val="single" w:color="auto" w:sz="4" w:space="0"/>
              <w:right w:val="single" w:color="auto" w:sz="4" w:space="0"/>
            </w:tcBorders>
            <w:vAlign w:val="center"/>
          </w:tcPr>
          <w:p w14:paraId="3354011F">
            <w:pPr>
              <w:widowControl/>
              <w:spacing w:line="300" w:lineRule="exact"/>
              <w:jc w:val="center"/>
              <w:rPr>
                <w:rFonts w:hAnsi="仿宋" w:cs="宋体"/>
                <w:color w:val="000000"/>
              </w:rPr>
            </w:pPr>
            <w:r>
              <w:rPr>
                <w:rFonts w:hint="eastAsia" w:ascii="仿宋_GB2312" w:hAnsi="楷体" w:eastAsia="仿宋_GB2312"/>
                <w:szCs w:val="21"/>
              </w:rPr>
              <w:t>部门产出</w:t>
            </w:r>
          </w:p>
        </w:tc>
        <w:tc>
          <w:tcPr>
            <w:tcW w:w="1322" w:type="pct"/>
            <w:tcBorders>
              <w:top w:val="single" w:color="auto" w:sz="4" w:space="0"/>
              <w:left w:val="single" w:color="auto" w:sz="4" w:space="0"/>
              <w:bottom w:val="single" w:color="auto" w:sz="4" w:space="0"/>
              <w:right w:val="single" w:color="auto" w:sz="4" w:space="0"/>
            </w:tcBorders>
            <w:vAlign w:val="center"/>
          </w:tcPr>
          <w:p w14:paraId="56EC586A">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21</w:t>
            </w:r>
          </w:p>
        </w:tc>
        <w:tc>
          <w:tcPr>
            <w:tcW w:w="1322" w:type="pct"/>
            <w:tcBorders>
              <w:top w:val="single" w:color="auto" w:sz="4" w:space="0"/>
              <w:left w:val="single" w:color="auto" w:sz="4" w:space="0"/>
              <w:bottom w:val="single" w:color="auto" w:sz="4" w:space="0"/>
              <w:right w:val="single" w:color="auto" w:sz="4" w:space="0"/>
            </w:tcBorders>
            <w:vAlign w:val="center"/>
          </w:tcPr>
          <w:p w14:paraId="326F699E">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21</w:t>
            </w:r>
          </w:p>
        </w:tc>
        <w:tc>
          <w:tcPr>
            <w:tcW w:w="1223" w:type="pct"/>
            <w:tcBorders>
              <w:top w:val="single" w:color="auto" w:sz="4" w:space="0"/>
              <w:left w:val="single" w:color="auto" w:sz="4" w:space="0"/>
              <w:bottom w:val="single" w:color="auto" w:sz="4" w:space="0"/>
              <w:right w:val="single" w:color="auto" w:sz="4" w:space="0"/>
            </w:tcBorders>
            <w:vAlign w:val="center"/>
          </w:tcPr>
          <w:p w14:paraId="6A6247B7">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100%</w:t>
            </w:r>
          </w:p>
        </w:tc>
      </w:tr>
      <w:tr w14:paraId="16EE1FE8">
        <w:tblPrEx>
          <w:tblCellMar>
            <w:top w:w="57" w:type="dxa"/>
            <w:left w:w="57" w:type="dxa"/>
            <w:bottom w:w="57" w:type="dxa"/>
            <w:right w:w="57" w:type="dxa"/>
          </w:tblCellMar>
        </w:tblPrEx>
        <w:trPr>
          <w:trHeight w:val="454" w:hRule="atLeast"/>
          <w:jc w:val="center"/>
        </w:trPr>
        <w:tc>
          <w:tcPr>
            <w:tcW w:w="1132" w:type="pct"/>
            <w:tcBorders>
              <w:top w:val="single" w:color="auto" w:sz="4" w:space="0"/>
              <w:left w:val="single" w:color="auto" w:sz="4" w:space="0"/>
              <w:bottom w:val="single" w:color="auto" w:sz="4" w:space="0"/>
              <w:right w:val="single" w:color="auto" w:sz="4" w:space="0"/>
            </w:tcBorders>
            <w:vAlign w:val="center"/>
          </w:tcPr>
          <w:p w14:paraId="141B4F6F">
            <w:pPr>
              <w:widowControl/>
              <w:spacing w:line="300" w:lineRule="exact"/>
              <w:jc w:val="center"/>
              <w:rPr>
                <w:rFonts w:hint="eastAsia" w:ascii="仿宋_GB2312" w:hAnsi="楷体" w:eastAsia="仿宋_GB2312"/>
                <w:szCs w:val="21"/>
              </w:rPr>
            </w:pPr>
            <w:r>
              <w:rPr>
                <w:rFonts w:hint="eastAsia" w:ascii="仿宋_GB2312" w:hAnsi="楷体" w:eastAsia="仿宋_GB2312"/>
                <w:szCs w:val="21"/>
              </w:rPr>
              <w:t>部门效果</w:t>
            </w:r>
          </w:p>
        </w:tc>
        <w:tc>
          <w:tcPr>
            <w:tcW w:w="1322" w:type="pct"/>
            <w:tcBorders>
              <w:top w:val="single" w:color="auto" w:sz="4" w:space="0"/>
              <w:left w:val="single" w:color="auto" w:sz="4" w:space="0"/>
              <w:bottom w:val="single" w:color="auto" w:sz="4" w:space="0"/>
              <w:right w:val="single" w:color="auto" w:sz="4" w:space="0"/>
            </w:tcBorders>
            <w:vAlign w:val="center"/>
          </w:tcPr>
          <w:p w14:paraId="349FA952">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24</w:t>
            </w:r>
          </w:p>
        </w:tc>
        <w:tc>
          <w:tcPr>
            <w:tcW w:w="1322" w:type="pct"/>
            <w:tcBorders>
              <w:top w:val="single" w:color="auto" w:sz="4" w:space="0"/>
              <w:left w:val="single" w:color="auto" w:sz="4" w:space="0"/>
              <w:bottom w:val="single" w:color="auto" w:sz="4" w:space="0"/>
              <w:right w:val="single" w:color="auto" w:sz="4" w:space="0"/>
            </w:tcBorders>
            <w:vAlign w:val="center"/>
          </w:tcPr>
          <w:p w14:paraId="67ECA6CA">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23</w:t>
            </w:r>
          </w:p>
        </w:tc>
        <w:tc>
          <w:tcPr>
            <w:tcW w:w="1223" w:type="pct"/>
            <w:tcBorders>
              <w:top w:val="single" w:color="auto" w:sz="4" w:space="0"/>
              <w:left w:val="single" w:color="auto" w:sz="4" w:space="0"/>
              <w:bottom w:val="single" w:color="auto" w:sz="4" w:space="0"/>
              <w:right w:val="single" w:color="auto" w:sz="4" w:space="0"/>
            </w:tcBorders>
            <w:vAlign w:val="center"/>
          </w:tcPr>
          <w:p w14:paraId="2458330A">
            <w:pPr>
              <w:widowControl/>
              <w:spacing w:line="300" w:lineRule="exact"/>
              <w:jc w:val="center"/>
              <w:rPr>
                <w:rFonts w:hint="default" w:ascii="仿宋_GB2312" w:hAnsi="楷体" w:eastAsia="仿宋_GB2312"/>
                <w:szCs w:val="21"/>
                <w:lang w:val="en-US" w:eastAsia="zh-CN"/>
              </w:rPr>
            </w:pPr>
            <w:r>
              <w:rPr>
                <w:rFonts w:hint="eastAsia" w:ascii="仿宋_GB2312" w:hAnsi="楷体" w:eastAsia="仿宋_GB2312"/>
                <w:szCs w:val="21"/>
                <w:lang w:val="en-US" w:eastAsia="zh-CN"/>
              </w:rPr>
              <w:t>95.83%</w:t>
            </w:r>
          </w:p>
        </w:tc>
      </w:tr>
      <w:tr w14:paraId="0A859B93">
        <w:tblPrEx>
          <w:tblCellMar>
            <w:top w:w="57" w:type="dxa"/>
            <w:left w:w="57" w:type="dxa"/>
            <w:bottom w:w="57" w:type="dxa"/>
            <w:right w:w="57" w:type="dxa"/>
          </w:tblCellMar>
        </w:tblPrEx>
        <w:trPr>
          <w:trHeight w:val="454" w:hRule="atLeast"/>
          <w:jc w:val="center"/>
        </w:trPr>
        <w:tc>
          <w:tcPr>
            <w:tcW w:w="1132" w:type="pct"/>
            <w:tcBorders>
              <w:top w:val="single" w:color="auto" w:sz="4" w:space="0"/>
              <w:left w:val="single" w:color="auto" w:sz="4" w:space="0"/>
              <w:bottom w:val="single" w:color="auto" w:sz="4" w:space="0"/>
              <w:right w:val="single" w:color="auto" w:sz="4" w:space="0"/>
            </w:tcBorders>
            <w:vAlign w:val="center"/>
          </w:tcPr>
          <w:p w14:paraId="39F4DCA0">
            <w:pPr>
              <w:widowControl/>
              <w:spacing w:line="300" w:lineRule="exact"/>
              <w:jc w:val="center"/>
              <w:rPr>
                <w:rFonts w:hint="eastAsia" w:ascii="仿宋_GB2312" w:hAnsi="楷体" w:eastAsia="仿宋_GB2312" w:cs="Times New Roman"/>
                <w:kern w:val="2"/>
                <w:sz w:val="21"/>
                <w:szCs w:val="21"/>
                <w:lang w:val="en-US" w:eastAsia="zh-CN" w:bidi="ar-SA"/>
              </w:rPr>
            </w:pPr>
            <w:r>
              <w:rPr>
                <w:rFonts w:hint="eastAsia" w:ascii="仿宋_GB2312" w:hAnsi="楷体" w:eastAsia="仿宋_GB2312"/>
                <w:b/>
                <w:bCs/>
                <w:sz w:val="24"/>
                <w:szCs w:val="24"/>
              </w:rPr>
              <w:t>合  计</w:t>
            </w:r>
          </w:p>
        </w:tc>
        <w:tc>
          <w:tcPr>
            <w:tcW w:w="1322" w:type="pct"/>
            <w:tcBorders>
              <w:top w:val="single" w:color="auto" w:sz="4" w:space="0"/>
              <w:left w:val="single" w:color="auto" w:sz="4" w:space="0"/>
              <w:bottom w:val="single" w:color="auto" w:sz="4" w:space="0"/>
              <w:right w:val="single" w:color="auto" w:sz="4" w:space="0"/>
            </w:tcBorders>
            <w:vAlign w:val="center"/>
          </w:tcPr>
          <w:p w14:paraId="66DEAEAA">
            <w:pPr>
              <w:widowControl/>
              <w:spacing w:line="300" w:lineRule="exact"/>
              <w:jc w:val="center"/>
              <w:rPr>
                <w:rFonts w:hint="eastAsia" w:ascii="仿宋_GB2312" w:hAnsi="楷体" w:eastAsia="仿宋_GB2312" w:cs="Times New Roman"/>
                <w:b/>
                <w:bCs/>
                <w:kern w:val="2"/>
                <w:sz w:val="24"/>
                <w:szCs w:val="24"/>
                <w:lang w:val="en-US" w:eastAsia="zh-CN" w:bidi="ar-SA"/>
              </w:rPr>
            </w:pPr>
            <w:r>
              <w:rPr>
                <w:rFonts w:hint="eastAsia" w:ascii="仿宋_GB2312" w:hAnsi="楷体" w:eastAsia="仿宋_GB2312"/>
                <w:b/>
                <w:bCs/>
                <w:sz w:val="24"/>
                <w:szCs w:val="24"/>
              </w:rPr>
              <w:t>100</w:t>
            </w:r>
          </w:p>
        </w:tc>
        <w:tc>
          <w:tcPr>
            <w:tcW w:w="1322" w:type="pct"/>
            <w:tcBorders>
              <w:top w:val="single" w:color="auto" w:sz="4" w:space="0"/>
              <w:left w:val="single" w:color="auto" w:sz="4" w:space="0"/>
              <w:bottom w:val="single" w:color="auto" w:sz="4" w:space="0"/>
              <w:right w:val="single" w:color="auto" w:sz="4" w:space="0"/>
            </w:tcBorders>
            <w:vAlign w:val="center"/>
          </w:tcPr>
          <w:p w14:paraId="425DD506">
            <w:pPr>
              <w:widowControl/>
              <w:spacing w:line="300" w:lineRule="exact"/>
              <w:jc w:val="center"/>
              <w:rPr>
                <w:rFonts w:hint="default" w:ascii="仿宋_GB2312" w:hAnsi="楷体" w:eastAsia="仿宋_GB2312"/>
                <w:b/>
                <w:bCs/>
                <w:sz w:val="24"/>
                <w:szCs w:val="24"/>
                <w:lang w:val="en-US" w:eastAsia="zh-CN"/>
              </w:rPr>
            </w:pPr>
            <w:r>
              <w:rPr>
                <w:rFonts w:hint="eastAsia" w:ascii="仿宋_GB2312" w:hAnsi="楷体" w:eastAsia="仿宋_GB2312"/>
                <w:b/>
                <w:bCs/>
                <w:sz w:val="24"/>
                <w:szCs w:val="24"/>
                <w:lang w:val="en-US" w:eastAsia="zh-CN"/>
              </w:rPr>
              <w:t>96.5</w:t>
            </w:r>
          </w:p>
        </w:tc>
        <w:tc>
          <w:tcPr>
            <w:tcW w:w="1223" w:type="pct"/>
            <w:tcBorders>
              <w:top w:val="single" w:color="auto" w:sz="4" w:space="0"/>
              <w:left w:val="single" w:color="auto" w:sz="4" w:space="0"/>
              <w:bottom w:val="single" w:color="auto" w:sz="4" w:space="0"/>
              <w:right w:val="single" w:color="auto" w:sz="4" w:space="0"/>
            </w:tcBorders>
            <w:vAlign w:val="center"/>
          </w:tcPr>
          <w:p w14:paraId="358A9162">
            <w:pPr>
              <w:widowControl/>
              <w:spacing w:line="300" w:lineRule="exact"/>
              <w:jc w:val="center"/>
              <w:rPr>
                <w:rFonts w:hint="default" w:ascii="仿宋_GB2312" w:hAnsi="楷体" w:eastAsia="仿宋_GB2312"/>
                <w:b/>
                <w:bCs/>
                <w:sz w:val="24"/>
                <w:szCs w:val="24"/>
                <w:lang w:val="en-US" w:eastAsia="zh-CN"/>
              </w:rPr>
            </w:pPr>
            <w:r>
              <w:rPr>
                <w:rFonts w:hint="eastAsia" w:ascii="仿宋_GB2312" w:hAnsi="楷体" w:eastAsia="仿宋_GB2312"/>
                <w:b/>
                <w:bCs/>
                <w:sz w:val="24"/>
                <w:szCs w:val="24"/>
                <w:lang w:val="en-US" w:eastAsia="zh-CN"/>
              </w:rPr>
              <w:t>96.5%</w:t>
            </w:r>
          </w:p>
        </w:tc>
      </w:tr>
    </w:tbl>
    <w:p w14:paraId="020A4A1F">
      <w:pPr>
        <w:keepNext w:val="0"/>
        <w:keepLines w:val="0"/>
        <w:pageBreakBefore w:val="0"/>
        <w:widowControl w:val="0"/>
        <w:kinsoku/>
        <w:wordWrap/>
        <w:overflowPunct/>
        <w:topLinePunct w:val="0"/>
        <w:autoSpaceDE/>
        <w:autoSpaceDN/>
        <w:bidi w:val="0"/>
        <w:adjustRightInd w:val="0"/>
        <w:snapToGrid/>
        <w:spacing w:line="579" w:lineRule="exact"/>
        <w:ind w:firstLine="584" w:firstLineChars="200"/>
        <w:textAlignment w:val="auto"/>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2.主要绩效</w:t>
      </w:r>
    </w:p>
    <w:p w14:paraId="11F616C1">
      <w:pPr>
        <w:keepNext w:val="0"/>
        <w:keepLines w:val="0"/>
        <w:pageBreakBefore w:val="0"/>
        <w:widowControl w:val="0"/>
        <w:kinsoku/>
        <w:wordWrap/>
        <w:overflowPunct/>
        <w:topLinePunct w:val="0"/>
        <w:autoSpaceDE/>
        <w:autoSpaceDN/>
        <w:bidi w:val="0"/>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2019年</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昆明市生态环境局盘龙分局</w:t>
      </w:r>
      <w:r>
        <w:rPr>
          <w:rFonts w:hint="eastAsia" w:ascii="仿宋_GB2312" w:hAnsi="仿宋" w:eastAsia="仿宋_GB2312"/>
          <w:spacing w:val="6"/>
          <w:kern w:val="0"/>
          <w:sz w:val="28"/>
          <w:szCs w:val="28"/>
          <w:lang w:val="en-US" w:eastAsia="zh-CN"/>
        </w:rPr>
        <w:t>贯彻执行党和国家环境保护的方针、政策、法律和法规，监督管理全区环境保护工作。辖区内的大气、土壤、水污染防治工作</w:t>
      </w:r>
      <w:r>
        <w:rPr>
          <w:rFonts w:hint="eastAsia" w:ascii="Times New Roman" w:hAnsi="Times New Roman" w:eastAsia="仿宋_GB2312" w:cs="仿宋_GB2312"/>
          <w:sz w:val="28"/>
          <w:szCs w:val="28"/>
        </w:rPr>
        <w:t>取得</w:t>
      </w:r>
      <w:r>
        <w:rPr>
          <w:rFonts w:hint="eastAsia" w:ascii="仿宋_GB2312" w:hAnsi="仿宋" w:eastAsia="仿宋_GB2312"/>
          <w:spacing w:val="6"/>
          <w:kern w:val="0"/>
          <w:sz w:val="28"/>
          <w:szCs w:val="28"/>
          <w:lang w:val="en-US" w:eastAsia="zh-CN"/>
        </w:rPr>
        <w:t>了一定成效，整体绩效水平为“优”。</w:t>
      </w:r>
    </w:p>
    <w:p w14:paraId="784A31ED">
      <w:pPr>
        <w:keepNext w:val="0"/>
        <w:keepLines w:val="0"/>
        <w:pageBreakBefore w:val="0"/>
        <w:widowControl w:val="0"/>
        <w:kinsoku/>
        <w:wordWrap/>
        <w:overflowPunct/>
        <w:topLinePunct w:val="0"/>
        <w:autoSpaceDE/>
        <w:autoSpaceDN/>
        <w:bidi w:val="0"/>
        <w:snapToGrid/>
        <w:spacing w:line="579" w:lineRule="exact"/>
        <w:ind w:firstLine="584" w:firstLineChars="200"/>
        <w:textAlignment w:val="auto"/>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s="Times New Roman"/>
          <w:spacing w:val="6"/>
          <w:kern w:val="0"/>
          <w:sz w:val="28"/>
          <w:szCs w:val="28"/>
          <w:lang w:val="en-US" w:eastAsia="zh-CN"/>
        </w:rPr>
        <w:t>共计完成了31个城市更新改造项目施工工地的大气污染防治检查任务；共出动洗路车及洒水车10900多辆次，安排21000多人次清洗交通隔离栏，完成394190多万平方米主次道路洒水降尘和道路冲洗工作；完成12个网格点的日常巡查工作；不断强化对滇池流域内河道巡查，截止目前累计巡查河道72条次，已出动执法人员180人次；开展排污许可证年检工作，其中年检168家，换证24家，经营单位变更9家；</w:t>
      </w:r>
      <w:r>
        <w:rPr>
          <w:rFonts w:hint="eastAsia" w:ascii="仿宋_GB2312" w:hAnsi="仿宋" w:eastAsia="仿宋_GB2312"/>
          <w:spacing w:val="6"/>
          <w:kern w:val="0"/>
          <w:sz w:val="28"/>
          <w:szCs w:val="28"/>
          <w:lang w:val="en-US" w:eastAsia="zh-CN"/>
        </w:rPr>
        <w:t>完成4个学校、3个社区的申创培训和验收工作；完成共计22个断面的监测采样，获得水环境监测数据2088个，采集雨样27次，完成监测数据324个；开展松华坝水源保护区土壤污染监测，监测共计50个监测采样点；积极开展各类环保宣传活动，</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辖区内环境宣传知晓率达100%；</w:t>
      </w:r>
      <w:r>
        <w:rPr>
          <w:rFonts w:hint="eastAsia" w:ascii="仿宋_GB2312" w:hAnsi="仿宋" w:eastAsia="仿宋_GB2312" w:cs="Times New Roman"/>
          <w:spacing w:val="6"/>
          <w:kern w:val="0"/>
          <w:sz w:val="28"/>
          <w:szCs w:val="28"/>
          <w:lang w:val="en-US" w:eastAsia="zh-CN"/>
        </w:rPr>
        <w:t>集中式饮用水原地水质达标率为100%；空气质量优良率较上一年有所提升；</w:t>
      </w:r>
      <w:r>
        <w:rPr>
          <w:rFonts w:hint="eastAsia" w:ascii="仿宋_GB2312" w:hAnsi="仿宋" w:eastAsia="仿宋_GB2312" w:cs="Times New Roman"/>
          <w:b w:val="0"/>
          <w:color w:val="000000" w:themeColor="text1"/>
          <w:spacing w:val="6"/>
          <w:kern w:val="0"/>
          <w:sz w:val="28"/>
          <w:szCs w:val="28"/>
          <w:lang w:val="en-US" w:eastAsia="zh-CN" w:bidi="ar-SA"/>
          <w14:textFill>
            <w14:solidFill>
              <w14:schemeClr w14:val="tx1"/>
            </w14:solidFill>
          </w14:textFill>
        </w:rPr>
        <w:t>全区共计完成COD削减21592.57吨、氨氮削减1641.49吨；</w:t>
      </w:r>
      <w:r>
        <w:rPr>
          <w:rFonts w:hint="eastAsia" w:ascii="仿宋_GB2312" w:hAnsi="仿宋" w:eastAsia="仿宋_GB2312"/>
          <w:spacing w:val="6"/>
          <w:kern w:val="0"/>
          <w:sz w:val="28"/>
          <w:szCs w:val="28"/>
          <w:lang w:val="en-US" w:eastAsia="zh-CN"/>
        </w:rPr>
        <w:t>区域环境不断提升，辖区内社会群众</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投诉信访办结率达100%，群众满意度达93.33%。</w:t>
      </w:r>
    </w:p>
    <w:p w14:paraId="64E936B8">
      <w:pPr>
        <w:numPr>
          <w:ilvl w:val="0"/>
          <w:numId w:val="4"/>
        </w:numPr>
        <w:topLinePunct/>
        <w:spacing w:line="520" w:lineRule="exact"/>
        <w:ind w:firstLine="750" w:firstLineChars="250"/>
        <w:rPr>
          <w:rFonts w:hint="eastAsia" w:ascii="楷体" w:hAnsi="楷体" w:eastAsia="楷体" w:cs="Times New Roman"/>
          <w:kern w:val="30"/>
          <w:sz w:val="30"/>
          <w:szCs w:val="30"/>
        </w:rPr>
      </w:pPr>
      <w:r>
        <w:rPr>
          <w:rFonts w:hint="eastAsia" w:ascii="楷体" w:hAnsi="楷体" w:eastAsia="楷体" w:cs="Times New Roman"/>
          <w:kern w:val="30"/>
          <w:sz w:val="30"/>
          <w:szCs w:val="30"/>
        </w:rPr>
        <w:t>具体绩效分析</w:t>
      </w:r>
    </w:p>
    <w:p w14:paraId="5298C712">
      <w:pPr>
        <w:spacing w:line="579" w:lineRule="exact"/>
        <w:jc w:val="center"/>
        <w:rPr>
          <w:rFonts w:hint="eastAsia" w:ascii="仿宋_GB2312" w:hAnsi="仿宋" w:eastAsia="仿宋_GB2312"/>
          <w:b/>
          <w:bCs/>
          <w:spacing w:val="6"/>
          <w:kern w:val="0"/>
          <w:sz w:val="28"/>
          <w:szCs w:val="28"/>
          <w:lang w:val="en-US" w:eastAsia="zh-CN"/>
        </w:rPr>
      </w:pPr>
      <w:r>
        <w:rPr>
          <w:rFonts w:hint="eastAsia" w:ascii="仿宋_GB2312" w:hAnsi="仿宋" w:eastAsia="仿宋_GB2312"/>
          <w:b/>
          <w:bCs/>
          <w:spacing w:val="6"/>
          <w:kern w:val="0"/>
          <w:sz w:val="28"/>
          <w:szCs w:val="28"/>
          <w:lang w:val="en-US" w:eastAsia="zh-CN"/>
        </w:rPr>
        <w:t>表2  昆明市生态环境局盘龙分局部门整体支出</w:t>
      </w:r>
    </w:p>
    <w:p w14:paraId="2516E998">
      <w:pPr>
        <w:spacing w:line="579" w:lineRule="exact"/>
        <w:jc w:val="center"/>
        <w:rPr>
          <w:rFonts w:hint="eastAsia" w:ascii="楷体" w:hAnsi="楷体" w:eastAsia="楷体" w:cs="Times New Roman"/>
          <w:kern w:val="30"/>
          <w:sz w:val="30"/>
          <w:szCs w:val="30"/>
        </w:rPr>
      </w:pPr>
      <w:r>
        <w:rPr>
          <w:rFonts w:hint="eastAsia" w:ascii="仿宋_GB2312" w:hAnsi="仿宋" w:eastAsia="仿宋_GB2312"/>
          <w:b/>
          <w:bCs/>
          <w:spacing w:val="6"/>
          <w:kern w:val="0"/>
          <w:sz w:val="28"/>
          <w:szCs w:val="28"/>
          <w:lang w:val="en-US" w:eastAsia="zh-CN"/>
        </w:rPr>
        <w:t>绩效评价指标得分表</w:t>
      </w:r>
    </w:p>
    <w:tbl>
      <w:tblPr>
        <w:tblStyle w:val="8"/>
        <w:tblW w:w="4998" w:type="pct"/>
        <w:tblInd w:w="0" w:type="dxa"/>
        <w:shd w:val="clear" w:color="auto" w:fill="auto"/>
        <w:tblLayout w:type="autofit"/>
        <w:tblCellMar>
          <w:top w:w="0" w:type="dxa"/>
          <w:left w:w="0" w:type="dxa"/>
          <w:bottom w:w="0" w:type="dxa"/>
          <w:right w:w="0" w:type="dxa"/>
        </w:tblCellMar>
      </w:tblPr>
      <w:tblGrid>
        <w:gridCol w:w="908"/>
        <w:gridCol w:w="623"/>
        <w:gridCol w:w="1116"/>
        <w:gridCol w:w="470"/>
        <w:gridCol w:w="4103"/>
        <w:gridCol w:w="553"/>
        <w:gridCol w:w="554"/>
      </w:tblGrid>
      <w:tr w14:paraId="492348ED">
        <w:tblPrEx>
          <w:tblCellMar>
            <w:top w:w="0" w:type="dxa"/>
            <w:left w:w="0" w:type="dxa"/>
            <w:bottom w:w="0" w:type="dxa"/>
            <w:right w:w="0" w:type="dxa"/>
          </w:tblCellMar>
        </w:tblPrEx>
        <w:trPr>
          <w:trHeight w:val="480" w:hRule="atLeast"/>
          <w:tblHeader/>
        </w:trPr>
        <w:tc>
          <w:tcPr>
            <w:tcW w:w="545"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2509A31">
            <w:pPr>
              <w:keepNext w:val="0"/>
              <w:keepLines w:val="0"/>
              <w:widowControl/>
              <w:suppressLineNumbers w:val="0"/>
              <w:jc w:val="center"/>
              <w:textAlignment w:val="center"/>
              <w:rPr>
                <w:rFonts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一级</w:t>
            </w:r>
            <w:r>
              <w:rPr>
                <w:rFonts w:hint="eastAsia" w:ascii="仿宋" w:hAnsi="仿宋" w:eastAsia="仿宋" w:cs="仿宋"/>
                <w:b/>
                <w:i w:val="0"/>
                <w:color w:val="000000"/>
                <w:kern w:val="0"/>
                <w:sz w:val="20"/>
                <w:szCs w:val="20"/>
                <w:u w:val="none"/>
                <w:lang w:val="en-US" w:eastAsia="zh-CN" w:bidi="ar"/>
              </w:rPr>
              <w:br w:type="textWrapping"/>
            </w:r>
            <w:r>
              <w:rPr>
                <w:rFonts w:hint="eastAsia" w:ascii="仿宋" w:hAnsi="仿宋" w:eastAsia="仿宋" w:cs="仿宋"/>
                <w:b/>
                <w:i w:val="0"/>
                <w:color w:val="000000"/>
                <w:kern w:val="0"/>
                <w:sz w:val="20"/>
                <w:szCs w:val="20"/>
                <w:u w:val="none"/>
                <w:lang w:val="en-US" w:eastAsia="zh-CN" w:bidi="ar"/>
              </w:rPr>
              <w:t>指标</w:t>
            </w:r>
          </w:p>
        </w:tc>
        <w:tc>
          <w:tcPr>
            <w:tcW w:w="374"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4933E60">
            <w:pPr>
              <w:keepNext w:val="0"/>
              <w:keepLines w:val="0"/>
              <w:widowControl/>
              <w:suppressLineNumbers w:val="0"/>
              <w:jc w:val="center"/>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指标权重</w:t>
            </w:r>
          </w:p>
        </w:tc>
        <w:tc>
          <w:tcPr>
            <w:tcW w:w="670"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2D52DC3">
            <w:pPr>
              <w:keepNext w:val="0"/>
              <w:keepLines w:val="0"/>
              <w:widowControl/>
              <w:suppressLineNumbers w:val="0"/>
              <w:jc w:val="center"/>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二级</w:t>
            </w:r>
            <w:r>
              <w:rPr>
                <w:rFonts w:hint="eastAsia" w:ascii="仿宋" w:hAnsi="仿宋" w:eastAsia="仿宋" w:cs="仿宋"/>
                <w:b/>
                <w:i w:val="0"/>
                <w:color w:val="000000"/>
                <w:kern w:val="0"/>
                <w:sz w:val="20"/>
                <w:szCs w:val="20"/>
                <w:u w:val="none"/>
                <w:lang w:val="en-US" w:eastAsia="zh-CN" w:bidi="ar"/>
              </w:rPr>
              <w:br w:type="textWrapping"/>
            </w:r>
            <w:r>
              <w:rPr>
                <w:rFonts w:hint="eastAsia" w:ascii="仿宋" w:hAnsi="仿宋" w:eastAsia="仿宋" w:cs="仿宋"/>
                <w:b/>
                <w:i w:val="0"/>
                <w:color w:val="000000"/>
                <w:kern w:val="0"/>
                <w:sz w:val="20"/>
                <w:szCs w:val="20"/>
                <w:u w:val="none"/>
                <w:lang w:val="en-US" w:eastAsia="zh-CN" w:bidi="ar"/>
              </w:rPr>
              <w:t>指标</w:t>
            </w:r>
          </w:p>
        </w:tc>
        <w:tc>
          <w:tcPr>
            <w:tcW w:w="28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71E2F22">
            <w:pPr>
              <w:keepNext w:val="0"/>
              <w:keepLines w:val="0"/>
              <w:widowControl/>
              <w:suppressLineNumbers w:val="0"/>
              <w:jc w:val="center"/>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指标权重</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A749F70">
            <w:pPr>
              <w:keepNext w:val="0"/>
              <w:keepLines w:val="0"/>
              <w:widowControl/>
              <w:suppressLineNumbers w:val="0"/>
              <w:jc w:val="center"/>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三级指标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4C68936">
            <w:pPr>
              <w:jc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指标权重</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75FC936">
            <w:pPr>
              <w:keepNext w:val="0"/>
              <w:keepLines w:val="0"/>
              <w:widowControl/>
              <w:suppressLineNumbers w:val="0"/>
              <w:jc w:val="center"/>
              <w:textAlignment w:val="center"/>
              <w:rPr>
                <w:rFonts w:hint="eastAsia" w:ascii="仿宋" w:hAnsi="仿宋" w:eastAsia="仿宋" w:cs="仿宋"/>
                <w:b/>
                <w:i w:val="0"/>
                <w:color w:val="000000"/>
                <w:sz w:val="20"/>
                <w:szCs w:val="20"/>
                <w:u w:val="none"/>
              </w:rPr>
            </w:pPr>
            <w:r>
              <w:rPr>
                <w:rFonts w:hint="eastAsia" w:ascii="仿宋" w:hAnsi="仿宋" w:eastAsia="仿宋" w:cs="仿宋"/>
                <w:b/>
                <w:i w:val="0"/>
                <w:color w:val="000000"/>
                <w:kern w:val="0"/>
                <w:sz w:val="20"/>
                <w:szCs w:val="20"/>
                <w:u w:val="none"/>
                <w:lang w:val="en-US" w:eastAsia="zh-CN" w:bidi="ar"/>
              </w:rPr>
              <w:t>得分</w:t>
            </w:r>
          </w:p>
        </w:tc>
      </w:tr>
      <w:tr w14:paraId="2AB7B817">
        <w:tblPrEx>
          <w:shd w:val="clear" w:color="auto" w:fill="auto"/>
          <w:tblCellMar>
            <w:top w:w="0" w:type="dxa"/>
            <w:left w:w="0" w:type="dxa"/>
            <w:bottom w:w="0" w:type="dxa"/>
            <w:right w:w="0" w:type="dxa"/>
          </w:tblCellMar>
        </w:tblPrEx>
        <w:trPr>
          <w:trHeight w:val="312" w:hRule="atLeast"/>
        </w:trPr>
        <w:tc>
          <w:tcPr>
            <w:tcW w:w="545"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6629879">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A部门决策</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6FBFA50">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35%</w:t>
            </w: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CB5AA52">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A1部门目标</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092D1D3D">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12</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9DE96B1">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A11部门中长期规划目标的明确性与合理性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1C905F3">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B4E05B0">
            <w:pPr>
              <w:jc w:val="center"/>
              <w:rPr>
                <w:rFonts w:hint="default" w:ascii="仿宋" w:hAnsi="仿宋" w:eastAsia="仿宋" w:cs="仿宋"/>
                <w:i w:val="0"/>
                <w:color w:val="000000"/>
                <w:sz w:val="20"/>
                <w:szCs w:val="20"/>
                <w:u w:val="none"/>
                <w:lang w:val="en-US" w:eastAsia="zh-CN"/>
              </w:rPr>
            </w:pPr>
            <w:r>
              <w:rPr>
                <w:rFonts w:hint="eastAsia" w:ascii="仿宋" w:hAnsi="仿宋" w:eastAsia="仿宋" w:cs="仿宋"/>
                <w:i w:val="0"/>
                <w:color w:val="000000"/>
                <w:sz w:val="20"/>
                <w:szCs w:val="20"/>
                <w:u w:val="none"/>
                <w:lang w:val="en-US" w:eastAsia="zh-CN"/>
              </w:rPr>
              <w:t>2</w:t>
            </w:r>
          </w:p>
        </w:tc>
      </w:tr>
      <w:tr w14:paraId="18FF56B1">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20FE7DA">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4E4C6A2">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3E8CD8D">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146E6E00">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466680F">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A12年度工作目标的明确性与合理性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C8D1C6E">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85E9CAC">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5FD0791E">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F58D5F7">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22CE346">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406BA3A">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5C3CA4F1">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168739B">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A13年度工作计划与年度工作目标的一致性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1E87371">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46C704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467D793F">
        <w:tblPrEx>
          <w:shd w:val="clear" w:color="auto" w:fill="auto"/>
          <w:tblCellMar>
            <w:top w:w="0" w:type="dxa"/>
            <w:left w:w="0" w:type="dxa"/>
            <w:bottom w:w="0" w:type="dxa"/>
            <w:right w:w="0" w:type="dxa"/>
          </w:tblCellMar>
        </w:tblPrEx>
        <w:trPr>
          <w:trHeight w:val="90"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32599BB">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29F0E22">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0B30096">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0C8065CB">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FAC5BC2">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A14绩效目标合理性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7EB745E">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30CB874">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r>
      <w:tr w14:paraId="18F0FD9F">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DC8017B">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E5D37E7">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7788298">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AA3B7D9">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3B740D7">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A15绩效指标明确性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C0F94F5">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864FD4B">
            <w:pPr>
              <w:keepNext w:val="0"/>
              <w:keepLines w:val="0"/>
              <w:widowControl/>
              <w:suppressLineNumbers w:val="0"/>
              <w:jc w:val="center"/>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2.5</w:t>
            </w:r>
          </w:p>
        </w:tc>
      </w:tr>
      <w:tr w14:paraId="49AA17B9">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84AF598">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EE316ED">
            <w:pPr>
              <w:jc w:val="center"/>
              <w:rPr>
                <w:rFonts w:hint="eastAsia" w:ascii="仿宋_GB2312" w:hAnsi="仿宋_GB2312" w:eastAsia="仿宋_GB2312" w:cs="仿宋_GB2312"/>
                <w:i w:val="0"/>
                <w:color w:val="000000"/>
                <w:sz w:val="21"/>
                <w:szCs w:val="21"/>
                <w:u w:val="none"/>
              </w:rPr>
            </w:pP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6EBB445">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A2部门职能</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12A88331">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10</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C038966">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A21部门职能的明确性与科学性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073AEAE">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B46F27A">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3C959327">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DE9456F">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3B2AEB8">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99E9237">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6A6AF2F2">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BC12E08">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A22年度工作目标与部门职能的适应性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6C30928">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07DAC62">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r>
      <w:tr w14:paraId="3712B752">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CFEEB9B">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BDD7324">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21B3D66">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4F0D6178">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8EEE8D9">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A23年度具体工作与部门职能的匹配性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7685AA5">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A8FB0C4">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r>
      <w:tr w14:paraId="1B874FCA">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1DEF2F3">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A440F5F">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7A5751A">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2DB022B">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6E2B887">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A24部门内设科室及下属单位职责的明确性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6611120">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14D3633">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48751C27">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8054976">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F92CE80">
            <w:pPr>
              <w:jc w:val="center"/>
              <w:rPr>
                <w:rFonts w:hint="eastAsia" w:ascii="仿宋_GB2312" w:hAnsi="仿宋_GB2312" w:eastAsia="仿宋_GB2312" w:cs="仿宋_GB2312"/>
                <w:i w:val="0"/>
                <w:color w:val="000000"/>
                <w:sz w:val="21"/>
                <w:szCs w:val="21"/>
                <w:u w:val="none"/>
              </w:rPr>
            </w:pP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A4F1C5A">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A3资源配置</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59126874">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13</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38D7146">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A31基本支出预算合理性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AA5ECEA">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8AFEC58">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r>
      <w:tr w14:paraId="02CF8247">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93675D0">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AF4D97A">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EF2B2EE">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118CB15B">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F84B86B">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A32项目支出预算合理性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E5CE7F6">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6FCF0EF">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r>
      <w:tr w14:paraId="2324D9F2">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DE6FDF6">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9836CC0">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A916759">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47CCBCBF">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DBD8FD6">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A33人力资源投入合理性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7622F65">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3EF6458">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r>
      <w:tr w14:paraId="43FC142F">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04FF2C6">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C4C4DA7">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2CDDA31">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15D4E14F">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C4BD049">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A34办公资源投入合理性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EC6DBF0">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FCFF105">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r>
      <w:tr w14:paraId="03897B20">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B851F6F">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1DE664C">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FEF8652">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A71F611">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1343A4D">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A35重点项目资源分配合理性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B77AC64">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FC35222">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r>
      <w:tr w14:paraId="6C44659A">
        <w:tblPrEx>
          <w:shd w:val="clear" w:color="auto" w:fill="auto"/>
          <w:tblCellMar>
            <w:top w:w="0" w:type="dxa"/>
            <w:left w:w="0" w:type="dxa"/>
            <w:bottom w:w="0" w:type="dxa"/>
            <w:right w:w="0" w:type="dxa"/>
          </w:tblCellMar>
        </w:tblPrEx>
        <w:trPr>
          <w:trHeight w:val="312" w:hRule="atLeast"/>
        </w:trPr>
        <w:tc>
          <w:tcPr>
            <w:tcW w:w="545"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E1DBE9A">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B部门管理</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E68DF06">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20%</w:t>
            </w: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CAF34C7">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B1预算管理</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4A51333E">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lang w:val="en-US" w:eastAsia="zh-CN"/>
              </w:rPr>
            </w:pPr>
            <w:r>
              <w:rPr>
                <w:rFonts w:hint="eastAsia" w:ascii="仿宋_GB2312" w:hAnsi="仿宋_GB2312" w:eastAsia="仿宋_GB2312" w:cs="仿宋_GB2312"/>
                <w:i w:val="0"/>
                <w:color w:val="000000"/>
                <w:sz w:val="21"/>
                <w:szCs w:val="21"/>
                <w:u w:val="none"/>
                <w:lang w:val="en-US" w:eastAsia="zh-CN"/>
              </w:rPr>
              <w:t>7</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D349B82">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B11基本支出预算执行率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181FE86">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40F3082">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4C83777D">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BC6E0B3">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D8A7FF9">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36091AE">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02BFB3C0">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4055715">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B12项目支出预算执行率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924331D">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A5DABDA">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r>
      <w:tr w14:paraId="45A2DF1F">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1726509">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4A6CC18">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3DC6841">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155DE656">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5C2809F">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B13“三公经费”控制率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D7B73C4">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245731E">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3A438E79">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0F76FBF">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24893CE">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D18944D">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755D8AD">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45AA0F4">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B14预算调整情况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CF97CA4">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8321F75">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1B3CD626">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D358BF8">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71871D0">
            <w:pPr>
              <w:jc w:val="center"/>
              <w:rPr>
                <w:rFonts w:hint="eastAsia" w:ascii="仿宋_GB2312" w:hAnsi="仿宋_GB2312" w:eastAsia="仿宋_GB2312" w:cs="仿宋_GB2312"/>
                <w:i w:val="0"/>
                <w:color w:val="000000"/>
                <w:sz w:val="21"/>
                <w:szCs w:val="21"/>
                <w:u w:val="none"/>
              </w:rPr>
            </w:pP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49366F4">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B2财务管理</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27599B1F">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6</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86628B9">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B21财务管理制度健全性及执行情况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C3D0E6A">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5CD15D7">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2C3577CD">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B36C295">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D26E0F8">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7BAF7C5">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193DC682">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C2E86BF">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B22资金使用合规性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03A3402">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E787EC0">
            <w:pPr>
              <w:keepNext w:val="0"/>
              <w:keepLines w:val="0"/>
              <w:widowControl/>
              <w:suppressLineNumbers w:val="0"/>
              <w:jc w:val="center"/>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r>
      <w:tr w14:paraId="280E536D">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7328F02">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A2262F1">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5FE0920">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D698C30">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72A841B">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B23财务监控的有效性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B535825">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F5F992E">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3DDF90B8">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9AEB8EF">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E38D707">
            <w:pPr>
              <w:jc w:val="center"/>
              <w:rPr>
                <w:rFonts w:hint="eastAsia" w:ascii="仿宋_GB2312" w:hAnsi="仿宋_GB2312" w:eastAsia="仿宋_GB2312" w:cs="仿宋_GB2312"/>
                <w:i w:val="0"/>
                <w:color w:val="000000"/>
                <w:sz w:val="21"/>
                <w:szCs w:val="21"/>
                <w:u w:val="none"/>
              </w:rPr>
            </w:pP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BF268A0">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B3人力资源管理</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3CE66F1E">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B5C84B9">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B31在职人员控制率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9A53A6F">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44B077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6A56C3CD">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11E9E05">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6CF6E6B">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0F8CC9A">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D0CD27C">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1184FBB">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B32人力资源管理执行情况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D32B861">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422F25A">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2B0CF00B">
        <w:tblPrEx>
          <w:shd w:val="clear" w:color="auto" w:fill="auto"/>
          <w:tblCellMar>
            <w:top w:w="0" w:type="dxa"/>
            <w:left w:w="0" w:type="dxa"/>
            <w:bottom w:w="0" w:type="dxa"/>
            <w:right w:w="0" w:type="dxa"/>
          </w:tblCellMar>
        </w:tblPrEx>
        <w:trPr>
          <w:trHeight w:val="284"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BD364C5">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31058B9">
            <w:pPr>
              <w:jc w:val="center"/>
              <w:rPr>
                <w:rFonts w:hint="eastAsia" w:ascii="仿宋_GB2312" w:hAnsi="仿宋_GB2312" w:eastAsia="仿宋_GB2312" w:cs="仿宋_GB2312"/>
                <w:i w:val="0"/>
                <w:color w:val="000000"/>
                <w:sz w:val="21"/>
                <w:szCs w:val="21"/>
                <w:u w:val="none"/>
              </w:rPr>
            </w:pP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203629F">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B4资产管理</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171E456F">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2</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E6E8557">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B41资产管理制度健全性及执行情况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4209A44">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3C6B4D1">
            <w:pPr>
              <w:keepNext w:val="0"/>
              <w:keepLines w:val="0"/>
              <w:widowControl/>
              <w:suppressLineNumbers w:val="0"/>
              <w:jc w:val="center"/>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4CB53432">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EACEA83">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158A816">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6472977">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37A9584">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395DDBA">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B42固定资产在用率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6B4D5B0">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E0379FC">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4B52DEF1">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FF09C4C">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A87934D">
            <w:pPr>
              <w:jc w:val="center"/>
              <w:rPr>
                <w:rFonts w:hint="eastAsia" w:ascii="仿宋_GB2312" w:hAnsi="仿宋_GB2312" w:eastAsia="仿宋_GB2312" w:cs="仿宋_GB2312"/>
                <w:i w:val="0"/>
                <w:color w:val="000000"/>
                <w:sz w:val="21"/>
                <w:szCs w:val="21"/>
                <w:u w:val="none"/>
              </w:rPr>
            </w:pP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D387C07">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B5业务管理</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5C0DC101">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3</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4690C60">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B51业务管理制度健全性及执行情况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A89BA71">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07BA0B6">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70936B8C">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8A25A74">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80AB956">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10AA8EE">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67C82716">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C330140">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B52政府采购规范性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ACCF66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5A9A845">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2D4F63A9">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7CF1BDA">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AB371E5">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32D2F80">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101C11D">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0B13478">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B53监督考核情况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11854CF">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B1798A4">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1</w:t>
            </w:r>
          </w:p>
        </w:tc>
      </w:tr>
      <w:tr w14:paraId="4E87070C">
        <w:tblPrEx>
          <w:shd w:val="clear" w:color="auto" w:fill="auto"/>
          <w:tblCellMar>
            <w:top w:w="0" w:type="dxa"/>
            <w:left w:w="0" w:type="dxa"/>
            <w:bottom w:w="0" w:type="dxa"/>
            <w:right w:w="0" w:type="dxa"/>
          </w:tblCellMar>
        </w:tblPrEx>
        <w:trPr>
          <w:trHeight w:val="312" w:hRule="atLeast"/>
        </w:trPr>
        <w:tc>
          <w:tcPr>
            <w:tcW w:w="545"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96B4314">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C部门产出</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97E1C18">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21%</w:t>
            </w: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6788585">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C1产出数量</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0B7E152C">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13</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87F0A95">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C11污染防治工作完成情况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C8F03A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5</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8907083">
            <w:pPr>
              <w:keepNext w:val="0"/>
              <w:keepLines w:val="0"/>
              <w:widowControl/>
              <w:suppressLineNumbers w:val="0"/>
              <w:jc w:val="center"/>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5</w:t>
            </w:r>
          </w:p>
        </w:tc>
      </w:tr>
      <w:tr w14:paraId="263A3EFF">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3A0E76F">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F0A8D34">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ABD985D">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3AFC6459">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1C22B7D">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C12创建省、市级绿色社区、学校数</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EC25C6D">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B299BE2">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r>
      <w:tr w14:paraId="7B5EE9EF">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00E287B">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31CB740">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E72E3AF">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7E8A3676">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E2DC6CB">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C13全年监测工作完成量</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F03FAC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C504D8C">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r>
      <w:tr w14:paraId="7B7D2566">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F1E0309">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A7759A9">
            <w:pPr>
              <w:jc w:val="center"/>
              <w:rPr>
                <w:rFonts w:hint="eastAsia" w:ascii="仿宋_GB2312" w:hAnsi="仿宋_GB2312" w:eastAsia="仿宋_GB2312" w:cs="仿宋_GB2312"/>
                <w:i w:val="0"/>
                <w:color w:val="000000"/>
                <w:sz w:val="21"/>
                <w:szCs w:val="21"/>
                <w:u w:val="none"/>
              </w:rPr>
            </w:pP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B552BB1">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C2产出质量</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3F8084D7">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5</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0BD0F67">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C21环境宣传知晓率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25D8226">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AA4A12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r>
      <w:tr w14:paraId="77243064">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A44F467">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F785C17">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0322B85">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661EF91D">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48F17E7">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C22考核验收通过率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1335751">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2709E31">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r>
      <w:tr w14:paraId="434A1752">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89FB405">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7B6CD36">
            <w:pPr>
              <w:jc w:val="center"/>
              <w:rPr>
                <w:rFonts w:hint="eastAsia" w:ascii="仿宋_GB2312" w:hAnsi="仿宋_GB2312" w:eastAsia="仿宋_GB2312" w:cs="仿宋_GB2312"/>
                <w:i w:val="0"/>
                <w:color w:val="000000"/>
                <w:sz w:val="21"/>
                <w:szCs w:val="21"/>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5D06479">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C3产出时效</w:t>
            </w:r>
          </w:p>
        </w:tc>
        <w:tc>
          <w:tcPr>
            <w:tcW w:w="28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7422C40">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3</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7AF0368">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C31任务完成及时率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4DAFC0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A4A75D7">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r>
      <w:tr w14:paraId="3D2A3EBB">
        <w:tblPrEx>
          <w:tblCellMar>
            <w:top w:w="0" w:type="dxa"/>
            <w:left w:w="0" w:type="dxa"/>
            <w:bottom w:w="0" w:type="dxa"/>
            <w:right w:w="0" w:type="dxa"/>
          </w:tblCellMar>
        </w:tblPrEx>
        <w:trPr>
          <w:trHeight w:val="312" w:hRule="atLeast"/>
        </w:trPr>
        <w:tc>
          <w:tcPr>
            <w:tcW w:w="545"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420244B">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D部门效果</w:t>
            </w:r>
          </w:p>
        </w:tc>
        <w:tc>
          <w:tcPr>
            <w:tcW w:w="374"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8FCDE21">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24%</w:t>
            </w: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570D61D">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D1生态效益</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706E6C9D">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8</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E14A2DF">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D11集中式饮水源地水质达标率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362A7A6">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E8A4494">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r>
      <w:tr w14:paraId="4DC11620">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F62DDAE">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85DE6A1">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0C65C42">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6600D23B">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5E5ED26">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D12空气质量提升率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7A2B41A">
            <w:pPr>
              <w:keepNext w:val="0"/>
              <w:keepLines w:val="0"/>
              <w:widowControl/>
              <w:suppressLineNumbers w:val="0"/>
              <w:jc w:val="center"/>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1C10AD3">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r>
      <w:tr w14:paraId="5B14B62C">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3862CCA">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E8A0835">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949E250">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69A7A481">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FEE4B75">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D13重点污染物削减有效性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3D9C9BD">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D7F490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r>
      <w:tr w14:paraId="02839E5C">
        <w:tblPrEx>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A98F4B9">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4730BD6">
            <w:pPr>
              <w:jc w:val="center"/>
              <w:rPr>
                <w:rFonts w:hint="eastAsia" w:ascii="仿宋_GB2312" w:hAnsi="仿宋_GB2312" w:eastAsia="仿宋_GB2312" w:cs="仿宋_GB2312"/>
                <w:i w:val="0"/>
                <w:color w:val="000000"/>
                <w:sz w:val="21"/>
                <w:szCs w:val="21"/>
                <w:u w:val="none"/>
              </w:rPr>
            </w:pP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6EAF54B">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D2社会效益</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656DBFF5">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6</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FAAC340">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D23区域环境提升性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605F5B9">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696800C">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r>
      <w:tr w14:paraId="0753B194">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E601912">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BD538A7">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816427F">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F869952">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C465806">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D22投诉信访办结率</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5C44F3D">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07EED7E">
            <w:pPr>
              <w:keepNext w:val="0"/>
              <w:keepLines w:val="0"/>
              <w:widowControl/>
              <w:suppressLineNumbers w:val="0"/>
              <w:jc w:val="center"/>
              <w:textAlignment w:val="center"/>
              <w:rPr>
                <w:rFonts w:hint="default"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3</w:t>
            </w:r>
          </w:p>
        </w:tc>
      </w:tr>
      <w:tr w14:paraId="4490C3F5">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279E6E0">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2E732D5">
            <w:pPr>
              <w:jc w:val="center"/>
              <w:rPr>
                <w:rFonts w:hint="eastAsia" w:ascii="仿宋_GB2312" w:hAnsi="仿宋_GB2312" w:eastAsia="仿宋_GB2312" w:cs="仿宋_GB2312"/>
                <w:i w:val="0"/>
                <w:color w:val="000000"/>
                <w:sz w:val="21"/>
                <w:szCs w:val="21"/>
                <w:u w:val="none"/>
              </w:rPr>
            </w:pPr>
          </w:p>
        </w:tc>
        <w:tc>
          <w:tcPr>
            <w:tcW w:w="670"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BFE97F6">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 xml:space="preserve">D3满意度 </w:t>
            </w:r>
          </w:p>
        </w:tc>
        <w:tc>
          <w:tcPr>
            <w:tcW w:w="282" w:type="pc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3BEE8ED6">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4</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BBD6FA8">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D31受益群众满意度</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BF7F5F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4</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BDE4FAF">
            <w:pPr>
              <w:jc w:val="center"/>
              <w:rPr>
                <w:rFonts w:hint="eastAsia" w:ascii="仿宋" w:hAnsi="仿宋" w:eastAsia="仿宋" w:cs="仿宋"/>
                <w:i w:val="0"/>
                <w:color w:val="000000"/>
                <w:sz w:val="20"/>
                <w:szCs w:val="20"/>
                <w:u w:val="none"/>
                <w:lang w:val="en-US" w:eastAsia="zh-CN"/>
              </w:rPr>
            </w:pPr>
            <w:r>
              <w:rPr>
                <w:rFonts w:hint="eastAsia" w:ascii="仿宋_GB2312" w:hAnsi="仿宋_GB2312" w:eastAsia="仿宋_GB2312" w:cs="仿宋_GB2312"/>
                <w:i w:val="0"/>
                <w:color w:val="000000"/>
                <w:kern w:val="0"/>
                <w:sz w:val="21"/>
                <w:szCs w:val="21"/>
                <w:u w:val="none"/>
                <w:lang w:val="en-US" w:eastAsia="zh-CN" w:bidi="ar"/>
              </w:rPr>
              <w:t>3</w:t>
            </w:r>
          </w:p>
        </w:tc>
      </w:tr>
      <w:tr w14:paraId="7BEFFF9D">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145A96C">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63ACE48">
            <w:pPr>
              <w:jc w:val="center"/>
              <w:rPr>
                <w:rFonts w:hint="eastAsia" w:ascii="仿宋_GB2312" w:hAnsi="仿宋_GB2312" w:eastAsia="仿宋_GB2312" w:cs="仿宋_GB2312"/>
                <w:i w:val="0"/>
                <w:color w:val="000000"/>
                <w:sz w:val="21"/>
                <w:szCs w:val="21"/>
                <w:u w:val="none"/>
              </w:rPr>
            </w:pP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F013FC5">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D4部门可持续发展</w:t>
            </w:r>
          </w:p>
        </w:tc>
        <w:tc>
          <w:tcPr>
            <w:tcW w:w="282" w:type="pct"/>
            <w:vMerge w:val="restart"/>
            <w:tcBorders>
              <w:top w:val="single" w:color="000000" w:sz="4" w:space="0"/>
              <w:left w:val="single" w:color="000000" w:sz="4" w:space="0"/>
              <w:right w:val="single" w:color="000000" w:sz="4" w:space="0"/>
            </w:tcBorders>
            <w:shd w:val="clear" w:color="auto" w:fill="FFFFFF"/>
            <w:tcMar>
              <w:top w:w="12" w:type="dxa"/>
              <w:left w:w="12" w:type="dxa"/>
              <w:right w:w="12" w:type="dxa"/>
            </w:tcMar>
            <w:vAlign w:val="center"/>
          </w:tcPr>
          <w:p w14:paraId="10732116">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6</w:t>
            </w: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F09A579">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D41队伍建设情况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9BD8CD5">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70E5BD2F">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r>
      <w:tr w14:paraId="780D7CC6">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312727D1">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5BAADA99">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C5F9210">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right w:val="single" w:color="000000" w:sz="4" w:space="0"/>
            </w:tcBorders>
            <w:shd w:val="clear" w:color="auto" w:fill="FFFFFF"/>
            <w:tcMar>
              <w:top w:w="12" w:type="dxa"/>
              <w:left w:w="12" w:type="dxa"/>
              <w:right w:w="12" w:type="dxa"/>
            </w:tcMar>
            <w:vAlign w:val="center"/>
          </w:tcPr>
          <w:p w14:paraId="598E59B8">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C819975">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D42信息共享、公开情况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E825616">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9821F8D">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r>
      <w:tr w14:paraId="45F2EA21">
        <w:tblPrEx>
          <w:shd w:val="clear" w:color="auto" w:fill="auto"/>
          <w:tblCellMar>
            <w:top w:w="0" w:type="dxa"/>
            <w:left w:w="0" w:type="dxa"/>
            <w:bottom w:w="0" w:type="dxa"/>
            <w:right w:w="0" w:type="dxa"/>
          </w:tblCellMar>
        </w:tblPrEx>
        <w:trPr>
          <w:trHeight w:val="312" w:hRule="atLeast"/>
        </w:trPr>
        <w:tc>
          <w:tcPr>
            <w:tcW w:w="545"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76D47E0">
            <w:pPr>
              <w:jc w:val="center"/>
              <w:rPr>
                <w:rFonts w:hint="eastAsia" w:ascii="仿宋_GB2312" w:hAnsi="仿宋_GB2312" w:eastAsia="仿宋_GB2312" w:cs="仿宋_GB2312"/>
                <w:i w:val="0"/>
                <w:color w:val="000000"/>
                <w:sz w:val="21"/>
                <w:szCs w:val="21"/>
                <w:u w:val="none"/>
              </w:rPr>
            </w:pPr>
          </w:p>
        </w:tc>
        <w:tc>
          <w:tcPr>
            <w:tcW w:w="374"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5738A13">
            <w:pPr>
              <w:jc w:val="center"/>
              <w:rPr>
                <w:rFonts w:hint="eastAsia" w:ascii="仿宋_GB2312" w:hAnsi="仿宋_GB2312" w:eastAsia="仿宋_GB2312" w:cs="仿宋_GB2312"/>
                <w:i w:val="0"/>
                <w:color w:val="000000"/>
                <w:sz w:val="21"/>
                <w:szCs w:val="21"/>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1FA71B41">
            <w:pPr>
              <w:jc w:val="center"/>
              <w:rPr>
                <w:rFonts w:hint="eastAsia" w:ascii="仿宋_GB2312" w:hAnsi="仿宋_GB2312" w:eastAsia="仿宋_GB2312" w:cs="仿宋_GB2312"/>
                <w:i w:val="0"/>
                <w:color w:val="000000"/>
                <w:sz w:val="21"/>
                <w:szCs w:val="21"/>
                <w:u w:val="none"/>
              </w:rPr>
            </w:pPr>
          </w:p>
        </w:tc>
        <w:tc>
          <w:tcPr>
            <w:tcW w:w="282" w:type="pct"/>
            <w:vMerge w:val="continue"/>
            <w:tcBorders>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2A967379">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p>
        </w:tc>
        <w:tc>
          <w:tcPr>
            <w:tcW w:w="2463"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6CBF75DD">
            <w:pPr>
              <w:keepNext w:val="0"/>
              <w:keepLines w:val="0"/>
              <w:widowControl/>
              <w:suppressLineNumbers w:val="0"/>
              <w:jc w:val="left"/>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D43长效管理创新情况</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4B01D72B">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c>
          <w:tcPr>
            <w:tcW w:w="332" w:type="pct"/>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14:paraId="033398B8">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2</w:t>
            </w:r>
          </w:p>
        </w:tc>
      </w:tr>
      <w:tr w14:paraId="3C43C437">
        <w:tblPrEx>
          <w:shd w:val="clear" w:color="auto" w:fill="auto"/>
          <w:tblCellMar>
            <w:top w:w="0" w:type="dxa"/>
            <w:left w:w="0" w:type="dxa"/>
            <w:bottom w:w="0" w:type="dxa"/>
            <w:right w:w="0" w:type="dxa"/>
          </w:tblCellMar>
        </w:tblPrEx>
        <w:trPr>
          <w:trHeight w:val="312" w:hRule="atLeast"/>
        </w:trPr>
        <w:tc>
          <w:tcPr>
            <w:tcW w:w="1589" w:type="pct"/>
            <w:gridSpan w:val="3"/>
            <w:tcBorders>
              <w:top w:val="single" w:color="000000" w:sz="4" w:space="0"/>
              <w:left w:val="single" w:color="000000" w:sz="4" w:space="0"/>
              <w:bottom w:val="single" w:color="000000" w:sz="4" w:space="0"/>
              <w:right w:val="nil"/>
            </w:tcBorders>
            <w:shd w:val="clear" w:color="auto" w:fill="FFFFFF"/>
            <w:noWrap/>
            <w:tcMar>
              <w:top w:w="12" w:type="dxa"/>
              <w:left w:w="12" w:type="dxa"/>
              <w:right w:w="12" w:type="dxa"/>
            </w:tcMar>
            <w:vAlign w:val="center"/>
          </w:tcPr>
          <w:p w14:paraId="1E85B895">
            <w:pPr>
              <w:jc w:val="center"/>
              <w:rPr>
                <w:rFonts w:hint="eastAsia" w:ascii="宋体" w:hAnsi="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总     分</w:t>
            </w:r>
          </w:p>
        </w:tc>
        <w:tc>
          <w:tcPr>
            <w:tcW w:w="282" w:type="pct"/>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2B8DC035">
            <w:pPr>
              <w:jc w:val="center"/>
              <w:rPr>
                <w:rFonts w:hint="eastAsia" w:ascii="宋体" w:hAnsi="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100</w:t>
            </w:r>
          </w:p>
        </w:tc>
        <w:tc>
          <w:tcPr>
            <w:tcW w:w="2463" w:type="pct"/>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14:paraId="17CDE33E">
            <w:pPr>
              <w:jc w:val="center"/>
              <w:rPr>
                <w:rFonts w:hint="eastAsia" w:ascii="宋体" w:hAnsi="宋体" w:cs="宋体"/>
                <w:i w:val="0"/>
                <w:color w:val="000000"/>
                <w:sz w:val="18"/>
                <w:szCs w:val="18"/>
                <w:u w:val="none"/>
                <w:lang w:val="en-US" w:eastAsia="zh-CN"/>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163A671C">
            <w:pPr>
              <w:jc w:val="center"/>
              <w:rPr>
                <w:rFonts w:hint="default" w:ascii="宋体" w:hAnsi="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100</w:t>
            </w: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14:paraId="5B1D5F11">
            <w:pPr>
              <w:jc w:val="center"/>
              <w:rPr>
                <w:rFonts w:hint="default" w:ascii="宋体" w:hAnsi="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96.5</w:t>
            </w:r>
          </w:p>
        </w:tc>
      </w:tr>
    </w:tbl>
    <w:p w14:paraId="0E6964C7">
      <w:pPr>
        <w:numPr>
          <w:ilvl w:val="0"/>
          <w:numId w:val="0"/>
        </w:numPr>
        <w:spacing w:line="579" w:lineRule="exact"/>
        <w:ind w:firstLine="586" w:firstLineChars="2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 xml:space="preserve">A </w:t>
      </w:r>
      <w:r>
        <w:rPr>
          <w:rFonts w:hint="eastAsia" w:ascii="仿宋_GB2312" w:hAnsi="仿宋" w:eastAsia="仿宋_GB2312" w:cs="Times New Roman"/>
          <w:b/>
          <w:bCs/>
          <w:spacing w:val="6"/>
          <w:kern w:val="0"/>
          <w:sz w:val="28"/>
          <w:szCs w:val="28"/>
          <w:highlight w:val="none"/>
          <w:u w:val="none"/>
          <w:lang w:val="en-US" w:eastAsia="zh-CN" w:bidi="ar-SA"/>
        </w:rPr>
        <w:t>部门决策</w:t>
      </w:r>
    </w:p>
    <w:p w14:paraId="4CF8B17A">
      <w:pPr>
        <w:numPr>
          <w:ilvl w:val="0"/>
          <w:numId w:val="0"/>
        </w:numPr>
        <w:spacing w:line="579" w:lineRule="exact"/>
        <w:ind w:firstLine="586" w:firstLineChars="2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 xml:space="preserve">A1 </w:t>
      </w:r>
      <w:r>
        <w:rPr>
          <w:rFonts w:hint="eastAsia" w:ascii="仿宋_GB2312" w:hAnsi="仿宋" w:eastAsia="仿宋_GB2312" w:cs="Times New Roman"/>
          <w:b/>
          <w:bCs/>
          <w:spacing w:val="6"/>
          <w:kern w:val="0"/>
          <w:sz w:val="28"/>
          <w:szCs w:val="28"/>
          <w:highlight w:val="none"/>
          <w:u w:val="none"/>
          <w:lang w:val="en-US" w:eastAsia="zh-CN" w:bidi="ar-SA"/>
        </w:rPr>
        <w:t>部门目标</w:t>
      </w:r>
    </w:p>
    <w:p w14:paraId="28D41F16">
      <w:pPr>
        <w:spacing w:line="590" w:lineRule="exact"/>
        <w:ind w:firstLine="584" w:firstLineChars="200"/>
        <w:rPr>
          <w:rFonts w:hint="default" w:ascii="仿宋_GB2312" w:hAnsi="仿宋" w:eastAsia="仿宋_GB2312"/>
          <w:spacing w:val="6"/>
          <w:kern w:val="0"/>
          <w:sz w:val="28"/>
          <w:szCs w:val="28"/>
          <w:lang w:val="en-US" w:eastAsia="zh-CN"/>
        </w:rPr>
      </w:pPr>
      <w:r>
        <w:rPr>
          <w:rFonts w:hint="default" w:ascii="仿宋_GB2312" w:hAnsi="仿宋" w:eastAsia="仿宋_GB2312"/>
          <w:spacing w:val="6"/>
          <w:kern w:val="0"/>
          <w:sz w:val="28"/>
          <w:szCs w:val="28"/>
          <w:lang w:val="en-US" w:eastAsia="zh-CN"/>
        </w:rPr>
        <w:t>A11部门中长期规划目标的明确性与合理性</w:t>
      </w:r>
    </w:p>
    <w:p w14:paraId="37FC65B7">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依据部门职能，并《盘龙区生态建设与环境保护“十三五”规划》根据文件要求，明确了各科室中长期工作目标，且昆明市生态环境局盘龙分局的工作内容均与规划相适应，故A11指标得分2.00分。</w:t>
      </w:r>
    </w:p>
    <w:p w14:paraId="65DDFB77">
      <w:pPr>
        <w:spacing w:line="590" w:lineRule="exact"/>
        <w:ind w:firstLine="584" w:firstLineChars="200"/>
        <w:rPr>
          <w:rFonts w:hint="default" w:ascii="仿宋_GB2312" w:hAnsi="仿宋" w:eastAsia="仿宋_GB2312"/>
          <w:spacing w:val="6"/>
          <w:kern w:val="0"/>
          <w:sz w:val="28"/>
          <w:szCs w:val="28"/>
          <w:lang w:val="en-US" w:eastAsia="zh-CN"/>
        </w:rPr>
      </w:pPr>
      <w:r>
        <w:rPr>
          <w:rFonts w:hint="default" w:ascii="仿宋_GB2312" w:hAnsi="仿宋" w:eastAsia="仿宋_GB2312"/>
          <w:spacing w:val="6"/>
          <w:kern w:val="0"/>
          <w:sz w:val="28"/>
          <w:szCs w:val="28"/>
          <w:lang w:val="en-US" w:eastAsia="zh-CN"/>
        </w:rPr>
        <w:t>A12年度工作目标的明确性与合理性</w:t>
      </w:r>
    </w:p>
    <w:p w14:paraId="5AD217A6">
      <w:p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昆明市生态环境局盘龙分局根据部门职能和“十三五”规划年确定了2019年度工作计划，对各项事业进行了目标设定。但其设定的部分工作目标无法量化，设定的工作目标不够明确和具体。故</w:t>
      </w:r>
      <w:r>
        <w:rPr>
          <w:rFonts w:hint="default" w:ascii="仿宋_GB2312" w:hAnsi="仿宋" w:eastAsia="仿宋_GB2312"/>
          <w:spacing w:val="6"/>
          <w:kern w:val="0"/>
          <w:sz w:val="28"/>
          <w:szCs w:val="28"/>
          <w:lang w:val="en-US" w:eastAsia="zh-CN"/>
        </w:rPr>
        <w:t>A12</w:t>
      </w:r>
      <w:r>
        <w:rPr>
          <w:rFonts w:hint="eastAsia" w:ascii="仿宋_GB2312" w:hAnsi="仿宋" w:eastAsia="仿宋_GB2312"/>
          <w:spacing w:val="6"/>
          <w:kern w:val="0"/>
          <w:sz w:val="28"/>
          <w:szCs w:val="28"/>
          <w:lang w:val="en-US" w:eastAsia="zh-CN"/>
        </w:rPr>
        <w:t>指标扣权重分</w:t>
      </w:r>
      <w:r>
        <w:rPr>
          <w:rFonts w:hint="default" w:ascii="仿宋_GB2312" w:hAnsi="仿宋" w:eastAsia="仿宋_GB2312"/>
          <w:spacing w:val="6"/>
          <w:kern w:val="0"/>
          <w:sz w:val="28"/>
          <w:szCs w:val="28"/>
          <w:lang w:val="en-US" w:eastAsia="zh-CN"/>
        </w:rPr>
        <w:t>50%</w:t>
      </w:r>
      <w:r>
        <w:rPr>
          <w:rFonts w:hint="eastAsia" w:ascii="仿宋_GB2312" w:hAnsi="仿宋" w:eastAsia="仿宋_GB2312"/>
          <w:spacing w:val="6"/>
          <w:kern w:val="0"/>
          <w:sz w:val="28"/>
          <w:szCs w:val="28"/>
          <w:lang w:val="en-US" w:eastAsia="zh-CN"/>
        </w:rPr>
        <w:t>，得</w:t>
      </w:r>
      <w:r>
        <w:rPr>
          <w:rFonts w:hint="default" w:ascii="仿宋_GB2312" w:hAnsi="仿宋" w:eastAsia="仿宋_GB2312"/>
          <w:spacing w:val="6"/>
          <w:kern w:val="0"/>
          <w:sz w:val="28"/>
          <w:szCs w:val="28"/>
          <w:lang w:val="en-US" w:eastAsia="zh-CN"/>
        </w:rPr>
        <w:t>1.00</w:t>
      </w:r>
      <w:r>
        <w:rPr>
          <w:rFonts w:hint="eastAsia" w:ascii="仿宋_GB2312" w:hAnsi="仿宋" w:eastAsia="仿宋_GB2312"/>
          <w:spacing w:val="6"/>
          <w:kern w:val="0"/>
          <w:sz w:val="28"/>
          <w:szCs w:val="28"/>
          <w:lang w:val="en-US" w:eastAsia="zh-CN"/>
        </w:rPr>
        <w:t>分。</w:t>
      </w:r>
    </w:p>
    <w:p w14:paraId="43289BE0">
      <w:pPr>
        <w:spacing w:line="590" w:lineRule="exact"/>
        <w:ind w:firstLine="584" w:firstLineChars="200"/>
        <w:rPr>
          <w:rFonts w:hint="default" w:ascii="仿宋_GB2312" w:hAnsi="仿宋" w:eastAsia="仿宋_GB2312"/>
          <w:spacing w:val="6"/>
          <w:kern w:val="0"/>
          <w:sz w:val="28"/>
          <w:szCs w:val="28"/>
          <w:lang w:val="en-US" w:eastAsia="zh-CN"/>
        </w:rPr>
      </w:pPr>
      <w:r>
        <w:rPr>
          <w:rFonts w:hint="default" w:ascii="仿宋_GB2312" w:hAnsi="仿宋" w:eastAsia="仿宋_GB2312"/>
          <w:spacing w:val="6"/>
          <w:kern w:val="0"/>
          <w:sz w:val="28"/>
          <w:szCs w:val="28"/>
          <w:lang w:val="en-US" w:eastAsia="zh-CN"/>
        </w:rPr>
        <w:t>A13年度工作计划与年度工作目标的一致性</w:t>
      </w:r>
    </w:p>
    <w:p w14:paraId="29465239">
      <w:p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昆明市生态环境局盘龙分局2019年度工作计划均仅列出部门工作任务，并未对部门全部工作设定详细工作计划。故</w:t>
      </w:r>
      <w:r>
        <w:rPr>
          <w:rFonts w:hint="default" w:ascii="仿宋_GB2312" w:hAnsi="仿宋" w:eastAsia="仿宋_GB2312"/>
          <w:spacing w:val="6"/>
          <w:kern w:val="0"/>
          <w:sz w:val="28"/>
          <w:szCs w:val="28"/>
          <w:lang w:val="en-US" w:eastAsia="zh-CN"/>
        </w:rPr>
        <w:t>A1</w:t>
      </w:r>
      <w:r>
        <w:rPr>
          <w:rFonts w:hint="eastAsia" w:ascii="仿宋_GB2312" w:hAnsi="仿宋" w:eastAsia="仿宋_GB2312"/>
          <w:spacing w:val="6"/>
          <w:kern w:val="0"/>
          <w:sz w:val="28"/>
          <w:szCs w:val="28"/>
          <w:lang w:val="en-US" w:eastAsia="zh-CN"/>
        </w:rPr>
        <w:t>3指标扣权重分</w:t>
      </w:r>
      <w:r>
        <w:rPr>
          <w:rFonts w:hint="default" w:ascii="仿宋_GB2312" w:hAnsi="仿宋" w:eastAsia="仿宋_GB2312"/>
          <w:spacing w:val="6"/>
          <w:kern w:val="0"/>
          <w:sz w:val="28"/>
          <w:szCs w:val="28"/>
          <w:lang w:val="en-US" w:eastAsia="zh-CN"/>
        </w:rPr>
        <w:t>50%</w:t>
      </w:r>
      <w:r>
        <w:rPr>
          <w:rFonts w:hint="eastAsia" w:ascii="仿宋_GB2312" w:hAnsi="仿宋" w:eastAsia="仿宋_GB2312"/>
          <w:spacing w:val="6"/>
          <w:kern w:val="0"/>
          <w:sz w:val="28"/>
          <w:szCs w:val="28"/>
          <w:highlight w:val="none"/>
          <w:lang w:val="en-US" w:eastAsia="zh-CN"/>
        </w:rPr>
        <w:t>，得</w:t>
      </w:r>
      <w:r>
        <w:rPr>
          <w:rFonts w:hint="default" w:ascii="仿宋_GB2312" w:hAnsi="仿宋" w:eastAsia="仿宋_GB2312"/>
          <w:spacing w:val="6"/>
          <w:kern w:val="0"/>
          <w:sz w:val="28"/>
          <w:szCs w:val="28"/>
          <w:highlight w:val="none"/>
          <w:lang w:val="en-US" w:eastAsia="zh-CN"/>
        </w:rPr>
        <w:t>1.00</w:t>
      </w:r>
      <w:r>
        <w:rPr>
          <w:rFonts w:hint="eastAsia" w:ascii="仿宋_GB2312" w:hAnsi="仿宋" w:eastAsia="仿宋_GB2312"/>
          <w:spacing w:val="6"/>
          <w:kern w:val="0"/>
          <w:sz w:val="28"/>
          <w:szCs w:val="28"/>
          <w:highlight w:val="none"/>
          <w:lang w:val="en-US" w:eastAsia="zh-CN"/>
        </w:rPr>
        <w:t>分。</w:t>
      </w:r>
    </w:p>
    <w:p w14:paraId="3DF5C85C">
      <w:pPr>
        <w:spacing w:line="590" w:lineRule="exact"/>
        <w:ind w:firstLine="584" w:firstLineChars="200"/>
        <w:rPr>
          <w:rFonts w:hint="default" w:ascii="仿宋_GB2312" w:hAnsi="仿宋" w:eastAsia="仿宋_GB2312"/>
          <w:spacing w:val="6"/>
          <w:kern w:val="0"/>
          <w:sz w:val="28"/>
          <w:szCs w:val="28"/>
          <w:lang w:val="en-US" w:eastAsia="zh-CN"/>
        </w:rPr>
      </w:pPr>
      <w:r>
        <w:rPr>
          <w:rFonts w:hint="default" w:ascii="仿宋_GB2312" w:hAnsi="仿宋" w:eastAsia="仿宋_GB2312"/>
          <w:spacing w:val="6"/>
          <w:kern w:val="0"/>
          <w:sz w:val="28"/>
          <w:szCs w:val="28"/>
          <w:lang w:val="en-US" w:eastAsia="zh-CN"/>
        </w:rPr>
        <w:t>A14绩效目标合理性</w:t>
      </w:r>
    </w:p>
    <w:p w14:paraId="1CDA466D">
      <w:p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根据昆明市生态环境局盘龙分局2019年度的《部门整体支出绩效目标申报表》显示，昆明市生态环境局盘龙分局设置的绩效目标符合部门制定的中长期实施规划、“三定”方案确定的职责，与部门年度工作目标、任务相一致。故</w:t>
      </w:r>
      <w:r>
        <w:rPr>
          <w:rFonts w:hint="default" w:ascii="仿宋_GB2312" w:hAnsi="仿宋" w:eastAsia="仿宋_GB2312"/>
          <w:spacing w:val="6"/>
          <w:kern w:val="0"/>
          <w:sz w:val="28"/>
          <w:szCs w:val="28"/>
          <w:lang w:val="en-US" w:eastAsia="zh-CN"/>
        </w:rPr>
        <w:t>A1</w:t>
      </w:r>
      <w:r>
        <w:rPr>
          <w:rFonts w:hint="eastAsia" w:ascii="仿宋_GB2312" w:hAnsi="仿宋" w:eastAsia="仿宋_GB2312"/>
          <w:spacing w:val="6"/>
          <w:kern w:val="0"/>
          <w:sz w:val="28"/>
          <w:szCs w:val="28"/>
          <w:lang w:val="en-US" w:eastAsia="zh-CN"/>
        </w:rPr>
        <w:t>4指标得分为满分3.00分。</w:t>
      </w:r>
    </w:p>
    <w:p w14:paraId="2E5C2695">
      <w:pPr>
        <w:spacing w:line="590" w:lineRule="exact"/>
        <w:ind w:firstLine="584" w:firstLineChars="200"/>
        <w:rPr>
          <w:rFonts w:hint="default" w:ascii="仿宋_GB2312" w:hAnsi="仿宋" w:eastAsia="仿宋_GB2312"/>
          <w:spacing w:val="6"/>
          <w:kern w:val="0"/>
          <w:sz w:val="28"/>
          <w:szCs w:val="28"/>
          <w:lang w:val="en-US" w:eastAsia="zh-CN"/>
        </w:rPr>
      </w:pPr>
      <w:r>
        <w:rPr>
          <w:rFonts w:hint="default" w:ascii="仿宋_GB2312" w:hAnsi="仿宋" w:eastAsia="仿宋_GB2312"/>
          <w:spacing w:val="6"/>
          <w:kern w:val="0"/>
          <w:sz w:val="28"/>
          <w:szCs w:val="28"/>
          <w:lang w:val="en-US" w:eastAsia="zh-CN"/>
        </w:rPr>
        <w:t>A15绩效指标明确性</w:t>
      </w:r>
    </w:p>
    <w:p w14:paraId="3563896D">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根据昆明市生态环境局盘龙分局2019年度申报的《</w:t>
      </w:r>
      <w:r>
        <w:rPr>
          <w:rFonts w:hint="default" w:ascii="仿宋_GB2312" w:hAnsi="仿宋" w:eastAsia="仿宋_GB2312"/>
          <w:spacing w:val="6"/>
          <w:kern w:val="0"/>
          <w:sz w:val="28"/>
          <w:szCs w:val="28"/>
          <w:lang w:val="en-US" w:eastAsia="zh-CN"/>
        </w:rPr>
        <w:t>部门（单位）整体支出绩效目标申报表</w:t>
      </w:r>
      <w:r>
        <w:rPr>
          <w:rFonts w:hint="eastAsia" w:ascii="仿宋_GB2312" w:hAnsi="仿宋" w:eastAsia="仿宋_GB2312"/>
          <w:spacing w:val="6"/>
          <w:kern w:val="0"/>
          <w:sz w:val="28"/>
          <w:szCs w:val="28"/>
          <w:lang w:val="en-US" w:eastAsia="zh-CN"/>
        </w:rPr>
        <w:t>》将</w:t>
      </w:r>
      <w:r>
        <w:rPr>
          <w:rFonts w:hint="default" w:ascii="仿宋_GB2312" w:hAnsi="仿宋" w:eastAsia="仿宋_GB2312"/>
          <w:spacing w:val="6"/>
          <w:kern w:val="0"/>
          <w:sz w:val="28"/>
          <w:szCs w:val="28"/>
          <w:lang w:val="en-US" w:eastAsia="zh-CN"/>
        </w:rPr>
        <w:t>部门整体的绩效目标细化分解为具体的工作任务，</w:t>
      </w:r>
      <w:r>
        <w:rPr>
          <w:rFonts w:hint="eastAsia" w:ascii="仿宋_GB2312" w:hAnsi="仿宋" w:eastAsia="仿宋_GB2312"/>
          <w:spacing w:val="6"/>
          <w:kern w:val="0"/>
          <w:sz w:val="28"/>
          <w:szCs w:val="28"/>
          <w:lang w:val="en-US" w:eastAsia="zh-CN"/>
        </w:rPr>
        <w:t>且</w:t>
      </w:r>
      <w:r>
        <w:rPr>
          <w:rFonts w:hint="default" w:ascii="仿宋_GB2312" w:hAnsi="仿宋" w:eastAsia="仿宋_GB2312"/>
          <w:spacing w:val="6"/>
          <w:kern w:val="0"/>
          <w:sz w:val="28"/>
          <w:szCs w:val="28"/>
          <w:lang w:val="en-US" w:eastAsia="zh-CN"/>
        </w:rPr>
        <w:t>绩效指标与部门年度的任务数或计划数对应，与本年度部门预算资金匹配</w:t>
      </w:r>
      <w:r>
        <w:rPr>
          <w:rFonts w:hint="eastAsia" w:ascii="仿宋_GB2312" w:hAnsi="仿宋" w:eastAsia="仿宋_GB2312"/>
          <w:spacing w:val="6"/>
          <w:kern w:val="0"/>
          <w:sz w:val="28"/>
          <w:szCs w:val="28"/>
          <w:lang w:val="en-US" w:eastAsia="zh-CN"/>
        </w:rPr>
        <w:t>，但细化分解后的具体的工作任务未</w:t>
      </w:r>
      <w:r>
        <w:rPr>
          <w:rFonts w:hint="default" w:ascii="仿宋_GB2312" w:hAnsi="仿宋" w:eastAsia="仿宋_GB2312"/>
          <w:spacing w:val="6"/>
          <w:kern w:val="0"/>
          <w:sz w:val="28"/>
          <w:szCs w:val="28"/>
          <w:lang w:val="en-US" w:eastAsia="zh-CN"/>
        </w:rPr>
        <w:t>并通过清晰、可衡量的指标值予以体现</w:t>
      </w:r>
      <w:r>
        <w:rPr>
          <w:rFonts w:hint="eastAsia" w:ascii="仿宋_GB2312" w:hAnsi="仿宋" w:eastAsia="仿宋_GB2312"/>
          <w:spacing w:val="6"/>
          <w:kern w:val="0"/>
          <w:sz w:val="28"/>
          <w:szCs w:val="28"/>
          <w:lang w:val="en-US" w:eastAsia="zh-CN"/>
        </w:rPr>
        <w:t>。故</w:t>
      </w:r>
      <w:r>
        <w:rPr>
          <w:rFonts w:hint="default" w:ascii="仿宋_GB2312" w:hAnsi="仿宋" w:eastAsia="仿宋_GB2312"/>
          <w:spacing w:val="6"/>
          <w:kern w:val="0"/>
          <w:sz w:val="28"/>
          <w:szCs w:val="28"/>
          <w:lang w:val="en-US" w:eastAsia="zh-CN"/>
        </w:rPr>
        <w:t>A15</w:t>
      </w:r>
      <w:r>
        <w:rPr>
          <w:rFonts w:hint="eastAsia" w:ascii="仿宋_GB2312" w:hAnsi="仿宋" w:eastAsia="仿宋_GB2312"/>
          <w:spacing w:val="6"/>
          <w:kern w:val="0"/>
          <w:sz w:val="28"/>
          <w:szCs w:val="28"/>
          <w:lang w:val="en-US" w:eastAsia="zh-CN"/>
        </w:rPr>
        <w:t>指标扣权重分0.50分，得2</w:t>
      </w:r>
      <w:r>
        <w:rPr>
          <w:rFonts w:hint="default" w:ascii="仿宋_GB2312" w:hAnsi="仿宋" w:eastAsia="仿宋_GB2312"/>
          <w:spacing w:val="6"/>
          <w:kern w:val="0"/>
          <w:sz w:val="28"/>
          <w:szCs w:val="28"/>
          <w:lang w:val="en-US" w:eastAsia="zh-CN"/>
        </w:rPr>
        <w:t>.</w:t>
      </w:r>
      <w:r>
        <w:rPr>
          <w:rFonts w:hint="eastAsia" w:ascii="仿宋_GB2312" w:hAnsi="仿宋" w:eastAsia="仿宋_GB2312"/>
          <w:spacing w:val="6"/>
          <w:kern w:val="0"/>
          <w:sz w:val="28"/>
          <w:szCs w:val="28"/>
          <w:lang w:val="en-US" w:eastAsia="zh-CN"/>
        </w:rPr>
        <w:t>5</w:t>
      </w:r>
      <w:r>
        <w:rPr>
          <w:rFonts w:hint="default" w:ascii="仿宋_GB2312" w:hAnsi="仿宋" w:eastAsia="仿宋_GB2312"/>
          <w:spacing w:val="6"/>
          <w:kern w:val="0"/>
          <w:sz w:val="28"/>
          <w:szCs w:val="28"/>
          <w:lang w:val="en-US" w:eastAsia="zh-CN"/>
        </w:rPr>
        <w:t>0</w:t>
      </w:r>
      <w:r>
        <w:rPr>
          <w:rFonts w:hint="eastAsia" w:ascii="仿宋_GB2312" w:hAnsi="仿宋" w:eastAsia="仿宋_GB2312"/>
          <w:spacing w:val="6"/>
          <w:kern w:val="0"/>
          <w:sz w:val="28"/>
          <w:szCs w:val="28"/>
          <w:lang w:val="en-US" w:eastAsia="zh-CN"/>
        </w:rPr>
        <w:t>分。</w:t>
      </w:r>
    </w:p>
    <w:p w14:paraId="5C7820F5">
      <w:pPr>
        <w:numPr>
          <w:ilvl w:val="0"/>
          <w:numId w:val="0"/>
        </w:numPr>
        <w:spacing w:line="579" w:lineRule="exact"/>
        <w:ind w:firstLine="586" w:firstLineChars="2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A2部门职能</w:t>
      </w:r>
    </w:p>
    <w:p w14:paraId="4764318C">
      <w:pPr>
        <w:spacing w:line="590" w:lineRule="exact"/>
        <w:ind w:firstLine="584" w:firstLineChars="200"/>
        <w:rPr>
          <w:rFonts w:hint="default" w:ascii="仿宋_GB2312" w:hAnsi="仿宋" w:eastAsia="仿宋_GB2312"/>
          <w:spacing w:val="6"/>
          <w:kern w:val="0"/>
          <w:sz w:val="28"/>
          <w:szCs w:val="28"/>
          <w:lang w:val="en-US" w:eastAsia="zh-CN"/>
        </w:rPr>
      </w:pPr>
      <w:r>
        <w:rPr>
          <w:rFonts w:hint="default" w:ascii="仿宋_GB2312" w:hAnsi="仿宋" w:eastAsia="仿宋_GB2312"/>
          <w:spacing w:val="6"/>
          <w:kern w:val="0"/>
          <w:sz w:val="28"/>
          <w:szCs w:val="28"/>
          <w:lang w:val="en-US" w:eastAsia="zh-CN"/>
        </w:rPr>
        <w:t>A21部门职能的明确性与科学性</w:t>
      </w:r>
    </w:p>
    <w:p w14:paraId="1CF215CB">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有明确的“三定方案”，《昆明市盘龙区环境保护局主要职责内设机构和人员编制规定》（昆政办通〔2010〕125号）、以及《关于组建昆明市生态环境局各县（市）区、开发度假园区分局的通知》（昆编〔2019〕23号）文件。上述文件均对其部门职能进行了明确规定，部门职能明确、设定依据充分。故</w:t>
      </w:r>
      <w:r>
        <w:rPr>
          <w:rFonts w:hint="default" w:ascii="仿宋_GB2312" w:hAnsi="仿宋" w:eastAsia="仿宋_GB2312"/>
          <w:spacing w:val="6"/>
          <w:kern w:val="0"/>
          <w:sz w:val="28"/>
          <w:szCs w:val="28"/>
          <w:lang w:val="en-US" w:eastAsia="zh-CN"/>
        </w:rPr>
        <w:t>A</w:t>
      </w:r>
      <w:r>
        <w:rPr>
          <w:rFonts w:hint="eastAsia" w:ascii="仿宋_GB2312" w:hAnsi="仿宋" w:eastAsia="仿宋_GB2312"/>
          <w:spacing w:val="6"/>
          <w:kern w:val="0"/>
          <w:sz w:val="28"/>
          <w:szCs w:val="28"/>
          <w:lang w:val="en-US" w:eastAsia="zh-CN"/>
        </w:rPr>
        <w:t>21指标得满分1.00分。</w:t>
      </w:r>
    </w:p>
    <w:p w14:paraId="7A382A3D">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A22年度工作目标与部门职能的适应性</w:t>
      </w:r>
    </w:p>
    <w:p w14:paraId="69B8DAC6">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根据昆明市生态环境局盘龙分局2019年度所设定的部门目标与部门职能相适应，并按照各科室对其职能范围内所有项目制定工作计划和目标。故</w:t>
      </w:r>
      <w:r>
        <w:rPr>
          <w:rFonts w:hint="default" w:ascii="仿宋_GB2312" w:hAnsi="仿宋" w:eastAsia="仿宋_GB2312"/>
          <w:spacing w:val="6"/>
          <w:kern w:val="0"/>
          <w:sz w:val="28"/>
          <w:szCs w:val="28"/>
          <w:lang w:val="en-US" w:eastAsia="zh-CN"/>
        </w:rPr>
        <w:t>A</w:t>
      </w:r>
      <w:r>
        <w:rPr>
          <w:rFonts w:hint="eastAsia" w:ascii="仿宋_GB2312" w:hAnsi="仿宋" w:eastAsia="仿宋_GB2312"/>
          <w:spacing w:val="6"/>
          <w:kern w:val="0"/>
          <w:sz w:val="28"/>
          <w:szCs w:val="28"/>
          <w:lang w:val="en-US" w:eastAsia="zh-CN"/>
        </w:rPr>
        <w:t>21指标得满分4.00分。</w:t>
      </w:r>
    </w:p>
    <w:p w14:paraId="3B6E24D3">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A23年度具体工作与部门职能的匹配性</w:t>
      </w:r>
    </w:p>
    <w:p w14:paraId="63CBD833">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2019年昆明市生态环境局盘龙分局年度工作计划均按照部门各科室制定的年度工作计划中进行汇总，年度各类具体工作与其“三定方案”中的职能进行匹配，且各项职能工作均有具体工作支撑。故A23指标得分为满分4.00分。</w:t>
      </w:r>
    </w:p>
    <w:p w14:paraId="39B72922">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A24部门内设科室及下属单位职责的明确性</w:t>
      </w:r>
    </w:p>
    <w:p w14:paraId="452632E8">
      <w:p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内设科室均按照“三定方案”，对明确其职能职责，下辖的昆明市盘龙区环境保护监测站（加挂昆明市盘龙区辐射环境监测站牌子）及昆明市盘龙区环境监察大队两个单位职责界定明确。故A24指标得分为满分1.00分。</w:t>
      </w:r>
    </w:p>
    <w:p w14:paraId="197E6342">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A3资源配置</w:t>
      </w:r>
    </w:p>
    <w:p w14:paraId="41405135">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A31基本支出预算合理性</w:t>
      </w:r>
    </w:p>
    <w:p w14:paraId="66F3D209">
      <w:p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昆明市生态环境局盘龙分局按照基本预算标准进行编制，如实核定人员基数。故A31指标得分为满分2.00分。</w:t>
      </w:r>
    </w:p>
    <w:p w14:paraId="79C2BA45">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A32项目支出预算合理性</w:t>
      </w:r>
    </w:p>
    <w:p w14:paraId="27C3E07D">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w:t>
      </w:r>
      <w:r>
        <w:rPr>
          <w:rFonts w:hint="eastAsia" w:ascii="仿宋_GB2312" w:hAnsi="仿宋" w:eastAsia="仿宋_GB2312"/>
          <w:spacing w:val="6"/>
          <w:kern w:val="0"/>
          <w:sz w:val="28"/>
          <w:szCs w:val="28"/>
          <w:highlight w:val="none"/>
          <w:lang w:val="en-US" w:eastAsia="zh-CN"/>
        </w:rPr>
        <w:t>分局在进行项目经费预</w:t>
      </w:r>
      <w:r>
        <w:rPr>
          <w:rFonts w:hint="eastAsia" w:ascii="仿宋_GB2312" w:hAnsi="仿宋" w:eastAsia="仿宋_GB2312"/>
          <w:spacing w:val="6"/>
          <w:kern w:val="0"/>
          <w:sz w:val="28"/>
          <w:szCs w:val="28"/>
          <w:lang w:val="en-US" w:eastAsia="zh-CN"/>
        </w:rPr>
        <w:t>算时，首先由各科室根据往年工作开展情况和预测年度预计情况进行详细预算报给财务处，由财务人员根据政府财政科目进行归集分类，报党组理事会审议通过后上报财政。且项目预算编制均有政策支持，部门预算依据充分、各类项目设立符合资金使用范围。故A32指标得分为满分4.00分。</w:t>
      </w:r>
    </w:p>
    <w:p w14:paraId="05F431B2">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A33人力资源投入合理性</w:t>
      </w:r>
    </w:p>
    <w:p w14:paraId="2B0492C9">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2019年部门在职职工46人，其中：公务员11人，工勤人员1人，参公管理事业人员21人，事业人员13人，通过实地调研核查单位工作人员的充足情况，并在访谈过程中了解到，部分工作人员表示工作量确实很大，但基本能在工作时间内正常完成。截止目前人力资源投入相对合理。故A33指标得分为满分2.00分。</w:t>
      </w:r>
    </w:p>
    <w:p w14:paraId="3B9F9D7C">
      <w:pPr>
        <w:spacing w:line="590" w:lineRule="exact"/>
        <w:ind w:firstLine="584" w:firstLineChars="200"/>
        <w:rPr>
          <w:rFonts w:hint="eastAsia" w:ascii="仿宋_GB2312" w:hAnsi="仿宋" w:eastAsia="仿宋_GB2312"/>
          <w:color w:val="auto"/>
          <w:spacing w:val="6"/>
          <w:kern w:val="0"/>
          <w:sz w:val="28"/>
          <w:szCs w:val="28"/>
          <w:lang w:val="en-US" w:eastAsia="zh-CN"/>
        </w:rPr>
      </w:pPr>
      <w:r>
        <w:rPr>
          <w:rFonts w:hint="eastAsia" w:ascii="仿宋_GB2312" w:hAnsi="仿宋" w:eastAsia="仿宋_GB2312"/>
          <w:color w:val="auto"/>
          <w:spacing w:val="6"/>
          <w:kern w:val="0"/>
          <w:sz w:val="28"/>
          <w:szCs w:val="28"/>
          <w:lang w:val="en-US" w:eastAsia="zh-CN"/>
        </w:rPr>
        <w:t>A34办公资源投入合理性</w:t>
      </w:r>
    </w:p>
    <w:p w14:paraId="59AFA690">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昆明市生态环境局盘龙分局2019年办公资源经费保障充足，现有办公用房、办公用品等办公配置均能满足部门日常工作需求。故A34指标得分为满分2.00分。</w:t>
      </w:r>
    </w:p>
    <w:p w14:paraId="5F643DD4">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A35重点项目资源分配合理性</w:t>
      </w:r>
    </w:p>
    <w:p w14:paraId="137516C0">
      <w:pPr>
        <w:keepNext w:val="0"/>
        <w:keepLines w:val="0"/>
        <w:pageBreakBefore w:val="0"/>
        <w:kinsoku/>
        <w:wordWrap/>
        <w:overflowPunct/>
        <w:topLinePunct/>
        <w:autoSpaceDE/>
        <w:autoSpaceDN/>
        <w:bidi w:val="0"/>
        <w:spacing w:line="240" w:lineRule="auto"/>
        <w:ind w:left="0" w:leftChars="0" w:right="0" w:rightChars="0" w:firstLine="584" w:firstLineChars="200"/>
        <w:jc w:val="both"/>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2019年昆明市生态环境局盘龙分局深入贯彻落实习近平生态文明思想和全国生态环境保护大会精神，牢固树立“绿水青山就是金山银山”的发展理念，以改善大气、水、土壤环境质量为核心，深化生态文明建设，强化环境执法监管，标本兼治，综合施策，持续加大环境保护力度，环境质量得到积极改善。对本年度重点项目资源分配适当倾斜，确保本年度预算安排的重点项目支出能够保障重点项目的顺利实施，全面完成当年工作目标任务。故A35指标得分为满分3.00分。</w:t>
      </w:r>
    </w:p>
    <w:p w14:paraId="0E2E1C5D">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B部门管理</w:t>
      </w:r>
    </w:p>
    <w:p w14:paraId="529D31FA">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B1预算管理</w:t>
      </w:r>
    </w:p>
    <w:p w14:paraId="0B824A6A">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B11基本支出预算执行率</w:t>
      </w:r>
    </w:p>
    <w:p w14:paraId="013119F3">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昆明市生态环境局盘龙分局2019年调整后基本支出预算总额为786万元，年度决算总额为779.45万元，基本支出预算执行率为99.17%。根据评分标准，则B11指标得分为满分1.00分。</w:t>
      </w:r>
    </w:p>
    <w:p w14:paraId="139F96CC">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B12项目支出预算执行率</w:t>
      </w:r>
    </w:p>
    <w:p w14:paraId="6CA978EB">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昆明市生态环境局盘龙分局2019年调整后项目支出预算总额为941.88万元，年度决算总额为897.84万元，项目支出预算执行率为95.32%。根据评分标准，则B12指标得分为满分4.00分。</w:t>
      </w:r>
    </w:p>
    <w:p w14:paraId="2D5D121D">
      <w:pPr>
        <w:spacing w:line="590" w:lineRule="exact"/>
        <w:ind w:firstLine="584" w:firstLineChars="200"/>
        <w:rPr>
          <w:rFonts w:hint="eastAsia"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spacing w:val="6"/>
          <w:kern w:val="0"/>
          <w:sz w:val="28"/>
          <w:szCs w:val="28"/>
          <w:lang w:val="en-US" w:eastAsia="zh-CN"/>
        </w:rPr>
        <w:t>B13“</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三公经费”控制率</w:t>
      </w:r>
    </w:p>
    <w:p w14:paraId="2507386F">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2019年市昆明市生态环境局盘龙分局安排因公出国(境)经费0万元、公务用车购置及运行维护费4.73万元、公务接待费0.14万元，全年“三公经费”共计4.87万元，比较2018年“三公经费”5.16万元，则“三公经费”控制率为94.38%。根据评分标准，B13指标得分为满分1.00分。</w:t>
      </w:r>
    </w:p>
    <w:p w14:paraId="631FE030">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B14预算调整情况</w:t>
      </w:r>
    </w:p>
    <w:p w14:paraId="333A5103">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2019年昆明市生态环境局盘龙分局根据年中预算执行情况及时申请预算调整并按规定进行预算调整。根据评分标准，则B14指标得分为满分1.00分。</w:t>
      </w:r>
    </w:p>
    <w:p w14:paraId="1FF119AF">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B2财务管理</w:t>
      </w:r>
    </w:p>
    <w:p w14:paraId="4B5B8BCD">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B21财务管理制度健全性及执行情况</w:t>
      </w:r>
    </w:p>
    <w:p w14:paraId="3D741438">
      <w:pPr>
        <w:spacing w:line="590" w:lineRule="exact"/>
        <w:ind w:firstLine="584" w:firstLineChars="200"/>
        <w:rPr>
          <w:rFonts w:hint="eastAsia"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spacing w:val="6"/>
          <w:kern w:val="0"/>
          <w:sz w:val="28"/>
          <w:szCs w:val="28"/>
          <w:lang w:val="en-US" w:eastAsia="zh-CN"/>
        </w:rPr>
        <w:t>昆明市生态环境局盘龙分局</w:t>
      </w: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从部门</w:t>
      </w:r>
      <w:r>
        <w:rPr>
          <w:rFonts w:hint="eastAsia" w:ascii="仿宋" w:hAnsi="仿宋" w:eastAsia="仿宋" w:cs="仿宋"/>
          <w:sz w:val="30"/>
          <w:szCs w:val="30"/>
          <w:highlight w:val="none"/>
          <w:lang w:val="en-US" w:eastAsia="zh-CN"/>
        </w:rPr>
        <w:t>业务管理、资金使用等</w:t>
      </w: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多方面，分别编制了内部控制基本制度、预算管理内部控制制度、收支管理内部控制制度、采购管理内部控制制度、国有资产管理内部控制制度、建设项目管理内部控制制度、合同管理内部控制制度、</w:t>
      </w:r>
      <w:r>
        <w:rPr>
          <w:rFonts w:hint="eastAsia" w:ascii="仿宋" w:hAnsi="仿宋" w:eastAsia="仿宋" w:cs="仿宋"/>
          <w:sz w:val="30"/>
          <w:szCs w:val="30"/>
          <w:highlight w:val="none"/>
          <w:lang w:val="en-US" w:eastAsia="zh-CN"/>
        </w:rPr>
        <w:t>大额资金使用管理制度、经费支出管理办法等一系列</w:t>
      </w: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内部控制制度</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。故B21指标得满分1.00分。</w:t>
      </w:r>
    </w:p>
    <w:p w14:paraId="10446170">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B22资金使用合规性</w:t>
      </w:r>
    </w:p>
    <w:p w14:paraId="1FF016AC">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部门整体资金使用符合国家财经法规和财务管理制度规定以及有关专项资金管理办法的规定，资金的拨付具有完整的审批程序和手续，资金使用符合部门预算批复的用途，未发现截留、挤占、挪用、虚列支出等情况发生。</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故B22指标得满分4.00分。</w:t>
      </w:r>
    </w:p>
    <w:p w14:paraId="75DC1669">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B23财务监控的有效性</w:t>
      </w:r>
    </w:p>
    <w:p w14:paraId="5CF612E2">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昆明市生态环境局盘龙分局按照部门预算管理、收支管理、采购管理等内部控制流程，有效监督部门资金使用情况，并定期上报资金使用情况，根据实际情况</w:t>
      </w:r>
      <w:r>
        <w:rPr>
          <w:rFonts w:hint="eastAsia" w:ascii="Times New Roman" w:hAnsi="Times New Roman" w:eastAsia="仿宋_GB2312" w:cs="仿宋_GB2312"/>
          <w:sz w:val="28"/>
          <w:szCs w:val="28"/>
        </w:rPr>
        <w:t>委托第三方审计机构对专项资金进行审计</w:t>
      </w:r>
      <w:r>
        <w:rPr>
          <w:rFonts w:hint="eastAsia" w:ascii="Times New Roman" w:hAnsi="Times New Roman" w:eastAsia="仿宋_GB2312" w:cs="仿宋_GB2312"/>
          <w:sz w:val="28"/>
          <w:szCs w:val="28"/>
          <w:lang w:eastAsia="zh-CN"/>
        </w:rPr>
        <w:t>。</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故B23指标得满分1.00分。</w:t>
      </w:r>
    </w:p>
    <w:p w14:paraId="7C253579">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B3人力资源管理</w:t>
      </w:r>
    </w:p>
    <w:p w14:paraId="28F84E99">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B31在职人员控制率</w:t>
      </w:r>
    </w:p>
    <w:p w14:paraId="576B6D7B">
      <w:pPr>
        <w:spacing w:line="590" w:lineRule="exact"/>
        <w:ind w:firstLine="584" w:firstLineChars="200"/>
        <w:rPr>
          <w:rFonts w:hint="default"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spacing w:val="6"/>
          <w:kern w:val="0"/>
          <w:sz w:val="28"/>
          <w:szCs w:val="28"/>
          <w:lang w:val="en-US" w:eastAsia="zh-CN"/>
        </w:rPr>
        <w:t>昆明市生态环境局盘龙分局</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2019年编制人数51人，在职人数为46人，在职人员控制率为90.2%。故B31指标得满分1.00分。</w:t>
      </w:r>
    </w:p>
    <w:p w14:paraId="10F618D3">
      <w:pPr>
        <w:spacing w:line="590" w:lineRule="exact"/>
        <w:ind w:firstLine="584" w:firstLineChars="200"/>
        <w:rPr>
          <w:rFonts w:hint="eastAsia"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B32人力资源管理执行情况</w:t>
      </w:r>
    </w:p>
    <w:p w14:paraId="7837A241">
      <w:pPr>
        <w:spacing w:line="590" w:lineRule="exact"/>
        <w:ind w:firstLine="584" w:firstLineChars="200"/>
        <w:rPr>
          <w:rFonts w:hint="default"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spacing w:val="6"/>
          <w:kern w:val="0"/>
          <w:sz w:val="28"/>
          <w:szCs w:val="28"/>
          <w:lang w:val="en-US" w:eastAsia="zh-CN"/>
        </w:rPr>
        <w:t>昆明市生态环境局盘龙分局</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制定的内部控制制度中包括了在编、派遣、临时员工的管理，也同时包括招聘、培训、工资发放及考核制度。故B32指标得满分1.00分。</w:t>
      </w:r>
    </w:p>
    <w:p w14:paraId="01A7E268">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B4资产管理</w:t>
      </w:r>
    </w:p>
    <w:p w14:paraId="371D3819">
      <w:pPr>
        <w:spacing w:line="590" w:lineRule="exact"/>
        <w:ind w:firstLine="584" w:firstLineChars="200"/>
        <w:rPr>
          <w:rFonts w:hint="eastAsia"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B41资产管理制度健全性及执行情况</w:t>
      </w:r>
    </w:p>
    <w:p w14:paraId="179020E9">
      <w:pPr>
        <w:spacing w:line="590" w:lineRule="exact"/>
        <w:ind w:firstLine="584" w:firstLineChars="200"/>
        <w:rPr>
          <w:rFonts w:hint="eastAsia" w:ascii="仿宋_GB2312" w:hAnsi="仿宋" w:eastAsia="仿宋_GB2312"/>
          <w:color w:val="FF0000"/>
          <w:spacing w:val="6"/>
          <w:kern w:val="0"/>
          <w:sz w:val="28"/>
          <w:szCs w:val="28"/>
          <w:lang w:val="en-US" w:eastAsia="zh-CN"/>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昆明市生态环境局盘龙分局按照《昆明市生态环境局盘龙分局国有资产管理内部控制制度》的要求，对单位国有资产管理进行规范和加强管理，维护国有资产的安全和完整，提高国有资产使用效益，相关管理制度得到有效执行。故B41指标得分为满分1.00分。</w:t>
      </w:r>
    </w:p>
    <w:p w14:paraId="63BDC71F">
      <w:pPr>
        <w:spacing w:line="590" w:lineRule="exact"/>
        <w:ind w:firstLine="584" w:firstLineChars="200"/>
        <w:rPr>
          <w:rFonts w:hint="eastAsia"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B42固定资产在用率</w:t>
      </w:r>
    </w:p>
    <w:p w14:paraId="5E7136C6">
      <w:pPr>
        <w:spacing w:line="590" w:lineRule="exact"/>
        <w:ind w:firstLine="584" w:firstLineChars="200"/>
        <w:rPr>
          <w:rFonts w:hint="eastAsia"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截至2019年年末，昆明市生态环境局盘龙分局固定资产总值为1555.6万元，实际在用固定资产价值1555.6万元，固定资产在用率达100%。根据指标评分标准，B42指标得分为满分1.00分。</w:t>
      </w:r>
    </w:p>
    <w:p w14:paraId="085CC76E">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B5业务管理</w:t>
      </w:r>
    </w:p>
    <w:p w14:paraId="4930BE8C">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B51业务管理制度健全性及执行情况</w:t>
      </w:r>
    </w:p>
    <w:p w14:paraId="285BA8EE">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昆明市生态环境局盘龙分局</w:t>
      </w:r>
      <w:r>
        <w:rPr>
          <w:rFonts w:hint="eastAsia" w:ascii="仿宋_GB2312" w:hAnsi="仿宋" w:eastAsia="仿宋_GB2312"/>
          <w:spacing w:val="6"/>
          <w:kern w:val="0"/>
          <w:sz w:val="28"/>
          <w:szCs w:val="28"/>
          <w:lang w:val="en-US" w:eastAsia="zh-CN"/>
        </w:rPr>
        <w:t>各项业务工作均有相应的政策文件，未发现有违反业务管理制度的情况。故B51指标得分为满分1.00分。</w:t>
      </w:r>
    </w:p>
    <w:p w14:paraId="11D99F1B">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B52政府采购规范性</w:t>
      </w:r>
    </w:p>
    <w:p w14:paraId="4189286B">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2019年</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昆明市生态环境局盘龙分局</w:t>
      </w:r>
      <w:r>
        <w:rPr>
          <w:rFonts w:hint="eastAsia" w:ascii="仿宋_GB2312" w:hAnsi="仿宋" w:eastAsia="仿宋_GB2312"/>
          <w:spacing w:val="6"/>
          <w:kern w:val="0"/>
          <w:sz w:val="28"/>
          <w:szCs w:val="28"/>
          <w:lang w:val="en-US" w:eastAsia="zh-CN"/>
        </w:rPr>
        <w:t>政府采购根据《中华人民共和国政府采购法》（简称“政府采购法”）、财政部74号令《政府采购非招标采购方式管理办法》委托代理机构进行了相应的招投标工作，均顺利开标确定中标单位。采购程序均上报上级部门审批，集中采购的项目档案资料规范、齐全，分散采购项目资料规范留存管理。故B52指标得分为满分1.00分。</w:t>
      </w:r>
    </w:p>
    <w:p w14:paraId="0DE4AC6F">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B53监督考核情况</w:t>
      </w:r>
    </w:p>
    <w:p w14:paraId="6B7A7CCA">
      <w:pPr>
        <w:keepNext w:val="0"/>
        <w:keepLines w:val="0"/>
        <w:widowControl/>
        <w:suppressLineNumbers w:val="0"/>
        <w:ind w:firstLine="584" w:firstLineChars="200"/>
        <w:jc w:val="left"/>
        <w:rPr>
          <w:rFonts w:hint="default" w:ascii="仿宋_GB2312" w:hAnsi="仿宋" w:eastAsia="仿宋_GB2312"/>
          <w:spacing w:val="6"/>
          <w:kern w:val="0"/>
          <w:sz w:val="28"/>
          <w:szCs w:val="28"/>
          <w:lang w:val="en-US" w:eastAsia="zh-CN"/>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昆明市生态环境局盘龙分局分别</w:t>
      </w:r>
      <w:r>
        <w:rPr>
          <w:rFonts w:hint="eastAsia" w:ascii="仿宋_GB2312" w:hAnsi="仿宋" w:eastAsia="仿宋_GB2312"/>
          <w:spacing w:val="6"/>
          <w:kern w:val="0"/>
          <w:sz w:val="28"/>
          <w:szCs w:val="28"/>
          <w:lang w:val="en-US" w:eastAsia="zh-CN"/>
        </w:rPr>
        <w:t>从预算管理、收支管理、采购管理、国有资产管理、建设项目管理、合同管理等多方面制定了内控制度管理流程及其相应制度，对部门决策、执行全过程监督考核，覆盖部门的各种经济业务和事项。故B53指标得满分1.00分。</w:t>
      </w:r>
    </w:p>
    <w:p w14:paraId="3F18D8E2">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C部门产出</w:t>
      </w:r>
    </w:p>
    <w:p w14:paraId="120103EE">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C1产出数量</w:t>
      </w:r>
    </w:p>
    <w:p w14:paraId="24864001">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C11污染防治工作完成情况</w:t>
      </w:r>
    </w:p>
    <w:p w14:paraId="0B2864A2">
      <w:pPr>
        <w:keepNext w:val="0"/>
        <w:keepLines w:val="0"/>
        <w:widowControl/>
        <w:suppressLineNumbers w:val="0"/>
        <w:ind w:firstLine="584" w:firstLineChars="200"/>
        <w:jc w:val="both"/>
        <w:textAlignment w:val="center"/>
        <w:rPr>
          <w:rFonts w:hint="default"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2019年</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昆明市生态环境局盘龙分局</w:t>
      </w:r>
      <w:r>
        <w:rPr>
          <w:rFonts w:hint="eastAsia" w:ascii="仿宋_GB2312" w:hAnsi="仿宋" w:eastAsia="仿宋_GB2312" w:cs="Times New Roman"/>
          <w:spacing w:val="6"/>
          <w:kern w:val="0"/>
          <w:sz w:val="28"/>
          <w:szCs w:val="28"/>
          <w:lang w:val="en-US" w:eastAsia="zh-CN"/>
        </w:rPr>
        <w:t>污染防治工作完成了31个城市更新改造项目施工工地的大气污染防治检查任务；完成一、二级道路每日机械化冲洗除尘2次、每日洒水4次，交通隔离栏（护栏）每2天清洗1次，共出动洗路车及洒水车10900多辆次，安排21000多人次清洗交通隔离栏，完成394190多万平方米主次道路洒水降尘和道路冲洗工作，用水量222621多吨；完成12个网格点的日常巡查工作；不断强化对滇池流域内河道巡查，严肃查处违法行为，推进九湖流域环境监察工作。除按照昆明市盘龙区人民政府办公室文件盘政办通〔2016〕25号关于《盘龙区入滇河道联动巡查工作实施方案》的通知要求，还按照市局要求，执行每周至少巡查1条河道的要求，并及时将照片及巡查情况上报上级部门。截止目前累计巡查河道72条次，已出动执法人员180人次。发现问题立即督促整改；开展排污许可证年检工作，其中年检168家，换证24家，经营单位变更9家。故C11指标得分为满分5.00分。</w:t>
      </w:r>
    </w:p>
    <w:p w14:paraId="44B88472">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C12创建省、市级绿色社区、学校数</w:t>
      </w:r>
    </w:p>
    <w:p w14:paraId="533F1786">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2019年</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昆明市生态环境局盘龙分局</w:t>
      </w:r>
      <w:r>
        <w:rPr>
          <w:rFonts w:hint="eastAsia" w:ascii="仿宋_GB2312" w:hAnsi="仿宋" w:eastAsia="仿宋_GB2312"/>
          <w:spacing w:val="6"/>
          <w:kern w:val="0"/>
          <w:sz w:val="28"/>
          <w:szCs w:val="28"/>
          <w:lang w:val="en-US" w:eastAsia="zh-CN"/>
        </w:rPr>
        <w:t>深入开展“绿色创建”，完成4个学校（包括：昆明市盘龙区云南示范大学附属俊发城实验小学、昆明市盘龙区滇源中心学校、昆明市盘龙职业高级中学、盘龙区古幢小学）以及3个社区（联盟社区、滇源社区、阿子营社区）的申创培训和验收工作。故C11指标得分为满分4.00分。</w:t>
      </w:r>
    </w:p>
    <w:p w14:paraId="3C886861">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C13全年监测工作完成量</w:t>
      </w:r>
    </w:p>
    <w:p w14:paraId="3AAFECFD">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2019年完成辖区内地表水水质现场监测、采样、实验室项目分析工作。共完成9次市控2个断面、7个水库（小坝塘）以及牧羊河、冷水河、盘龙江上共计22个断面的监测采样，完成地表水、小坝塘、水库全项目分析，共获得水环境监测数据2088个；共采集雨样27次，完成监测数据324个；开展松华坝水源保护区土壤污染监测，监测共计50个监测采样点，监测项目为理化指标10项（pH、阳离子交换量、有机质、全氮、碱解氮、有效磷、速效钾、缓效钾、交换性镁、有效态锌），无机指标8项（汞、镉、砷、铅、铬、钒、铜、镍），有机指标2项（六六六、滴滴涕）。故C13指标得分为满分4.00分。</w:t>
      </w:r>
    </w:p>
    <w:p w14:paraId="1134DB81">
      <w:pPr>
        <w:adjustRightInd w:val="0"/>
        <w:spacing w:line="520" w:lineRule="exact"/>
        <w:ind w:firstLine="586" w:firstLineChars="200"/>
        <w:rPr>
          <w:rFonts w:hint="default" w:ascii="仿宋_GB2312" w:hAnsi="仿宋" w:eastAsia="仿宋_GB2312"/>
          <w:spacing w:val="6"/>
          <w:kern w:val="0"/>
          <w:sz w:val="28"/>
          <w:szCs w:val="28"/>
          <w:lang w:val="en-US" w:eastAsia="zh-CN"/>
        </w:rPr>
      </w:pPr>
      <w:r>
        <w:rPr>
          <w:rFonts w:hint="eastAsia" w:ascii="仿宋_GB2312" w:hAnsi="仿宋" w:eastAsia="仿宋_GB2312" w:cs="Times New Roman"/>
          <w:b/>
          <w:bCs/>
          <w:spacing w:val="6"/>
          <w:kern w:val="0"/>
          <w:sz w:val="28"/>
          <w:szCs w:val="28"/>
          <w:highlight w:val="none"/>
          <w:u w:val="none"/>
          <w:lang w:val="en-US" w:eastAsia="zh-CN" w:bidi="ar-SA"/>
        </w:rPr>
        <w:t>C2产出质量</w:t>
      </w:r>
    </w:p>
    <w:p w14:paraId="2599C2B4">
      <w:pPr>
        <w:spacing w:line="590" w:lineRule="exact"/>
        <w:ind w:firstLine="584" w:firstLineChars="200"/>
        <w:rPr>
          <w:rFonts w:hint="eastAsia"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C21环境宣传知晓率</w:t>
      </w:r>
    </w:p>
    <w:p w14:paraId="5B17B155">
      <w:p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昆明市生态环境局盘龙分局积极开展“元宵节暨扫黑除恶”、“关爱山川河流暨学雷锋”宣传活动，精心组织“国际生物多样性日”、“六·五”环境日、“守护昆明蓝天，防治大气污染”等多项主题宣传活动，联合拓东街道办事处、昆明市文明行动义工联合会、昆明市盘龙区教育体育局、昆明市盘龙区鼓楼街道办事处、中国移动通信集团云南有限公司昆明分公司中国电信云南有限公司昆明分公司、中国铁塔股份有限公司昆明市分公司以及环保志愿者在真庆文化广场、桃园广场、瀑布公园等多地进行生态环境保护宣传活动，呼吁社会公众增强大气污染防治知识，提升生态环境意识。并对辖区内受益群众进行问卷调查及走访了解，通过问卷调查分析得出环境宣传知晓率达100%。故C21指标得满分2.00分。</w:t>
      </w:r>
    </w:p>
    <w:p w14:paraId="3CA4F4E4">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C22成本控制情况</w:t>
      </w:r>
    </w:p>
    <w:p w14:paraId="2899F148">
      <w:pPr>
        <w:spacing w:line="590" w:lineRule="exact"/>
        <w:ind w:firstLine="584" w:firstLineChars="200"/>
        <w:rPr>
          <w:rFonts w:hint="default"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2019年</w:t>
      </w:r>
      <w:r>
        <w:rPr>
          <w:rFonts w:hint="eastAsia" w:ascii="仿宋_GB2312" w:hAnsi="仿宋" w:eastAsia="仿宋_GB2312"/>
          <w:spacing w:val="6"/>
          <w:kern w:val="0"/>
          <w:sz w:val="28"/>
          <w:szCs w:val="28"/>
          <w:lang w:val="en-US" w:eastAsia="zh-CN"/>
        </w:rPr>
        <w:t>昆明市生态环境局盘龙分局2019年基本支出成本控制率为99.17%。项目支出成本控制率为95.32%。根据评分标准，则B22指标得分为满分3.00分。</w:t>
      </w:r>
    </w:p>
    <w:p w14:paraId="3748AB86">
      <w:pPr>
        <w:adjustRightInd w:val="0"/>
        <w:spacing w:line="520" w:lineRule="exact"/>
        <w:ind w:firstLine="586" w:firstLineChars="200"/>
        <w:rPr>
          <w:rFonts w:hint="eastAsia" w:ascii="黑体" w:hAnsi="黑体" w:eastAsia="黑体" w:cs="宋体"/>
          <w:kern w:val="30"/>
          <w:sz w:val="30"/>
          <w:szCs w:val="30"/>
        </w:rPr>
      </w:pPr>
      <w:r>
        <w:rPr>
          <w:rFonts w:hint="eastAsia" w:ascii="仿宋_GB2312" w:hAnsi="仿宋" w:eastAsia="仿宋_GB2312" w:cs="Times New Roman"/>
          <w:b/>
          <w:bCs/>
          <w:spacing w:val="6"/>
          <w:kern w:val="0"/>
          <w:sz w:val="28"/>
          <w:szCs w:val="28"/>
          <w:highlight w:val="none"/>
          <w:u w:val="none"/>
          <w:lang w:val="en-US" w:eastAsia="zh-CN" w:bidi="ar-SA"/>
        </w:rPr>
        <w:t>C3产出时效</w:t>
      </w:r>
    </w:p>
    <w:p w14:paraId="04E61736">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C31任务完成及时率</w:t>
      </w:r>
    </w:p>
    <w:p w14:paraId="36AF4330">
      <w:pPr>
        <w:spacing w:line="590"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根据2019年</w:t>
      </w: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昆明市生态环境局盘龙分局年度工作计划，部门全年工作任务</w:t>
      </w:r>
      <w:r>
        <w:rPr>
          <w:rFonts w:hint="eastAsia" w:ascii="仿宋_GB2312" w:hAnsi="仿宋" w:eastAsia="仿宋_GB2312"/>
          <w:spacing w:val="6"/>
          <w:kern w:val="0"/>
          <w:sz w:val="28"/>
          <w:szCs w:val="28"/>
          <w:lang w:val="en-US" w:eastAsia="zh-CN"/>
        </w:rPr>
        <w:t>均年初既定目标按时完成。故C31指标得分为满分3分。</w:t>
      </w:r>
    </w:p>
    <w:p w14:paraId="07DF2E9A">
      <w:pPr>
        <w:adjustRightInd w:val="0"/>
        <w:spacing w:line="520" w:lineRule="exact"/>
        <w:ind w:firstLine="586" w:firstLineChars="20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D部门效果</w:t>
      </w:r>
    </w:p>
    <w:p w14:paraId="5EA60E5A">
      <w:pPr>
        <w:adjustRightInd w:val="0"/>
        <w:spacing w:line="520" w:lineRule="exact"/>
        <w:ind w:firstLine="586" w:firstLineChars="20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D1生态效益</w:t>
      </w:r>
    </w:p>
    <w:p w14:paraId="3A046037">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D11集中式饮水源地水质达标率</w:t>
      </w:r>
    </w:p>
    <w:p w14:paraId="451D3565">
      <w:pPr>
        <w:spacing w:line="590" w:lineRule="exact"/>
        <w:ind w:firstLine="584" w:firstLineChars="200"/>
        <w:rPr>
          <w:rFonts w:hint="default"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松华坝水库水源保护区是昆明市重要的饮用水源地，承担着昆明市城市生产生活用水任务。根据集中式饮用水原地水质检测报告及现场评价，松华坝水库达到Ⅱ类水标准，集中式饮用水原地水质达标率为100%。故D11指标得满分3.00分。</w:t>
      </w:r>
    </w:p>
    <w:p w14:paraId="3DDC5D2F">
      <w:pPr>
        <w:spacing w:line="590" w:lineRule="exact"/>
        <w:ind w:firstLine="584" w:firstLineChars="200"/>
        <w:rPr>
          <w:rFonts w:hint="eastAsia" w:ascii="仿宋_GB2312" w:hAnsi="仿宋" w:eastAsia="仿宋_GB2312"/>
          <w:color w:val="000000" w:themeColor="text1"/>
          <w:spacing w:val="6"/>
          <w:kern w:val="0"/>
          <w:sz w:val="28"/>
          <w:szCs w:val="28"/>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lang w:val="en-US" w:eastAsia="zh-CN"/>
          <w14:textFill>
            <w14:solidFill>
              <w14:schemeClr w14:val="tx1"/>
            </w14:solidFill>
          </w14:textFill>
        </w:rPr>
        <w:t>D12空气质量提升率</w:t>
      </w:r>
    </w:p>
    <w:p w14:paraId="34CB38F9">
      <w:pPr>
        <w:spacing w:line="590" w:lineRule="exact"/>
        <w:ind w:firstLine="584" w:firstLineChars="200"/>
        <w:rPr>
          <w:rFonts w:hint="default"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2019年盘龙区有2个大气国控监测点，全年有效监测天数365天，全区空气质量优良率98.9%，空气质量综合指数为3.39，主城五区排名第二；2018年1月1日至12月31日，从PM10、PM2.5、二氧化氮、二氧化硫、臭氧、一氧化碳等监测数据分析，盘龙区空气质量优良率为97.80%，空气质量综合指数为3.71；2019年较2018年空气质量优良率有所提升。故D12指标得分为满分3.00分。</w:t>
      </w:r>
    </w:p>
    <w:p w14:paraId="1CCF361C">
      <w:pPr>
        <w:spacing w:line="590" w:lineRule="exact"/>
        <w:ind w:firstLine="584" w:firstLineChars="200"/>
        <w:rPr>
          <w:rFonts w:hint="eastAsia" w:ascii="仿宋_GB2312" w:hAnsi="仿宋" w:eastAsia="仿宋_GB2312" w:cs="Times New Roman"/>
          <w:b w:val="0"/>
          <w:color w:val="000000" w:themeColor="text1"/>
          <w:spacing w:val="6"/>
          <w:kern w:val="0"/>
          <w:sz w:val="28"/>
          <w:szCs w:val="28"/>
          <w:lang w:val="en-US" w:eastAsia="zh-CN" w:bidi="ar-SA"/>
          <w14:textFill>
            <w14:solidFill>
              <w14:schemeClr w14:val="tx1"/>
            </w14:solidFill>
          </w14:textFill>
        </w:rPr>
      </w:pPr>
      <w:r>
        <w:rPr>
          <w:rFonts w:hint="eastAsia" w:ascii="仿宋_GB2312" w:hAnsi="仿宋" w:eastAsia="仿宋_GB2312" w:cs="Times New Roman"/>
          <w:b w:val="0"/>
          <w:color w:val="000000" w:themeColor="text1"/>
          <w:spacing w:val="6"/>
          <w:kern w:val="0"/>
          <w:sz w:val="28"/>
          <w:szCs w:val="28"/>
          <w:lang w:val="en-US" w:eastAsia="zh-CN" w:bidi="ar-SA"/>
          <w14:textFill>
            <w14:solidFill>
              <w14:schemeClr w14:val="tx1"/>
            </w14:solidFill>
          </w14:textFill>
        </w:rPr>
        <w:t>D13重点污染物削减有效性</w:t>
      </w:r>
    </w:p>
    <w:p w14:paraId="3F989C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4" w:firstLineChars="200"/>
        <w:jc w:val="both"/>
        <w:rPr>
          <w:rFonts w:hint="default" w:ascii="仿宋_GB2312" w:hAnsi="仿宋" w:eastAsia="仿宋_GB2312" w:cs="Times New Roman"/>
          <w:b w:val="0"/>
          <w:color w:val="000000" w:themeColor="text1"/>
          <w:spacing w:val="6"/>
          <w:kern w:val="0"/>
          <w:sz w:val="28"/>
          <w:szCs w:val="28"/>
          <w:lang w:val="en-US" w:eastAsia="zh-CN" w:bidi="ar-SA"/>
          <w14:textFill>
            <w14:solidFill>
              <w14:schemeClr w14:val="tx1"/>
            </w14:solidFill>
          </w14:textFill>
        </w:rPr>
      </w:pPr>
      <w:r>
        <w:rPr>
          <w:rFonts w:hint="eastAsia" w:ascii="仿宋_GB2312" w:hAnsi="仿宋" w:eastAsia="仿宋_GB2312" w:cs="Times New Roman"/>
          <w:b w:val="0"/>
          <w:color w:val="000000" w:themeColor="text1"/>
          <w:spacing w:val="6"/>
          <w:kern w:val="0"/>
          <w:sz w:val="28"/>
          <w:szCs w:val="28"/>
          <w:lang w:val="en-US" w:eastAsia="zh-CN" w:bidi="ar-SA"/>
          <w14:textFill>
            <w14:solidFill>
              <w14:schemeClr w14:val="tx1"/>
            </w14:solidFill>
          </w14:textFill>
        </w:rPr>
        <w:t>根据盘龙区2019年统计重点减排项目，第四水质净化厂完成COD削减3083.92吨、氨氮削减297.92吨，第五水质净化厂完成COD削减18508.65吨、氨氮削减1343.57吨，全区共计完成COD削减21592.57吨、氨氮削减1641.49吨。并每月按时将削减情况表上报市环保局。根据指标评分标准，D14指标得分为满分2.00分。</w:t>
      </w:r>
    </w:p>
    <w:p w14:paraId="6C4D6B33">
      <w:pPr>
        <w:adjustRightInd w:val="0"/>
        <w:spacing w:line="520" w:lineRule="exact"/>
        <w:ind w:firstLine="586" w:firstLineChars="20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D2社会效益</w:t>
      </w:r>
    </w:p>
    <w:p w14:paraId="08E5CD47">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D21区域环境提升性</w:t>
      </w:r>
    </w:p>
    <w:p w14:paraId="6CCDA572">
      <w:pPr>
        <w:spacing w:line="590" w:lineRule="exact"/>
        <w:ind w:firstLine="584" w:firstLineChars="200"/>
        <w:jc w:val="both"/>
        <w:rPr>
          <w:rFonts w:hint="eastAsia"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2019年盘龙区松华坝水质稳定达到三类水以上，空气优良天数达200天/年以上，噪声环境质量达标。并根据对盘龙区辖区内社会群众进行实地走访，发放调查问卷，通过分析了解盘龙区生态环境较上年有所提升，辖区内社会群众对昆明市生态环境局盘龙分局的各项环保工作予以支持。故D21指标得分为满分3.00分。</w:t>
      </w:r>
    </w:p>
    <w:p w14:paraId="0447C6AA">
      <w:pPr>
        <w:spacing w:line="590" w:lineRule="exact"/>
        <w:ind w:firstLine="584" w:firstLineChars="200"/>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D22投诉信访办结率</w:t>
      </w:r>
    </w:p>
    <w:p w14:paraId="42BAF1CE">
      <w:pPr>
        <w:spacing w:line="590" w:lineRule="exact"/>
        <w:ind w:firstLine="584" w:firstLineChars="200"/>
        <w:jc w:val="both"/>
        <w:rPr>
          <w:rFonts w:hint="default"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2019年昆明市生态环境局盘龙分局通过“12369”环保热线和“12345”、“微博舆情”和微信举报受理平台，及时办理各类投诉并按时反馈处理意见。加强对工业污染防治、城镇生活污染防治、农业农村污染防治、流域水生态保护、饮用水水源环境安全保障等重点环境投诉工作整改落实情况的监督检查，强化环境监管执法，高度重视环境投诉，依法及时有效解决群众反映的环境问题。共受理涉及污水、废气、噪声、渣土等各类环保投诉2703件。其中:“12345”960件、“12369”246件、省信访45件、市级督办件64件、区级督办件17件、本局投诉1371件，均按时限办结归档，确保信访结案率100%；共接到43件关于移动基站电磁辐射投诉件（其中市局交办14件、12369环保热线1件、12345市长热线21件、本局环保热线7件），处理微博投诉9件，均得到满意回复。做到了件件有落实，事事有回复，群众满意度高。故D22指标最终得分为满分3.00分。</w:t>
      </w:r>
    </w:p>
    <w:p w14:paraId="6762E558">
      <w:pPr>
        <w:adjustRightInd w:val="0"/>
        <w:spacing w:line="520" w:lineRule="exact"/>
        <w:ind w:firstLine="586" w:firstLineChars="200"/>
        <w:rPr>
          <w:rFonts w:hint="eastAsia" w:ascii="黑体" w:hAnsi="黑体" w:eastAsia="黑体" w:cs="宋体"/>
          <w:kern w:val="30"/>
          <w:sz w:val="30"/>
          <w:szCs w:val="30"/>
        </w:rPr>
      </w:pPr>
      <w:r>
        <w:rPr>
          <w:rFonts w:hint="eastAsia" w:ascii="仿宋_GB2312" w:hAnsi="仿宋" w:eastAsia="仿宋_GB2312" w:cs="Times New Roman"/>
          <w:b/>
          <w:bCs/>
          <w:spacing w:val="6"/>
          <w:kern w:val="0"/>
          <w:sz w:val="28"/>
          <w:szCs w:val="28"/>
          <w:highlight w:val="none"/>
          <w:u w:val="none"/>
          <w:lang w:val="en-US" w:eastAsia="zh-CN" w:bidi="ar-SA"/>
        </w:rPr>
        <w:t>D3满意度</w:t>
      </w:r>
    </w:p>
    <w:p w14:paraId="0FE94F58">
      <w:pPr>
        <w:adjustRightInd w:val="0"/>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D31受益群众满意度</w:t>
      </w:r>
    </w:p>
    <w:p w14:paraId="312EF87F">
      <w:pPr>
        <w:numPr>
          <w:ilvl w:val="0"/>
          <w:numId w:val="0"/>
        </w:numPr>
        <w:spacing w:line="579"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cs="Times New Roman"/>
          <w:b w:val="0"/>
          <w:bCs w:val="0"/>
          <w:spacing w:val="6"/>
          <w:kern w:val="0"/>
          <w:sz w:val="28"/>
          <w:szCs w:val="28"/>
          <w:highlight w:val="none"/>
          <w:u w:val="none"/>
          <w:lang w:val="en-US" w:eastAsia="zh-CN" w:bidi="ar-SA"/>
        </w:rPr>
        <w:t>本次2019年昆明市生态环境局盘龙分局共计发放调查问卷60分， 回收的60份有效问卷。根据回收有效问卷计算，满意问卷（问卷得分80分及以上）56份，不满意问卷（问卷的风80分以下）8份。根据满意度计算公式：满意度=满意问卷份数/有效问卷份数×100%，2019年昆明市生态环境局盘龙分局部门整体支出盘龙区受益群众最终满意度=56/60*100%=93.33%。</w:t>
      </w:r>
      <w:r>
        <w:rPr>
          <w:rFonts w:hint="eastAsia" w:ascii="仿宋_GB2312" w:hAnsi="仿宋" w:eastAsia="仿宋_GB2312" w:cs="Times New Roman"/>
          <w:b w:val="0"/>
          <w:color w:val="000000" w:themeColor="text1"/>
          <w:spacing w:val="6"/>
          <w:kern w:val="0"/>
          <w:sz w:val="28"/>
          <w:szCs w:val="28"/>
          <w:lang w:val="en-US" w:eastAsia="zh-CN" w:bidi="ar-SA"/>
          <w14:textFill>
            <w14:solidFill>
              <w14:schemeClr w14:val="tx1"/>
            </w14:solidFill>
          </w14:textFill>
        </w:rPr>
        <w:t>根据指标评分标准，</w:t>
      </w:r>
      <w:r>
        <w:rPr>
          <w:rFonts w:hint="eastAsia" w:ascii="仿宋_GB2312" w:hAnsi="仿宋" w:eastAsia="仿宋_GB2312" w:cs="Times New Roman"/>
          <w:spacing w:val="6"/>
          <w:kern w:val="0"/>
          <w:sz w:val="28"/>
          <w:szCs w:val="28"/>
          <w:lang w:val="en-US" w:eastAsia="zh-CN"/>
        </w:rPr>
        <w:t>故D31指标最终得分为3.00分。</w:t>
      </w:r>
    </w:p>
    <w:p w14:paraId="6CD2F1D5">
      <w:pPr>
        <w:adjustRightInd w:val="0"/>
        <w:spacing w:line="520" w:lineRule="exact"/>
        <w:ind w:firstLine="586" w:firstLineChars="20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D4部门可持续发展</w:t>
      </w:r>
    </w:p>
    <w:p w14:paraId="6D69E2DB">
      <w:pPr>
        <w:spacing w:line="59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D41队伍建设情况</w:t>
      </w:r>
    </w:p>
    <w:p w14:paraId="59FA37DA">
      <w:pPr>
        <w:spacing w:line="57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在党建工作方面，昆明市生态环境局盘龙分局坚持以政治建设为统领，把旗帜鲜明讲政治的要求融入各项工作，牢固树立“四个意识”，坚决维护以习近平同志为核心的党中央权威。坚持从习近平新时代中国特色社会主义思想宝库中汲取精神，深入学习贯彻党的十九大精神，持续推进“两学一做”常态化制度化，严格执行民主集中制，认真落实“三重一大”集体决策制度。</w:t>
      </w:r>
    </w:p>
    <w:p w14:paraId="23B47745">
      <w:pPr>
        <w:spacing w:line="570"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在实际工作方面，不断提升部门人员技能和队伍整体素质，使监察执法人员熟悉环保法规，提高执法效率，熟悉企业生产工艺，提高监察执法水平，熟悉区域环境状况，提高监察执法的反应速率，加强思想道德、职业规范和廉政勤政的教育，规范并约束监察人员执法行为，继续深入学习改进工作作风密切联系群众的八项规定，从身边的反腐倡廉事例中得到深刻教训，做到警钟长鸣，促进队伍遵纪守法的自觉性，提高依法行政的能力。有针对性地开展学习教育活动，加强人员培训，强化内部管理，规范监测程序；组织全站人员进行实验室安全培训、实验室纯水制备要求和仪器设备的维护、实验室办公室消防安全培训。参加《2019年云南省昆明市环境监测采样监测技术培训班》，并取得上岗证。在今后的工作中，制定实验室安全操作规范，实行安全作业检查，督查操作人员养成良好的实验习惯，切实保障实验室安全；要求部门人员不断学习，2019年6月11日-14日，盘龙环境分局积极组织参加2019年省级绿色创建培训；组织开展第二次全国污染源普查入户调查与数据采集阶段质量核查反馈及审核部署培训。故D41指标得分为满分2.00分。</w:t>
      </w:r>
    </w:p>
    <w:p w14:paraId="7B28E054">
      <w:pPr>
        <w:keepNext w:val="0"/>
        <w:keepLines w:val="0"/>
        <w:pageBreakBefore w:val="0"/>
        <w:widowControl w:val="0"/>
        <w:kinsoku/>
        <w:wordWrap/>
        <w:overflow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D42信息共享、公开情况</w:t>
      </w:r>
    </w:p>
    <w:p w14:paraId="0F4E27E4">
      <w:pPr>
        <w:spacing w:line="600" w:lineRule="exact"/>
        <w:ind w:firstLine="645"/>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依法、主动、及时、准确公开政府信息，不断增强政府信息公开实效。2019年昆明市生态环境局盘龙分局政府信息与政务公开工作规范及时，充分</w:t>
      </w:r>
      <w:r>
        <w:rPr>
          <w:rFonts w:hint="eastAsia" w:ascii="仿宋_GB2312" w:hAnsi="仿宋" w:eastAsia="仿宋_GB2312"/>
          <w:spacing w:val="6"/>
          <w:kern w:val="0"/>
          <w:sz w:val="28"/>
          <w:szCs w:val="28"/>
          <w:lang w:val="zh-CN" w:eastAsia="zh-CN"/>
        </w:rPr>
        <w:t>利用官方微博、面向公众及时发布</w:t>
      </w:r>
      <w:r>
        <w:rPr>
          <w:rFonts w:hint="eastAsia" w:ascii="仿宋_GB2312" w:hAnsi="仿宋" w:eastAsia="仿宋_GB2312"/>
          <w:spacing w:val="6"/>
          <w:kern w:val="0"/>
          <w:sz w:val="28"/>
          <w:szCs w:val="28"/>
          <w:lang w:val="en-US" w:eastAsia="zh-CN"/>
        </w:rPr>
        <w:t>全区环境保护、污染治理等</w:t>
      </w:r>
      <w:r>
        <w:rPr>
          <w:rFonts w:hint="eastAsia" w:ascii="仿宋_GB2312" w:hAnsi="仿宋" w:eastAsia="仿宋_GB2312"/>
          <w:spacing w:val="6"/>
          <w:kern w:val="0"/>
          <w:sz w:val="28"/>
          <w:szCs w:val="28"/>
          <w:lang w:val="zh-CN" w:eastAsia="zh-CN"/>
        </w:rPr>
        <w:t>信息。</w:t>
      </w:r>
      <w:r>
        <w:rPr>
          <w:rFonts w:hint="eastAsia" w:ascii="仿宋_GB2312" w:hAnsi="仿宋" w:eastAsia="仿宋_GB2312"/>
          <w:spacing w:val="6"/>
          <w:kern w:val="0"/>
          <w:sz w:val="28"/>
          <w:szCs w:val="28"/>
          <w:lang w:val="en-US" w:eastAsia="zh-CN"/>
        </w:rPr>
        <w:t>对督查期间反映问题的办理过程加大信息公开力度，“盘龙政务信息公开网”（http://pl.km.gov.cn/）上公开了108件交办件办理情况。共刊发中央环境保护督察“回头看”稿件520篇（条），其中昆明日报20篇、昆明电视台16条、昆明信息港（中国昆明）130篇，区属媒体各平台共354篇；与《昆明日报》和《春城晚报》等主流报刊媒体合作，加强我区环保生态文明建设报道力度，已刊载各类环保工作信息36篇，订阅《中国环境报》112份，超额完成征订任务；每年按照区财政要求，在规定时限内报送部门预决算信息、绩效信息及其他信息。故D42指标得分为满分2.00。</w:t>
      </w:r>
    </w:p>
    <w:p w14:paraId="7EAF97BC">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D43长效管理创新情况</w:t>
      </w:r>
    </w:p>
    <w:p w14:paraId="51A5F709">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切实推进审批制度改革，实现网上审批服务，简政为民。持续深化“放管服”改革，完善权责清单动态管理，对行政许可事项进行认真清理和网上公示，不断完善“互联网+政务服务”工作体系，开辟重大项目“绿色通道”，优化项目环保审批流程，切实做到服务业主“零距离”、办事效率“零延误”、项目入驻“零障碍”、生产经营“零干扰”。严格执行中央、省、市要求取消的行政审批事项承接和取消工作，严格落实国家环保部系列行政审批事权改革制度，进一步清理和公开行政审批权力清单和责任清单，将保留的4项行政许可事项录入“数字盘龙与社会治理公共服务平台” ，实现受理、办理、查询、反馈及审批全流程网上服务。让办事群众“最多跑一次”即可知规合法经营，在审批工作中不设“路障”、多开“绿灯”，切实做到便民利民。</w:t>
      </w:r>
    </w:p>
    <w:p w14:paraId="36C520E0">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为更好的服务人民群众，使手续办理、投诉处理等更为便捷，积极配合全区深化行政执法体制改革工作的有序推进，配合完成统一监管新体制的建立，及建立“三合一”模式，一个窗口办事、一个渠道投诉、一支队伍执法服务和监管，使环境监察工作高效、有序的展开，并切实增强责任意识和忧患意识，坚定信心，迎难而上，抓住重点，突破难点，创造亮点，努力开创环境监察工作新局面。故D43指标得分为满分2.00分。</w:t>
      </w:r>
    </w:p>
    <w:p w14:paraId="6AF847A4">
      <w:pPr>
        <w:keepNext w:val="0"/>
        <w:keepLines w:val="0"/>
        <w:pageBreakBefore w:val="0"/>
        <w:widowControl w:val="0"/>
        <w:numPr>
          <w:ilvl w:val="0"/>
          <w:numId w:val="0"/>
        </w:numPr>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600" w:firstLineChars="200"/>
        <w:textAlignment w:val="auto"/>
        <w:rPr>
          <w:rFonts w:hint="eastAsia" w:ascii="黑体" w:hAnsi="黑体" w:eastAsia="黑体" w:cs="宋体"/>
          <w:kern w:val="30"/>
          <w:sz w:val="30"/>
          <w:szCs w:val="30"/>
        </w:rPr>
      </w:pPr>
      <w:r>
        <w:rPr>
          <w:rFonts w:hint="eastAsia" w:ascii="黑体" w:hAnsi="黑体" w:eastAsia="黑体" w:cs="宋体"/>
          <w:kern w:val="30"/>
          <w:sz w:val="30"/>
          <w:szCs w:val="30"/>
          <w:lang w:val="en-US" w:eastAsia="zh-CN"/>
        </w:rPr>
        <w:t>五、</w:t>
      </w:r>
      <w:r>
        <w:rPr>
          <w:rFonts w:hint="eastAsia" w:ascii="黑体" w:hAnsi="黑体" w:eastAsia="黑体" w:cs="宋体"/>
          <w:kern w:val="30"/>
          <w:sz w:val="30"/>
          <w:szCs w:val="30"/>
        </w:rPr>
        <w:t>主要经验做法</w:t>
      </w:r>
    </w:p>
    <w:p w14:paraId="0B06EBCD">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zh-CN" w:eastAsia="zh-CN"/>
        </w:rPr>
      </w:pPr>
      <w:r>
        <w:rPr>
          <w:rFonts w:hint="eastAsia" w:ascii="仿宋_GB2312" w:hAnsi="仿宋" w:eastAsia="仿宋_GB2312"/>
          <w:spacing w:val="6"/>
          <w:kern w:val="0"/>
          <w:sz w:val="28"/>
          <w:szCs w:val="28"/>
          <w:lang w:val="en-US" w:eastAsia="zh-CN"/>
        </w:rPr>
        <w:t>1.</w:t>
      </w:r>
      <w:r>
        <w:rPr>
          <w:rFonts w:hint="eastAsia" w:ascii="仿宋_GB2312" w:hAnsi="仿宋" w:eastAsia="仿宋_GB2312"/>
          <w:spacing w:val="6"/>
          <w:kern w:val="0"/>
          <w:sz w:val="28"/>
          <w:szCs w:val="28"/>
          <w:lang w:val="zh-CN" w:eastAsia="zh-CN"/>
        </w:rPr>
        <w:t>智慧化管理水平</w:t>
      </w:r>
      <w:r>
        <w:rPr>
          <w:rFonts w:hint="eastAsia" w:ascii="仿宋_GB2312" w:hAnsi="仿宋" w:eastAsia="仿宋_GB2312"/>
          <w:spacing w:val="6"/>
          <w:kern w:val="0"/>
          <w:sz w:val="28"/>
          <w:szCs w:val="28"/>
          <w:lang w:val="en-US" w:eastAsia="zh-CN"/>
        </w:rPr>
        <w:t>不断</w:t>
      </w:r>
      <w:r>
        <w:rPr>
          <w:rFonts w:hint="eastAsia" w:ascii="仿宋_GB2312" w:hAnsi="仿宋" w:eastAsia="仿宋_GB2312"/>
          <w:spacing w:val="6"/>
          <w:kern w:val="0"/>
          <w:sz w:val="28"/>
          <w:szCs w:val="28"/>
          <w:lang w:val="zh-CN" w:eastAsia="zh-CN"/>
        </w:rPr>
        <w:t>提升</w:t>
      </w:r>
    </w:p>
    <w:p w14:paraId="60934A50">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584" w:firstLineChars="200"/>
        <w:textAlignment w:val="auto"/>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昆明市生态环境局盘龙分局2019年部门管理工作以群众满意度为抓手，不断优化部门管理工作，以环保专项行动及中央环保督查为推手，做好信访投诉工作，畅通信访热线，保护群众环境权益，认真处理群众环境投诉，畅通“12369”环境污染举报热线，做到24小时不脱岗，确保有诉必接，有接必查，有查必果、有果必复；强化“统一指挥，受理及时，处理到位”的工作模式，受理群众环境污染举报要及时出现场、限时办结、回访到位，提高环境信访案件的处理能力和效率，按时限办结归档，确保信访结案率100%；建立“三合一”模式，一个窗口办事、一个渠道投诉、一支队伍执法服务和监管，提升社会群众满意率；制定并实施《盘龙区大气污染防治网格化、精细化、科技化管理实施方案》，选取全区两个重点区域，设置16个网格点，建立网格化监测预警体系，通过空气质量传感器，及时获取网格内大气环境质量数据，利用离散统计和空间相关性技术，通过设定污染关注区间计算区域内污染累积分布概率，找到潜在污染源位置,及时进行污染源分析，通报分析结果，建立网格化管理体系，明确管理职责，迅速开展处置工作，不断提升部门精细化、智慧化、科技化工作能力。</w:t>
      </w:r>
    </w:p>
    <w:p w14:paraId="093F9896">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624" w:firstLineChars="200"/>
        <w:textAlignment w:val="auto"/>
        <w:rPr>
          <w:rFonts w:hint="eastAsia" w:ascii="黑体" w:hAnsi="黑体" w:eastAsia="黑体" w:cs="黑体"/>
          <w:spacing w:val="6"/>
          <w:kern w:val="0"/>
          <w:sz w:val="30"/>
          <w:szCs w:val="30"/>
          <w:lang w:val="en-US" w:eastAsia="zh-CN"/>
        </w:rPr>
      </w:pPr>
      <w:r>
        <w:rPr>
          <w:rFonts w:hint="eastAsia" w:ascii="黑体" w:hAnsi="黑体" w:eastAsia="黑体" w:cs="黑体"/>
          <w:spacing w:val="6"/>
          <w:kern w:val="0"/>
          <w:sz w:val="30"/>
          <w:szCs w:val="30"/>
          <w:lang w:val="en-US" w:eastAsia="zh-CN"/>
        </w:rPr>
        <w:t>六、存在的问题</w:t>
      </w:r>
    </w:p>
    <w:p w14:paraId="35DB84AB">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1.绩效管理工作不规范</w:t>
      </w:r>
    </w:p>
    <w:p w14:paraId="567BD916">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584" w:firstLineChars="200"/>
        <w:textAlignment w:val="auto"/>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根据实地评价发现，由于绩效管理工作不规范，导致2019年昆明市生态环境局盘龙分局设定的部分工作目标无法量化，设定的工作目标不够明确和具体，且未对部门目标及部门全部工作设定详细工作计划，根据2019年《部门整体支出绩效目标申报表》，所设置的绩效指标不够清晰，可衡量度不高，绩效目标设置不完善，无法客观完整的体现项目产出和效果，未将绩效目标细化分解为清晰、可衡量的绩效指标，指标与目标的匹配程度不高，</w:t>
      </w:r>
    </w:p>
    <w:p w14:paraId="41701CAC">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624" w:firstLineChars="200"/>
        <w:textAlignment w:val="auto"/>
        <w:rPr>
          <w:rFonts w:hint="eastAsia" w:ascii="黑体" w:hAnsi="黑体" w:eastAsia="黑体" w:cs="黑体"/>
          <w:spacing w:val="6"/>
          <w:kern w:val="0"/>
          <w:sz w:val="30"/>
          <w:szCs w:val="30"/>
          <w:lang w:val="en-US" w:eastAsia="zh-CN"/>
        </w:rPr>
      </w:pPr>
      <w:r>
        <w:rPr>
          <w:rFonts w:hint="eastAsia" w:ascii="黑体" w:hAnsi="黑体" w:eastAsia="黑体" w:cs="黑体"/>
          <w:spacing w:val="6"/>
          <w:kern w:val="0"/>
          <w:sz w:val="30"/>
          <w:szCs w:val="30"/>
          <w:lang w:val="en-US" w:eastAsia="zh-CN"/>
        </w:rPr>
        <w:t>七、改进措施及建议</w:t>
      </w:r>
    </w:p>
    <w:p w14:paraId="11E9DBDD">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1.认真落实绩效管理</w:t>
      </w:r>
    </w:p>
    <w:p w14:paraId="1F5D66E2">
      <w:pPr>
        <w:keepNext w:val="0"/>
        <w:keepLines w:val="0"/>
        <w:pageBreakBefore w:val="0"/>
        <w:widowControl w:val="0"/>
        <w:pBdr>
          <w:top w:val="single" w:color="FFFFFF" w:sz="4" w:space="0"/>
          <w:left w:val="single" w:color="FFFFFF" w:sz="4" w:space="31"/>
          <w:bottom w:val="single" w:color="FFFFFF" w:sz="4" w:space="31"/>
          <w:right w:val="single" w:color="FFFFFF" w:sz="4" w:space="12"/>
        </w:pBdr>
        <w:kinsoku/>
        <w:wordWrap/>
        <w:overflowPunct/>
        <w:topLinePunct/>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lang w:val="en-US" w:eastAsia="zh-CN"/>
        </w:rPr>
        <w:t>建议加强部门绩效目标申报基础工作，不断提高绩效目标表编报水平，把加强预算绩效管理作为一项重要的基础工作来抓，加强财政预算前期管理，理清本单位预算管理的总体思路、具体方案和阶段目标，细化部门年度工作计划，将其分为重点目标、职能目标、争取目标以及党建目标。在编报绩效目标申报表时，根据项目年度工作任务或计划，注意所细化分解的绩效指标的完整性，确保绩效指标能充分支撑绩效目标；规范填写《部门项目支</w:t>
      </w:r>
      <w:r>
        <w:rPr>
          <w:rFonts w:hint="eastAsia" w:ascii="仿宋_GB2312" w:hAnsi="仿宋" w:eastAsia="仿宋_GB2312" w:cs="Times New Roman"/>
          <w:spacing w:val="6"/>
          <w:kern w:val="0"/>
          <w:sz w:val="28"/>
          <w:szCs w:val="28"/>
          <w:highlight w:val="none"/>
          <w:lang w:val="en-US" w:eastAsia="zh-CN"/>
        </w:rPr>
        <w:t>出绩效目标申报表》，细化绩效指标。项目实施单位应根据项目特点，在设</w:t>
      </w:r>
      <w:r>
        <w:rPr>
          <w:rFonts w:hint="eastAsia" w:ascii="仿宋_GB2312" w:hAnsi="仿宋" w:eastAsia="仿宋_GB2312"/>
          <w:spacing w:val="6"/>
          <w:kern w:val="0"/>
          <w:sz w:val="28"/>
          <w:szCs w:val="28"/>
          <w:lang w:val="en-US" w:eastAsia="zh-CN"/>
        </w:rPr>
        <w:t>置绩效目标时应重点突出专项资金使用对象的实施内容及相应绩效目标，有针对性的制定绩效目标，同时，要关注绩效指标的可考核性，可考虑从数量、质量、成本、进度等方面来设置绩效指标。</w:t>
      </w:r>
    </w:p>
    <w:p w14:paraId="041DF9D8">
      <w:pPr>
        <w:topLinePunct/>
        <w:jc w:val="center"/>
        <w:rPr>
          <w:rFonts w:hint="eastAsia"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val="en-US" w:eastAsia="zh-CN"/>
        </w:rPr>
        <w:t>大气自动站运行维护费项目支出绩效自评报告</w:t>
      </w:r>
    </w:p>
    <w:p w14:paraId="4CA708B2">
      <w:pPr>
        <w:topLinePunct/>
        <w:spacing w:line="579" w:lineRule="exact"/>
        <w:ind w:firstLine="600" w:firstLineChars="200"/>
        <w:rPr>
          <w:rFonts w:ascii="黑体" w:eastAsia="黑体"/>
          <w:sz w:val="30"/>
          <w:szCs w:val="30"/>
        </w:rPr>
      </w:pPr>
      <w:r>
        <w:rPr>
          <w:rFonts w:hint="eastAsia" w:ascii="黑体" w:eastAsia="黑体"/>
          <w:sz w:val="30"/>
          <w:szCs w:val="30"/>
        </w:rPr>
        <w:t>一、项目基本情况</w:t>
      </w:r>
    </w:p>
    <w:p w14:paraId="173EE46C">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（一）项目概况</w:t>
      </w:r>
    </w:p>
    <w:p w14:paraId="75EF2AD6">
      <w:pPr>
        <w:topLinePunct/>
        <w:spacing w:line="579" w:lineRule="exact"/>
        <w:ind w:firstLine="584" w:firstLineChars="200"/>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1.项目立项背景</w:t>
      </w:r>
    </w:p>
    <w:p w14:paraId="2D3BE2B6">
      <w:pPr>
        <w:topLinePunct/>
        <w:spacing w:line="579" w:lineRule="exact"/>
        <w:ind w:firstLine="584" w:firstLineChars="200"/>
        <w:rPr>
          <w:rFonts w:hint="eastAsia" w:ascii="仿宋_GB2312" w:hAnsi="仿宋" w:eastAsia="仿宋_GB2312" w:cs="Times New Roman"/>
          <w:spacing w:val="6"/>
          <w:kern w:val="0"/>
          <w:sz w:val="28"/>
          <w:szCs w:val="28"/>
        </w:rPr>
      </w:pPr>
      <w:r>
        <w:rPr>
          <w:rFonts w:hint="eastAsia" w:ascii="仿宋_GB2312" w:hAnsi="仿宋" w:eastAsia="仿宋_GB2312" w:cs="Times New Roman"/>
          <w:spacing w:val="6"/>
          <w:kern w:val="0"/>
          <w:sz w:val="28"/>
          <w:szCs w:val="28"/>
        </w:rPr>
        <w:t>认真贯彻党的十九大以及习近平总书记关于生态文明建设重要论述中提出的大力推进生态文明建设的战略部署，树立和践行“绿水青山就是金山银山”的理念，按照“预防为主、防治结合”的原则，持续解决以细颗粒物（</w:t>
      </w:r>
      <w:r>
        <w:rPr>
          <w:rFonts w:hint="eastAsia" w:ascii="仿宋_GB2312" w:hAnsi="仿宋" w:eastAsia="仿宋_GB2312" w:cs="Times New Roman"/>
          <w:spacing w:val="6"/>
          <w:kern w:val="0"/>
          <w:sz w:val="28"/>
          <w:szCs w:val="28"/>
          <w:lang w:val="en-US" w:eastAsia="zh-CN"/>
        </w:rPr>
        <w:t>PM2.5</w:t>
      </w:r>
      <w:r>
        <w:rPr>
          <w:rFonts w:hint="eastAsia" w:ascii="仿宋_GB2312" w:hAnsi="仿宋" w:eastAsia="仿宋_GB2312" w:cs="Times New Roman"/>
          <w:spacing w:val="6"/>
          <w:kern w:val="0"/>
          <w:sz w:val="28"/>
          <w:szCs w:val="28"/>
        </w:rPr>
        <w:t>）、可吸入颗粒物（</w:t>
      </w:r>
      <w:r>
        <w:rPr>
          <w:rFonts w:hint="eastAsia" w:ascii="仿宋_GB2312" w:hAnsi="仿宋" w:eastAsia="仿宋_GB2312" w:cs="Times New Roman"/>
          <w:spacing w:val="6"/>
          <w:kern w:val="0"/>
          <w:sz w:val="28"/>
          <w:szCs w:val="28"/>
          <w:lang w:val="en-US" w:eastAsia="zh-CN"/>
        </w:rPr>
        <w:t>PM10</w:t>
      </w:r>
      <w:r>
        <w:rPr>
          <w:rFonts w:hint="eastAsia" w:ascii="仿宋_GB2312" w:hAnsi="仿宋" w:eastAsia="仿宋_GB2312" w:cs="Times New Roman"/>
          <w:spacing w:val="6"/>
          <w:kern w:val="0"/>
          <w:sz w:val="28"/>
          <w:szCs w:val="28"/>
        </w:rPr>
        <w:t>）和二氧化氮（</w:t>
      </w:r>
      <w:r>
        <w:rPr>
          <w:rFonts w:hint="eastAsia" w:ascii="仿宋_GB2312" w:hAnsi="仿宋" w:eastAsia="仿宋_GB2312" w:cs="Times New Roman"/>
          <w:spacing w:val="6"/>
          <w:kern w:val="0"/>
          <w:sz w:val="28"/>
          <w:szCs w:val="28"/>
          <w:lang w:val="en-US" w:eastAsia="zh-CN"/>
        </w:rPr>
        <w:t>NO2</w:t>
      </w:r>
      <w:r>
        <w:rPr>
          <w:rFonts w:hint="eastAsia" w:ascii="仿宋_GB2312" w:hAnsi="仿宋" w:eastAsia="仿宋_GB2312" w:cs="Times New Roman"/>
          <w:spacing w:val="6"/>
          <w:kern w:val="0"/>
          <w:sz w:val="28"/>
          <w:szCs w:val="28"/>
        </w:rPr>
        <w:t>）为重点的大气污染问题，以重点区域、重点领域、重点时段为抓手，综合运用经济、法律、技术和必要的行政手段，强化区域联防联控，统筹兼顾、系统谋划、精准施策，不断提升我区环境空气质量，实现环境效益、经济效益和社会效益多赢。</w:t>
      </w:r>
    </w:p>
    <w:p w14:paraId="03978E4E">
      <w:pPr>
        <w:keepNext w:val="0"/>
        <w:keepLines w:val="0"/>
        <w:pageBreakBefore w:val="0"/>
        <w:widowControl w:val="0"/>
        <w:kinsoku/>
        <w:wordWrap/>
        <w:overflowPunct/>
        <w:topLinePunct/>
        <w:autoSpaceDE/>
        <w:autoSpaceDN/>
        <w:bidi w:val="0"/>
        <w:adjustRightInd/>
        <w:snapToGrid/>
        <w:spacing w:line="579" w:lineRule="exact"/>
        <w:ind w:firstLine="584" w:firstLineChars="200"/>
        <w:jc w:val="both"/>
        <w:textAlignment w:val="auto"/>
        <w:rPr>
          <w:rFonts w:ascii="仿宋_GB2312" w:hAnsi="仿宋" w:eastAsia="仿宋_GB2312"/>
          <w:spacing w:val="6"/>
          <w:kern w:val="0"/>
          <w:sz w:val="28"/>
          <w:szCs w:val="28"/>
        </w:rPr>
      </w:pPr>
      <w:r>
        <w:rPr>
          <w:rFonts w:hint="eastAsia" w:ascii="仿宋_GB2312" w:hAnsi="仿宋" w:eastAsia="仿宋_GB2312"/>
          <w:spacing w:val="6"/>
          <w:kern w:val="0"/>
          <w:sz w:val="28"/>
          <w:szCs w:val="28"/>
        </w:rPr>
        <w:t>2.项目立项依据</w:t>
      </w:r>
    </w:p>
    <w:p w14:paraId="49F596CE">
      <w:pPr>
        <w:keepNext w:val="0"/>
        <w:keepLines w:val="0"/>
        <w:pageBreakBefore w:val="0"/>
        <w:widowControl w:val="0"/>
        <w:kinsoku/>
        <w:wordWrap/>
        <w:overflowPunct/>
        <w:autoSpaceDE/>
        <w:autoSpaceDN/>
        <w:bidi w:val="0"/>
        <w:adjustRightInd/>
        <w:snapToGrid/>
        <w:spacing w:line="579" w:lineRule="exact"/>
        <w:ind w:firstLine="584" w:firstLineChars="200"/>
        <w:jc w:val="both"/>
        <w:textAlignment w:val="auto"/>
        <w:rPr>
          <w:rFonts w:hint="eastAsia" w:ascii="仿宋_GB2312" w:hAnsi="仿宋" w:eastAsia="仿宋_GB2312" w:cs="Times New Roman"/>
          <w:spacing w:val="6"/>
          <w:kern w:val="0"/>
          <w:sz w:val="28"/>
          <w:szCs w:val="28"/>
        </w:rPr>
      </w:pPr>
      <w:r>
        <w:rPr>
          <w:rFonts w:hint="eastAsia" w:ascii="仿宋_GB2312" w:hAnsi="仿宋" w:eastAsia="仿宋_GB2312" w:cs="Times New Roman"/>
          <w:spacing w:val="6"/>
          <w:kern w:val="0"/>
          <w:sz w:val="28"/>
          <w:szCs w:val="28"/>
        </w:rPr>
        <w:t>为贯彻落实《昆明市人民政府关于印发昆明市打赢蓝天保卫战三年行动实施方案的通知》（昆政发〔</w:t>
      </w:r>
      <w:r>
        <w:rPr>
          <w:rFonts w:hint="eastAsia" w:ascii="仿宋_GB2312" w:hAnsi="仿宋" w:eastAsia="仿宋_GB2312" w:cs="Times New Roman"/>
          <w:spacing w:val="6"/>
          <w:kern w:val="0"/>
          <w:sz w:val="28"/>
          <w:szCs w:val="28"/>
          <w:lang w:val="en-US" w:eastAsia="zh-CN"/>
        </w:rPr>
        <w:t>2018〕53</w:t>
      </w:r>
      <w:r>
        <w:rPr>
          <w:rFonts w:hint="eastAsia" w:ascii="仿宋_GB2312" w:hAnsi="仿宋" w:eastAsia="仿宋_GB2312" w:cs="Times New Roman"/>
          <w:spacing w:val="6"/>
          <w:kern w:val="0"/>
          <w:sz w:val="28"/>
          <w:szCs w:val="28"/>
        </w:rPr>
        <w:t>号）和《昆明市人民政府关于印发</w:t>
      </w:r>
      <w:r>
        <w:rPr>
          <w:rFonts w:hint="eastAsia" w:ascii="仿宋_GB2312" w:hAnsi="仿宋" w:eastAsia="仿宋_GB2312" w:cs="Times New Roman"/>
          <w:spacing w:val="6"/>
          <w:kern w:val="0"/>
          <w:sz w:val="28"/>
          <w:szCs w:val="28"/>
          <w:lang w:val="en-US" w:eastAsia="zh-CN"/>
        </w:rPr>
        <w:t>2019</w:t>
      </w:r>
      <w:r>
        <w:rPr>
          <w:rFonts w:hint="eastAsia" w:ascii="仿宋_GB2312" w:hAnsi="仿宋" w:eastAsia="仿宋_GB2312" w:cs="Times New Roman"/>
          <w:spacing w:val="6"/>
          <w:kern w:val="0"/>
          <w:sz w:val="28"/>
          <w:szCs w:val="28"/>
        </w:rPr>
        <w:t>年昆明市大气污染防治工作目标任务的通知》（昆政发〔2019〕10号）精神，加强盘龙区大气污染综合防治工作，确保完成2019年度市级下达的大气环境质量目标任务，坚持全民共治、源头防治、标本兼治，</w:t>
      </w:r>
      <w:r>
        <w:rPr>
          <w:rFonts w:hint="eastAsia" w:ascii="仿宋_GB2312" w:hAnsi="仿宋" w:eastAsia="仿宋_GB2312" w:cs="Times New Roman"/>
          <w:spacing w:val="6"/>
          <w:kern w:val="0"/>
          <w:sz w:val="28"/>
          <w:szCs w:val="28"/>
          <w:lang w:val="en-US" w:eastAsia="zh-CN"/>
        </w:rPr>
        <w:t>特立此项</w:t>
      </w:r>
      <w:r>
        <w:rPr>
          <w:rFonts w:hint="eastAsia" w:ascii="仿宋_GB2312" w:hAnsi="仿宋" w:eastAsia="仿宋_GB2312" w:cs="Times New Roman"/>
          <w:spacing w:val="6"/>
          <w:kern w:val="0"/>
          <w:sz w:val="28"/>
          <w:szCs w:val="28"/>
        </w:rPr>
        <w:t>。</w:t>
      </w:r>
    </w:p>
    <w:p w14:paraId="5002CC8F">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3.项目实施情况</w:t>
      </w:r>
    </w:p>
    <w:p w14:paraId="698CAD3B">
      <w:pPr>
        <w:topLinePunct/>
        <w:spacing w:line="579" w:lineRule="exact"/>
        <w:ind w:firstLine="584" w:firstLineChars="200"/>
        <w:rPr>
          <w:rFonts w:hint="eastAsia" w:ascii="仿宋_GB2312" w:hAnsi="仿宋" w:eastAsia="仿宋_GB2312" w:cs="Times New Roman"/>
          <w:spacing w:val="6"/>
          <w:kern w:val="0"/>
          <w:sz w:val="28"/>
          <w:szCs w:val="28"/>
          <w:lang w:val="en-US" w:eastAsia="zh-CN"/>
        </w:rPr>
      </w:pPr>
      <w:bookmarkStart w:id="0" w:name="_Toc493888864"/>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lang w:val="en-US" w:eastAsia="zh-CN"/>
        </w:rPr>
        <w:t>盘龙区</w:t>
      </w:r>
      <w:r>
        <w:rPr>
          <w:rFonts w:hint="eastAsia" w:ascii="仿宋_GB2312" w:hAnsi="仿宋" w:eastAsia="仿宋_GB2312" w:cs="Times New Roman"/>
          <w:spacing w:val="6"/>
          <w:kern w:val="0"/>
          <w:sz w:val="28"/>
          <w:szCs w:val="28"/>
        </w:rPr>
        <w:t>2019年度大气污染防治工作实施方案</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lang w:val="en-US" w:eastAsia="zh-CN"/>
        </w:rPr>
        <w:t>中明确表示</w:t>
      </w:r>
      <w:r>
        <w:rPr>
          <w:rFonts w:hint="eastAsia" w:ascii="仿宋_GB2312" w:hAnsi="仿宋" w:eastAsia="仿宋_GB2312" w:cs="Times New Roman"/>
          <w:spacing w:val="6"/>
          <w:kern w:val="0"/>
          <w:sz w:val="28"/>
          <w:szCs w:val="28"/>
        </w:rPr>
        <w:t>2019年全区环境空气质量总体继续保持优良，持续改善，达到国家二级标准，不出现重度污染天气；空气质量优良天数比率达到98%以上，全年轻度污染的天数不超过4天（境外输入污染物、臭氧等自然因素除外）。全年环境空气综合指数控制在3.69以内，可吸入颗粒物（PM10）和细颗粒物（PM2.5）年均浓度在2018年基础上下降1%，其余污染物浓度保持2018年水平不变。</w:t>
      </w:r>
      <w:r>
        <w:rPr>
          <w:rFonts w:hint="eastAsia" w:ascii="仿宋_GB2312" w:hAnsi="仿宋" w:eastAsia="仿宋_GB2312" w:cs="Times New Roman"/>
          <w:spacing w:val="6"/>
          <w:kern w:val="0"/>
          <w:sz w:val="28"/>
          <w:szCs w:val="28"/>
          <w:lang w:val="en-US" w:eastAsia="zh-CN"/>
        </w:rPr>
        <w:t>为</w:t>
      </w:r>
      <w:r>
        <w:rPr>
          <w:rFonts w:hint="eastAsia" w:ascii="仿宋_GB2312" w:hAnsi="仿宋" w:eastAsia="仿宋_GB2312" w:cs="Times New Roman"/>
          <w:spacing w:val="6"/>
          <w:kern w:val="0"/>
          <w:sz w:val="28"/>
          <w:szCs w:val="28"/>
        </w:rPr>
        <w:t>全面完成国家、省、市下达的大气污染防治各项工作任务</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lang w:val="en-US" w:eastAsia="zh-CN"/>
        </w:rPr>
        <w:t>2019年昆明市生态环境局盘龙分局大气自动站运行维护费项目具体实施内容为：</w:t>
      </w:r>
    </w:p>
    <w:p w14:paraId="7FCC1422">
      <w:pPr>
        <w:topLinePunct/>
        <w:spacing w:line="579" w:lineRule="exact"/>
        <w:ind w:firstLine="584" w:firstLineChars="200"/>
        <w:rPr>
          <w:rFonts w:hint="eastAsia"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（1）辖区内7个大气自动监测站每年日常巡查不低于54次；</w:t>
      </w:r>
    </w:p>
    <w:p w14:paraId="32392DB8">
      <w:pPr>
        <w:topLinePunct/>
        <w:spacing w:line="579" w:lineRule="exact"/>
        <w:ind w:firstLine="584" w:firstLineChars="200"/>
        <w:rPr>
          <w:rFonts w:hint="default"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（2）辖区内7个大气自动监测站共136件硬件设施使用率及完好率达到100%；</w:t>
      </w:r>
    </w:p>
    <w:p w14:paraId="5EF2A8CA">
      <w:pPr>
        <w:topLinePunct/>
        <w:spacing w:line="579" w:lineRule="exact"/>
        <w:ind w:firstLine="584" w:firstLineChars="200"/>
        <w:rPr>
          <w:rFonts w:hint="eastAsia"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（3）辖区内7个大气自动监测站每天完成收集PM10监测数据不低于1440个，收集PM2.5监测数据不低于1440个，收集气象五参数（温度、气压、湿度、风向、风速）监测数据不低于24个。</w:t>
      </w:r>
    </w:p>
    <w:p w14:paraId="7BFE264A">
      <w:pPr>
        <w:topLinePunct/>
        <w:spacing w:line="579" w:lineRule="exact"/>
        <w:ind w:firstLine="584" w:firstLineChars="200"/>
        <w:rPr>
          <w:rFonts w:hint="eastAsia" w:ascii="仿宋_GB2312" w:hAnsi="仿宋" w:eastAsia="仿宋_GB2312" w:cs="Times New Roman"/>
          <w:spacing w:val="6"/>
          <w:kern w:val="0"/>
          <w:sz w:val="28"/>
          <w:szCs w:val="28"/>
        </w:rPr>
      </w:pPr>
      <w:r>
        <w:rPr>
          <w:rFonts w:hint="eastAsia" w:ascii="仿宋_GB2312" w:hAnsi="仿宋" w:eastAsia="仿宋_GB2312" w:cs="Times New Roman"/>
          <w:spacing w:val="6"/>
          <w:kern w:val="0"/>
          <w:sz w:val="28"/>
          <w:szCs w:val="28"/>
          <w:lang w:val="en-US" w:eastAsia="zh-CN"/>
        </w:rPr>
        <w:t>（4）辖区内7个大气自动监测站全年完成PM10、PM2.5的平均浓度检测不低于350日</w:t>
      </w:r>
      <w:r>
        <w:rPr>
          <w:rFonts w:hint="eastAsia" w:ascii="仿宋_GB2312" w:hAnsi="仿宋" w:eastAsia="仿宋_GB2312" w:cs="Times New Roman"/>
          <w:spacing w:val="6"/>
          <w:kern w:val="0"/>
          <w:sz w:val="28"/>
          <w:szCs w:val="28"/>
        </w:rPr>
        <w:t>。</w:t>
      </w:r>
      <w:bookmarkEnd w:id="0"/>
    </w:p>
    <w:p w14:paraId="75D34A7A">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截止2019年12月13日</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2019年</w:t>
      </w:r>
      <w:r>
        <w:rPr>
          <w:rFonts w:hint="eastAsia" w:ascii="仿宋_GB2312" w:hAnsi="仿宋" w:eastAsia="仿宋_GB2312" w:cs="Times New Roman"/>
          <w:spacing w:val="6"/>
          <w:kern w:val="0"/>
          <w:sz w:val="28"/>
          <w:szCs w:val="28"/>
          <w:lang w:val="en-US" w:eastAsia="zh-CN"/>
        </w:rPr>
        <w:t>昆明市生态环境局盘龙分局大气自动站运行维护费项目</w:t>
      </w:r>
      <w:r>
        <w:rPr>
          <w:rFonts w:hint="eastAsia" w:ascii="仿宋_GB2312" w:hAnsi="仿宋" w:eastAsia="仿宋_GB2312"/>
          <w:spacing w:val="6"/>
          <w:kern w:val="0"/>
          <w:sz w:val="28"/>
          <w:szCs w:val="28"/>
        </w:rPr>
        <w:t>组织管理情况良好，资金拨付及使用流程符合相关规定，</w:t>
      </w:r>
      <w:r>
        <w:rPr>
          <w:rFonts w:hint="eastAsia" w:ascii="仿宋_GB2312" w:hAnsi="仿宋" w:eastAsia="仿宋_GB2312" w:cs="Times New Roman"/>
          <w:spacing w:val="6"/>
          <w:kern w:val="0"/>
          <w:sz w:val="28"/>
          <w:szCs w:val="28"/>
          <w:lang w:val="en-US" w:eastAsia="zh-CN"/>
        </w:rPr>
        <w:t>辖区内7个大气自动监测站数据收集</w:t>
      </w:r>
      <w:r>
        <w:rPr>
          <w:rFonts w:hint="eastAsia" w:ascii="仿宋_GB2312" w:hAnsi="仿宋" w:eastAsia="仿宋_GB2312"/>
          <w:spacing w:val="6"/>
          <w:kern w:val="0"/>
          <w:sz w:val="28"/>
          <w:szCs w:val="28"/>
        </w:rPr>
        <w:t>情况良好，目标均已实现，通过本次项目实施，项目实施后可持续对盘龙区7个大气自动监测站的运行维护提供保障，使盘龙区空气环境质量起到持续提升作用。</w:t>
      </w:r>
    </w:p>
    <w:p w14:paraId="5F9B9A0D">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4.</w:t>
      </w:r>
      <w:bookmarkStart w:id="1" w:name="_Hlk27232826"/>
      <w:r>
        <w:rPr>
          <w:rFonts w:hint="eastAsia" w:ascii="仿宋_GB2312" w:hAnsi="仿宋" w:eastAsia="仿宋_GB2312"/>
          <w:spacing w:val="6"/>
          <w:kern w:val="0"/>
          <w:sz w:val="28"/>
          <w:szCs w:val="28"/>
        </w:rPr>
        <w:t>资金来源及使用情况</w:t>
      </w:r>
      <w:bookmarkEnd w:id="1"/>
    </w:p>
    <w:p w14:paraId="077E98DB">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（1）资金来源</w:t>
      </w:r>
    </w:p>
    <w:p w14:paraId="6E6A2C1E">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根据昆明市</w:t>
      </w:r>
      <w:r>
        <w:rPr>
          <w:rFonts w:hint="eastAsia" w:ascii="仿宋_GB2312" w:hAnsi="仿宋" w:eastAsia="仿宋_GB2312"/>
          <w:spacing w:val="6"/>
          <w:kern w:val="0"/>
          <w:sz w:val="28"/>
          <w:szCs w:val="28"/>
          <w:lang w:val="en-US" w:eastAsia="zh-CN"/>
        </w:rPr>
        <w:t>盘龙区</w:t>
      </w:r>
      <w:r>
        <w:rPr>
          <w:rFonts w:hint="eastAsia" w:ascii="仿宋_GB2312" w:hAnsi="仿宋" w:eastAsia="仿宋_GB2312"/>
          <w:spacing w:val="6"/>
          <w:kern w:val="0"/>
          <w:sz w:val="28"/>
          <w:szCs w:val="28"/>
        </w:rPr>
        <w:t>政府《盘龙区2019年度大气污染防治工作方案》、《昆明市</w:t>
      </w:r>
      <w:r>
        <w:rPr>
          <w:rFonts w:hint="eastAsia" w:ascii="仿宋_GB2312" w:hAnsi="仿宋" w:eastAsia="仿宋_GB2312"/>
          <w:spacing w:val="6"/>
          <w:kern w:val="0"/>
          <w:sz w:val="28"/>
          <w:szCs w:val="28"/>
          <w:lang w:val="en-US" w:eastAsia="zh-CN"/>
        </w:rPr>
        <w:t>盘龙区</w:t>
      </w:r>
      <w:r>
        <w:rPr>
          <w:rFonts w:hint="eastAsia" w:ascii="仿宋_GB2312" w:hAnsi="仿宋" w:eastAsia="仿宋_GB2312"/>
          <w:spacing w:val="6"/>
          <w:kern w:val="0"/>
          <w:sz w:val="28"/>
          <w:szCs w:val="28"/>
        </w:rPr>
        <w:t>财政局关于下达</w:t>
      </w:r>
      <w:r>
        <w:rPr>
          <w:rFonts w:hint="eastAsia" w:ascii="仿宋_GB2312" w:hAnsi="仿宋" w:eastAsia="仿宋_GB2312"/>
          <w:spacing w:val="6"/>
          <w:kern w:val="0"/>
          <w:sz w:val="28"/>
          <w:szCs w:val="28"/>
          <w:lang w:val="en-US" w:eastAsia="zh-CN"/>
        </w:rPr>
        <w:t>盘龙区2019年部门预算的批复</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盘财</w:t>
      </w:r>
      <w:r>
        <w:rPr>
          <w:rFonts w:hint="eastAsia" w:ascii="仿宋_GB2312" w:hAnsi="仿宋" w:eastAsia="仿宋_GB2312"/>
          <w:spacing w:val="6"/>
          <w:kern w:val="0"/>
          <w:sz w:val="28"/>
          <w:szCs w:val="28"/>
        </w:rPr>
        <w:t>〔201</w:t>
      </w:r>
      <w:r>
        <w:rPr>
          <w:rFonts w:hint="eastAsia" w:ascii="仿宋_GB2312" w:hAnsi="仿宋" w:eastAsia="仿宋_GB2312"/>
          <w:spacing w:val="6"/>
          <w:kern w:val="0"/>
          <w:sz w:val="28"/>
          <w:szCs w:val="28"/>
          <w:lang w:val="en-US" w:eastAsia="zh-CN"/>
        </w:rPr>
        <w:t>9</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1</w:t>
      </w:r>
      <w:r>
        <w:rPr>
          <w:rFonts w:hint="eastAsia" w:ascii="仿宋_GB2312" w:hAnsi="仿宋" w:eastAsia="仿宋_GB2312"/>
          <w:spacing w:val="6"/>
          <w:kern w:val="0"/>
          <w:sz w:val="28"/>
          <w:szCs w:val="28"/>
        </w:rPr>
        <w:t>号）等文件，该项目合计下达财政资金</w:t>
      </w:r>
      <w:r>
        <w:rPr>
          <w:rFonts w:hint="eastAsia" w:ascii="仿宋_GB2312" w:hAnsi="仿宋" w:eastAsia="仿宋_GB2312"/>
          <w:spacing w:val="6"/>
          <w:kern w:val="0"/>
          <w:sz w:val="28"/>
          <w:szCs w:val="28"/>
          <w:lang w:val="en-US" w:eastAsia="zh-CN"/>
        </w:rPr>
        <w:t>1,605,058</w:t>
      </w:r>
      <w:r>
        <w:rPr>
          <w:rFonts w:hint="eastAsia" w:ascii="仿宋_GB2312" w:hAnsi="仿宋" w:eastAsia="仿宋_GB2312"/>
          <w:spacing w:val="6"/>
          <w:kern w:val="0"/>
          <w:sz w:val="28"/>
          <w:szCs w:val="28"/>
        </w:rPr>
        <w:t>元</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具体详见下表1：</w:t>
      </w:r>
    </w:p>
    <w:p w14:paraId="5882B053">
      <w:pPr>
        <w:jc w:val="center"/>
        <w:rPr>
          <w:rFonts w:hint="eastAsia" w:ascii="黑体" w:hAnsi="黑体" w:eastAsia="黑体" w:cs="宋体"/>
          <w:bCs/>
          <w:spacing w:val="6"/>
          <w:sz w:val="24"/>
          <w:szCs w:val="24"/>
          <w:highlight w:val="none"/>
        </w:rPr>
      </w:pPr>
      <w:r>
        <w:rPr>
          <w:rFonts w:hint="eastAsia" w:ascii="黑体" w:hAnsi="黑体" w:eastAsia="黑体" w:cs="宋体"/>
          <w:bCs/>
          <w:spacing w:val="6"/>
          <w:sz w:val="24"/>
          <w:szCs w:val="24"/>
          <w:highlight w:val="none"/>
        </w:rPr>
        <w:t>表1  资金下达情况表</w:t>
      </w:r>
    </w:p>
    <w:tbl>
      <w:tblPr>
        <w:tblStyle w:val="8"/>
        <w:tblW w:w="5000" w:type="pct"/>
        <w:jc w:val="center"/>
        <w:tblLayout w:type="autofit"/>
        <w:tblCellMar>
          <w:top w:w="0" w:type="dxa"/>
          <w:left w:w="0" w:type="dxa"/>
          <w:bottom w:w="0" w:type="dxa"/>
          <w:right w:w="0" w:type="dxa"/>
        </w:tblCellMar>
      </w:tblPr>
      <w:tblGrid>
        <w:gridCol w:w="841"/>
        <w:gridCol w:w="4513"/>
        <w:gridCol w:w="998"/>
        <w:gridCol w:w="1978"/>
      </w:tblGrid>
      <w:tr w14:paraId="0E7A0196">
        <w:trPr>
          <w:trHeight w:val="681" w:hRule="atLeast"/>
          <w:jc w:val="center"/>
        </w:trPr>
        <w:tc>
          <w:tcPr>
            <w:tcW w:w="50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F445FB">
            <w:pPr>
              <w:widowControl/>
              <w:spacing w:line="360" w:lineRule="auto"/>
              <w:ind w:firstLine="200"/>
              <w:textAlignment w:val="center"/>
              <w:rPr>
                <w:rFonts w:hint="eastAsia" w:ascii="黑体" w:hAnsi="黑体" w:eastAsia="黑体" w:cs="黑体"/>
                <w:b w:val="0"/>
                <w:bCs/>
                <w:color w:val="000000"/>
                <w:sz w:val="24"/>
                <w:szCs w:val="24"/>
              </w:rPr>
            </w:pPr>
            <w:r>
              <w:rPr>
                <w:rFonts w:hint="eastAsia" w:ascii="黑体" w:hAnsi="黑体" w:eastAsia="黑体" w:cs="黑体"/>
                <w:b w:val="0"/>
                <w:bCs/>
                <w:color w:val="000000"/>
                <w:kern w:val="0"/>
                <w:sz w:val="24"/>
                <w:szCs w:val="24"/>
                <w:lang w:bidi="ar"/>
              </w:rPr>
              <w:t>年度</w:t>
            </w:r>
          </w:p>
        </w:tc>
        <w:tc>
          <w:tcPr>
            <w:tcW w:w="270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6FC687">
            <w:pPr>
              <w:widowControl/>
              <w:spacing w:line="360" w:lineRule="auto"/>
              <w:ind w:firstLine="200"/>
              <w:jc w:val="center"/>
              <w:textAlignment w:val="center"/>
              <w:rPr>
                <w:rFonts w:hint="eastAsia" w:ascii="黑体" w:hAnsi="黑体" w:eastAsia="黑体" w:cs="黑体"/>
                <w:b w:val="0"/>
                <w:bCs/>
                <w:color w:val="000000"/>
                <w:sz w:val="24"/>
                <w:szCs w:val="24"/>
              </w:rPr>
            </w:pPr>
            <w:r>
              <w:rPr>
                <w:rFonts w:hint="eastAsia" w:ascii="黑体" w:hAnsi="黑体" w:eastAsia="黑体" w:cs="黑体"/>
                <w:b w:val="0"/>
                <w:bCs/>
                <w:color w:val="000000"/>
                <w:kern w:val="0"/>
                <w:sz w:val="24"/>
                <w:szCs w:val="24"/>
                <w:lang w:bidi="ar"/>
              </w:rPr>
              <w:t>下达文件</w:t>
            </w:r>
          </w:p>
        </w:tc>
        <w:tc>
          <w:tcPr>
            <w:tcW w:w="59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7EBDA8">
            <w:pPr>
              <w:widowControl/>
              <w:spacing w:line="360" w:lineRule="auto"/>
              <w:jc w:val="center"/>
              <w:textAlignment w:val="center"/>
              <w:rPr>
                <w:rFonts w:hint="eastAsia" w:ascii="黑体" w:hAnsi="黑体" w:eastAsia="黑体" w:cs="黑体"/>
                <w:b w:val="0"/>
                <w:bCs/>
                <w:color w:val="000000"/>
                <w:sz w:val="24"/>
                <w:szCs w:val="24"/>
              </w:rPr>
            </w:pPr>
            <w:r>
              <w:rPr>
                <w:rFonts w:hint="eastAsia" w:ascii="黑体" w:hAnsi="黑体" w:eastAsia="黑体" w:cs="黑体"/>
                <w:b w:val="0"/>
                <w:bCs/>
                <w:color w:val="000000"/>
                <w:kern w:val="0"/>
                <w:sz w:val="24"/>
                <w:szCs w:val="24"/>
                <w:lang w:bidi="ar"/>
              </w:rPr>
              <w:t>资金性质</w:t>
            </w:r>
          </w:p>
        </w:tc>
        <w:tc>
          <w:tcPr>
            <w:tcW w:w="118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65F6CB">
            <w:pPr>
              <w:widowControl/>
              <w:spacing w:line="360" w:lineRule="auto"/>
              <w:textAlignment w:val="center"/>
              <w:rPr>
                <w:rFonts w:hint="eastAsia" w:ascii="黑体" w:hAnsi="黑体" w:eastAsia="黑体" w:cs="黑体"/>
                <w:b w:val="0"/>
                <w:bCs/>
                <w:color w:val="000000"/>
                <w:sz w:val="24"/>
                <w:szCs w:val="24"/>
              </w:rPr>
            </w:pPr>
            <w:r>
              <w:rPr>
                <w:rFonts w:hint="eastAsia" w:ascii="黑体" w:hAnsi="黑体" w:eastAsia="黑体" w:cs="黑体"/>
                <w:b w:val="0"/>
                <w:bCs/>
                <w:color w:val="000000"/>
                <w:kern w:val="0"/>
                <w:sz w:val="24"/>
                <w:szCs w:val="24"/>
                <w:lang w:bidi="ar"/>
              </w:rPr>
              <w:t>下达资金（元）</w:t>
            </w:r>
          </w:p>
        </w:tc>
      </w:tr>
      <w:tr w14:paraId="1D7D94AA">
        <w:tblPrEx>
          <w:tblCellMar>
            <w:top w:w="0" w:type="dxa"/>
            <w:left w:w="0" w:type="dxa"/>
            <w:bottom w:w="0" w:type="dxa"/>
            <w:right w:w="0" w:type="dxa"/>
          </w:tblCellMar>
        </w:tblPrEx>
        <w:trPr>
          <w:trHeight w:val="1316" w:hRule="atLeast"/>
          <w:jc w:val="center"/>
        </w:trPr>
        <w:tc>
          <w:tcPr>
            <w:tcW w:w="505"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EE4252">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2019</w:t>
            </w:r>
          </w:p>
        </w:tc>
        <w:tc>
          <w:tcPr>
            <w:tcW w:w="270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2D88F7">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《昆明市盘龙区财政局关于下达盘龙区2019年部门预算的批复》（盘财〔2019〕1号）</w:t>
            </w:r>
          </w:p>
        </w:tc>
        <w:tc>
          <w:tcPr>
            <w:tcW w:w="59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E35D18">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区级</w:t>
            </w:r>
          </w:p>
        </w:tc>
        <w:tc>
          <w:tcPr>
            <w:tcW w:w="118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707260">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1,605,058</w:t>
            </w:r>
          </w:p>
        </w:tc>
      </w:tr>
    </w:tbl>
    <w:p w14:paraId="31DB4CEC">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截止201</w:t>
      </w:r>
      <w:r>
        <w:rPr>
          <w:rFonts w:hint="eastAsia" w:ascii="仿宋_GB2312" w:hAnsi="仿宋" w:eastAsia="仿宋_GB2312"/>
          <w:spacing w:val="6"/>
          <w:kern w:val="0"/>
          <w:sz w:val="28"/>
          <w:szCs w:val="28"/>
          <w:lang w:val="en-US" w:eastAsia="zh-CN"/>
        </w:rPr>
        <w:t>9</w:t>
      </w:r>
      <w:r>
        <w:rPr>
          <w:rFonts w:hint="eastAsia" w:ascii="仿宋_GB2312" w:hAnsi="仿宋" w:eastAsia="仿宋_GB2312"/>
          <w:spacing w:val="6"/>
          <w:kern w:val="0"/>
          <w:sz w:val="28"/>
          <w:szCs w:val="28"/>
        </w:rPr>
        <w:t>年12月31日，财政资金</w:t>
      </w:r>
      <w:r>
        <w:rPr>
          <w:rFonts w:hint="eastAsia" w:ascii="仿宋_GB2312" w:hAnsi="仿宋" w:eastAsia="仿宋_GB2312"/>
          <w:spacing w:val="6"/>
          <w:kern w:val="0"/>
          <w:sz w:val="28"/>
          <w:szCs w:val="28"/>
          <w:lang w:val="en-US" w:eastAsia="zh-CN"/>
        </w:rPr>
        <w:t>1,605,058</w:t>
      </w:r>
      <w:r>
        <w:rPr>
          <w:rFonts w:hint="eastAsia" w:ascii="仿宋_GB2312" w:hAnsi="仿宋" w:eastAsia="仿宋_GB2312"/>
          <w:spacing w:val="6"/>
          <w:kern w:val="0"/>
          <w:sz w:val="28"/>
          <w:szCs w:val="28"/>
        </w:rPr>
        <w:t>元已全部到位。其中：①</w:t>
      </w:r>
      <w:r>
        <w:rPr>
          <w:rFonts w:hint="eastAsia" w:ascii="仿宋_GB2312" w:hAnsi="仿宋" w:eastAsia="仿宋_GB2312"/>
          <w:spacing w:val="6"/>
          <w:kern w:val="0"/>
          <w:sz w:val="28"/>
          <w:szCs w:val="28"/>
          <w:lang w:val="en-US" w:eastAsia="zh-CN"/>
        </w:rPr>
        <w:t>拨付</w:t>
      </w:r>
      <w:r>
        <w:rPr>
          <w:rFonts w:hint="eastAsia" w:ascii="仿宋_GB2312" w:hAnsi="仿宋" w:eastAsia="仿宋_GB2312"/>
          <w:spacing w:val="6"/>
          <w:kern w:val="0"/>
          <w:sz w:val="28"/>
          <w:szCs w:val="28"/>
        </w:rPr>
        <w:t>346</w:t>
      </w:r>
      <w:r>
        <w:rPr>
          <w:rFonts w:hint="eastAsia" w:ascii="仿宋_GB2312" w:hAnsi="仿宋" w:eastAsia="仿宋_GB2312"/>
          <w:spacing w:val="6"/>
          <w:kern w:val="0"/>
          <w:sz w:val="28"/>
          <w:szCs w:val="28"/>
          <w:lang w:val="en-US" w:eastAsia="zh-CN"/>
        </w:rPr>
        <w:t>,</w:t>
      </w:r>
      <w:r>
        <w:rPr>
          <w:rFonts w:hint="eastAsia" w:ascii="仿宋_GB2312" w:hAnsi="仿宋" w:eastAsia="仿宋_GB2312"/>
          <w:spacing w:val="6"/>
          <w:kern w:val="0"/>
          <w:sz w:val="28"/>
          <w:szCs w:val="28"/>
        </w:rPr>
        <w:t>558</w:t>
      </w:r>
      <w:r>
        <w:rPr>
          <w:rFonts w:hint="eastAsia" w:ascii="仿宋_GB2312" w:hAnsi="仿宋" w:eastAsia="仿宋_GB2312"/>
          <w:spacing w:val="6"/>
          <w:kern w:val="0"/>
          <w:sz w:val="28"/>
          <w:szCs w:val="28"/>
          <w:lang w:val="en-US" w:eastAsia="zh-CN"/>
        </w:rPr>
        <w:t>元支付大气自动监测站房及仪器设备采购尾款</w:t>
      </w:r>
      <w:r>
        <w:rPr>
          <w:rFonts w:hint="eastAsia" w:ascii="仿宋_GB2312" w:hAnsi="仿宋" w:eastAsia="仿宋_GB2312"/>
          <w:spacing w:val="6"/>
          <w:kern w:val="0"/>
          <w:sz w:val="28"/>
          <w:szCs w:val="28"/>
        </w:rPr>
        <w:t>；②</w:t>
      </w:r>
      <w:r>
        <w:rPr>
          <w:rFonts w:hint="eastAsia" w:ascii="仿宋_GB2312" w:hAnsi="仿宋" w:eastAsia="仿宋_GB2312"/>
          <w:spacing w:val="6"/>
          <w:kern w:val="0"/>
          <w:sz w:val="28"/>
          <w:szCs w:val="28"/>
          <w:lang w:val="en-US" w:eastAsia="zh-CN"/>
        </w:rPr>
        <w:t>拨付1,050,000元支付空气颗粒物监测系统设备运行维护费</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③拨付68,500元支付3D可视型雷达及站房采购尾款；④拨付140,000元支付3D可视型雷达运行维护费</w:t>
      </w:r>
      <w:r>
        <w:rPr>
          <w:rFonts w:hint="eastAsia" w:ascii="仿宋_GB2312" w:hAnsi="仿宋" w:eastAsia="仿宋_GB2312"/>
          <w:spacing w:val="6"/>
          <w:kern w:val="0"/>
          <w:sz w:val="28"/>
          <w:szCs w:val="28"/>
        </w:rPr>
        <w:t>。</w:t>
      </w:r>
    </w:p>
    <w:p w14:paraId="24E28190">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（2）资金使用情况</w:t>
      </w:r>
    </w:p>
    <w:p w14:paraId="6C4CAB23">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该项目</w:t>
      </w:r>
      <w:r>
        <w:rPr>
          <w:rFonts w:hint="eastAsia" w:ascii="仿宋_GB2312" w:hAnsi="仿宋" w:eastAsia="仿宋_GB2312"/>
          <w:spacing w:val="6"/>
          <w:kern w:val="0"/>
          <w:sz w:val="28"/>
          <w:szCs w:val="28"/>
          <w:lang w:val="en-US" w:eastAsia="zh-CN"/>
        </w:rPr>
        <w:t>年初财政预算1,605,058元</w:t>
      </w:r>
      <w:r>
        <w:rPr>
          <w:rFonts w:hint="eastAsia" w:ascii="仿宋_GB2312" w:hAnsi="仿宋" w:eastAsia="仿宋_GB2312"/>
          <w:spacing w:val="6"/>
          <w:kern w:val="0"/>
          <w:sz w:val="28"/>
          <w:szCs w:val="28"/>
        </w:rPr>
        <w:t>，根据原始材料、支付凭证等统计，2019年昆明市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大气自动站运行维护费项目实际共支出</w:t>
      </w:r>
      <w:r>
        <w:rPr>
          <w:rFonts w:hint="eastAsia" w:ascii="仿宋_GB2312" w:hAnsi="仿宋" w:eastAsia="仿宋_GB2312"/>
          <w:spacing w:val="6"/>
          <w:kern w:val="0"/>
          <w:sz w:val="28"/>
          <w:szCs w:val="28"/>
          <w:lang w:val="en-US" w:eastAsia="zh-CN"/>
        </w:rPr>
        <w:t>1,552,558</w:t>
      </w:r>
      <w:r>
        <w:rPr>
          <w:rFonts w:hint="eastAsia" w:ascii="仿宋_GB2312" w:hAnsi="仿宋" w:eastAsia="仿宋_GB2312"/>
          <w:spacing w:val="6"/>
          <w:kern w:val="0"/>
          <w:sz w:val="28"/>
          <w:szCs w:val="28"/>
        </w:rPr>
        <w:t>元，</w:t>
      </w:r>
      <w:r>
        <w:rPr>
          <w:rFonts w:hint="eastAsia" w:ascii="仿宋_GB2312" w:hAnsi="仿宋" w:eastAsia="仿宋_GB2312"/>
          <w:spacing w:val="6"/>
          <w:kern w:val="0"/>
          <w:sz w:val="28"/>
          <w:szCs w:val="28"/>
          <w:lang w:val="en-US" w:eastAsia="zh-CN"/>
        </w:rPr>
        <w:t>因2019年维护设备合同尚有未签订的部分结余52,500元，结余资金已通过退额度方式退还到财政,</w:t>
      </w:r>
      <w:r>
        <w:rPr>
          <w:rFonts w:hint="eastAsia" w:ascii="仿宋_GB2312" w:hAnsi="仿宋" w:eastAsia="仿宋_GB2312"/>
          <w:spacing w:val="6"/>
          <w:kern w:val="0"/>
          <w:sz w:val="28"/>
          <w:szCs w:val="28"/>
        </w:rPr>
        <w:t>预算执行率为</w:t>
      </w:r>
      <w:r>
        <w:rPr>
          <w:rFonts w:hint="eastAsia" w:ascii="仿宋_GB2312" w:hAnsi="仿宋" w:eastAsia="仿宋_GB2312"/>
          <w:spacing w:val="6"/>
          <w:kern w:val="0"/>
          <w:sz w:val="28"/>
          <w:szCs w:val="28"/>
          <w:lang w:val="en-US" w:eastAsia="zh-CN"/>
        </w:rPr>
        <w:t>96.73</w:t>
      </w:r>
      <w:r>
        <w:rPr>
          <w:rFonts w:hint="eastAsia" w:ascii="仿宋_GB2312" w:hAnsi="仿宋" w:eastAsia="仿宋_GB2312"/>
          <w:spacing w:val="6"/>
          <w:kern w:val="0"/>
          <w:sz w:val="28"/>
          <w:szCs w:val="28"/>
        </w:rPr>
        <w:t>%，资金使用情况详见表2。</w:t>
      </w:r>
    </w:p>
    <w:p w14:paraId="0C2747B9">
      <w:pPr>
        <w:jc w:val="center"/>
        <w:rPr>
          <w:rFonts w:hint="eastAsia" w:ascii="黑体" w:hAnsi="黑体" w:eastAsia="黑体" w:cs="宋体"/>
          <w:bCs/>
          <w:spacing w:val="6"/>
          <w:sz w:val="24"/>
          <w:szCs w:val="24"/>
          <w:highlight w:val="none"/>
        </w:rPr>
      </w:pPr>
      <w:r>
        <w:rPr>
          <w:rFonts w:hint="eastAsia" w:ascii="黑体" w:hAnsi="黑体" w:eastAsia="黑体" w:cs="宋体"/>
          <w:bCs/>
          <w:spacing w:val="6"/>
          <w:sz w:val="24"/>
          <w:szCs w:val="24"/>
          <w:highlight w:val="none"/>
        </w:rPr>
        <w:t>表2  资金使用情况表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3744"/>
        <w:gridCol w:w="1717"/>
        <w:gridCol w:w="2268"/>
      </w:tblGrid>
      <w:tr w14:paraId="0316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jc w:val="center"/>
        </w:trPr>
        <w:tc>
          <w:tcPr>
            <w:tcW w:w="465" w:type="pct"/>
          </w:tcPr>
          <w:p w14:paraId="450E74DE">
            <w:p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序号</w:t>
            </w:r>
          </w:p>
        </w:tc>
        <w:tc>
          <w:tcPr>
            <w:tcW w:w="2196" w:type="pct"/>
          </w:tcPr>
          <w:p w14:paraId="3297F58B">
            <w:pPr>
              <w:spacing w:line="360" w:lineRule="auto"/>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项目类别</w:t>
            </w:r>
          </w:p>
        </w:tc>
        <w:tc>
          <w:tcPr>
            <w:tcW w:w="1007" w:type="pct"/>
          </w:tcPr>
          <w:p w14:paraId="587D87BF">
            <w:pPr>
              <w:spacing w:line="360" w:lineRule="auto"/>
              <w:jc w:val="left"/>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预算</w:t>
            </w:r>
            <w:r>
              <w:rPr>
                <w:rFonts w:hint="eastAsia" w:ascii="黑体" w:hAnsi="黑体" w:eastAsia="黑体" w:cs="黑体"/>
                <w:b w:val="0"/>
                <w:bCs w:val="0"/>
                <w:sz w:val="24"/>
                <w:szCs w:val="24"/>
              </w:rPr>
              <w:t>金额（元）</w:t>
            </w:r>
          </w:p>
        </w:tc>
        <w:tc>
          <w:tcPr>
            <w:tcW w:w="1330" w:type="pct"/>
          </w:tcPr>
          <w:p w14:paraId="276EFA6C">
            <w:pPr>
              <w:spacing w:line="360" w:lineRule="auto"/>
              <w:jc w:val="left"/>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支出</w:t>
            </w:r>
            <w:r>
              <w:rPr>
                <w:rFonts w:hint="eastAsia" w:ascii="黑体" w:hAnsi="黑体" w:eastAsia="黑体" w:cs="黑体"/>
                <w:b w:val="0"/>
                <w:bCs w:val="0"/>
                <w:sz w:val="24"/>
                <w:szCs w:val="24"/>
              </w:rPr>
              <w:t>金额（元）</w:t>
            </w:r>
          </w:p>
        </w:tc>
      </w:tr>
      <w:tr w14:paraId="1B43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tcPr>
          <w:p w14:paraId="437ACD44">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1</w:t>
            </w:r>
          </w:p>
        </w:tc>
        <w:tc>
          <w:tcPr>
            <w:tcW w:w="2196" w:type="pct"/>
          </w:tcPr>
          <w:p w14:paraId="0EC165C9">
            <w:pPr>
              <w:jc w:val="left"/>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大气自动监测站房及仪器设备采购尾款</w:t>
            </w:r>
          </w:p>
        </w:tc>
        <w:tc>
          <w:tcPr>
            <w:tcW w:w="1007" w:type="pct"/>
          </w:tcPr>
          <w:p w14:paraId="60D24381">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346,558</w:t>
            </w:r>
          </w:p>
        </w:tc>
        <w:tc>
          <w:tcPr>
            <w:tcW w:w="1330" w:type="pct"/>
          </w:tcPr>
          <w:p w14:paraId="54808951">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346,558</w:t>
            </w:r>
          </w:p>
        </w:tc>
      </w:tr>
      <w:tr w14:paraId="77E7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tcPr>
          <w:p w14:paraId="1441889E">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2</w:t>
            </w:r>
          </w:p>
        </w:tc>
        <w:tc>
          <w:tcPr>
            <w:tcW w:w="2196" w:type="pct"/>
          </w:tcPr>
          <w:p w14:paraId="743B40D3">
            <w:pPr>
              <w:jc w:val="left"/>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空气颗粒物监测系统设备运行维护费</w:t>
            </w:r>
          </w:p>
        </w:tc>
        <w:tc>
          <w:tcPr>
            <w:tcW w:w="1007" w:type="pct"/>
          </w:tcPr>
          <w:p w14:paraId="1C6653AE">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1,050,000</w:t>
            </w:r>
          </w:p>
        </w:tc>
        <w:tc>
          <w:tcPr>
            <w:tcW w:w="1330" w:type="pct"/>
          </w:tcPr>
          <w:p w14:paraId="0ED8F0F5">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997,500</w:t>
            </w:r>
          </w:p>
        </w:tc>
      </w:tr>
      <w:tr w14:paraId="4EE6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tcPr>
          <w:p w14:paraId="13BFF853">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3</w:t>
            </w:r>
          </w:p>
        </w:tc>
        <w:tc>
          <w:tcPr>
            <w:tcW w:w="2196" w:type="pct"/>
          </w:tcPr>
          <w:p w14:paraId="022A27C4">
            <w:pPr>
              <w:jc w:val="left"/>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3D可视型雷达及站房采购尾款</w:t>
            </w:r>
          </w:p>
        </w:tc>
        <w:tc>
          <w:tcPr>
            <w:tcW w:w="1007" w:type="pct"/>
          </w:tcPr>
          <w:p w14:paraId="20A1B55B">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68,500</w:t>
            </w:r>
          </w:p>
        </w:tc>
        <w:tc>
          <w:tcPr>
            <w:tcW w:w="1330" w:type="pct"/>
          </w:tcPr>
          <w:p w14:paraId="5312AB31">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68,500</w:t>
            </w:r>
          </w:p>
        </w:tc>
      </w:tr>
      <w:tr w14:paraId="5EA6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tcPr>
          <w:p w14:paraId="01B4936E">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4</w:t>
            </w:r>
          </w:p>
        </w:tc>
        <w:tc>
          <w:tcPr>
            <w:tcW w:w="2196" w:type="pct"/>
          </w:tcPr>
          <w:p w14:paraId="79EEC415">
            <w:pPr>
              <w:jc w:val="left"/>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3D可视型雷达运行维护费</w:t>
            </w:r>
          </w:p>
        </w:tc>
        <w:tc>
          <w:tcPr>
            <w:tcW w:w="1007" w:type="pct"/>
          </w:tcPr>
          <w:p w14:paraId="403DD45D">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140,000</w:t>
            </w:r>
          </w:p>
        </w:tc>
        <w:tc>
          <w:tcPr>
            <w:tcW w:w="1330" w:type="pct"/>
          </w:tcPr>
          <w:p w14:paraId="483C6A39">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140,000</w:t>
            </w:r>
          </w:p>
        </w:tc>
      </w:tr>
      <w:tr w14:paraId="79AC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1" w:type="pct"/>
            <w:gridSpan w:val="2"/>
          </w:tcPr>
          <w:p w14:paraId="16ADCA39">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合计</w:t>
            </w:r>
          </w:p>
        </w:tc>
        <w:tc>
          <w:tcPr>
            <w:tcW w:w="1007" w:type="pct"/>
          </w:tcPr>
          <w:p w14:paraId="27BE8E42">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1,605,058</w:t>
            </w:r>
          </w:p>
        </w:tc>
        <w:tc>
          <w:tcPr>
            <w:tcW w:w="1330" w:type="pct"/>
          </w:tcPr>
          <w:p w14:paraId="61B6610C">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1,552,558</w:t>
            </w:r>
          </w:p>
        </w:tc>
      </w:tr>
    </w:tbl>
    <w:p w14:paraId="39C874B4">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5.组织及管理情况</w:t>
      </w:r>
    </w:p>
    <w:p w14:paraId="36FDE1BB">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（1）项目管理主体</w:t>
      </w:r>
    </w:p>
    <w:p w14:paraId="3ED0E775">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项目管理主体为昆明市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，代</w:t>
      </w:r>
      <w:r>
        <w:rPr>
          <w:rFonts w:hint="eastAsia" w:ascii="仿宋_GB2312" w:hAnsi="仿宋" w:eastAsia="仿宋_GB2312"/>
          <w:spacing w:val="6"/>
          <w:kern w:val="0"/>
          <w:sz w:val="28"/>
          <w:szCs w:val="28"/>
          <w:lang w:val="en-US" w:eastAsia="zh-CN"/>
        </w:rPr>
        <w:t>维公司</w:t>
      </w:r>
      <w:r>
        <w:rPr>
          <w:rFonts w:hint="eastAsia" w:ascii="仿宋_GB2312" w:hAnsi="仿宋" w:eastAsia="仿宋_GB2312"/>
          <w:spacing w:val="6"/>
          <w:kern w:val="0"/>
          <w:sz w:val="28"/>
          <w:szCs w:val="28"/>
        </w:rPr>
        <w:t>为</w:t>
      </w:r>
      <w:r>
        <w:rPr>
          <w:rFonts w:hint="eastAsia" w:ascii="仿宋_GB2312" w:hAnsi="仿宋" w:eastAsia="仿宋_GB2312"/>
          <w:spacing w:val="6"/>
          <w:kern w:val="0"/>
          <w:sz w:val="28"/>
          <w:szCs w:val="28"/>
          <w:lang w:val="en-US" w:eastAsia="zh-CN"/>
        </w:rPr>
        <w:t>昆明善利科技有限公司</w:t>
      </w:r>
      <w:r>
        <w:rPr>
          <w:rFonts w:hint="eastAsia" w:ascii="仿宋_GB2312" w:hAnsi="仿宋" w:eastAsia="仿宋_GB2312"/>
          <w:spacing w:val="6"/>
          <w:kern w:val="0"/>
          <w:sz w:val="28"/>
          <w:szCs w:val="28"/>
        </w:rPr>
        <w:t>。</w:t>
      </w:r>
    </w:p>
    <w:p w14:paraId="0E8F84E5">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（2）保障措施</w:t>
      </w:r>
    </w:p>
    <w:p w14:paraId="33CB065F">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按照《昆明市盘龙区环境保护局预算管理内部控制流程》、《昆明市盘龙区环境保护局</w:t>
      </w:r>
      <w:r>
        <w:rPr>
          <w:rFonts w:hint="eastAsia" w:ascii="仿宋_GB2312" w:hAnsi="仿宋" w:eastAsia="仿宋_GB2312"/>
          <w:spacing w:val="6"/>
          <w:kern w:val="0"/>
          <w:sz w:val="28"/>
          <w:szCs w:val="28"/>
          <w:lang w:val="en-US" w:eastAsia="zh-CN"/>
        </w:rPr>
        <w:t>收支</w:t>
      </w:r>
      <w:r>
        <w:rPr>
          <w:rFonts w:hint="eastAsia" w:ascii="仿宋_GB2312" w:hAnsi="仿宋" w:eastAsia="仿宋_GB2312"/>
          <w:spacing w:val="6"/>
          <w:kern w:val="0"/>
          <w:sz w:val="28"/>
          <w:szCs w:val="28"/>
        </w:rPr>
        <w:t>管理内部控制流程》、《昆明市盘龙区环境保护局</w:t>
      </w:r>
      <w:r>
        <w:rPr>
          <w:rFonts w:hint="eastAsia" w:ascii="仿宋_GB2312" w:hAnsi="仿宋" w:eastAsia="仿宋_GB2312"/>
          <w:spacing w:val="6"/>
          <w:kern w:val="0"/>
          <w:sz w:val="28"/>
          <w:szCs w:val="28"/>
          <w:lang w:val="en-US" w:eastAsia="zh-CN"/>
        </w:rPr>
        <w:t>采购</w:t>
      </w:r>
      <w:r>
        <w:rPr>
          <w:rFonts w:hint="eastAsia" w:ascii="仿宋_GB2312" w:hAnsi="仿宋" w:eastAsia="仿宋_GB2312"/>
          <w:spacing w:val="6"/>
          <w:kern w:val="0"/>
          <w:sz w:val="28"/>
          <w:szCs w:val="28"/>
        </w:rPr>
        <w:t>管理内部控制流程》、《昆明市盘龙区环境保护局</w:t>
      </w:r>
      <w:r>
        <w:rPr>
          <w:rFonts w:hint="eastAsia" w:ascii="仿宋_GB2312" w:hAnsi="仿宋" w:eastAsia="仿宋_GB2312"/>
          <w:spacing w:val="6"/>
          <w:kern w:val="0"/>
          <w:sz w:val="28"/>
          <w:szCs w:val="28"/>
          <w:lang w:val="en-US" w:eastAsia="zh-CN"/>
        </w:rPr>
        <w:t>国有资产</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《昆明市盘龙区环境保护局</w:t>
      </w:r>
      <w:r>
        <w:rPr>
          <w:rFonts w:hint="eastAsia" w:ascii="仿宋_GB2312" w:hAnsi="仿宋" w:eastAsia="仿宋_GB2312"/>
          <w:spacing w:val="6"/>
          <w:kern w:val="0"/>
          <w:sz w:val="28"/>
          <w:szCs w:val="28"/>
          <w:lang w:val="en-US" w:eastAsia="zh-CN"/>
        </w:rPr>
        <w:t>建设项目</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《昆明市盘龙区环境保护局</w:t>
      </w:r>
      <w:r>
        <w:rPr>
          <w:rFonts w:hint="eastAsia" w:ascii="仿宋_GB2312" w:hAnsi="仿宋" w:eastAsia="仿宋_GB2312"/>
          <w:spacing w:val="6"/>
          <w:kern w:val="0"/>
          <w:sz w:val="28"/>
          <w:szCs w:val="28"/>
          <w:lang w:val="en-US" w:eastAsia="zh-CN"/>
        </w:rPr>
        <w:t>合同</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昆明市盘龙区环境保护局经费支出管理办法</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盘环保</w:t>
      </w:r>
      <w:r>
        <w:rPr>
          <w:rFonts w:hint="eastAsia" w:ascii="仿宋_GB2312" w:hAnsi="仿宋" w:eastAsia="仿宋_GB2312"/>
          <w:spacing w:val="6"/>
          <w:kern w:val="0"/>
          <w:sz w:val="28"/>
          <w:szCs w:val="28"/>
        </w:rPr>
        <w:t>〔201</w:t>
      </w:r>
      <w:r>
        <w:rPr>
          <w:rFonts w:hint="eastAsia" w:ascii="仿宋_GB2312" w:hAnsi="仿宋" w:eastAsia="仿宋_GB2312"/>
          <w:spacing w:val="6"/>
          <w:kern w:val="0"/>
          <w:sz w:val="28"/>
          <w:szCs w:val="28"/>
          <w:lang w:val="en-US" w:eastAsia="zh-CN"/>
        </w:rPr>
        <w:t>7</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30</w:t>
      </w:r>
      <w:r>
        <w:rPr>
          <w:rFonts w:hint="eastAsia" w:ascii="仿宋_GB2312" w:hAnsi="仿宋" w:eastAsia="仿宋_GB2312"/>
          <w:spacing w:val="6"/>
          <w:kern w:val="0"/>
          <w:sz w:val="28"/>
          <w:szCs w:val="28"/>
        </w:rPr>
        <w:t>号）等文件要求，严格执行招投标管理机制、合同管理制和工程监理制等基本建设管理制度。项目资金开支严格按照国家有关财务管理规定单独建账、专人管理、专款专用，并根据</w:t>
      </w:r>
      <w:r>
        <w:rPr>
          <w:rFonts w:hint="eastAsia" w:ascii="仿宋_GB2312" w:hAnsi="仿宋" w:eastAsia="仿宋_GB2312"/>
          <w:spacing w:val="6"/>
          <w:kern w:val="0"/>
          <w:sz w:val="28"/>
          <w:szCs w:val="28"/>
          <w:lang w:val="en-US" w:eastAsia="zh-CN"/>
        </w:rPr>
        <w:t>盘龙</w:t>
      </w:r>
      <w:r>
        <w:rPr>
          <w:rFonts w:hint="eastAsia" w:ascii="仿宋_GB2312" w:hAnsi="仿宋" w:eastAsia="仿宋_GB2312"/>
          <w:spacing w:val="6"/>
          <w:kern w:val="0"/>
          <w:sz w:val="28"/>
          <w:szCs w:val="28"/>
        </w:rPr>
        <w:t>区财务管理制度执行。</w:t>
      </w:r>
    </w:p>
    <w:p w14:paraId="3DFCEAB9">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（3）评价相关方</w:t>
      </w:r>
    </w:p>
    <w:p w14:paraId="4596CA54">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①项目主管</w:t>
      </w:r>
      <w:r>
        <w:rPr>
          <w:rFonts w:hint="eastAsia" w:ascii="仿宋_GB2312" w:hAnsi="仿宋" w:eastAsia="仿宋_GB2312"/>
          <w:spacing w:val="6"/>
          <w:kern w:val="0"/>
          <w:sz w:val="28"/>
          <w:szCs w:val="28"/>
          <w:lang w:val="en-US" w:eastAsia="zh-CN"/>
        </w:rPr>
        <w:t>单位</w:t>
      </w:r>
      <w:r>
        <w:rPr>
          <w:rFonts w:hint="eastAsia" w:ascii="仿宋_GB2312" w:hAnsi="仿宋" w:eastAsia="仿宋_GB2312"/>
          <w:spacing w:val="6"/>
          <w:kern w:val="0"/>
          <w:sz w:val="28"/>
          <w:szCs w:val="28"/>
        </w:rPr>
        <w:t>：昆明市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p>
    <w:p w14:paraId="799CD133">
      <w:pPr>
        <w:spacing w:line="579"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rPr>
        <w:t>②项目代</w:t>
      </w:r>
      <w:r>
        <w:rPr>
          <w:rFonts w:hint="eastAsia" w:ascii="仿宋_GB2312" w:hAnsi="仿宋" w:eastAsia="仿宋_GB2312"/>
          <w:spacing w:val="6"/>
          <w:kern w:val="0"/>
          <w:sz w:val="28"/>
          <w:szCs w:val="28"/>
          <w:lang w:val="en-US" w:eastAsia="zh-CN"/>
        </w:rPr>
        <w:t>维公司</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昆明善利科技有限公司</w:t>
      </w:r>
    </w:p>
    <w:p w14:paraId="6F07AA3C">
      <w:pPr>
        <w:spacing w:line="579"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rPr>
        <w:t>③受益对象：</w:t>
      </w:r>
      <w:r>
        <w:rPr>
          <w:rFonts w:hint="eastAsia" w:ascii="仿宋_GB2312" w:hAnsi="仿宋" w:eastAsia="仿宋_GB2312"/>
          <w:spacing w:val="6"/>
          <w:kern w:val="0"/>
          <w:sz w:val="28"/>
          <w:szCs w:val="28"/>
          <w:lang w:val="en-US" w:eastAsia="zh-CN"/>
        </w:rPr>
        <w:t>盘龙区常住居民</w:t>
      </w:r>
    </w:p>
    <w:p w14:paraId="0055EFD1">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（二）绩效目标</w:t>
      </w:r>
    </w:p>
    <w:p w14:paraId="62E7B98D">
      <w:pPr>
        <w:spacing w:line="579" w:lineRule="exact"/>
        <w:ind w:firstLine="584" w:firstLineChars="200"/>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1.预算批复（申报）绩效目标和绩效指标情况</w:t>
      </w:r>
    </w:p>
    <w:p w14:paraId="2D4BAF46">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highlight w:val="none"/>
          <w:lang w:val="en-US" w:eastAsia="zh-CN"/>
        </w:rPr>
        <w:t>在年初申报预算时，昆明市盘龙区环境保护局针对该项目制定的总目标为：</w:t>
      </w:r>
    </w:p>
    <w:p w14:paraId="23B01621">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①2019年确保7个大气自动站的设备完好，运行正常，监测数据符合国标要求。提供对各街道办事处大气环境质量治理工作考核的有效依据。</w:t>
      </w:r>
    </w:p>
    <w:p w14:paraId="6E986FA5">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lang w:eastAsia="zh-CN"/>
        </w:rPr>
      </w:pPr>
      <w:r>
        <w:rPr>
          <w:rFonts w:hint="eastAsia" w:ascii="仿宋_GB2312" w:hAnsi="仿宋" w:eastAsia="仿宋_GB2312"/>
          <w:spacing w:val="6"/>
          <w:kern w:val="0"/>
          <w:sz w:val="28"/>
          <w:szCs w:val="28"/>
        </w:rPr>
        <w:t>②2019年对全区各区域内环境空气质量实现实时24小时监控，科学指导实施各区域内大气污染防治措施</w:t>
      </w:r>
      <w:r>
        <w:rPr>
          <w:rFonts w:hint="eastAsia" w:ascii="仿宋_GB2312" w:hAnsi="仿宋" w:eastAsia="仿宋_GB2312"/>
          <w:spacing w:val="6"/>
          <w:kern w:val="0"/>
          <w:sz w:val="28"/>
          <w:szCs w:val="28"/>
          <w:lang w:eastAsia="zh-CN"/>
        </w:rPr>
        <w:t>。</w:t>
      </w:r>
    </w:p>
    <w:p w14:paraId="37E1B921">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③2019年为全区大气环境质量稳步提升提供最准确的监测数据。</w:t>
      </w:r>
    </w:p>
    <w:p w14:paraId="6865285E">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2.绩效再评调整后的绩效目标和绩效指标情况</w:t>
      </w:r>
    </w:p>
    <w:p w14:paraId="507484C9">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根据对项目立项背景依据、项目可研报告、可研批复等相关资料分析，通过与项目主管单位沟通并结合项目实际情况，采取以下方式进行优化：一是结合《2019年昆明市生态环境监测工作方案》的通知</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昆生环通〔2019〕82号</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、《2019年云南省生态环境监测工作方案》</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云环通〔2019〕50号</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的通知文件要求，制定年初项目目标；二是分解制定的项目目标，制定清晰可衡量的绩效指标，优化后的绩效目标及目标完成情况详见表3。</w:t>
      </w:r>
    </w:p>
    <w:p w14:paraId="2EA001B3">
      <w:pPr>
        <w:jc w:val="center"/>
        <w:rPr>
          <w:rFonts w:hint="eastAsia" w:ascii="黑体" w:hAnsi="黑体" w:eastAsia="黑体" w:cs="宋体"/>
          <w:bCs/>
          <w:spacing w:val="6"/>
          <w:sz w:val="24"/>
          <w:szCs w:val="24"/>
          <w:highlight w:val="none"/>
        </w:rPr>
      </w:pPr>
      <w:r>
        <w:rPr>
          <w:rFonts w:hint="eastAsia" w:ascii="黑体" w:hAnsi="黑体" w:eastAsia="黑体" w:cs="宋体"/>
          <w:bCs/>
          <w:spacing w:val="6"/>
          <w:sz w:val="24"/>
          <w:szCs w:val="24"/>
          <w:highlight w:val="none"/>
        </w:rPr>
        <w:t>表3  绩效目标完成情况表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414"/>
        <w:gridCol w:w="1989"/>
        <w:gridCol w:w="4151"/>
        <w:gridCol w:w="1866"/>
      </w:tblGrid>
      <w:tr w14:paraId="0C9C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47" w:hRule="atLeast"/>
          <w:tblHeader/>
          <w:jc w:val="center"/>
        </w:trPr>
        <w:tc>
          <w:tcPr>
            <w:tcW w:w="0" w:type="auto"/>
            <w:tcBorders>
              <w:top w:val="single" w:color="auto" w:sz="4" w:space="0"/>
            </w:tcBorders>
            <w:vAlign w:val="center"/>
          </w:tcPr>
          <w:p w14:paraId="59878817">
            <w:pPr>
              <w:keepNext w:val="0"/>
              <w:keepLines w:val="0"/>
              <w:widowControl/>
              <w:suppressLineNumbers w:val="0"/>
              <w:jc w:val="center"/>
              <w:textAlignment w:val="center"/>
              <w:rPr>
                <w:rFonts w:hint="eastAsia" w:ascii="黑体" w:hAnsi="黑体" w:eastAsia="黑体" w:cs="宋体"/>
                <w:b w:val="0"/>
                <w:bCs/>
                <w:spacing w:val="6"/>
                <w:sz w:val="24"/>
                <w:szCs w:val="24"/>
                <w:highlight w:val="none"/>
                <w:lang w:val="en-US" w:eastAsia="zh-CN"/>
              </w:rPr>
            </w:pPr>
            <w:r>
              <w:rPr>
                <w:rFonts w:hint="eastAsia" w:ascii="仿宋" w:hAnsi="仿宋" w:eastAsia="仿宋" w:cs="仿宋"/>
                <w:b w:val="0"/>
                <w:bCs/>
                <w:i w:val="0"/>
                <w:color w:val="000000"/>
                <w:kern w:val="0"/>
                <w:sz w:val="24"/>
                <w:szCs w:val="24"/>
                <w:u w:val="none"/>
                <w:lang w:val="en-US" w:eastAsia="zh-CN" w:bidi="ar"/>
              </w:rPr>
              <w:t>序号</w:t>
            </w:r>
          </w:p>
        </w:tc>
        <w:tc>
          <w:tcPr>
            <w:tcW w:w="1989" w:type="dxa"/>
            <w:tcBorders>
              <w:top w:val="single" w:color="auto" w:sz="4" w:space="0"/>
            </w:tcBorders>
            <w:vAlign w:val="center"/>
          </w:tcPr>
          <w:p w14:paraId="1403AF00">
            <w:pPr>
              <w:keepNext w:val="0"/>
              <w:keepLines w:val="0"/>
              <w:widowControl/>
              <w:suppressLineNumbers w:val="0"/>
              <w:jc w:val="center"/>
              <w:textAlignment w:val="center"/>
              <w:rPr>
                <w:rFonts w:hint="eastAsia" w:ascii="黑体" w:hAnsi="黑体" w:eastAsia="黑体" w:cs="宋体"/>
                <w:b w:val="0"/>
                <w:bCs/>
                <w:spacing w:val="6"/>
                <w:sz w:val="24"/>
                <w:szCs w:val="24"/>
                <w:highlight w:val="none"/>
                <w:lang w:val="en-US" w:eastAsia="zh-CN"/>
              </w:rPr>
            </w:pPr>
            <w:r>
              <w:rPr>
                <w:rFonts w:hint="eastAsia" w:ascii="仿宋" w:hAnsi="仿宋" w:eastAsia="仿宋" w:cs="仿宋"/>
                <w:b w:val="0"/>
                <w:bCs/>
                <w:i w:val="0"/>
                <w:color w:val="000000"/>
                <w:kern w:val="0"/>
                <w:sz w:val="24"/>
                <w:szCs w:val="24"/>
                <w:u w:val="none"/>
                <w:lang w:val="en-US" w:eastAsia="zh-CN" w:bidi="ar"/>
              </w:rPr>
              <w:t>实施内容</w:t>
            </w:r>
          </w:p>
        </w:tc>
        <w:tc>
          <w:tcPr>
            <w:tcW w:w="4151" w:type="dxa"/>
            <w:tcBorders>
              <w:top w:val="single" w:color="auto" w:sz="4" w:space="0"/>
            </w:tcBorders>
            <w:vAlign w:val="center"/>
          </w:tcPr>
          <w:p w14:paraId="51168D7B">
            <w:pPr>
              <w:keepNext w:val="0"/>
              <w:keepLines w:val="0"/>
              <w:widowControl/>
              <w:suppressLineNumbers w:val="0"/>
              <w:jc w:val="center"/>
              <w:textAlignment w:val="center"/>
              <w:rPr>
                <w:rFonts w:hint="eastAsia" w:ascii="黑体" w:hAnsi="黑体" w:eastAsia="黑体" w:cs="宋体"/>
                <w:b w:val="0"/>
                <w:bCs/>
                <w:spacing w:val="6"/>
                <w:sz w:val="24"/>
                <w:szCs w:val="24"/>
                <w:highlight w:val="none"/>
                <w:lang w:val="en-US" w:eastAsia="zh-CN"/>
              </w:rPr>
            </w:pPr>
            <w:r>
              <w:rPr>
                <w:rFonts w:hint="eastAsia" w:ascii="仿宋" w:hAnsi="仿宋" w:eastAsia="仿宋" w:cs="仿宋"/>
                <w:b w:val="0"/>
                <w:bCs/>
                <w:i w:val="0"/>
                <w:color w:val="000000"/>
                <w:kern w:val="0"/>
                <w:sz w:val="24"/>
                <w:szCs w:val="24"/>
                <w:u w:val="none"/>
                <w:lang w:val="en-US" w:eastAsia="zh-CN" w:bidi="ar"/>
              </w:rPr>
              <w:t>计划完成情况</w:t>
            </w:r>
          </w:p>
        </w:tc>
        <w:tc>
          <w:tcPr>
            <w:tcW w:w="0" w:type="auto"/>
            <w:tcBorders>
              <w:top w:val="single" w:color="auto" w:sz="4" w:space="0"/>
            </w:tcBorders>
            <w:vAlign w:val="center"/>
          </w:tcPr>
          <w:p w14:paraId="46D22080">
            <w:pPr>
              <w:keepNext w:val="0"/>
              <w:keepLines w:val="0"/>
              <w:widowControl/>
              <w:suppressLineNumbers w:val="0"/>
              <w:jc w:val="center"/>
              <w:textAlignment w:val="center"/>
              <w:rPr>
                <w:rFonts w:hint="eastAsia" w:ascii="黑体" w:hAnsi="黑体" w:eastAsia="黑体" w:cs="宋体"/>
                <w:b w:val="0"/>
                <w:bCs/>
                <w:spacing w:val="6"/>
                <w:sz w:val="24"/>
                <w:szCs w:val="24"/>
                <w:highlight w:val="none"/>
                <w:lang w:val="en-US" w:eastAsia="zh-CN"/>
              </w:rPr>
            </w:pPr>
            <w:r>
              <w:rPr>
                <w:rFonts w:hint="eastAsia" w:ascii="仿宋" w:hAnsi="仿宋" w:eastAsia="仿宋" w:cs="仿宋"/>
                <w:b w:val="0"/>
                <w:bCs/>
                <w:i w:val="0"/>
                <w:color w:val="000000"/>
                <w:kern w:val="0"/>
                <w:sz w:val="24"/>
                <w:szCs w:val="24"/>
                <w:u w:val="none"/>
                <w:lang w:val="en-US" w:eastAsia="zh-CN" w:bidi="ar"/>
              </w:rPr>
              <w:t>实际完成情况</w:t>
            </w:r>
          </w:p>
        </w:tc>
      </w:tr>
      <w:tr w14:paraId="19A2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48" w:hRule="atLeast"/>
          <w:jc w:val="center"/>
        </w:trPr>
        <w:tc>
          <w:tcPr>
            <w:tcW w:w="0" w:type="auto"/>
            <w:vAlign w:val="center"/>
          </w:tcPr>
          <w:p w14:paraId="2959E55D">
            <w:pPr>
              <w:keepNext w:val="0"/>
              <w:keepLines w:val="0"/>
              <w:widowControl/>
              <w:suppressLineNumbers w:val="0"/>
              <w:jc w:val="center"/>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1</w:t>
            </w:r>
          </w:p>
        </w:tc>
        <w:tc>
          <w:tcPr>
            <w:tcW w:w="1989" w:type="dxa"/>
            <w:vAlign w:val="center"/>
          </w:tcPr>
          <w:p w14:paraId="0B24B943">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大气自动监测站巡查</w:t>
            </w:r>
          </w:p>
        </w:tc>
        <w:tc>
          <w:tcPr>
            <w:tcW w:w="4151" w:type="dxa"/>
            <w:vAlign w:val="center"/>
          </w:tcPr>
          <w:p w14:paraId="05C39F79">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全年不低于54次。</w:t>
            </w:r>
          </w:p>
        </w:tc>
        <w:tc>
          <w:tcPr>
            <w:tcW w:w="0" w:type="auto"/>
            <w:vAlign w:val="center"/>
          </w:tcPr>
          <w:p w14:paraId="6BB83082">
            <w:pPr>
              <w:keepNext w:val="0"/>
              <w:keepLines w:val="0"/>
              <w:widowControl/>
              <w:suppressLineNumbers w:val="0"/>
              <w:jc w:val="left"/>
              <w:textAlignment w:val="center"/>
              <w:rPr>
                <w:rFonts w:hint="default"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每周一次，完成率100%。</w:t>
            </w:r>
          </w:p>
        </w:tc>
      </w:tr>
      <w:tr w14:paraId="2BF7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48" w:hRule="atLeast"/>
          <w:jc w:val="center"/>
        </w:trPr>
        <w:tc>
          <w:tcPr>
            <w:tcW w:w="0" w:type="auto"/>
            <w:vAlign w:val="center"/>
          </w:tcPr>
          <w:p w14:paraId="312D8C93">
            <w:pPr>
              <w:keepNext w:val="0"/>
              <w:keepLines w:val="0"/>
              <w:widowControl/>
              <w:suppressLineNumbers w:val="0"/>
              <w:jc w:val="center"/>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2</w:t>
            </w:r>
          </w:p>
        </w:tc>
        <w:tc>
          <w:tcPr>
            <w:tcW w:w="1989" w:type="dxa"/>
            <w:vAlign w:val="center"/>
          </w:tcPr>
          <w:p w14:paraId="4DABCCCE">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大气自动监测站硬件设施使用率及完好率</w:t>
            </w:r>
          </w:p>
        </w:tc>
        <w:tc>
          <w:tcPr>
            <w:tcW w:w="4151" w:type="dxa"/>
            <w:vAlign w:val="center"/>
          </w:tcPr>
          <w:p w14:paraId="3CB0FA3D">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大气自动站共136件。</w:t>
            </w:r>
          </w:p>
        </w:tc>
        <w:tc>
          <w:tcPr>
            <w:tcW w:w="0" w:type="auto"/>
            <w:vAlign w:val="center"/>
          </w:tcPr>
          <w:p w14:paraId="6EB9A7E1">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大气自动站共136件全部启用，完好率100%。</w:t>
            </w:r>
          </w:p>
        </w:tc>
      </w:tr>
      <w:tr w14:paraId="68DF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48" w:hRule="atLeast"/>
          <w:jc w:val="center"/>
        </w:trPr>
        <w:tc>
          <w:tcPr>
            <w:tcW w:w="0" w:type="auto"/>
            <w:vAlign w:val="center"/>
          </w:tcPr>
          <w:p w14:paraId="3BF1B5A4">
            <w:pPr>
              <w:keepNext w:val="0"/>
              <w:keepLines w:val="0"/>
              <w:widowControl/>
              <w:suppressLineNumbers w:val="0"/>
              <w:jc w:val="center"/>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3</w:t>
            </w:r>
          </w:p>
        </w:tc>
        <w:tc>
          <w:tcPr>
            <w:tcW w:w="1989" w:type="dxa"/>
            <w:vAlign w:val="center"/>
          </w:tcPr>
          <w:p w14:paraId="1E4F91F1">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大气自动监测站各数据每日收集情况</w:t>
            </w:r>
          </w:p>
        </w:tc>
        <w:tc>
          <w:tcPr>
            <w:tcW w:w="4151" w:type="dxa"/>
            <w:vAlign w:val="center"/>
          </w:tcPr>
          <w:p w14:paraId="397E8E2F">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每天完成收集PM10监测数据≥1440个；每天完成收集PM2.5监测数据≥1440；每天完成收集气象五参数（温度、气压、湿度、风向、风速）监测数据≥24。</w:t>
            </w:r>
          </w:p>
        </w:tc>
        <w:tc>
          <w:tcPr>
            <w:tcW w:w="0" w:type="auto"/>
            <w:vAlign w:val="center"/>
          </w:tcPr>
          <w:p w14:paraId="36934B1D">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完成率100%。</w:t>
            </w:r>
          </w:p>
        </w:tc>
      </w:tr>
      <w:tr w14:paraId="0283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48" w:hRule="atLeast"/>
          <w:jc w:val="center"/>
        </w:trPr>
        <w:tc>
          <w:tcPr>
            <w:tcW w:w="0" w:type="auto"/>
            <w:vAlign w:val="center"/>
          </w:tcPr>
          <w:p w14:paraId="625FAC2F">
            <w:pPr>
              <w:keepNext w:val="0"/>
              <w:keepLines w:val="0"/>
              <w:widowControl/>
              <w:suppressLineNumbers w:val="0"/>
              <w:jc w:val="center"/>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4</w:t>
            </w:r>
          </w:p>
        </w:tc>
        <w:tc>
          <w:tcPr>
            <w:tcW w:w="1989" w:type="dxa"/>
            <w:vAlign w:val="center"/>
          </w:tcPr>
          <w:p w14:paraId="216E3CC6">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大气自动监测站日平均浓度检测完成情况</w:t>
            </w:r>
          </w:p>
        </w:tc>
        <w:tc>
          <w:tcPr>
            <w:tcW w:w="4151" w:type="dxa"/>
            <w:vAlign w:val="center"/>
          </w:tcPr>
          <w:p w14:paraId="503C5FB3">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全年完成PM10、PM2.5的平均浓度检测≥350日。</w:t>
            </w:r>
          </w:p>
        </w:tc>
        <w:tc>
          <w:tcPr>
            <w:tcW w:w="0" w:type="auto"/>
            <w:vAlign w:val="center"/>
          </w:tcPr>
          <w:p w14:paraId="19B6E89F">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全年365天，完成率100%。</w:t>
            </w:r>
          </w:p>
        </w:tc>
      </w:tr>
    </w:tbl>
    <w:p w14:paraId="16F13A56">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根据上述绩效目标设定的绩效指标详见附件1《2019年昆明市生态环境局盘龙分局大气自动站运行维护费项目支出绩效自评指标体系》。</w:t>
      </w:r>
    </w:p>
    <w:p w14:paraId="06697B1C">
      <w:pPr>
        <w:topLinePunct/>
        <w:spacing w:line="579" w:lineRule="exact"/>
        <w:ind w:firstLine="600" w:firstLineChars="200"/>
        <w:rPr>
          <w:rFonts w:ascii="黑体" w:eastAsia="黑体"/>
          <w:sz w:val="30"/>
          <w:szCs w:val="30"/>
        </w:rPr>
      </w:pPr>
      <w:r>
        <w:rPr>
          <w:rFonts w:hint="eastAsia" w:ascii="黑体" w:eastAsia="黑体"/>
          <w:sz w:val="30"/>
          <w:szCs w:val="30"/>
        </w:rPr>
        <w:t>二、绩效评价工作情况</w:t>
      </w:r>
    </w:p>
    <w:p w14:paraId="4DEE3E84">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（一）绩效评价目的</w:t>
      </w:r>
    </w:p>
    <w:p w14:paraId="274CF0B0">
      <w:pPr>
        <w:topLinePunct/>
        <w:spacing w:line="579" w:lineRule="exact"/>
        <w:ind w:firstLine="584" w:firstLineChars="200"/>
        <w:rPr>
          <w:rFonts w:ascii="仿宋" w:hAnsi="仿宋" w:eastAsia="仿宋"/>
          <w:kern w:val="30"/>
          <w:sz w:val="28"/>
          <w:szCs w:val="28"/>
        </w:rPr>
      </w:pPr>
      <w:r>
        <w:rPr>
          <w:rFonts w:hint="eastAsia" w:ascii="仿宋_GB2312" w:hAnsi="仿宋" w:eastAsia="仿宋_GB2312"/>
          <w:spacing w:val="6"/>
          <w:kern w:val="0"/>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4C13A10F">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（二）绩效评价工作方案制定过程</w:t>
      </w:r>
    </w:p>
    <w:p w14:paraId="488EC75C">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1.前期调研</w:t>
      </w:r>
    </w:p>
    <w:p w14:paraId="0C861ED2">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通过前期对项目主管单位</w:t>
      </w:r>
      <w:r>
        <w:rPr>
          <w:rFonts w:hint="eastAsia" w:ascii="仿宋_GB2312" w:hAnsi="仿宋" w:eastAsia="仿宋_GB2312"/>
          <w:spacing w:val="6"/>
          <w:kern w:val="0"/>
          <w:sz w:val="28"/>
          <w:szCs w:val="28"/>
          <w:lang w:val="en-US" w:eastAsia="zh-CN"/>
        </w:rPr>
        <w:t>昆</w:t>
      </w:r>
      <w:r>
        <w:rPr>
          <w:rFonts w:hint="eastAsia" w:ascii="仿宋_GB2312" w:hAnsi="仿宋" w:eastAsia="仿宋_GB2312"/>
          <w:spacing w:val="6"/>
          <w:kern w:val="0"/>
          <w:sz w:val="28"/>
          <w:szCs w:val="28"/>
        </w:rPr>
        <w:t>明市生态环境局盘龙分局及项目代</w:t>
      </w:r>
      <w:r>
        <w:rPr>
          <w:rFonts w:hint="eastAsia" w:ascii="仿宋_GB2312" w:hAnsi="仿宋" w:eastAsia="仿宋_GB2312"/>
          <w:spacing w:val="6"/>
          <w:kern w:val="0"/>
          <w:sz w:val="28"/>
          <w:szCs w:val="28"/>
          <w:lang w:val="en-US" w:eastAsia="zh-CN"/>
        </w:rPr>
        <w:t>维</w:t>
      </w:r>
      <w:r>
        <w:rPr>
          <w:rFonts w:hint="eastAsia" w:ascii="仿宋_GB2312" w:hAnsi="仿宋" w:eastAsia="仿宋_GB2312"/>
          <w:spacing w:val="6"/>
          <w:kern w:val="0"/>
          <w:sz w:val="28"/>
          <w:szCs w:val="28"/>
        </w:rPr>
        <w:t>方</w:t>
      </w:r>
      <w:r>
        <w:rPr>
          <w:rFonts w:hint="eastAsia" w:ascii="仿宋_GB2312" w:hAnsi="仿宋" w:eastAsia="仿宋_GB2312"/>
          <w:spacing w:val="6"/>
          <w:kern w:val="0"/>
          <w:sz w:val="28"/>
          <w:szCs w:val="28"/>
          <w:lang w:val="en-US" w:eastAsia="zh-CN"/>
        </w:rPr>
        <w:t>昆明善利科技有限公司</w:t>
      </w:r>
      <w:r>
        <w:rPr>
          <w:rFonts w:hint="eastAsia" w:ascii="仿宋_GB2312" w:hAnsi="仿宋" w:eastAsia="仿宋_GB2312"/>
          <w:spacing w:val="6"/>
          <w:kern w:val="0"/>
          <w:sz w:val="28"/>
          <w:szCs w:val="28"/>
        </w:rPr>
        <w:t>初步了解项目立项背景及依据、组织及管理情况、实施内容、实施计划及完成情况等，并向项目相关单位索要相关文件，通过调研会议等工作的相继开展，进一步了解项目情况。</w:t>
      </w:r>
    </w:p>
    <w:p w14:paraId="5230B3C8">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2.研究文件</w:t>
      </w:r>
    </w:p>
    <w:p w14:paraId="1A8CBBA7">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通过前期调研结束后所收集的相关项目资料，通过分析研究相关文件资料，进一步了解项目立项背景及依据、组织及管理情况、实施内容、实施计划及完成情况，绩效目标申报和实现情况，结合项目特点制定适用的评价指标体系。</w:t>
      </w:r>
    </w:p>
    <w:p w14:paraId="434EB27D">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3.绩效评价指标体系及工作方案的设计</w:t>
      </w:r>
    </w:p>
    <w:p w14:paraId="4079A0C8">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项目评价指标体系主要包括项目决策、项目管理、项目绩效三个方面，包括投入、过程、产出及效益。并根据《昆明市本级部门预算绩效自评管理暂行办法》附件项目支出共性指标体系细化评价指标，使设置的评价指标具有可操作性，能系统反映2019年昆明市生态环境局盘龙分局大气自动站运行维护费项目支出所产生的项目效益。指标分值满分为100分。一是项目决策指标：占指标权重20%。含2个二级指标，5个三级指标及10个四级指标。主要从项目与部门中长期规划目标适应性、立项依据充分性、项目立项规范性、绩效目标设定的合理性及绩效指标设定的明确性等方面对项目决策进行评价。二是项目管理指标：占指标权重20%。含3个二级指标，9个三级指标及</w:t>
      </w:r>
      <w:r>
        <w:rPr>
          <w:rFonts w:hint="eastAsia" w:ascii="仿宋_GB2312" w:hAnsi="仿宋" w:eastAsia="仿宋_GB2312"/>
          <w:spacing w:val="6"/>
          <w:kern w:val="0"/>
          <w:sz w:val="28"/>
          <w:szCs w:val="28"/>
          <w:lang w:val="en-US" w:eastAsia="zh-CN"/>
        </w:rPr>
        <w:t>10</w:t>
      </w:r>
      <w:r>
        <w:rPr>
          <w:rFonts w:hint="eastAsia" w:ascii="仿宋_GB2312" w:hAnsi="仿宋" w:eastAsia="仿宋_GB2312"/>
          <w:spacing w:val="6"/>
          <w:kern w:val="0"/>
          <w:sz w:val="28"/>
          <w:szCs w:val="28"/>
        </w:rPr>
        <w:t>个四级指标。主要从预算编制合理性、预算调整规范性、预算执行率、资金使用情况、财务管理制度健全性、财务监控有效性、项目管理制度健全性、项目管理制度执行有效性、</w:t>
      </w:r>
      <w:r>
        <w:rPr>
          <w:rFonts w:hint="eastAsia" w:ascii="仿宋_GB2312" w:hAnsi="仿宋" w:eastAsia="仿宋_GB2312"/>
          <w:spacing w:val="6"/>
          <w:kern w:val="0"/>
          <w:sz w:val="28"/>
          <w:szCs w:val="28"/>
          <w:lang w:val="en-US" w:eastAsia="zh-CN"/>
        </w:rPr>
        <w:t>政府采购规范性</w:t>
      </w:r>
      <w:r>
        <w:rPr>
          <w:rFonts w:hint="eastAsia" w:ascii="仿宋_GB2312" w:hAnsi="仿宋" w:eastAsia="仿宋_GB2312"/>
          <w:spacing w:val="6"/>
          <w:kern w:val="0"/>
          <w:sz w:val="28"/>
          <w:szCs w:val="28"/>
        </w:rPr>
        <w:t>等方面对项目实施的过程进行评价。三是项目绩效指标：占指标权重60%。含2个二级指标，</w:t>
      </w:r>
      <w:r>
        <w:rPr>
          <w:rFonts w:hint="eastAsia" w:ascii="仿宋_GB2312" w:hAnsi="仿宋" w:eastAsia="仿宋_GB2312"/>
          <w:spacing w:val="6"/>
          <w:kern w:val="0"/>
          <w:sz w:val="28"/>
          <w:szCs w:val="28"/>
          <w:lang w:val="en-US" w:eastAsia="zh-CN"/>
        </w:rPr>
        <w:t>8</w:t>
      </w:r>
      <w:r>
        <w:rPr>
          <w:rFonts w:hint="eastAsia" w:ascii="仿宋_GB2312" w:hAnsi="仿宋" w:eastAsia="仿宋_GB2312"/>
          <w:spacing w:val="6"/>
          <w:kern w:val="0"/>
          <w:sz w:val="28"/>
          <w:szCs w:val="28"/>
        </w:rPr>
        <w:t>个三级指标及11个四级指标。主要从2019年昆明市生态环境局盘龙分局大气自动站运行维护费项目的大气自动监测站日常工作完成情况、大气自动监测站数据收集完成情况、成本控制率、</w:t>
      </w:r>
      <w:r>
        <w:rPr>
          <w:rFonts w:hint="eastAsia" w:ascii="仿宋_GB2312" w:hAnsi="仿宋" w:eastAsia="仿宋_GB2312"/>
          <w:spacing w:val="6"/>
          <w:kern w:val="0"/>
          <w:sz w:val="28"/>
          <w:szCs w:val="28"/>
          <w:lang w:val="en-US" w:eastAsia="zh-CN"/>
        </w:rPr>
        <w:t>完成及时率、</w:t>
      </w:r>
      <w:r>
        <w:rPr>
          <w:rFonts w:hint="eastAsia" w:ascii="仿宋_GB2312" w:hAnsi="仿宋" w:eastAsia="仿宋_GB2312"/>
          <w:spacing w:val="6"/>
          <w:kern w:val="0"/>
          <w:sz w:val="28"/>
          <w:szCs w:val="28"/>
        </w:rPr>
        <w:t>社会效益、生态效益、社会群众满意度等方面对项目产出及其成效进行评价考核根据评价得分情况，评价结果分为：优、良、中、差四个等级档次，具体等级档次划分如下表4。</w:t>
      </w:r>
    </w:p>
    <w:p w14:paraId="319FD74F">
      <w:pPr>
        <w:spacing w:line="579" w:lineRule="exact"/>
        <w:ind w:firstLine="200"/>
        <w:jc w:val="center"/>
        <w:rPr>
          <w:rFonts w:hint="eastAsia" w:ascii="黑体" w:hAnsi="黑体" w:eastAsia="黑体" w:cs="黑体"/>
          <w:b/>
          <w:spacing w:val="6"/>
          <w:kern w:val="0"/>
          <w:sz w:val="24"/>
          <w:szCs w:val="24"/>
        </w:rPr>
      </w:pPr>
      <w:r>
        <w:rPr>
          <w:rFonts w:hint="eastAsia" w:ascii="黑体" w:hAnsi="黑体" w:eastAsia="黑体" w:cs="黑体"/>
          <w:b/>
          <w:spacing w:val="6"/>
          <w:sz w:val="24"/>
          <w:szCs w:val="24"/>
        </w:rPr>
        <w:t>表4  评分档次划分情况表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1502"/>
        <w:gridCol w:w="2134"/>
        <w:gridCol w:w="2134"/>
        <w:gridCol w:w="1725"/>
      </w:tblGrid>
      <w:tr w14:paraId="1419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blHeader/>
          <w:jc w:val="center"/>
        </w:trPr>
        <w:tc>
          <w:tcPr>
            <w:tcW w:w="603" w:type="pct"/>
            <w:vAlign w:val="center"/>
          </w:tcPr>
          <w:p w14:paraId="0ADBF775">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档次</w:t>
            </w:r>
          </w:p>
        </w:tc>
        <w:tc>
          <w:tcPr>
            <w:tcW w:w="881" w:type="pct"/>
            <w:vAlign w:val="center"/>
          </w:tcPr>
          <w:p w14:paraId="2B8864EF">
            <w:pPr>
              <w:spacing w:line="579" w:lineRule="exact"/>
              <w:ind w:firstLine="200"/>
              <w:jc w:val="center"/>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优</w:t>
            </w:r>
          </w:p>
        </w:tc>
        <w:tc>
          <w:tcPr>
            <w:tcW w:w="1252" w:type="pct"/>
            <w:vAlign w:val="center"/>
          </w:tcPr>
          <w:p w14:paraId="7648F5F2">
            <w:pPr>
              <w:spacing w:line="579" w:lineRule="exact"/>
              <w:ind w:firstLine="200"/>
              <w:jc w:val="center"/>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良</w:t>
            </w:r>
          </w:p>
        </w:tc>
        <w:tc>
          <w:tcPr>
            <w:tcW w:w="1252" w:type="pct"/>
            <w:vAlign w:val="center"/>
          </w:tcPr>
          <w:p w14:paraId="1AE58E0F">
            <w:pPr>
              <w:spacing w:line="579" w:lineRule="exact"/>
              <w:ind w:firstLine="200"/>
              <w:jc w:val="center"/>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中</w:t>
            </w:r>
          </w:p>
        </w:tc>
        <w:tc>
          <w:tcPr>
            <w:tcW w:w="1012" w:type="pct"/>
            <w:vAlign w:val="center"/>
          </w:tcPr>
          <w:p w14:paraId="4268BDB1">
            <w:pPr>
              <w:spacing w:line="579" w:lineRule="exact"/>
              <w:ind w:firstLine="200"/>
              <w:jc w:val="center"/>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差</w:t>
            </w:r>
          </w:p>
        </w:tc>
      </w:tr>
      <w:tr w14:paraId="78A3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03" w:type="pct"/>
            <w:vAlign w:val="center"/>
          </w:tcPr>
          <w:p w14:paraId="50C9734C">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分值</w:t>
            </w:r>
          </w:p>
        </w:tc>
        <w:tc>
          <w:tcPr>
            <w:tcW w:w="881" w:type="pct"/>
            <w:vAlign w:val="center"/>
          </w:tcPr>
          <w:p w14:paraId="1B5AC146">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得分≥90</w:t>
            </w:r>
          </w:p>
        </w:tc>
        <w:tc>
          <w:tcPr>
            <w:tcW w:w="1252" w:type="pct"/>
            <w:vAlign w:val="center"/>
          </w:tcPr>
          <w:p w14:paraId="5CD35001">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80≤得分＜90</w:t>
            </w:r>
          </w:p>
        </w:tc>
        <w:tc>
          <w:tcPr>
            <w:tcW w:w="1252" w:type="pct"/>
            <w:vAlign w:val="center"/>
          </w:tcPr>
          <w:p w14:paraId="71EFC425">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60≤得分＜80</w:t>
            </w:r>
          </w:p>
        </w:tc>
        <w:tc>
          <w:tcPr>
            <w:tcW w:w="1012" w:type="pct"/>
            <w:vAlign w:val="center"/>
          </w:tcPr>
          <w:p w14:paraId="58F2ECB0">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得分＜60</w:t>
            </w:r>
          </w:p>
        </w:tc>
      </w:tr>
    </w:tbl>
    <w:p w14:paraId="2FEF7FF0">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（详见附件1：《2019年昆明市生态环境局盘龙分局大气自动站运行维护费项目</w:t>
      </w:r>
      <w:r>
        <w:rPr>
          <w:rFonts w:hint="eastAsia" w:ascii="仿宋_GB2312" w:hAnsi="仿宋" w:eastAsia="仿宋_GB2312"/>
          <w:spacing w:val="6"/>
          <w:kern w:val="0"/>
          <w:sz w:val="28"/>
          <w:szCs w:val="28"/>
          <w:lang w:val="en-US" w:eastAsia="zh-CN"/>
        </w:rPr>
        <w:t>支出</w:t>
      </w:r>
      <w:r>
        <w:rPr>
          <w:rFonts w:hint="eastAsia" w:ascii="仿宋_GB2312" w:hAnsi="仿宋" w:eastAsia="仿宋_GB2312"/>
          <w:spacing w:val="6"/>
          <w:kern w:val="0"/>
          <w:sz w:val="28"/>
          <w:szCs w:val="28"/>
        </w:rPr>
        <w:t>绩效</w:t>
      </w:r>
      <w:r>
        <w:rPr>
          <w:rFonts w:hint="eastAsia" w:ascii="仿宋_GB2312" w:hAnsi="仿宋" w:eastAsia="仿宋_GB2312"/>
          <w:spacing w:val="6"/>
          <w:kern w:val="0"/>
          <w:sz w:val="28"/>
          <w:szCs w:val="28"/>
          <w:lang w:val="en-US" w:eastAsia="zh-CN"/>
        </w:rPr>
        <w:t>自评</w:t>
      </w:r>
      <w:r>
        <w:rPr>
          <w:rFonts w:hint="eastAsia" w:ascii="仿宋_GB2312" w:hAnsi="仿宋" w:eastAsia="仿宋_GB2312"/>
          <w:spacing w:val="6"/>
          <w:kern w:val="0"/>
          <w:sz w:val="28"/>
          <w:szCs w:val="28"/>
        </w:rPr>
        <w:t>指标体系》）</w:t>
      </w:r>
    </w:p>
    <w:p w14:paraId="18983CA4">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（三）绩效评价原则及评价方法</w:t>
      </w:r>
    </w:p>
    <w:p w14:paraId="68D96ECC">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1.绩效评价原则</w:t>
      </w:r>
    </w:p>
    <w:p w14:paraId="0F33A303">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本次绩效评价工作坚持科学规范、公开公正、绩效相关等原则。采用以定量评价为主、定性评价为辅、定量与定性相结合的方法进行评价。</w:t>
      </w:r>
    </w:p>
    <w:p w14:paraId="50B47324">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2.绩效评价方法</w:t>
      </w:r>
    </w:p>
    <w:p w14:paraId="7B45E743">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（1）审阅资料</w:t>
      </w:r>
    </w:p>
    <w:p w14:paraId="07C68D8B">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从各项目实施单位收集与项目预算、管理、绩效相关的评价数据，形成绩效重点评价的基础资料，并对基础资料的真实性、可靠性进行审阅。具体为①对各实施单位上报的自评报告进行认真审阅，核实各项目单位自评工作是否按要求完成，评价完成的效果和质量。收集绩效重点评价的基础数据。②对项目实施单位填报的项目完成情况表、资金使用情况表进行审阅，对异常的资金使用通过实地调查、原始凭证查阅等进行核实。③收集项目绩效的相关资料并结合问卷调查、座谈访谈结果对项目绩效进行客观评价。</w:t>
      </w:r>
    </w:p>
    <w:p w14:paraId="7D0AE485">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（2）现场调研</w:t>
      </w:r>
    </w:p>
    <w:p w14:paraId="407C68E5">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通过调研，进一步了解部门职能职责、履职情况、项目实施及绩效目标申报和实现情况，结合部门特点制定适用的重点评价指标体系。</w:t>
      </w:r>
    </w:p>
    <w:p w14:paraId="5225A3DE">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（3）实地评价</w:t>
      </w:r>
    </w:p>
    <w:p w14:paraId="7FED1922">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绩效重点评价工作组根据分工，采用资料收集与数据填报、案卷研究、实地调研、座谈会、问卷调查等方式，组织开展实地重点评价。在绩效重点评价实施过程中，根据评价对象的具体情况，设计数据收集表格收集评价数据、资料；同时发放调查问卷调查项目的公众满意度、管理人员意见以及评价相关的信息。</w:t>
      </w:r>
    </w:p>
    <w:p w14:paraId="3A474904">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（四）绩效评价实施过程</w:t>
      </w:r>
    </w:p>
    <w:p w14:paraId="09EFB2BC">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1.数据填报和采集</w:t>
      </w:r>
    </w:p>
    <w:p w14:paraId="2BBF5C98">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向项目实施单位收集相关项目实施进度资料、项目实施情况、完成情况，结合2019年昆明市生态环境局盘龙分局大气自动站运行维护费项目现场核实和查阅台账等结果资料进行分析整理。</w:t>
      </w:r>
    </w:p>
    <w:p w14:paraId="27295250">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2.社会调查</w:t>
      </w:r>
    </w:p>
    <w:p w14:paraId="5D1C0E80">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为充分了解“2019年昆明市生态环境局盘龙分局大气自动站运行维护费项目”的实施情况和效果、项目实施结果对盘龙区常住居民的影响程度等，评价组通过对抽查盘龙区常住居民进行调查问卷。</w:t>
      </w:r>
    </w:p>
    <w:p w14:paraId="6A22E93E">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每个抽样点至少发放60份调查问卷，共发放60份调查问卷，实际有效回收60份，有效回收率达100%。根据调查结果，项目组撰写了受益群众调查问卷汇总分析报告，详见附件4。</w:t>
      </w:r>
    </w:p>
    <w:p w14:paraId="1410E3E9">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2019年12月，项目组采取一对一现场访谈的形式，对</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环保宣教及绿色创建活动经费项目相关负责人进行了访谈，了解了项目组织、实施和</w:t>
      </w:r>
      <w:r>
        <w:rPr>
          <w:rFonts w:hint="eastAsia" w:ascii="仿宋_GB2312" w:hAnsi="仿宋" w:eastAsia="仿宋_GB2312"/>
          <w:spacing w:val="6"/>
          <w:kern w:val="0"/>
          <w:sz w:val="28"/>
          <w:szCs w:val="28"/>
          <w:highlight w:val="none"/>
          <w:lang w:val="en-US" w:eastAsia="zh-CN"/>
        </w:rPr>
        <w:t>管理的具体情况，并根据访谈情况撰写了访谈汇总分析报告，详见附件3。</w:t>
      </w:r>
    </w:p>
    <w:p w14:paraId="433FCC43">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3.数据分析和撰写报告</w:t>
      </w:r>
    </w:p>
    <w:p w14:paraId="5EDF435A">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将项目实施处室、主管单位填报的数据结合通过现场勘查采集到的基础数据，通过分析整理对应考核指标从项目立项、绩效目标、投入管理、财务管理、项目实施、项目产出、项目效益等方面逐项考核，并梳理总结相关项目单位的主要经验及做法及存在问题，对应问题给予建议和改进措施，形成最终报告。</w:t>
      </w:r>
    </w:p>
    <w:p w14:paraId="73D2F674">
      <w:pPr>
        <w:topLinePunct/>
        <w:spacing w:line="579" w:lineRule="exact"/>
        <w:ind w:firstLine="750" w:firstLineChars="250"/>
        <w:rPr>
          <w:rFonts w:ascii="黑体" w:eastAsia="黑体"/>
          <w:sz w:val="30"/>
          <w:szCs w:val="30"/>
        </w:rPr>
      </w:pPr>
      <w:r>
        <w:rPr>
          <w:rFonts w:hint="eastAsia" w:ascii="黑体" w:eastAsia="黑体"/>
          <w:sz w:val="30"/>
          <w:szCs w:val="30"/>
        </w:rPr>
        <w:t>三、评价结论和绩效分析</w:t>
      </w:r>
    </w:p>
    <w:p w14:paraId="3F9DB2A3">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（一）评价结论</w:t>
      </w:r>
    </w:p>
    <w:p w14:paraId="5010C2D1">
      <w:pPr>
        <w:topLinePunct/>
        <w:spacing w:line="579" w:lineRule="exact"/>
        <w:ind w:firstLine="584" w:firstLineChars="200"/>
        <w:rPr>
          <w:rFonts w:ascii="仿宋_GB2312" w:hAnsi="仿宋" w:eastAsia="仿宋_GB2312"/>
          <w:spacing w:val="6"/>
          <w:kern w:val="0"/>
          <w:sz w:val="28"/>
          <w:szCs w:val="28"/>
          <w:highlight w:val="none"/>
        </w:rPr>
      </w:pPr>
      <w:r>
        <w:rPr>
          <w:rFonts w:hint="eastAsia" w:ascii="仿宋_GB2312" w:hAnsi="仿宋" w:eastAsia="仿宋_GB2312"/>
          <w:spacing w:val="6"/>
          <w:kern w:val="0"/>
          <w:sz w:val="28"/>
          <w:szCs w:val="28"/>
          <w:highlight w:val="none"/>
        </w:rPr>
        <w:t>1.评价结果</w:t>
      </w:r>
    </w:p>
    <w:p w14:paraId="0B9D947C">
      <w:pPr>
        <w:topLinePunct/>
        <w:spacing w:line="579" w:lineRule="exact"/>
        <w:ind w:firstLine="584" w:firstLineChars="200"/>
        <w:rPr>
          <w:rFonts w:ascii="仿宋_GB2312" w:hAnsi="仿宋" w:eastAsia="仿宋_GB2312"/>
          <w:spacing w:val="6"/>
          <w:kern w:val="0"/>
          <w:sz w:val="30"/>
          <w:szCs w:val="30"/>
          <w:highlight w:val="none"/>
        </w:rPr>
      </w:pPr>
      <w:r>
        <w:rPr>
          <w:rFonts w:hint="eastAsia" w:ascii="仿宋_GB2312" w:hAnsi="仿宋" w:eastAsia="仿宋_GB2312"/>
          <w:spacing w:val="6"/>
          <w:kern w:val="0"/>
          <w:sz w:val="28"/>
          <w:szCs w:val="28"/>
          <w:highlight w:val="none"/>
        </w:rPr>
        <w:t>本次2019年昆明市生态环境局盘龙分局大气自动站运行维护费项目</w:t>
      </w:r>
      <w:r>
        <w:rPr>
          <w:rFonts w:hint="eastAsia" w:ascii="仿宋_GB2312" w:hAnsi="仿宋" w:eastAsia="仿宋_GB2312"/>
          <w:spacing w:val="6"/>
          <w:kern w:val="0"/>
          <w:sz w:val="28"/>
          <w:szCs w:val="28"/>
          <w:highlight w:val="none"/>
          <w:lang w:val="en-US" w:eastAsia="zh-CN"/>
        </w:rPr>
        <w:t>支出</w:t>
      </w:r>
      <w:r>
        <w:rPr>
          <w:rFonts w:hint="eastAsia" w:ascii="仿宋_GB2312" w:hAnsi="仿宋" w:eastAsia="仿宋_GB2312"/>
          <w:spacing w:val="6"/>
          <w:kern w:val="0"/>
          <w:sz w:val="28"/>
          <w:szCs w:val="28"/>
          <w:highlight w:val="none"/>
        </w:rPr>
        <w:t>绩效</w:t>
      </w:r>
      <w:r>
        <w:rPr>
          <w:rFonts w:hint="eastAsia" w:ascii="仿宋_GB2312" w:hAnsi="仿宋" w:eastAsia="仿宋_GB2312"/>
          <w:spacing w:val="6"/>
          <w:kern w:val="0"/>
          <w:sz w:val="28"/>
          <w:szCs w:val="28"/>
          <w:highlight w:val="none"/>
          <w:lang w:val="en-US" w:eastAsia="zh-CN"/>
        </w:rPr>
        <w:t>自评</w:t>
      </w:r>
      <w:r>
        <w:rPr>
          <w:rFonts w:hint="eastAsia" w:ascii="仿宋_GB2312" w:hAnsi="仿宋" w:eastAsia="仿宋_GB2312"/>
          <w:spacing w:val="6"/>
          <w:kern w:val="0"/>
          <w:sz w:val="28"/>
          <w:szCs w:val="28"/>
          <w:highlight w:val="none"/>
        </w:rPr>
        <w:t>最终得分</w:t>
      </w:r>
      <w:r>
        <w:rPr>
          <w:rFonts w:hint="eastAsia" w:ascii="仿宋_GB2312" w:hAnsi="仿宋" w:eastAsia="仿宋_GB2312"/>
          <w:spacing w:val="6"/>
          <w:kern w:val="0"/>
          <w:sz w:val="28"/>
          <w:szCs w:val="28"/>
          <w:highlight w:val="none"/>
          <w:lang w:val="en-US" w:eastAsia="zh-CN"/>
        </w:rPr>
        <w:t>98</w:t>
      </w:r>
      <w:r>
        <w:rPr>
          <w:rFonts w:hint="eastAsia" w:ascii="仿宋_GB2312" w:hAnsi="仿宋" w:eastAsia="仿宋_GB2312"/>
          <w:spacing w:val="6"/>
          <w:kern w:val="0"/>
          <w:sz w:val="28"/>
          <w:szCs w:val="28"/>
          <w:highlight w:val="none"/>
        </w:rPr>
        <w:t>分，评价结果为“</w:t>
      </w:r>
      <w:r>
        <w:rPr>
          <w:rFonts w:hint="eastAsia" w:ascii="仿宋_GB2312" w:hAnsi="仿宋" w:eastAsia="仿宋_GB2312"/>
          <w:spacing w:val="6"/>
          <w:kern w:val="0"/>
          <w:sz w:val="28"/>
          <w:szCs w:val="28"/>
          <w:highlight w:val="none"/>
          <w:lang w:val="en-US" w:eastAsia="zh-CN"/>
        </w:rPr>
        <w:t>优</w:t>
      </w:r>
      <w:r>
        <w:rPr>
          <w:rFonts w:hint="eastAsia" w:ascii="仿宋_GB2312" w:hAnsi="仿宋" w:eastAsia="仿宋_GB2312"/>
          <w:spacing w:val="6"/>
          <w:kern w:val="0"/>
          <w:sz w:val="28"/>
          <w:szCs w:val="28"/>
          <w:highlight w:val="none"/>
        </w:rPr>
        <w:t>”，详细各一级指标得分情况详见表5。</w:t>
      </w:r>
    </w:p>
    <w:p w14:paraId="095B33EF">
      <w:pPr>
        <w:jc w:val="center"/>
        <w:rPr>
          <w:rFonts w:hint="eastAsia" w:ascii="黑体" w:hAnsi="黑体" w:eastAsia="黑体" w:cs="Times New Roman"/>
          <w:kern w:val="2"/>
          <w:sz w:val="24"/>
          <w:szCs w:val="24"/>
          <w:highlight w:val="none"/>
          <w:lang w:val="en-US" w:eastAsia="zh-CN"/>
        </w:rPr>
      </w:pPr>
      <w:r>
        <w:rPr>
          <w:rFonts w:hint="eastAsia" w:ascii="黑体" w:hAnsi="黑体" w:eastAsia="黑体"/>
          <w:kern w:val="2"/>
          <w:sz w:val="24"/>
          <w:szCs w:val="24"/>
          <w:highlight w:val="none"/>
        </w:rPr>
        <w:t xml:space="preserve">表5  </w:t>
      </w:r>
      <w:r>
        <w:rPr>
          <w:rFonts w:hint="eastAsia" w:ascii="黑体" w:hAnsi="黑体" w:eastAsia="黑体"/>
          <w:kern w:val="2"/>
          <w:sz w:val="24"/>
          <w:szCs w:val="24"/>
          <w:highlight w:val="none"/>
          <w:lang w:val="en-US" w:eastAsia="zh-CN"/>
        </w:rPr>
        <w:t>2019年昆明市生态环境局盘龙分局</w:t>
      </w:r>
      <w:r>
        <w:rPr>
          <w:rFonts w:hint="eastAsia" w:ascii="黑体" w:hAnsi="黑体" w:eastAsia="黑体"/>
          <w:kern w:val="2"/>
          <w:sz w:val="24"/>
          <w:szCs w:val="24"/>
          <w:highlight w:val="none"/>
        </w:rPr>
        <w:t>项目</w:t>
      </w:r>
      <w:r>
        <w:rPr>
          <w:rFonts w:hint="eastAsia" w:ascii="黑体" w:hAnsi="黑体" w:eastAsia="黑体" w:cs="Times New Roman"/>
          <w:kern w:val="2"/>
          <w:sz w:val="24"/>
          <w:szCs w:val="24"/>
          <w:highlight w:val="none"/>
          <w:lang w:val="en-US" w:eastAsia="zh-CN"/>
        </w:rPr>
        <w:t>大气自动站运行维护费项目</w:t>
      </w:r>
    </w:p>
    <w:p w14:paraId="642B7D50">
      <w:pPr>
        <w:jc w:val="center"/>
        <w:rPr>
          <w:rFonts w:hint="eastAsia" w:ascii="黑体" w:hAnsi="黑体" w:eastAsia="黑体"/>
          <w:kern w:val="2"/>
          <w:sz w:val="24"/>
          <w:szCs w:val="24"/>
          <w:highlight w:val="none"/>
        </w:rPr>
      </w:pPr>
      <w:r>
        <w:rPr>
          <w:rFonts w:hint="eastAsia" w:ascii="黑体" w:hAnsi="黑体" w:eastAsia="黑体" w:cs="Times New Roman"/>
          <w:kern w:val="2"/>
          <w:sz w:val="24"/>
          <w:szCs w:val="24"/>
          <w:highlight w:val="none"/>
          <w:lang w:val="en-US" w:eastAsia="zh-CN"/>
        </w:rPr>
        <w:t>支出</w:t>
      </w:r>
      <w:r>
        <w:rPr>
          <w:rFonts w:hint="eastAsia" w:ascii="黑体" w:hAnsi="黑体" w:eastAsia="黑体"/>
          <w:kern w:val="2"/>
          <w:sz w:val="24"/>
          <w:szCs w:val="24"/>
          <w:highlight w:val="none"/>
        </w:rPr>
        <w:t>绩效</w:t>
      </w:r>
      <w:r>
        <w:rPr>
          <w:rFonts w:hint="eastAsia" w:ascii="黑体" w:hAnsi="黑体" w:eastAsia="黑体"/>
          <w:kern w:val="2"/>
          <w:sz w:val="24"/>
          <w:szCs w:val="24"/>
          <w:highlight w:val="none"/>
          <w:lang w:val="en-US" w:eastAsia="zh-CN"/>
        </w:rPr>
        <w:t>自评</w:t>
      </w:r>
      <w:r>
        <w:rPr>
          <w:rFonts w:hint="eastAsia" w:ascii="黑体" w:hAnsi="黑体" w:eastAsia="黑体"/>
          <w:kern w:val="2"/>
          <w:sz w:val="24"/>
          <w:szCs w:val="24"/>
          <w:highlight w:val="none"/>
        </w:rPr>
        <w:t>得分情况表</w:t>
      </w:r>
    </w:p>
    <w:tbl>
      <w:tblPr>
        <w:tblStyle w:val="8"/>
        <w:tblW w:w="5000" w:type="pct"/>
        <w:jc w:val="center"/>
        <w:tblLayout w:type="autofit"/>
        <w:tblCellMar>
          <w:top w:w="57" w:type="dxa"/>
          <w:left w:w="57" w:type="dxa"/>
          <w:bottom w:w="57" w:type="dxa"/>
          <w:right w:w="57" w:type="dxa"/>
        </w:tblCellMar>
      </w:tblPr>
      <w:tblGrid>
        <w:gridCol w:w="2105"/>
        <w:gridCol w:w="2105"/>
        <w:gridCol w:w="2105"/>
        <w:gridCol w:w="2105"/>
      </w:tblGrid>
      <w:tr w14:paraId="2063DD00">
        <w:tblPrEx>
          <w:tblCellMar>
            <w:top w:w="57" w:type="dxa"/>
            <w:left w:w="57" w:type="dxa"/>
            <w:bottom w:w="57" w:type="dxa"/>
            <w:right w:w="57" w:type="dxa"/>
          </w:tblCellMar>
        </w:tblPrEx>
        <w:trPr>
          <w:trHeight w:val="454" w:hRule="atLeast"/>
          <w:tblHeader/>
          <w:jc w:val="center"/>
        </w:trPr>
        <w:tc>
          <w:tcPr>
            <w:tcW w:w="1250" w:type="pct"/>
            <w:tcBorders>
              <w:top w:val="single" w:color="auto" w:sz="4" w:space="0"/>
              <w:left w:val="single" w:color="auto" w:sz="4" w:space="0"/>
              <w:bottom w:val="single" w:color="auto" w:sz="4" w:space="0"/>
              <w:right w:val="single" w:color="auto" w:sz="4" w:space="0"/>
            </w:tcBorders>
            <w:shd w:val="clear" w:color="auto" w:fill="auto"/>
            <w:vAlign w:val="center"/>
          </w:tcPr>
          <w:p w14:paraId="3CC05C99">
            <w:pPr>
              <w:jc w:val="center"/>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一级指标</w:t>
            </w:r>
          </w:p>
        </w:tc>
        <w:tc>
          <w:tcPr>
            <w:tcW w:w="1250" w:type="pct"/>
            <w:tcBorders>
              <w:top w:val="single" w:color="auto" w:sz="4" w:space="0"/>
              <w:left w:val="nil"/>
              <w:bottom w:val="single" w:color="auto" w:sz="4" w:space="0"/>
              <w:right w:val="single" w:color="auto" w:sz="4" w:space="0"/>
            </w:tcBorders>
            <w:shd w:val="clear" w:color="auto" w:fill="auto"/>
            <w:vAlign w:val="center"/>
          </w:tcPr>
          <w:p w14:paraId="4063F774">
            <w:pPr>
              <w:jc w:val="center"/>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指标分值</w:t>
            </w:r>
          </w:p>
        </w:tc>
        <w:tc>
          <w:tcPr>
            <w:tcW w:w="1250" w:type="pct"/>
            <w:tcBorders>
              <w:top w:val="single" w:color="auto" w:sz="4" w:space="0"/>
              <w:left w:val="nil"/>
              <w:bottom w:val="single" w:color="auto" w:sz="4" w:space="0"/>
              <w:right w:val="single" w:color="auto" w:sz="4" w:space="0"/>
            </w:tcBorders>
            <w:shd w:val="clear" w:color="auto" w:fill="auto"/>
            <w:vAlign w:val="center"/>
          </w:tcPr>
          <w:p w14:paraId="66888C7E">
            <w:pPr>
              <w:jc w:val="center"/>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评价得分</w:t>
            </w:r>
          </w:p>
        </w:tc>
        <w:tc>
          <w:tcPr>
            <w:tcW w:w="1250" w:type="pct"/>
            <w:tcBorders>
              <w:top w:val="single" w:color="auto" w:sz="4" w:space="0"/>
              <w:left w:val="nil"/>
              <w:bottom w:val="single" w:color="auto" w:sz="4" w:space="0"/>
              <w:right w:val="single" w:color="auto" w:sz="4" w:space="0"/>
            </w:tcBorders>
            <w:shd w:val="clear" w:color="auto" w:fill="auto"/>
            <w:vAlign w:val="center"/>
          </w:tcPr>
          <w:p w14:paraId="6F427B14">
            <w:pPr>
              <w:jc w:val="center"/>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rPr>
              <w:t>得分率</w:t>
            </w:r>
          </w:p>
        </w:tc>
      </w:tr>
      <w:tr w14:paraId="46B0BF4C">
        <w:tblPrEx>
          <w:tblCellMar>
            <w:top w:w="57" w:type="dxa"/>
            <w:left w:w="57" w:type="dxa"/>
            <w:bottom w:w="57" w:type="dxa"/>
            <w:right w:w="57" w:type="dxa"/>
          </w:tblCellMar>
        </w:tblPrEx>
        <w:trPr>
          <w:trHeight w:val="454" w:hRule="atLeast"/>
          <w:jc w:val="center"/>
        </w:trPr>
        <w:tc>
          <w:tcPr>
            <w:tcW w:w="1250" w:type="pct"/>
            <w:tcBorders>
              <w:top w:val="nil"/>
              <w:left w:val="single" w:color="auto" w:sz="4" w:space="0"/>
              <w:bottom w:val="single" w:color="auto" w:sz="4" w:space="0"/>
              <w:right w:val="single" w:color="auto" w:sz="4" w:space="0"/>
            </w:tcBorders>
            <w:shd w:val="clear" w:color="auto" w:fill="auto"/>
            <w:vAlign w:val="center"/>
          </w:tcPr>
          <w:p w14:paraId="508F3C15">
            <w:pPr>
              <w:widowControl/>
              <w:spacing w:line="300" w:lineRule="exact"/>
              <w:jc w:val="center"/>
              <w:rPr>
                <w:rFonts w:hint="eastAsia" w:ascii="宋体" w:hAnsi="宋体" w:eastAsia="宋体" w:cs="宋体"/>
                <w:color w:val="000000"/>
                <w:highlight w:val="none"/>
              </w:rPr>
            </w:pPr>
            <w:r>
              <w:rPr>
                <w:rFonts w:hint="eastAsia" w:ascii="宋体" w:hAnsi="宋体" w:eastAsia="宋体" w:cs="宋体"/>
                <w:color w:val="000000"/>
                <w:highlight w:val="none"/>
              </w:rPr>
              <w:t>项目决策</w:t>
            </w:r>
          </w:p>
        </w:tc>
        <w:tc>
          <w:tcPr>
            <w:tcW w:w="1250" w:type="pct"/>
            <w:tcBorders>
              <w:top w:val="nil"/>
              <w:left w:val="nil"/>
              <w:bottom w:val="single" w:color="auto" w:sz="4" w:space="0"/>
              <w:right w:val="single" w:color="auto" w:sz="4" w:space="0"/>
            </w:tcBorders>
            <w:shd w:val="clear" w:color="auto" w:fill="auto"/>
            <w:vAlign w:val="center"/>
          </w:tcPr>
          <w:p w14:paraId="7533C990">
            <w:pPr>
              <w:widowControl/>
              <w:spacing w:line="300" w:lineRule="exact"/>
              <w:jc w:val="center"/>
              <w:rPr>
                <w:rFonts w:hint="eastAsia" w:hAnsi="仿宋" w:cs="宋体"/>
                <w:color w:val="000000"/>
                <w:kern w:val="2"/>
                <w:sz w:val="21"/>
                <w:highlight w:val="none"/>
                <w:lang w:val="en-US" w:eastAsia="zh-CN"/>
              </w:rPr>
            </w:pPr>
            <w:r>
              <w:rPr>
                <w:rFonts w:hint="eastAsia" w:hAnsi="仿宋" w:cs="宋体"/>
                <w:color w:val="000000"/>
                <w:kern w:val="2"/>
                <w:sz w:val="21"/>
                <w:highlight w:val="none"/>
                <w:lang w:val="en-US" w:eastAsia="zh-CN"/>
              </w:rPr>
              <w:t>20</w:t>
            </w:r>
          </w:p>
        </w:tc>
        <w:tc>
          <w:tcPr>
            <w:tcW w:w="1250" w:type="pct"/>
            <w:tcBorders>
              <w:top w:val="nil"/>
              <w:left w:val="nil"/>
              <w:bottom w:val="single" w:color="auto" w:sz="4" w:space="0"/>
              <w:right w:val="single" w:color="auto" w:sz="4" w:space="0"/>
            </w:tcBorders>
            <w:shd w:val="clear" w:color="auto" w:fill="auto"/>
            <w:vAlign w:val="center"/>
          </w:tcPr>
          <w:p w14:paraId="5CF088B8">
            <w:pPr>
              <w:widowControl/>
              <w:spacing w:line="300" w:lineRule="exact"/>
              <w:jc w:val="center"/>
              <w:rPr>
                <w:rFonts w:hint="default" w:hAnsi="仿宋" w:cs="宋体"/>
                <w:color w:val="000000"/>
                <w:kern w:val="2"/>
                <w:sz w:val="21"/>
                <w:highlight w:val="none"/>
                <w:lang w:val="en-US" w:eastAsia="zh-CN"/>
              </w:rPr>
            </w:pPr>
            <w:r>
              <w:rPr>
                <w:rFonts w:hint="eastAsia" w:hAnsi="仿宋" w:cs="宋体"/>
                <w:color w:val="000000"/>
                <w:kern w:val="2"/>
                <w:sz w:val="21"/>
                <w:highlight w:val="none"/>
                <w:lang w:val="en-US" w:eastAsia="zh-CN"/>
              </w:rPr>
              <w:t>20</w:t>
            </w:r>
          </w:p>
        </w:tc>
        <w:tc>
          <w:tcPr>
            <w:tcW w:w="1250" w:type="pct"/>
            <w:tcBorders>
              <w:top w:val="nil"/>
              <w:left w:val="nil"/>
              <w:bottom w:val="single" w:color="auto" w:sz="4" w:space="0"/>
              <w:right w:val="single" w:color="auto" w:sz="4" w:space="0"/>
            </w:tcBorders>
            <w:shd w:val="clear" w:color="auto" w:fill="auto"/>
            <w:vAlign w:val="center"/>
          </w:tcPr>
          <w:p w14:paraId="31F326F4">
            <w:pPr>
              <w:widowControl/>
              <w:spacing w:line="300" w:lineRule="exact"/>
              <w:jc w:val="center"/>
              <w:rPr>
                <w:rFonts w:hint="eastAsia" w:hAnsi="仿宋" w:cs="宋体"/>
                <w:color w:val="000000"/>
                <w:kern w:val="2"/>
                <w:sz w:val="21"/>
                <w:highlight w:val="none"/>
                <w:lang w:val="en-US" w:eastAsia="zh-CN"/>
              </w:rPr>
            </w:pPr>
            <w:r>
              <w:rPr>
                <w:rFonts w:hint="eastAsia" w:hAnsi="仿宋" w:cs="宋体"/>
                <w:color w:val="000000"/>
                <w:kern w:val="2"/>
                <w:sz w:val="21"/>
                <w:highlight w:val="none"/>
                <w:lang w:val="en-US" w:eastAsia="zh-CN"/>
              </w:rPr>
              <w:t>100%</w:t>
            </w:r>
          </w:p>
        </w:tc>
      </w:tr>
      <w:tr w14:paraId="204DFC66">
        <w:tblPrEx>
          <w:tblCellMar>
            <w:top w:w="57" w:type="dxa"/>
            <w:left w:w="57" w:type="dxa"/>
            <w:bottom w:w="57" w:type="dxa"/>
            <w:right w:w="57" w:type="dxa"/>
          </w:tblCellMar>
        </w:tblPrEx>
        <w:trPr>
          <w:trHeight w:val="454" w:hRule="atLeast"/>
          <w:jc w:val="center"/>
        </w:trPr>
        <w:tc>
          <w:tcPr>
            <w:tcW w:w="1250" w:type="pct"/>
            <w:tcBorders>
              <w:top w:val="nil"/>
              <w:left w:val="single" w:color="auto" w:sz="4" w:space="0"/>
              <w:bottom w:val="single" w:color="auto" w:sz="4" w:space="0"/>
              <w:right w:val="single" w:color="auto" w:sz="4" w:space="0"/>
            </w:tcBorders>
            <w:shd w:val="clear" w:color="auto" w:fill="auto"/>
            <w:vAlign w:val="center"/>
          </w:tcPr>
          <w:p w14:paraId="1F08E199">
            <w:pPr>
              <w:widowControl/>
              <w:spacing w:line="300" w:lineRule="exact"/>
              <w:jc w:val="center"/>
              <w:rPr>
                <w:rFonts w:hint="eastAsia" w:ascii="宋体" w:hAnsi="宋体" w:eastAsia="宋体" w:cs="宋体"/>
                <w:color w:val="000000"/>
                <w:highlight w:val="none"/>
              </w:rPr>
            </w:pPr>
            <w:r>
              <w:rPr>
                <w:rFonts w:hint="eastAsia" w:ascii="宋体" w:hAnsi="宋体" w:eastAsia="宋体" w:cs="宋体"/>
                <w:color w:val="000000"/>
                <w:highlight w:val="none"/>
              </w:rPr>
              <w:t>项目管理</w:t>
            </w:r>
          </w:p>
        </w:tc>
        <w:tc>
          <w:tcPr>
            <w:tcW w:w="1250" w:type="pct"/>
            <w:tcBorders>
              <w:top w:val="nil"/>
              <w:left w:val="nil"/>
              <w:bottom w:val="single" w:color="auto" w:sz="4" w:space="0"/>
              <w:right w:val="single" w:color="auto" w:sz="4" w:space="0"/>
            </w:tcBorders>
            <w:shd w:val="clear" w:color="auto" w:fill="auto"/>
            <w:vAlign w:val="center"/>
          </w:tcPr>
          <w:p w14:paraId="7A070EF7">
            <w:pPr>
              <w:widowControl/>
              <w:spacing w:line="300" w:lineRule="exact"/>
              <w:jc w:val="center"/>
              <w:rPr>
                <w:rFonts w:hint="eastAsia" w:hAnsi="仿宋" w:cs="宋体"/>
                <w:color w:val="000000"/>
                <w:kern w:val="2"/>
                <w:sz w:val="21"/>
                <w:highlight w:val="none"/>
                <w:lang w:val="en-US" w:eastAsia="zh-CN"/>
              </w:rPr>
            </w:pPr>
            <w:r>
              <w:rPr>
                <w:rFonts w:hint="eastAsia" w:hAnsi="仿宋" w:cs="宋体"/>
                <w:color w:val="000000"/>
                <w:kern w:val="2"/>
                <w:sz w:val="21"/>
                <w:highlight w:val="none"/>
                <w:lang w:val="en-US" w:eastAsia="zh-CN"/>
              </w:rPr>
              <w:t>20</w:t>
            </w:r>
          </w:p>
        </w:tc>
        <w:tc>
          <w:tcPr>
            <w:tcW w:w="1250" w:type="pct"/>
            <w:tcBorders>
              <w:top w:val="nil"/>
              <w:left w:val="nil"/>
              <w:bottom w:val="single" w:color="auto" w:sz="4" w:space="0"/>
              <w:right w:val="single" w:color="auto" w:sz="4" w:space="0"/>
            </w:tcBorders>
            <w:shd w:val="clear" w:color="auto" w:fill="auto"/>
            <w:vAlign w:val="center"/>
          </w:tcPr>
          <w:p w14:paraId="3DD876CD">
            <w:pPr>
              <w:widowControl/>
              <w:spacing w:line="300" w:lineRule="exact"/>
              <w:jc w:val="center"/>
              <w:rPr>
                <w:rFonts w:hint="default" w:hAnsi="仿宋" w:cs="宋体"/>
                <w:color w:val="000000"/>
                <w:kern w:val="2"/>
                <w:sz w:val="21"/>
                <w:highlight w:val="none"/>
                <w:lang w:val="en-US" w:eastAsia="zh-CN"/>
              </w:rPr>
            </w:pPr>
            <w:r>
              <w:rPr>
                <w:rFonts w:hint="eastAsia" w:hAnsi="仿宋" w:cs="宋体"/>
                <w:color w:val="000000"/>
                <w:kern w:val="2"/>
                <w:sz w:val="21"/>
                <w:highlight w:val="none"/>
                <w:lang w:val="en-US" w:eastAsia="zh-CN"/>
              </w:rPr>
              <w:t>20</w:t>
            </w:r>
          </w:p>
        </w:tc>
        <w:tc>
          <w:tcPr>
            <w:tcW w:w="1250" w:type="pct"/>
            <w:tcBorders>
              <w:top w:val="nil"/>
              <w:left w:val="nil"/>
              <w:bottom w:val="single" w:color="auto" w:sz="4" w:space="0"/>
              <w:right w:val="single" w:color="auto" w:sz="4" w:space="0"/>
            </w:tcBorders>
            <w:shd w:val="clear" w:color="auto" w:fill="auto"/>
            <w:vAlign w:val="center"/>
          </w:tcPr>
          <w:p w14:paraId="0B0D4666">
            <w:pPr>
              <w:widowControl/>
              <w:spacing w:line="300" w:lineRule="exact"/>
              <w:jc w:val="center"/>
              <w:rPr>
                <w:rFonts w:hint="eastAsia" w:hAnsi="仿宋" w:cs="宋体"/>
                <w:color w:val="000000"/>
                <w:kern w:val="2"/>
                <w:sz w:val="21"/>
                <w:highlight w:val="none"/>
                <w:lang w:val="en-US" w:eastAsia="zh-CN"/>
              </w:rPr>
            </w:pPr>
            <w:r>
              <w:rPr>
                <w:rFonts w:hint="eastAsia" w:hAnsi="仿宋" w:cs="宋体"/>
                <w:color w:val="000000"/>
                <w:kern w:val="2"/>
                <w:sz w:val="21"/>
                <w:highlight w:val="none"/>
                <w:lang w:val="en-US" w:eastAsia="zh-CN"/>
              </w:rPr>
              <w:t>100%</w:t>
            </w:r>
          </w:p>
        </w:tc>
      </w:tr>
      <w:tr w14:paraId="375E1570">
        <w:tblPrEx>
          <w:tblCellMar>
            <w:top w:w="57" w:type="dxa"/>
            <w:left w:w="57" w:type="dxa"/>
            <w:bottom w:w="57" w:type="dxa"/>
            <w:right w:w="57" w:type="dxa"/>
          </w:tblCellMar>
        </w:tblPrEx>
        <w:trPr>
          <w:trHeight w:val="454" w:hRule="atLeast"/>
          <w:jc w:val="center"/>
        </w:trPr>
        <w:tc>
          <w:tcPr>
            <w:tcW w:w="1250" w:type="pct"/>
            <w:tcBorders>
              <w:top w:val="nil"/>
              <w:left w:val="single" w:color="auto" w:sz="4" w:space="0"/>
              <w:bottom w:val="nil"/>
              <w:right w:val="single" w:color="auto" w:sz="4" w:space="0"/>
            </w:tcBorders>
            <w:shd w:val="clear" w:color="auto" w:fill="auto"/>
            <w:vAlign w:val="center"/>
          </w:tcPr>
          <w:p w14:paraId="500671DC">
            <w:pPr>
              <w:widowControl/>
              <w:spacing w:line="300" w:lineRule="exact"/>
              <w:jc w:val="center"/>
              <w:rPr>
                <w:rFonts w:hint="eastAsia" w:ascii="宋体" w:hAnsi="宋体" w:eastAsia="宋体" w:cs="宋体"/>
                <w:color w:val="000000"/>
                <w:highlight w:val="none"/>
              </w:rPr>
            </w:pPr>
            <w:r>
              <w:rPr>
                <w:rFonts w:hint="eastAsia" w:ascii="宋体" w:hAnsi="宋体" w:eastAsia="宋体" w:cs="宋体"/>
                <w:color w:val="000000"/>
                <w:highlight w:val="none"/>
              </w:rPr>
              <w:t>项目绩效</w:t>
            </w:r>
          </w:p>
        </w:tc>
        <w:tc>
          <w:tcPr>
            <w:tcW w:w="1250" w:type="pct"/>
            <w:tcBorders>
              <w:top w:val="nil"/>
              <w:left w:val="nil"/>
              <w:bottom w:val="nil"/>
              <w:right w:val="single" w:color="auto" w:sz="4" w:space="0"/>
            </w:tcBorders>
            <w:shd w:val="clear" w:color="auto" w:fill="auto"/>
            <w:vAlign w:val="center"/>
          </w:tcPr>
          <w:p w14:paraId="11F81A76">
            <w:pPr>
              <w:widowControl/>
              <w:spacing w:line="300" w:lineRule="exact"/>
              <w:jc w:val="center"/>
              <w:rPr>
                <w:rFonts w:hint="eastAsia" w:hAnsi="仿宋" w:cs="宋体"/>
                <w:color w:val="000000"/>
                <w:kern w:val="2"/>
                <w:sz w:val="21"/>
                <w:highlight w:val="none"/>
                <w:lang w:val="en-US" w:eastAsia="zh-CN"/>
              </w:rPr>
            </w:pPr>
            <w:r>
              <w:rPr>
                <w:rFonts w:hint="eastAsia" w:hAnsi="仿宋" w:cs="宋体"/>
                <w:color w:val="000000"/>
                <w:kern w:val="2"/>
                <w:sz w:val="21"/>
                <w:highlight w:val="none"/>
                <w:lang w:val="en-US" w:eastAsia="zh-CN"/>
              </w:rPr>
              <w:t>60</w:t>
            </w:r>
          </w:p>
        </w:tc>
        <w:tc>
          <w:tcPr>
            <w:tcW w:w="1250" w:type="pct"/>
            <w:tcBorders>
              <w:top w:val="nil"/>
              <w:left w:val="nil"/>
              <w:bottom w:val="nil"/>
              <w:right w:val="single" w:color="auto" w:sz="4" w:space="0"/>
            </w:tcBorders>
            <w:shd w:val="clear" w:color="auto" w:fill="auto"/>
            <w:vAlign w:val="center"/>
          </w:tcPr>
          <w:p w14:paraId="7325EB55">
            <w:pPr>
              <w:widowControl/>
              <w:spacing w:line="300" w:lineRule="exact"/>
              <w:jc w:val="center"/>
              <w:rPr>
                <w:rFonts w:hint="default" w:hAnsi="仿宋" w:cs="宋体"/>
                <w:color w:val="000000"/>
                <w:kern w:val="2"/>
                <w:sz w:val="21"/>
                <w:highlight w:val="none"/>
                <w:lang w:val="en-US" w:eastAsia="zh-CN"/>
              </w:rPr>
            </w:pPr>
            <w:r>
              <w:rPr>
                <w:rFonts w:hint="eastAsia" w:hAnsi="仿宋" w:cs="宋体"/>
                <w:color w:val="000000"/>
                <w:kern w:val="2"/>
                <w:sz w:val="21"/>
                <w:highlight w:val="none"/>
                <w:lang w:val="en-US" w:eastAsia="zh-CN"/>
              </w:rPr>
              <w:t>58</w:t>
            </w:r>
          </w:p>
        </w:tc>
        <w:tc>
          <w:tcPr>
            <w:tcW w:w="1250" w:type="pct"/>
            <w:tcBorders>
              <w:top w:val="nil"/>
              <w:left w:val="nil"/>
              <w:bottom w:val="nil"/>
              <w:right w:val="single" w:color="auto" w:sz="4" w:space="0"/>
            </w:tcBorders>
            <w:shd w:val="clear" w:color="auto" w:fill="auto"/>
            <w:vAlign w:val="center"/>
          </w:tcPr>
          <w:p w14:paraId="4ABA45A0">
            <w:pPr>
              <w:widowControl/>
              <w:spacing w:line="300" w:lineRule="exact"/>
              <w:jc w:val="center"/>
              <w:rPr>
                <w:rFonts w:hint="eastAsia" w:hAnsi="仿宋" w:cs="宋体"/>
                <w:color w:val="000000"/>
                <w:kern w:val="2"/>
                <w:sz w:val="21"/>
                <w:highlight w:val="none"/>
                <w:lang w:val="en-US" w:eastAsia="zh-CN"/>
              </w:rPr>
            </w:pPr>
            <w:r>
              <w:rPr>
                <w:rFonts w:hint="eastAsia" w:hAnsi="仿宋" w:cs="宋体"/>
                <w:color w:val="000000"/>
                <w:kern w:val="2"/>
                <w:sz w:val="21"/>
                <w:highlight w:val="none"/>
                <w:lang w:val="en-US" w:eastAsia="zh-CN"/>
              </w:rPr>
              <w:t>96.67%</w:t>
            </w:r>
          </w:p>
        </w:tc>
      </w:tr>
      <w:tr w14:paraId="22F199B4">
        <w:tblPrEx>
          <w:tblCellMar>
            <w:top w:w="57" w:type="dxa"/>
            <w:left w:w="57" w:type="dxa"/>
            <w:bottom w:w="57" w:type="dxa"/>
            <w:right w:w="57" w:type="dxa"/>
          </w:tblCellMar>
        </w:tblPrEx>
        <w:trPr>
          <w:trHeight w:val="454" w:hRule="atLeast"/>
          <w:jc w:val="center"/>
        </w:trPr>
        <w:tc>
          <w:tcPr>
            <w:tcW w:w="1250" w:type="pct"/>
            <w:tcBorders>
              <w:top w:val="nil"/>
              <w:left w:val="single" w:color="auto" w:sz="4" w:space="0"/>
              <w:bottom w:val="single" w:color="auto" w:sz="4" w:space="0"/>
              <w:right w:val="single" w:color="auto" w:sz="4" w:space="0"/>
            </w:tcBorders>
            <w:shd w:val="clear" w:color="auto" w:fill="auto"/>
            <w:vAlign w:val="center"/>
          </w:tcPr>
          <w:p w14:paraId="053B77EA">
            <w:pPr>
              <w:widowControl/>
              <w:spacing w:line="300" w:lineRule="exact"/>
              <w:jc w:val="center"/>
              <w:rPr>
                <w:rFonts w:hint="eastAsia" w:ascii="宋体" w:hAnsi="宋体" w:eastAsia="宋体" w:cs="宋体"/>
                <w:color w:val="000000"/>
                <w:highlight w:val="none"/>
                <w:lang w:val="en-US" w:eastAsia="zh-CN"/>
              </w:rPr>
            </w:pPr>
            <w:r>
              <w:rPr>
                <w:rFonts w:hint="eastAsia" w:ascii="宋体" w:hAnsi="宋体" w:cs="宋体"/>
                <w:color w:val="000000"/>
                <w:highlight w:val="none"/>
                <w:lang w:val="en-US" w:eastAsia="zh-CN"/>
              </w:rPr>
              <w:t>合计</w:t>
            </w:r>
          </w:p>
        </w:tc>
        <w:tc>
          <w:tcPr>
            <w:tcW w:w="1250" w:type="pct"/>
            <w:tcBorders>
              <w:top w:val="nil"/>
              <w:left w:val="nil"/>
              <w:bottom w:val="single" w:color="auto" w:sz="4" w:space="0"/>
              <w:right w:val="single" w:color="auto" w:sz="4" w:space="0"/>
            </w:tcBorders>
            <w:shd w:val="clear" w:color="auto" w:fill="auto"/>
            <w:vAlign w:val="center"/>
          </w:tcPr>
          <w:p w14:paraId="3F6CE45B">
            <w:pPr>
              <w:widowControl/>
              <w:spacing w:line="300" w:lineRule="exact"/>
              <w:jc w:val="center"/>
              <w:rPr>
                <w:rFonts w:hint="default" w:hAnsi="仿宋" w:cs="宋体"/>
                <w:color w:val="000000"/>
                <w:kern w:val="2"/>
                <w:sz w:val="21"/>
                <w:highlight w:val="none"/>
                <w:lang w:val="en-US" w:eastAsia="zh-CN"/>
              </w:rPr>
            </w:pPr>
            <w:r>
              <w:rPr>
                <w:rFonts w:hint="eastAsia" w:hAnsi="仿宋" w:cs="宋体"/>
                <w:color w:val="000000"/>
                <w:kern w:val="2"/>
                <w:sz w:val="21"/>
                <w:highlight w:val="none"/>
                <w:lang w:val="en-US" w:eastAsia="zh-CN"/>
              </w:rPr>
              <w:t>100</w:t>
            </w:r>
          </w:p>
        </w:tc>
        <w:tc>
          <w:tcPr>
            <w:tcW w:w="1250" w:type="pct"/>
            <w:tcBorders>
              <w:top w:val="nil"/>
              <w:left w:val="nil"/>
              <w:bottom w:val="single" w:color="auto" w:sz="4" w:space="0"/>
              <w:right w:val="single" w:color="auto" w:sz="4" w:space="0"/>
            </w:tcBorders>
            <w:shd w:val="clear" w:color="auto" w:fill="auto"/>
            <w:vAlign w:val="center"/>
          </w:tcPr>
          <w:p w14:paraId="6635FA26">
            <w:pPr>
              <w:widowControl/>
              <w:spacing w:line="300" w:lineRule="exact"/>
              <w:jc w:val="center"/>
              <w:rPr>
                <w:rFonts w:hint="default" w:hAnsi="仿宋" w:cs="宋体"/>
                <w:color w:val="000000"/>
                <w:kern w:val="2"/>
                <w:sz w:val="21"/>
                <w:highlight w:val="none"/>
                <w:lang w:val="en-US" w:eastAsia="zh-CN"/>
              </w:rPr>
            </w:pPr>
            <w:r>
              <w:rPr>
                <w:rFonts w:hint="eastAsia" w:hAnsi="仿宋" w:cs="宋体"/>
                <w:color w:val="000000"/>
                <w:kern w:val="2"/>
                <w:sz w:val="21"/>
                <w:highlight w:val="none"/>
                <w:lang w:val="en-US" w:eastAsia="zh-CN"/>
              </w:rPr>
              <w:t>98</w:t>
            </w:r>
          </w:p>
        </w:tc>
        <w:tc>
          <w:tcPr>
            <w:tcW w:w="1250" w:type="pct"/>
            <w:tcBorders>
              <w:top w:val="nil"/>
              <w:left w:val="nil"/>
              <w:bottom w:val="single" w:color="auto" w:sz="4" w:space="0"/>
              <w:right w:val="single" w:color="auto" w:sz="4" w:space="0"/>
            </w:tcBorders>
            <w:shd w:val="clear" w:color="auto" w:fill="auto"/>
            <w:vAlign w:val="center"/>
          </w:tcPr>
          <w:p w14:paraId="29FA6FEF">
            <w:pPr>
              <w:widowControl/>
              <w:spacing w:line="300" w:lineRule="exact"/>
              <w:jc w:val="center"/>
              <w:rPr>
                <w:rFonts w:hint="default" w:hAnsi="仿宋" w:cs="宋体"/>
                <w:color w:val="000000"/>
                <w:kern w:val="2"/>
                <w:sz w:val="21"/>
                <w:highlight w:val="none"/>
                <w:lang w:val="en-US" w:eastAsia="zh-CN"/>
              </w:rPr>
            </w:pPr>
            <w:r>
              <w:rPr>
                <w:rFonts w:hint="eastAsia" w:hAnsi="仿宋" w:cs="宋体"/>
                <w:color w:val="000000"/>
                <w:kern w:val="2"/>
                <w:sz w:val="21"/>
                <w:highlight w:val="none"/>
                <w:lang w:val="en-US" w:eastAsia="zh-CN"/>
              </w:rPr>
              <w:t>98%</w:t>
            </w:r>
          </w:p>
        </w:tc>
      </w:tr>
    </w:tbl>
    <w:p w14:paraId="52490B69">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2.主要绩效</w:t>
      </w:r>
    </w:p>
    <w:p w14:paraId="33FE048E">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截止2019年12月13日</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2019年</w:t>
      </w:r>
      <w:r>
        <w:rPr>
          <w:rFonts w:hint="eastAsia" w:ascii="仿宋_GB2312" w:hAnsi="仿宋" w:eastAsia="仿宋_GB2312" w:cs="Times New Roman"/>
          <w:spacing w:val="6"/>
          <w:kern w:val="0"/>
          <w:sz w:val="28"/>
          <w:szCs w:val="28"/>
          <w:lang w:val="en-US" w:eastAsia="zh-CN"/>
        </w:rPr>
        <w:t>昆明市生态环境局盘龙分局大气自动站运行维护费项目</w:t>
      </w:r>
      <w:r>
        <w:rPr>
          <w:rFonts w:hint="eastAsia" w:ascii="仿宋_GB2312" w:hAnsi="仿宋" w:eastAsia="仿宋_GB2312"/>
          <w:spacing w:val="6"/>
          <w:kern w:val="0"/>
          <w:sz w:val="28"/>
          <w:szCs w:val="28"/>
        </w:rPr>
        <w:t>组织管理情况良好，资金拨付及使用流程符合相关规定，</w:t>
      </w:r>
      <w:r>
        <w:rPr>
          <w:rFonts w:hint="eastAsia" w:ascii="仿宋_GB2312" w:hAnsi="仿宋" w:eastAsia="仿宋_GB2312" w:cs="Times New Roman"/>
          <w:spacing w:val="6"/>
          <w:kern w:val="0"/>
          <w:sz w:val="28"/>
          <w:szCs w:val="28"/>
          <w:lang w:val="en-US" w:eastAsia="zh-CN"/>
        </w:rPr>
        <w:t>辖区内7个大气自动监测站数据收集</w:t>
      </w:r>
      <w:r>
        <w:rPr>
          <w:rFonts w:hint="eastAsia" w:ascii="仿宋_GB2312" w:hAnsi="仿宋" w:eastAsia="仿宋_GB2312"/>
          <w:spacing w:val="6"/>
          <w:kern w:val="0"/>
          <w:sz w:val="28"/>
          <w:szCs w:val="28"/>
        </w:rPr>
        <w:t>情况良好，目标均已实现，通过本次项目实施，项目实施后可持续对盘龙区7个大气自动监测站的运行维护提供保障，使盘龙区空气环境质量起到持续提升作用。</w:t>
      </w:r>
    </w:p>
    <w:p w14:paraId="05E55BA2">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（二）具体绩效分析</w:t>
      </w:r>
    </w:p>
    <w:p w14:paraId="3B353750">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1.项目决策分析</w:t>
      </w:r>
    </w:p>
    <w:p w14:paraId="011D4A07">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项目决策类指标包括项目立项和项目目标两个方面内容，由5个三级指标构成，共细化分解为10个四级指标。权重分为20分，实际得分</w:t>
      </w:r>
      <w:r>
        <w:rPr>
          <w:rFonts w:hint="eastAsia" w:ascii="仿宋_GB2312" w:hAnsi="仿宋" w:eastAsia="仿宋_GB2312"/>
          <w:spacing w:val="6"/>
          <w:kern w:val="0"/>
          <w:sz w:val="28"/>
          <w:szCs w:val="28"/>
          <w:lang w:val="en-US" w:eastAsia="zh-CN"/>
        </w:rPr>
        <w:t>20</w:t>
      </w:r>
      <w:r>
        <w:rPr>
          <w:rFonts w:hint="eastAsia" w:ascii="仿宋_GB2312" w:hAnsi="仿宋" w:eastAsia="仿宋_GB2312"/>
          <w:spacing w:val="6"/>
          <w:kern w:val="0"/>
          <w:sz w:val="28"/>
          <w:szCs w:val="28"/>
        </w:rPr>
        <w:t>分，得分率</w:t>
      </w:r>
      <w:r>
        <w:rPr>
          <w:rFonts w:hint="eastAsia" w:ascii="仿宋_GB2312" w:hAnsi="仿宋" w:eastAsia="仿宋_GB2312"/>
          <w:spacing w:val="6"/>
          <w:kern w:val="0"/>
          <w:sz w:val="28"/>
          <w:szCs w:val="28"/>
          <w:lang w:val="en-US" w:eastAsia="zh-CN"/>
        </w:rPr>
        <w:t>100</w:t>
      </w:r>
      <w:r>
        <w:rPr>
          <w:rFonts w:hint="eastAsia" w:ascii="仿宋_GB2312" w:hAnsi="仿宋" w:eastAsia="仿宋_GB2312"/>
          <w:spacing w:val="6"/>
          <w:kern w:val="0"/>
          <w:sz w:val="28"/>
          <w:szCs w:val="28"/>
        </w:rPr>
        <w:t xml:space="preserve">%。 </w:t>
      </w:r>
    </w:p>
    <w:p w14:paraId="02A09E4B">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（1）项目立项</w:t>
      </w:r>
    </w:p>
    <w:p w14:paraId="3CC6AED5">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主要考察项目实施与部门战略目标的匹配性，项目立项是否符合相关规划要求，是否与部门职责相适应，以及项目的申请、设立过程是否符合相关规定。各指标业绩值和实际得分详见表6。</w:t>
      </w:r>
    </w:p>
    <w:p w14:paraId="58E26BDD">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项目与部门中长期规划目标相匹配，立项依据充分，与部门职责匹配，项目立项规范。此项分值满分为8分，实际得分8分。</w:t>
      </w:r>
    </w:p>
    <w:p w14:paraId="0D86F33C">
      <w:pPr>
        <w:topLinePunct/>
        <w:spacing w:line="579" w:lineRule="exact"/>
        <w:ind w:firstLine="482" w:firstLineChars="200"/>
        <w:jc w:val="center"/>
        <w:rPr>
          <w:rFonts w:ascii="黑体" w:hAnsi="黑体" w:eastAsia="仿宋_GB2312" w:cs="黑体"/>
          <w:b/>
          <w:bCs/>
          <w:sz w:val="24"/>
          <w:szCs w:val="24"/>
        </w:rPr>
      </w:pPr>
      <w:r>
        <w:rPr>
          <w:rFonts w:hint="eastAsia" w:ascii="黑体" w:hAnsi="黑体" w:eastAsia="黑体" w:cs="黑体"/>
          <w:b/>
          <w:bCs/>
          <w:color w:val="000000"/>
          <w:sz w:val="24"/>
          <w:szCs w:val="24"/>
          <w:lang w:val="zh-CN" w:bidi="zh-CN"/>
        </w:rPr>
        <w:t>表6  项目立项指标评分表</w:t>
      </w:r>
    </w:p>
    <w:tbl>
      <w:tblPr>
        <w:tblStyle w:val="8"/>
        <w:tblW w:w="5000" w:type="pct"/>
        <w:jc w:val="center"/>
        <w:tblLayout w:type="autofit"/>
        <w:tblCellMar>
          <w:top w:w="0" w:type="dxa"/>
          <w:left w:w="10" w:type="dxa"/>
          <w:bottom w:w="0" w:type="dxa"/>
          <w:right w:w="10" w:type="dxa"/>
        </w:tblCellMar>
      </w:tblPr>
      <w:tblGrid>
        <w:gridCol w:w="4664"/>
        <w:gridCol w:w="1031"/>
        <w:gridCol w:w="1304"/>
        <w:gridCol w:w="1327"/>
      </w:tblGrid>
      <w:tr w14:paraId="6D9A5FAE">
        <w:tblPrEx>
          <w:tblCellMar>
            <w:top w:w="0" w:type="dxa"/>
            <w:left w:w="10" w:type="dxa"/>
            <w:bottom w:w="0" w:type="dxa"/>
            <w:right w:w="10" w:type="dxa"/>
          </w:tblCellMar>
        </w:tblPrEx>
        <w:trPr>
          <w:trHeight w:val="471" w:hRule="atLeast"/>
          <w:tblHeader/>
          <w:jc w:val="center"/>
        </w:trPr>
        <w:tc>
          <w:tcPr>
            <w:tcW w:w="2801" w:type="pct"/>
            <w:tcBorders>
              <w:top w:val="single" w:color="auto" w:sz="4" w:space="0"/>
              <w:left w:val="single" w:color="auto" w:sz="4" w:space="0"/>
              <w:bottom w:val="single" w:color="auto" w:sz="4" w:space="0"/>
              <w:right w:val="single" w:color="auto" w:sz="4" w:space="0"/>
            </w:tcBorders>
            <w:shd w:val="clear" w:color="auto" w:fill="FFFFFF"/>
            <w:vAlign w:val="bottom"/>
          </w:tcPr>
          <w:p w14:paraId="7FCC41E1">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619" w:type="pct"/>
            <w:tcBorders>
              <w:top w:val="single" w:color="auto" w:sz="4" w:space="0"/>
              <w:left w:val="single" w:color="auto" w:sz="4" w:space="0"/>
              <w:bottom w:val="single" w:color="auto" w:sz="4" w:space="0"/>
              <w:right w:val="single" w:color="auto" w:sz="4" w:space="0"/>
            </w:tcBorders>
            <w:shd w:val="clear" w:color="auto" w:fill="FFFFFF"/>
            <w:vAlign w:val="bottom"/>
          </w:tcPr>
          <w:p w14:paraId="7621E3A1">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783" w:type="pct"/>
            <w:tcBorders>
              <w:top w:val="single" w:color="auto" w:sz="4" w:space="0"/>
              <w:left w:val="single" w:color="auto" w:sz="4" w:space="0"/>
              <w:bottom w:val="single" w:color="auto" w:sz="4" w:space="0"/>
              <w:right w:val="single" w:color="auto" w:sz="4" w:space="0"/>
            </w:tcBorders>
            <w:shd w:val="clear" w:color="auto" w:fill="FFFFFF"/>
            <w:vAlign w:val="bottom"/>
          </w:tcPr>
          <w:p w14:paraId="772A332C">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797" w:type="pct"/>
            <w:tcBorders>
              <w:top w:val="single" w:color="auto" w:sz="4" w:space="0"/>
              <w:left w:val="single" w:color="auto" w:sz="4" w:space="0"/>
              <w:bottom w:val="single" w:color="auto" w:sz="4" w:space="0"/>
              <w:right w:val="single" w:color="auto" w:sz="4" w:space="0"/>
            </w:tcBorders>
            <w:shd w:val="clear" w:color="auto" w:fill="FFFFFF"/>
            <w:vAlign w:val="bottom"/>
          </w:tcPr>
          <w:p w14:paraId="0D5C3862">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1C511C82">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tcPr>
          <w:p w14:paraId="4676EC93">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A</w:t>
            </w:r>
            <w:r>
              <w:rPr>
                <w:rStyle w:val="12"/>
                <w:rFonts w:hint="eastAsia" w:ascii="宋体" w:hAnsi="宋体" w:eastAsia="宋体" w:cs="宋体"/>
                <w:sz w:val="21"/>
                <w:szCs w:val="21"/>
                <w:lang w:bidi="en-US"/>
              </w:rPr>
              <w:t>11.与部门中长期规划目标适应性</w:t>
            </w:r>
          </w:p>
        </w:tc>
        <w:tc>
          <w:tcPr>
            <w:tcW w:w="619" w:type="pct"/>
            <w:tcBorders>
              <w:top w:val="single" w:color="auto" w:sz="4" w:space="0"/>
              <w:left w:val="single" w:color="auto" w:sz="4" w:space="0"/>
            </w:tcBorders>
            <w:shd w:val="clear" w:color="auto" w:fill="FFFFFF"/>
          </w:tcPr>
          <w:p w14:paraId="2C17BB92">
            <w:pPr>
              <w:spacing w:line="360" w:lineRule="auto"/>
              <w:rPr>
                <w:rFonts w:ascii="仿宋_GB2312" w:hAnsi="仿宋_GB2312" w:eastAsia="仿宋_GB2312" w:cs="仿宋_GB2312"/>
                <w:sz w:val="24"/>
                <w:szCs w:val="24"/>
              </w:rPr>
            </w:pPr>
          </w:p>
        </w:tc>
        <w:tc>
          <w:tcPr>
            <w:tcW w:w="783" w:type="pct"/>
            <w:tcBorders>
              <w:top w:val="single" w:color="auto" w:sz="4" w:space="0"/>
              <w:left w:val="single" w:color="auto" w:sz="4" w:space="0"/>
            </w:tcBorders>
            <w:shd w:val="clear" w:color="auto" w:fill="FFFFFF"/>
          </w:tcPr>
          <w:p w14:paraId="1E6F11F6">
            <w:pPr>
              <w:spacing w:line="360" w:lineRule="auto"/>
              <w:rPr>
                <w:rFonts w:ascii="仿宋_GB2312" w:hAnsi="仿宋_GB2312" w:eastAsia="仿宋_GB2312" w:cs="仿宋_GB2312"/>
                <w:sz w:val="24"/>
                <w:szCs w:val="24"/>
              </w:rPr>
            </w:pPr>
          </w:p>
        </w:tc>
        <w:tc>
          <w:tcPr>
            <w:tcW w:w="797" w:type="pct"/>
            <w:tcBorders>
              <w:top w:val="single" w:color="auto" w:sz="4" w:space="0"/>
              <w:left w:val="single" w:color="auto" w:sz="4" w:space="0"/>
              <w:right w:val="single" w:color="auto" w:sz="4" w:space="0"/>
            </w:tcBorders>
            <w:shd w:val="clear" w:color="auto" w:fill="FFFFFF"/>
          </w:tcPr>
          <w:p w14:paraId="6493A8CE">
            <w:pPr>
              <w:spacing w:line="360" w:lineRule="auto"/>
              <w:rPr>
                <w:rFonts w:ascii="仿宋_GB2312" w:hAnsi="仿宋_GB2312" w:eastAsia="仿宋_GB2312" w:cs="仿宋_GB2312"/>
                <w:sz w:val="24"/>
                <w:szCs w:val="24"/>
              </w:rPr>
            </w:pPr>
          </w:p>
        </w:tc>
      </w:tr>
      <w:tr w14:paraId="48632379">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37B5744C">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A111.与部门中长期规划目标匹配性</w:t>
            </w:r>
          </w:p>
        </w:tc>
        <w:tc>
          <w:tcPr>
            <w:tcW w:w="619" w:type="pct"/>
            <w:tcBorders>
              <w:top w:val="single" w:color="auto" w:sz="4" w:space="0"/>
              <w:left w:val="single" w:color="auto" w:sz="4" w:space="0"/>
            </w:tcBorders>
            <w:shd w:val="clear" w:color="auto" w:fill="FFFFFF"/>
            <w:vAlign w:val="bottom"/>
          </w:tcPr>
          <w:p w14:paraId="7DD9B1C4">
            <w:pPr>
              <w:pStyle w:val="11"/>
              <w:shd w:val="clear" w:color="auto" w:fill="auto"/>
              <w:spacing w:after="0" w:line="360" w:lineRule="auto"/>
              <w:rPr>
                <w:rFonts w:ascii="仿宋_GB2312" w:hAnsi="仿宋_GB2312" w:eastAsia="仿宋_GB2312" w:cs="仿宋_GB2312"/>
                <w:sz w:val="24"/>
                <w:szCs w:val="24"/>
              </w:rPr>
            </w:pPr>
            <w:r>
              <w:rPr>
                <w:rFonts w:hint="eastAsia" w:ascii="Calibri" w:hAnsi="仿宋" w:eastAsia="宋体" w:cs="宋体"/>
                <w:color w:val="000000"/>
                <w:spacing w:val="0"/>
                <w:kern w:val="2"/>
                <w:sz w:val="21"/>
                <w:szCs w:val="22"/>
                <w:lang w:val="en-US" w:eastAsia="zh-CN" w:bidi="ar-SA"/>
              </w:rPr>
              <w:t>1</w:t>
            </w:r>
          </w:p>
        </w:tc>
        <w:tc>
          <w:tcPr>
            <w:tcW w:w="783" w:type="pct"/>
            <w:tcBorders>
              <w:top w:val="single" w:color="auto" w:sz="4" w:space="0"/>
              <w:left w:val="single" w:color="auto" w:sz="4" w:space="0"/>
            </w:tcBorders>
            <w:shd w:val="clear" w:color="auto" w:fill="FFFFFF"/>
            <w:vAlign w:val="center"/>
          </w:tcPr>
          <w:p w14:paraId="1E0B9F4A">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匹配</w:t>
            </w:r>
          </w:p>
        </w:tc>
        <w:tc>
          <w:tcPr>
            <w:tcW w:w="797" w:type="pct"/>
            <w:tcBorders>
              <w:top w:val="single" w:color="auto" w:sz="4" w:space="0"/>
              <w:left w:val="single" w:color="auto" w:sz="4" w:space="0"/>
              <w:right w:val="single" w:color="auto" w:sz="4" w:space="0"/>
            </w:tcBorders>
            <w:shd w:val="clear" w:color="auto" w:fill="FFFFFF"/>
            <w:vAlign w:val="bottom"/>
          </w:tcPr>
          <w:p w14:paraId="457D7AD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1775E86B">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tcPr>
          <w:p w14:paraId="186E1FA4">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A12.立项依据充分性</w:t>
            </w:r>
          </w:p>
        </w:tc>
        <w:tc>
          <w:tcPr>
            <w:tcW w:w="619" w:type="pct"/>
            <w:tcBorders>
              <w:top w:val="single" w:color="auto" w:sz="4" w:space="0"/>
              <w:left w:val="single" w:color="auto" w:sz="4" w:space="0"/>
            </w:tcBorders>
            <w:shd w:val="clear" w:color="auto" w:fill="FFFFFF"/>
          </w:tcPr>
          <w:p w14:paraId="174634AA">
            <w:pPr>
              <w:spacing w:line="360" w:lineRule="auto"/>
              <w:rPr>
                <w:rFonts w:ascii="仿宋_GB2312" w:hAnsi="仿宋_GB2312" w:eastAsia="仿宋_GB2312" w:cs="仿宋_GB2312"/>
                <w:sz w:val="24"/>
                <w:szCs w:val="24"/>
              </w:rPr>
            </w:pPr>
          </w:p>
        </w:tc>
        <w:tc>
          <w:tcPr>
            <w:tcW w:w="783" w:type="pct"/>
            <w:tcBorders>
              <w:top w:val="single" w:color="auto" w:sz="4" w:space="0"/>
              <w:left w:val="single" w:color="auto" w:sz="4" w:space="0"/>
            </w:tcBorders>
            <w:shd w:val="clear" w:color="auto" w:fill="FFFFFF"/>
          </w:tcPr>
          <w:p w14:paraId="2BDD932E">
            <w:pPr>
              <w:spacing w:line="360" w:lineRule="auto"/>
              <w:rPr>
                <w:rFonts w:hint="eastAsia" w:ascii="宋体" w:hAnsi="宋体" w:eastAsia="宋体" w:cs="宋体"/>
                <w:sz w:val="24"/>
                <w:szCs w:val="24"/>
              </w:rPr>
            </w:pPr>
          </w:p>
        </w:tc>
        <w:tc>
          <w:tcPr>
            <w:tcW w:w="797" w:type="pct"/>
            <w:tcBorders>
              <w:top w:val="single" w:color="auto" w:sz="4" w:space="0"/>
              <w:left w:val="single" w:color="auto" w:sz="4" w:space="0"/>
              <w:right w:val="single" w:color="auto" w:sz="4" w:space="0"/>
            </w:tcBorders>
            <w:shd w:val="clear" w:color="auto" w:fill="FFFFFF"/>
          </w:tcPr>
          <w:p w14:paraId="1D0D2ED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292613EE">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7AADEFB2">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A121.与发展规划匹配性</w:t>
            </w:r>
          </w:p>
        </w:tc>
        <w:tc>
          <w:tcPr>
            <w:tcW w:w="619" w:type="pct"/>
            <w:tcBorders>
              <w:top w:val="single" w:color="auto" w:sz="4" w:space="0"/>
              <w:left w:val="single" w:color="auto" w:sz="4" w:space="0"/>
            </w:tcBorders>
            <w:shd w:val="clear" w:color="auto" w:fill="FFFFFF"/>
            <w:vAlign w:val="bottom"/>
          </w:tcPr>
          <w:p w14:paraId="5E109C76">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83" w:type="pct"/>
            <w:tcBorders>
              <w:top w:val="single" w:color="auto" w:sz="4" w:space="0"/>
              <w:left w:val="single" w:color="auto" w:sz="4" w:space="0"/>
            </w:tcBorders>
            <w:shd w:val="clear" w:color="auto" w:fill="FFFFFF"/>
            <w:vAlign w:val="center"/>
          </w:tcPr>
          <w:p w14:paraId="446090E9">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匹配</w:t>
            </w:r>
          </w:p>
        </w:tc>
        <w:tc>
          <w:tcPr>
            <w:tcW w:w="797" w:type="pct"/>
            <w:tcBorders>
              <w:top w:val="single" w:color="auto" w:sz="4" w:space="0"/>
              <w:left w:val="single" w:color="auto" w:sz="4" w:space="0"/>
              <w:right w:val="single" w:color="auto" w:sz="4" w:space="0"/>
            </w:tcBorders>
            <w:shd w:val="clear" w:color="auto" w:fill="FFFFFF"/>
            <w:vAlign w:val="bottom"/>
          </w:tcPr>
          <w:p w14:paraId="6C12343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2</w:t>
            </w:r>
          </w:p>
        </w:tc>
      </w:tr>
      <w:tr w14:paraId="04B1C454">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41969D28">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A122.与部门职责适应性</w:t>
            </w:r>
          </w:p>
        </w:tc>
        <w:tc>
          <w:tcPr>
            <w:tcW w:w="619" w:type="pct"/>
            <w:tcBorders>
              <w:top w:val="single" w:color="auto" w:sz="4" w:space="0"/>
              <w:left w:val="single" w:color="auto" w:sz="4" w:space="0"/>
            </w:tcBorders>
            <w:shd w:val="clear" w:color="auto" w:fill="FFFFFF"/>
            <w:vAlign w:val="bottom"/>
          </w:tcPr>
          <w:p w14:paraId="22D9F370">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83" w:type="pct"/>
            <w:tcBorders>
              <w:top w:val="single" w:color="auto" w:sz="4" w:space="0"/>
              <w:left w:val="single" w:color="auto" w:sz="4" w:space="0"/>
            </w:tcBorders>
            <w:shd w:val="clear" w:color="auto" w:fill="FFFFFF"/>
            <w:vAlign w:val="center"/>
          </w:tcPr>
          <w:p w14:paraId="67EEBA13">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适应</w:t>
            </w:r>
          </w:p>
        </w:tc>
        <w:tc>
          <w:tcPr>
            <w:tcW w:w="797" w:type="pct"/>
            <w:tcBorders>
              <w:top w:val="single" w:color="auto" w:sz="4" w:space="0"/>
              <w:left w:val="single" w:color="auto" w:sz="4" w:space="0"/>
              <w:right w:val="single" w:color="auto" w:sz="4" w:space="0"/>
            </w:tcBorders>
            <w:shd w:val="clear" w:color="auto" w:fill="FFFFFF"/>
            <w:vAlign w:val="bottom"/>
          </w:tcPr>
          <w:p w14:paraId="52A9230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57A7B5AF">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tcPr>
          <w:p w14:paraId="25547BF6">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A13.项目立项规范性</w:t>
            </w:r>
          </w:p>
        </w:tc>
        <w:tc>
          <w:tcPr>
            <w:tcW w:w="619" w:type="pct"/>
            <w:tcBorders>
              <w:top w:val="single" w:color="auto" w:sz="4" w:space="0"/>
              <w:left w:val="single" w:color="auto" w:sz="4" w:space="0"/>
            </w:tcBorders>
            <w:shd w:val="clear" w:color="auto" w:fill="FFFFFF"/>
          </w:tcPr>
          <w:p w14:paraId="6C086BED">
            <w:pPr>
              <w:spacing w:line="360" w:lineRule="auto"/>
              <w:rPr>
                <w:rFonts w:hint="eastAsia" w:ascii="Calibri" w:hAnsi="仿宋" w:eastAsia="宋体" w:cs="宋体"/>
                <w:color w:val="000000"/>
                <w:spacing w:val="0"/>
                <w:kern w:val="2"/>
                <w:sz w:val="21"/>
                <w:szCs w:val="22"/>
                <w:lang w:val="en-US" w:eastAsia="zh-CN" w:bidi="ar-SA"/>
              </w:rPr>
            </w:pPr>
          </w:p>
        </w:tc>
        <w:tc>
          <w:tcPr>
            <w:tcW w:w="783" w:type="pct"/>
            <w:tcBorders>
              <w:top w:val="single" w:color="auto" w:sz="4" w:space="0"/>
              <w:left w:val="single" w:color="auto" w:sz="4" w:space="0"/>
            </w:tcBorders>
            <w:shd w:val="clear" w:color="auto" w:fill="FFFFFF"/>
          </w:tcPr>
          <w:p w14:paraId="0969DC25">
            <w:pPr>
              <w:spacing w:line="360" w:lineRule="auto"/>
              <w:rPr>
                <w:rFonts w:hint="eastAsia" w:ascii="宋体" w:hAnsi="宋体" w:eastAsia="宋体" w:cs="宋体"/>
                <w:sz w:val="24"/>
                <w:szCs w:val="24"/>
              </w:rPr>
            </w:pPr>
          </w:p>
        </w:tc>
        <w:tc>
          <w:tcPr>
            <w:tcW w:w="797" w:type="pct"/>
            <w:tcBorders>
              <w:top w:val="single" w:color="auto" w:sz="4" w:space="0"/>
              <w:left w:val="single" w:color="auto" w:sz="4" w:space="0"/>
              <w:right w:val="single" w:color="auto" w:sz="4" w:space="0"/>
            </w:tcBorders>
            <w:shd w:val="clear" w:color="auto" w:fill="FFFFFF"/>
          </w:tcPr>
          <w:p w14:paraId="2B3BC12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0C1CA506">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746916AE">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A131.前期调研情况</w:t>
            </w:r>
          </w:p>
        </w:tc>
        <w:tc>
          <w:tcPr>
            <w:tcW w:w="619" w:type="pct"/>
            <w:tcBorders>
              <w:top w:val="single" w:color="auto" w:sz="4" w:space="0"/>
              <w:left w:val="single" w:color="auto" w:sz="4" w:space="0"/>
            </w:tcBorders>
            <w:shd w:val="clear" w:color="auto" w:fill="FFFFFF"/>
            <w:vAlign w:val="bottom"/>
          </w:tcPr>
          <w:p w14:paraId="4BB8121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83" w:type="pct"/>
            <w:tcBorders>
              <w:top w:val="single" w:color="auto" w:sz="4" w:space="0"/>
              <w:left w:val="single" w:color="auto" w:sz="4" w:space="0"/>
            </w:tcBorders>
            <w:shd w:val="clear" w:color="auto" w:fill="FFFFFF"/>
            <w:vAlign w:val="center"/>
          </w:tcPr>
          <w:p w14:paraId="4708FEE0">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充分调研</w:t>
            </w:r>
          </w:p>
        </w:tc>
        <w:tc>
          <w:tcPr>
            <w:tcW w:w="797" w:type="pct"/>
            <w:tcBorders>
              <w:top w:val="single" w:color="auto" w:sz="4" w:space="0"/>
              <w:left w:val="single" w:color="auto" w:sz="4" w:space="0"/>
              <w:right w:val="single" w:color="auto" w:sz="4" w:space="0"/>
            </w:tcBorders>
            <w:shd w:val="clear" w:color="auto" w:fill="FFFFFF"/>
            <w:vAlign w:val="bottom"/>
          </w:tcPr>
          <w:p w14:paraId="7B4F31E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2</w:t>
            </w:r>
          </w:p>
        </w:tc>
      </w:tr>
      <w:tr w14:paraId="33755F61">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08AF54B2">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A132.立项程序规范性</w:t>
            </w:r>
          </w:p>
        </w:tc>
        <w:tc>
          <w:tcPr>
            <w:tcW w:w="619" w:type="pct"/>
            <w:tcBorders>
              <w:top w:val="single" w:color="auto" w:sz="4" w:space="0"/>
              <w:left w:val="single" w:color="auto" w:sz="4" w:space="0"/>
            </w:tcBorders>
            <w:shd w:val="clear" w:color="auto" w:fill="FFFFFF"/>
            <w:vAlign w:val="bottom"/>
          </w:tcPr>
          <w:p w14:paraId="3667CB4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83" w:type="pct"/>
            <w:tcBorders>
              <w:top w:val="single" w:color="auto" w:sz="4" w:space="0"/>
              <w:left w:val="single" w:color="auto" w:sz="4" w:space="0"/>
            </w:tcBorders>
            <w:shd w:val="clear" w:color="auto" w:fill="FFFFFF"/>
            <w:vAlign w:val="center"/>
          </w:tcPr>
          <w:p w14:paraId="62FC6DB8">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规范</w:t>
            </w:r>
          </w:p>
        </w:tc>
        <w:tc>
          <w:tcPr>
            <w:tcW w:w="797" w:type="pct"/>
            <w:tcBorders>
              <w:top w:val="single" w:color="auto" w:sz="4" w:space="0"/>
              <w:left w:val="single" w:color="auto" w:sz="4" w:space="0"/>
              <w:right w:val="single" w:color="auto" w:sz="4" w:space="0"/>
            </w:tcBorders>
            <w:shd w:val="clear" w:color="auto" w:fill="FFFFFF"/>
            <w:vAlign w:val="bottom"/>
          </w:tcPr>
          <w:p w14:paraId="2962F74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2</w:t>
            </w:r>
          </w:p>
        </w:tc>
      </w:tr>
      <w:tr w14:paraId="0F08C0A0">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bottom w:val="single" w:color="auto" w:sz="4" w:space="0"/>
            </w:tcBorders>
            <w:shd w:val="clear" w:color="auto" w:fill="FFFFFF"/>
            <w:vAlign w:val="center"/>
          </w:tcPr>
          <w:p w14:paraId="77AEE548">
            <w:pPr>
              <w:pStyle w:val="11"/>
              <w:shd w:val="clear" w:color="auto" w:fill="auto"/>
              <w:spacing w:after="0" w:line="360" w:lineRule="auto"/>
              <w:rPr>
                <w:rFonts w:hint="eastAsia" w:ascii="宋体" w:hAnsi="宋体" w:eastAsia="宋体" w:cs="宋体"/>
                <w:b w:val="0"/>
                <w:bCs w:val="0"/>
                <w:sz w:val="21"/>
                <w:szCs w:val="21"/>
                <w:lang w:eastAsia="zh-CN"/>
              </w:rPr>
            </w:pPr>
            <w:r>
              <w:rPr>
                <w:rFonts w:hint="eastAsia" w:cs="宋体"/>
                <w:b w:val="0"/>
                <w:bCs w:val="0"/>
                <w:sz w:val="21"/>
                <w:szCs w:val="21"/>
                <w:lang w:eastAsia="zh-CN"/>
              </w:rPr>
              <w:t>合计</w:t>
            </w:r>
          </w:p>
        </w:tc>
        <w:tc>
          <w:tcPr>
            <w:tcW w:w="619" w:type="pct"/>
            <w:tcBorders>
              <w:top w:val="single" w:color="auto" w:sz="4" w:space="0"/>
              <w:left w:val="single" w:color="auto" w:sz="4" w:space="0"/>
              <w:bottom w:val="single" w:color="auto" w:sz="4" w:space="0"/>
            </w:tcBorders>
            <w:shd w:val="clear" w:color="auto" w:fill="FFFFFF"/>
            <w:vAlign w:val="center"/>
          </w:tcPr>
          <w:p w14:paraId="5892C6B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8</w:t>
            </w:r>
          </w:p>
        </w:tc>
        <w:tc>
          <w:tcPr>
            <w:tcW w:w="783" w:type="pct"/>
            <w:tcBorders>
              <w:top w:val="single" w:color="auto" w:sz="4" w:space="0"/>
              <w:left w:val="single" w:color="auto" w:sz="4" w:space="0"/>
              <w:bottom w:val="single" w:color="auto" w:sz="4" w:space="0"/>
            </w:tcBorders>
            <w:shd w:val="clear" w:color="auto" w:fill="FFFFFF"/>
          </w:tcPr>
          <w:p w14:paraId="592A8B9D">
            <w:pPr>
              <w:spacing w:line="360" w:lineRule="auto"/>
              <w:rPr>
                <w:rFonts w:ascii="仿宋_GB2312" w:hAnsi="仿宋_GB2312" w:eastAsia="仿宋_GB2312" w:cs="仿宋_GB2312"/>
                <w:b w:val="0"/>
                <w:bCs w:val="0"/>
                <w:sz w:val="24"/>
                <w:szCs w:val="24"/>
              </w:rPr>
            </w:pPr>
          </w:p>
        </w:tc>
        <w:tc>
          <w:tcPr>
            <w:tcW w:w="797" w:type="pct"/>
            <w:tcBorders>
              <w:top w:val="single" w:color="auto" w:sz="4" w:space="0"/>
              <w:left w:val="single" w:color="auto" w:sz="4" w:space="0"/>
              <w:bottom w:val="single" w:color="auto" w:sz="4" w:space="0"/>
              <w:right w:val="single" w:color="auto" w:sz="4" w:space="0"/>
            </w:tcBorders>
            <w:shd w:val="clear" w:color="auto" w:fill="FFFFFF"/>
            <w:vAlign w:val="center"/>
          </w:tcPr>
          <w:p w14:paraId="5A0ECC6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8</w:t>
            </w:r>
          </w:p>
        </w:tc>
      </w:tr>
    </w:tbl>
    <w:p w14:paraId="56865747">
      <w:pPr>
        <w:topLinePunct/>
        <w:spacing w:line="579" w:lineRule="exact"/>
        <w:ind w:firstLine="586" w:firstLineChars="200"/>
        <w:rPr>
          <w:rFonts w:ascii="仿宋_GB2312" w:hAnsi="仿宋" w:eastAsia="仿宋_GB2312"/>
          <w:b/>
          <w:bCs/>
          <w:spacing w:val="6"/>
          <w:kern w:val="0"/>
          <w:sz w:val="28"/>
          <w:szCs w:val="28"/>
        </w:rPr>
      </w:pPr>
      <w:r>
        <w:rPr>
          <w:rFonts w:hint="eastAsia" w:ascii="仿宋_GB2312" w:hAnsi="仿宋" w:eastAsia="仿宋_GB2312"/>
          <w:b/>
          <w:bCs/>
          <w:spacing w:val="6"/>
          <w:kern w:val="0"/>
          <w:sz w:val="28"/>
          <w:szCs w:val="28"/>
        </w:rPr>
        <w:t>A11.与部门中长期规划目标适应性</w:t>
      </w:r>
    </w:p>
    <w:p w14:paraId="7D214694">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u w:val="single"/>
        </w:rPr>
        <w:t>A111.与部门中长期规划目标匹配性：</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lang w:val="en-US" w:eastAsia="zh-CN"/>
        </w:rPr>
        <w:t>盘龙区</w:t>
      </w:r>
      <w:r>
        <w:rPr>
          <w:rFonts w:hint="eastAsia" w:ascii="仿宋_GB2312" w:hAnsi="仿宋" w:eastAsia="仿宋_GB2312" w:cs="Times New Roman"/>
          <w:spacing w:val="6"/>
          <w:kern w:val="0"/>
          <w:sz w:val="28"/>
          <w:szCs w:val="28"/>
        </w:rPr>
        <w:t>2019年度大气污染防治工作实施方案</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lang w:val="en-US" w:eastAsia="zh-CN"/>
        </w:rPr>
        <w:t>中明确表示</w:t>
      </w:r>
      <w:r>
        <w:rPr>
          <w:rFonts w:hint="eastAsia" w:ascii="仿宋_GB2312" w:hAnsi="仿宋" w:eastAsia="仿宋_GB2312" w:cs="Times New Roman"/>
          <w:spacing w:val="6"/>
          <w:kern w:val="0"/>
          <w:sz w:val="28"/>
          <w:szCs w:val="28"/>
        </w:rPr>
        <w:t>2019年全区环境空气质量总体继续保持优良，持续改善，达到国家二级标准，不出现重度污染天气；空气质量优良天数比率达到98%以上，全年轻度污染的天数不超过4天（境外输入污染物、臭氧等自然因素除外）</w:t>
      </w:r>
      <w:r>
        <w:rPr>
          <w:rFonts w:hint="eastAsia" w:ascii="仿宋_GB2312" w:hAnsi="仿宋" w:eastAsia="仿宋_GB2312"/>
          <w:spacing w:val="6"/>
          <w:kern w:val="0"/>
          <w:sz w:val="28"/>
          <w:szCs w:val="28"/>
        </w:rPr>
        <w:t>，本项目的实施符合计划中确定的中长期目标。</w:t>
      </w:r>
    </w:p>
    <w:p w14:paraId="6FDF4F59">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该项指标满分为1分，根据评分标准得1分。</w:t>
      </w:r>
    </w:p>
    <w:p w14:paraId="30D5E603">
      <w:pPr>
        <w:topLinePunct/>
        <w:spacing w:line="579" w:lineRule="exact"/>
        <w:ind w:firstLine="586" w:firstLineChars="200"/>
        <w:rPr>
          <w:rFonts w:ascii="仿宋_GB2312" w:hAnsi="仿宋" w:eastAsia="仿宋_GB2312"/>
          <w:b/>
          <w:bCs/>
          <w:spacing w:val="6"/>
          <w:kern w:val="0"/>
          <w:sz w:val="28"/>
          <w:szCs w:val="28"/>
        </w:rPr>
      </w:pPr>
      <w:r>
        <w:rPr>
          <w:rFonts w:hint="eastAsia" w:ascii="仿宋_GB2312" w:hAnsi="仿宋" w:eastAsia="仿宋_GB2312"/>
          <w:b/>
          <w:bCs/>
          <w:spacing w:val="6"/>
          <w:kern w:val="0"/>
          <w:sz w:val="28"/>
          <w:szCs w:val="28"/>
        </w:rPr>
        <w:t>A12.立项依据充分性</w:t>
      </w:r>
    </w:p>
    <w:p w14:paraId="0150B2F9">
      <w:pPr>
        <w:topLinePunct/>
        <w:spacing w:line="579" w:lineRule="exact"/>
        <w:ind w:firstLine="584" w:firstLineChars="200"/>
        <w:rPr>
          <w:rFonts w:hint="eastAsia" w:ascii="仿宋_GB2312" w:hAnsi="仿宋" w:eastAsia="仿宋_GB2312" w:cs="Times New Roman"/>
          <w:spacing w:val="6"/>
          <w:kern w:val="0"/>
          <w:sz w:val="28"/>
          <w:szCs w:val="28"/>
        </w:rPr>
      </w:pPr>
      <w:r>
        <w:rPr>
          <w:rFonts w:hint="eastAsia" w:ascii="仿宋_GB2312" w:hAnsi="仿宋" w:eastAsia="仿宋_GB2312"/>
          <w:spacing w:val="6"/>
          <w:kern w:val="0"/>
          <w:sz w:val="28"/>
          <w:szCs w:val="28"/>
          <w:u w:val="single"/>
        </w:rPr>
        <w:t>A121.与发展规划匹配性：</w:t>
      </w:r>
      <w:r>
        <w:rPr>
          <w:rFonts w:hint="eastAsia" w:ascii="仿宋_GB2312" w:hAnsi="仿宋" w:eastAsia="仿宋_GB2312" w:cs="Times New Roman"/>
          <w:spacing w:val="6"/>
          <w:kern w:val="0"/>
          <w:sz w:val="28"/>
          <w:szCs w:val="28"/>
        </w:rPr>
        <w:t>为贯彻落实《昆明市人民政府关于印发昆明市打赢蓝天保卫战三年行动实施方案的通知》（昆政发〔2018〕53号）和《昆明市人民政府关于印发2019年昆明市大气污染防治工作目标任务的通知》（昆政发〔2019〕10号）精神，加强盘龙区大气污染综合防治工作，确保完成2019年度市级下达的大气环境质量目标任务。本项目立项与发展规划相匹配。</w:t>
      </w:r>
    </w:p>
    <w:p w14:paraId="3BC6AAE3">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该项指标满分为2分，根据评分标准得2分。</w:t>
      </w:r>
    </w:p>
    <w:p w14:paraId="6B4A4278">
      <w:pPr>
        <w:topLinePunct/>
        <w:spacing w:line="579" w:lineRule="exact"/>
        <w:ind w:firstLine="584" w:firstLineChars="200"/>
        <w:rPr>
          <w:rFonts w:hint="eastAsia" w:ascii="仿宋_GB2312" w:hAnsi="仿宋" w:eastAsia="仿宋_GB2312" w:cs="Times New Roman"/>
          <w:spacing w:val="6"/>
          <w:kern w:val="0"/>
          <w:sz w:val="28"/>
          <w:szCs w:val="28"/>
        </w:rPr>
      </w:pPr>
      <w:r>
        <w:rPr>
          <w:rFonts w:hint="eastAsia" w:ascii="仿宋_GB2312" w:hAnsi="仿宋" w:eastAsia="仿宋_GB2312"/>
          <w:spacing w:val="6"/>
          <w:kern w:val="0"/>
          <w:sz w:val="28"/>
          <w:szCs w:val="28"/>
          <w:u w:val="single"/>
        </w:rPr>
        <w:t>A122.与部门职责适应性：</w:t>
      </w:r>
      <w:r>
        <w:rPr>
          <w:rFonts w:hint="eastAsia" w:ascii="仿宋_GB2312" w:hAnsi="仿宋" w:eastAsia="仿宋_GB2312" w:cs="Times New Roman"/>
          <w:spacing w:val="6"/>
          <w:kern w:val="0"/>
          <w:sz w:val="28"/>
          <w:szCs w:val="28"/>
          <w:lang w:val="en-US" w:eastAsia="zh-CN"/>
        </w:rPr>
        <w:t>昆明市生态环境局盘龙分局的职能职责为加强环境保护工作的监督与管理职责、</w:t>
      </w:r>
      <w:r>
        <w:rPr>
          <w:rFonts w:hint="default" w:ascii="仿宋_GB2312" w:hAnsi="仿宋" w:eastAsia="仿宋_GB2312" w:cs="Times New Roman"/>
          <w:spacing w:val="6"/>
          <w:kern w:val="0"/>
          <w:sz w:val="28"/>
          <w:szCs w:val="28"/>
          <w:lang w:val="en-US" w:eastAsia="zh-CN"/>
        </w:rPr>
        <w:t>加强高污染燃料禁燃区管理工作职责</w:t>
      </w:r>
      <w:r>
        <w:rPr>
          <w:rFonts w:hint="eastAsia" w:ascii="仿宋_GB2312" w:hAnsi="仿宋" w:eastAsia="仿宋_GB2312" w:cs="Times New Roman"/>
          <w:spacing w:val="6"/>
          <w:kern w:val="0"/>
          <w:sz w:val="28"/>
          <w:szCs w:val="28"/>
          <w:lang w:val="en-US" w:eastAsia="zh-CN"/>
        </w:rPr>
        <w:t>、</w:t>
      </w:r>
      <w:r>
        <w:rPr>
          <w:rFonts w:hint="default" w:ascii="仿宋_GB2312" w:hAnsi="仿宋" w:eastAsia="仿宋_GB2312" w:cs="Times New Roman"/>
          <w:spacing w:val="6"/>
          <w:kern w:val="0"/>
          <w:sz w:val="28"/>
          <w:szCs w:val="28"/>
          <w:lang w:val="en-US" w:eastAsia="zh-CN"/>
        </w:rPr>
        <w:t>加强环境噪声防治管理职责</w:t>
      </w:r>
      <w:r>
        <w:rPr>
          <w:rFonts w:hint="eastAsia" w:ascii="仿宋_GB2312" w:hAnsi="仿宋" w:eastAsia="仿宋_GB2312" w:cs="Times New Roman"/>
          <w:spacing w:val="6"/>
          <w:kern w:val="0"/>
          <w:sz w:val="28"/>
          <w:szCs w:val="28"/>
          <w:lang w:val="en-US" w:eastAsia="zh-CN"/>
        </w:rPr>
        <w:t>、</w:t>
      </w:r>
      <w:r>
        <w:rPr>
          <w:rFonts w:hint="default" w:ascii="仿宋_GB2312" w:hAnsi="仿宋" w:eastAsia="仿宋_GB2312" w:cs="Times New Roman"/>
          <w:spacing w:val="6"/>
          <w:kern w:val="0"/>
          <w:sz w:val="28"/>
          <w:szCs w:val="28"/>
          <w:lang w:val="en-US" w:eastAsia="zh-CN"/>
        </w:rPr>
        <w:t>加强水污染防治的职责</w:t>
      </w:r>
      <w:r>
        <w:rPr>
          <w:rFonts w:hint="eastAsia" w:ascii="仿宋_GB2312" w:hAnsi="仿宋" w:eastAsia="仿宋_GB2312" w:cs="Times New Roman"/>
          <w:spacing w:val="6"/>
          <w:kern w:val="0"/>
          <w:sz w:val="28"/>
          <w:szCs w:val="28"/>
          <w:lang w:val="en-US" w:eastAsia="zh-CN"/>
        </w:rPr>
        <w:t>、</w:t>
      </w:r>
      <w:r>
        <w:rPr>
          <w:rFonts w:hint="default" w:ascii="仿宋_GB2312" w:hAnsi="仿宋" w:eastAsia="仿宋_GB2312" w:cs="Times New Roman"/>
          <w:spacing w:val="6"/>
          <w:kern w:val="0"/>
          <w:sz w:val="28"/>
          <w:szCs w:val="28"/>
          <w:lang w:val="en-US" w:eastAsia="zh-CN"/>
        </w:rPr>
        <w:t>加强餐饮业管理职责</w:t>
      </w:r>
      <w:r>
        <w:rPr>
          <w:rFonts w:hint="eastAsia" w:ascii="仿宋_GB2312" w:hAnsi="仿宋" w:eastAsia="仿宋_GB2312" w:cs="Times New Roman"/>
          <w:spacing w:val="6"/>
          <w:kern w:val="0"/>
          <w:sz w:val="28"/>
          <w:szCs w:val="28"/>
          <w:lang w:val="en-US" w:eastAsia="zh-CN"/>
        </w:rPr>
        <w:t>，</w:t>
      </w:r>
      <w:r>
        <w:rPr>
          <w:rFonts w:hint="eastAsia" w:ascii="仿宋_GB2312" w:hAnsi="仿宋" w:eastAsia="仿宋_GB2312" w:cs="Times New Roman"/>
          <w:spacing w:val="6"/>
          <w:kern w:val="0"/>
          <w:sz w:val="28"/>
          <w:szCs w:val="28"/>
        </w:rPr>
        <w:t>与部门主要职责相适应。</w:t>
      </w:r>
    </w:p>
    <w:p w14:paraId="1EC1BF62">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该项指标满分为1分，根据评分标准得1分。</w:t>
      </w:r>
    </w:p>
    <w:p w14:paraId="5FDAD1D7">
      <w:pPr>
        <w:topLinePunct/>
        <w:spacing w:line="579" w:lineRule="exact"/>
        <w:ind w:firstLine="586" w:firstLineChars="200"/>
        <w:rPr>
          <w:rFonts w:ascii="仿宋_GB2312" w:hAnsi="仿宋" w:eastAsia="仿宋_GB2312"/>
          <w:b/>
          <w:bCs/>
          <w:spacing w:val="6"/>
          <w:kern w:val="0"/>
          <w:sz w:val="28"/>
          <w:szCs w:val="28"/>
        </w:rPr>
      </w:pPr>
      <w:r>
        <w:rPr>
          <w:rFonts w:hint="eastAsia" w:ascii="仿宋_GB2312" w:hAnsi="仿宋" w:eastAsia="仿宋_GB2312"/>
          <w:b/>
          <w:bCs/>
          <w:spacing w:val="6"/>
          <w:kern w:val="0"/>
          <w:sz w:val="28"/>
          <w:szCs w:val="28"/>
        </w:rPr>
        <w:t>A13.项目立项规范性</w:t>
      </w:r>
    </w:p>
    <w:p w14:paraId="33C9AA2F">
      <w:pPr>
        <w:topLinePunct/>
        <w:spacing w:line="579" w:lineRule="exact"/>
        <w:ind w:firstLine="584" w:firstLineChars="200"/>
        <w:rPr>
          <w:rFonts w:hint="eastAsia" w:ascii="仿宋_GB2312" w:hAnsi="仿宋" w:eastAsia="仿宋_GB2312" w:cs="Times New Roman"/>
          <w:spacing w:val="6"/>
          <w:kern w:val="0"/>
          <w:sz w:val="28"/>
          <w:szCs w:val="28"/>
          <w:lang w:val="en-US" w:eastAsia="zh-CN"/>
        </w:rPr>
      </w:pPr>
      <w:r>
        <w:rPr>
          <w:rFonts w:hint="eastAsia" w:ascii="仿宋_GB2312" w:hAnsi="仿宋" w:eastAsia="仿宋_GB2312"/>
          <w:spacing w:val="6"/>
          <w:kern w:val="0"/>
          <w:sz w:val="28"/>
          <w:szCs w:val="28"/>
          <w:u w:val="single"/>
        </w:rPr>
        <w:t>A131.前期调研情况：</w:t>
      </w:r>
      <w:r>
        <w:rPr>
          <w:rFonts w:hint="eastAsia" w:ascii="仿宋_GB2312" w:hAnsi="仿宋" w:eastAsia="仿宋_GB2312" w:cs="Times New Roman"/>
          <w:spacing w:val="6"/>
          <w:kern w:val="0"/>
          <w:sz w:val="28"/>
          <w:szCs w:val="28"/>
          <w:lang w:val="en-US" w:eastAsia="zh-CN"/>
        </w:rPr>
        <w:t>2019年，达到全区环境空气质量总体继续保持优良，持续改善，达到国家二级标准，不出现重度污染天气；空气质量优良天数比率达到98%以上，全年轻度污染的天数不超过4天（境外输入污染物、臭氧等自然因素除外）。全年环境空气综合指数控制在3.69以内，可吸入颗粒物（PM10）和细颗粒物（PM2.5）年均浓度在2018年基础上下降1%，其余污染物浓度保持2018年水平不变（各月、各季度、年累计控制目标浓度值详见附件《2019年盘龙区各项污染物控制目标浓度值》）。全面完成国家、省、市下达的大气污染防治各项工作任务，确保达到国家和省、市的考核要求，故本项目的设立经过了充分的调研。</w:t>
      </w:r>
    </w:p>
    <w:p w14:paraId="2A73CA33">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该项指标满分为2分，根据评分标准得2分。</w:t>
      </w:r>
    </w:p>
    <w:p w14:paraId="70B99471">
      <w:pPr>
        <w:keepNext w:val="0"/>
        <w:keepLines w:val="0"/>
        <w:pageBreakBefore w:val="0"/>
        <w:widowControl w:val="0"/>
        <w:kinsoku/>
        <w:wordWrap/>
        <w:overflowPunct/>
        <w:autoSpaceDE/>
        <w:autoSpaceDN/>
        <w:bidi w:val="0"/>
        <w:adjustRightInd/>
        <w:snapToGrid/>
        <w:spacing w:line="579" w:lineRule="exact"/>
        <w:ind w:firstLine="584" w:firstLineChars="200"/>
        <w:jc w:val="both"/>
        <w:textAlignment w:val="auto"/>
        <w:rPr>
          <w:rFonts w:ascii="仿宋_GB2312" w:hAnsi="仿宋" w:eastAsia="仿宋_GB2312"/>
          <w:spacing w:val="6"/>
          <w:kern w:val="0"/>
          <w:sz w:val="28"/>
          <w:szCs w:val="28"/>
        </w:rPr>
      </w:pPr>
      <w:r>
        <w:rPr>
          <w:rFonts w:hint="eastAsia" w:ascii="仿宋_GB2312" w:hAnsi="仿宋" w:eastAsia="仿宋_GB2312"/>
          <w:spacing w:val="6"/>
          <w:kern w:val="0"/>
          <w:sz w:val="28"/>
          <w:szCs w:val="28"/>
          <w:u w:val="single"/>
        </w:rPr>
        <w:t>A132.立项程序规范性：</w:t>
      </w:r>
      <w:r>
        <w:rPr>
          <w:rFonts w:hint="eastAsia" w:ascii="仿宋_GB2312" w:hAnsi="仿宋" w:eastAsia="仿宋_GB2312"/>
          <w:spacing w:val="6"/>
          <w:kern w:val="0"/>
          <w:sz w:val="28"/>
          <w:szCs w:val="28"/>
          <w:u w:val="none"/>
          <w:lang w:val="en-US" w:eastAsia="zh-CN"/>
        </w:rPr>
        <w:t>为</w:t>
      </w:r>
      <w:r>
        <w:rPr>
          <w:rFonts w:hint="eastAsia" w:ascii="仿宋_GB2312" w:hAnsi="仿宋" w:eastAsia="仿宋_GB2312" w:cs="Times New Roman"/>
          <w:spacing w:val="6"/>
          <w:kern w:val="0"/>
          <w:sz w:val="28"/>
          <w:szCs w:val="28"/>
          <w:lang w:val="en-US" w:eastAsia="zh-CN"/>
        </w:rPr>
        <w:t>确保完成2019年度市级下达的大气环境质量目标任务，坚持全民共治、源头防治、标本兼治，结合我区实际制定《盘龙区2019年度大气污染防治工作实施方案》并报批政府，该项目立项规范</w:t>
      </w:r>
      <w:r>
        <w:rPr>
          <w:rFonts w:hint="eastAsia" w:ascii="仿宋_GB2312" w:hAnsi="仿宋" w:eastAsia="仿宋_GB2312"/>
          <w:spacing w:val="6"/>
          <w:kern w:val="0"/>
          <w:sz w:val="28"/>
          <w:szCs w:val="28"/>
        </w:rPr>
        <w:t>。</w:t>
      </w:r>
    </w:p>
    <w:p w14:paraId="1C06804E">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该项指标满分为2分，根据评分标准得2分。</w:t>
      </w:r>
    </w:p>
    <w:p w14:paraId="3B01F683">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（2）项目目标</w:t>
      </w:r>
    </w:p>
    <w:p w14:paraId="3DA3E942">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主要考察所设定的项目绩效目标是否依据充分、完整且与预算相匹配，细化分解的绩效指标是否与绩效目标相适应。各指标业绩值和实际得分详见表7。</w:t>
      </w:r>
    </w:p>
    <w:p w14:paraId="0F0C7F30">
      <w:pPr>
        <w:jc w:val="center"/>
        <w:rPr>
          <w:rFonts w:hint="eastAsia" w:ascii="黑体" w:hAnsi="黑体" w:eastAsia="黑体"/>
          <w:kern w:val="2"/>
          <w:sz w:val="24"/>
          <w:szCs w:val="24"/>
          <w:lang w:val="zh-CN"/>
        </w:rPr>
      </w:pPr>
      <w:r>
        <w:rPr>
          <w:rFonts w:hint="eastAsia" w:ascii="黑体" w:hAnsi="黑体" w:eastAsia="黑体"/>
          <w:kern w:val="2"/>
          <w:sz w:val="24"/>
          <w:szCs w:val="24"/>
          <w:lang w:val="zh-CN"/>
        </w:rPr>
        <w:t>表7  项目目标指标评分表</w:t>
      </w:r>
    </w:p>
    <w:tbl>
      <w:tblPr>
        <w:tblStyle w:val="8"/>
        <w:tblW w:w="5000" w:type="pct"/>
        <w:jc w:val="center"/>
        <w:tblLayout w:type="autofit"/>
        <w:tblCellMar>
          <w:top w:w="0" w:type="dxa"/>
          <w:left w:w="10" w:type="dxa"/>
          <w:bottom w:w="0" w:type="dxa"/>
          <w:right w:w="10" w:type="dxa"/>
        </w:tblCellMar>
      </w:tblPr>
      <w:tblGrid>
        <w:gridCol w:w="3864"/>
        <w:gridCol w:w="1251"/>
        <w:gridCol w:w="1514"/>
        <w:gridCol w:w="1697"/>
      </w:tblGrid>
      <w:tr w14:paraId="42A5F59A">
        <w:trPr>
          <w:trHeight w:val="471" w:hRule="atLeast"/>
          <w:tblHeader/>
          <w:jc w:val="center"/>
        </w:trPr>
        <w:tc>
          <w:tcPr>
            <w:tcW w:w="2321" w:type="pct"/>
            <w:tcBorders>
              <w:top w:val="single" w:color="auto" w:sz="4" w:space="0"/>
              <w:left w:val="single" w:color="auto" w:sz="4" w:space="0"/>
              <w:bottom w:val="single" w:color="auto" w:sz="4" w:space="0"/>
              <w:right w:val="single" w:color="auto" w:sz="4" w:space="0"/>
            </w:tcBorders>
            <w:shd w:val="clear" w:color="auto" w:fill="FFFFFF"/>
            <w:vAlign w:val="bottom"/>
          </w:tcPr>
          <w:p w14:paraId="2E954F16">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751" w:type="pct"/>
            <w:tcBorders>
              <w:top w:val="single" w:color="auto" w:sz="4" w:space="0"/>
              <w:left w:val="single" w:color="auto" w:sz="4" w:space="0"/>
              <w:bottom w:val="single" w:color="auto" w:sz="4" w:space="0"/>
              <w:right w:val="single" w:color="auto" w:sz="4" w:space="0"/>
            </w:tcBorders>
            <w:shd w:val="clear" w:color="auto" w:fill="FFFFFF"/>
            <w:vAlign w:val="bottom"/>
          </w:tcPr>
          <w:p w14:paraId="4425F587">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909" w:type="pct"/>
            <w:tcBorders>
              <w:top w:val="single" w:color="auto" w:sz="4" w:space="0"/>
              <w:left w:val="single" w:color="auto" w:sz="4" w:space="0"/>
              <w:bottom w:val="single" w:color="auto" w:sz="4" w:space="0"/>
              <w:right w:val="single" w:color="auto" w:sz="4" w:space="0"/>
            </w:tcBorders>
            <w:shd w:val="clear" w:color="auto" w:fill="FFFFFF"/>
            <w:vAlign w:val="bottom"/>
          </w:tcPr>
          <w:p w14:paraId="305DDA01">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1019" w:type="pct"/>
            <w:tcBorders>
              <w:top w:val="single" w:color="auto" w:sz="4" w:space="0"/>
              <w:left w:val="single" w:color="auto" w:sz="4" w:space="0"/>
              <w:bottom w:val="single" w:color="auto" w:sz="4" w:space="0"/>
              <w:right w:val="single" w:color="auto" w:sz="4" w:space="0"/>
            </w:tcBorders>
            <w:shd w:val="clear" w:color="auto" w:fill="FFFFFF"/>
            <w:vAlign w:val="bottom"/>
          </w:tcPr>
          <w:p w14:paraId="20414868">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4783B519">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tcBorders>
            <w:shd w:val="clear" w:color="auto" w:fill="FFFFFF"/>
          </w:tcPr>
          <w:p w14:paraId="4515BBB3">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A21.绩效目标设定的合理性</w:t>
            </w:r>
          </w:p>
        </w:tc>
        <w:tc>
          <w:tcPr>
            <w:tcW w:w="751" w:type="pct"/>
            <w:tcBorders>
              <w:top w:val="single" w:color="auto" w:sz="4" w:space="0"/>
              <w:left w:val="single" w:color="auto" w:sz="4" w:space="0"/>
              <w:bottom w:val="single" w:color="auto" w:sz="4" w:space="0"/>
            </w:tcBorders>
            <w:shd w:val="clear" w:color="auto" w:fill="FFFFFF"/>
          </w:tcPr>
          <w:p w14:paraId="5D1D3AAC">
            <w:pPr>
              <w:spacing w:line="360" w:lineRule="auto"/>
              <w:rPr>
                <w:rFonts w:ascii="仿宋_GB2312" w:hAnsi="仿宋_GB2312" w:eastAsia="仿宋_GB2312" w:cs="仿宋_GB2312"/>
                <w:sz w:val="24"/>
                <w:szCs w:val="24"/>
              </w:rPr>
            </w:pPr>
          </w:p>
        </w:tc>
        <w:tc>
          <w:tcPr>
            <w:tcW w:w="909" w:type="pct"/>
            <w:tcBorders>
              <w:top w:val="single" w:color="auto" w:sz="4" w:space="0"/>
              <w:left w:val="single" w:color="auto" w:sz="4" w:space="0"/>
              <w:bottom w:val="single" w:color="auto" w:sz="4" w:space="0"/>
            </w:tcBorders>
            <w:shd w:val="clear" w:color="auto" w:fill="FFFFFF"/>
          </w:tcPr>
          <w:p w14:paraId="0D2C09B7">
            <w:pPr>
              <w:spacing w:line="360" w:lineRule="auto"/>
              <w:rPr>
                <w:rFonts w:ascii="仿宋_GB2312" w:hAnsi="仿宋_GB2312" w:eastAsia="仿宋_GB2312" w:cs="仿宋_GB2312"/>
                <w:sz w:val="24"/>
                <w:szCs w:val="24"/>
              </w:rPr>
            </w:pPr>
          </w:p>
        </w:tc>
        <w:tc>
          <w:tcPr>
            <w:tcW w:w="1019" w:type="pct"/>
            <w:tcBorders>
              <w:top w:val="single" w:color="auto" w:sz="4" w:space="0"/>
              <w:left w:val="single" w:color="auto" w:sz="4" w:space="0"/>
              <w:bottom w:val="single" w:color="auto" w:sz="4" w:space="0"/>
              <w:right w:val="single" w:color="auto" w:sz="4" w:space="0"/>
            </w:tcBorders>
            <w:shd w:val="clear" w:color="auto" w:fill="FFFFFF"/>
          </w:tcPr>
          <w:p w14:paraId="52FE19B7">
            <w:pPr>
              <w:spacing w:line="360" w:lineRule="auto"/>
              <w:rPr>
                <w:rFonts w:ascii="仿宋_GB2312" w:hAnsi="仿宋_GB2312" w:eastAsia="仿宋_GB2312" w:cs="仿宋_GB2312"/>
                <w:sz w:val="24"/>
                <w:szCs w:val="24"/>
              </w:rPr>
            </w:pPr>
          </w:p>
        </w:tc>
      </w:tr>
      <w:tr w14:paraId="2D50393C">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right w:val="single" w:color="auto" w:sz="4" w:space="0"/>
            </w:tcBorders>
            <w:shd w:val="clear" w:color="auto" w:fill="FFFFFF"/>
            <w:vAlign w:val="center"/>
          </w:tcPr>
          <w:p w14:paraId="3410C4CE">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A211.绩效目标相关性</w:t>
            </w:r>
          </w:p>
        </w:tc>
        <w:tc>
          <w:tcPr>
            <w:tcW w:w="751" w:type="pct"/>
            <w:tcBorders>
              <w:top w:val="single" w:color="auto" w:sz="4" w:space="0"/>
              <w:left w:val="single" w:color="auto" w:sz="4" w:space="0"/>
              <w:bottom w:val="single" w:color="auto" w:sz="4" w:space="0"/>
              <w:right w:val="single" w:color="auto" w:sz="4" w:space="0"/>
            </w:tcBorders>
            <w:shd w:val="clear" w:color="auto" w:fill="FFFFFF"/>
            <w:vAlign w:val="bottom"/>
          </w:tcPr>
          <w:p w14:paraId="7F1A6DE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bottom w:val="single" w:color="auto" w:sz="4" w:space="0"/>
              <w:right w:val="single" w:color="auto" w:sz="4" w:space="0"/>
            </w:tcBorders>
            <w:shd w:val="clear" w:color="auto" w:fill="FFFFFF"/>
            <w:vAlign w:val="center"/>
          </w:tcPr>
          <w:p w14:paraId="5622C294">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相关</w:t>
            </w:r>
          </w:p>
        </w:tc>
        <w:tc>
          <w:tcPr>
            <w:tcW w:w="1019" w:type="pct"/>
            <w:tcBorders>
              <w:top w:val="single" w:color="auto" w:sz="4" w:space="0"/>
              <w:left w:val="single" w:color="auto" w:sz="4" w:space="0"/>
              <w:bottom w:val="single" w:color="auto" w:sz="4" w:space="0"/>
              <w:right w:val="single" w:color="auto" w:sz="4" w:space="0"/>
            </w:tcBorders>
            <w:shd w:val="clear" w:color="auto" w:fill="FFFFFF"/>
            <w:vAlign w:val="bottom"/>
          </w:tcPr>
          <w:p w14:paraId="7D0D576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2</w:t>
            </w:r>
          </w:p>
        </w:tc>
      </w:tr>
      <w:tr w14:paraId="3CAE7CCB">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169A8932">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A212.绩效目标完整性</w:t>
            </w:r>
          </w:p>
        </w:tc>
        <w:tc>
          <w:tcPr>
            <w:tcW w:w="751" w:type="pct"/>
            <w:tcBorders>
              <w:top w:val="single" w:color="auto" w:sz="4" w:space="0"/>
              <w:left w:val="single" w:color="auto" w:sz="4" w:space="0"/>
            </w:tcBorders>
            <w:shd w:val="clear" w:color="auto" w:fill="FFFFFF"/>
          </w:tcPr>
          <w:p w14:paraId="5DCAEAE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tcBorders>
            <w:shd w:val="clear" w:color="auto" w:fill="FFFFFF"/>
          </w:tcPr>
          <w:p w14:paraId="583B101A">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完整</w:t>
            </w:r>
          </w:p>
        </w:tc>
        <w:tc>
          <w:tcPr>
            <w:tcW w:w="1019" w:type="pct"/>
            <w:tcBorders>
              <w:top w:val="single" w:color="auto" w:sz="4" w:space="0"/>
              <w:left w:val="single" w:color="auto" w:sz="4" w:space="0"/>
              <w:right w:val="single" w:color="auto" w:sz="4" w:space="0"/>
            </w:tcBorders>
            <w:shd w:val="clear" w:color="auto" w:fill="FFFFFF"/>
          </w:tcPr>
          <w:p w14:paraId="43E9A2BE">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r>
              <w:rPr>
                <w:rFonts w:hint="eastAsia" w:ascii="Calibri" w:hAnsi="仿宋" w:eastAsia="宋体" w:cs="宋体"/>
                <w:color w:val="000000"/>
                <w:spacing w:val="0"/>
                <w:kern w:val="2"/>
                <w:sz w:val="21"/>
                <w:szCs w:val="22"/>
                <w:lang w:val="en-US" w:eastAsia="en-US" w:bidi="ar-SA"/>
              </w:rPr>
              <w:t>2</w:t>
            </w:r>
          </w:p>
        </w:tc>
      </w:tr>
      <w:tr w14:paraId="2DF7CD1C">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0E7BD536">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A213.目标与预算的匹配性</w:t>
            </w:r>
          </w:p>
        </w:tc>
        <w:tc>
          <w:tcPr>
            <w:tcW w:w="751" w:type="pct"/>
            <w:tcBorders>
              <w:top w:val="single" w:color="auto" w:sz="4" w:space="0"/>
              <w:left w:val="single" w:color="auto" w:sz="4" w:space="0"/>
            </w:tcBorders>
            <w:shd w:val="clear" w:color="auto" w:fill="FFFFFF"/>
            <w:vAlign w:val="bottom"/>
          </w:tcPr>
          <w:p w14:paraId="4B6532E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tcBorders>
            <w:shd w:val="clear" w:color="auto" w:fill="FFFFFF"/>
            <w:vAlign w:val="center"/>
          </w:tcPr>
          <w:p w14:paraId="16A573FD">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匹配</w:t>
            </w:r>
          </w:p>
        </w:tc>
        <w:tc>
          <w:tcPr>
            <w:tcW w:w="1019" w:type="pct"/>
            <w:tcBorders>
              <w:top w:val="single" w:color="auto" w:sz="4" w:space="0"/>
              <w:left w:val="single" w:color="auto" w:sz="4" w:space="0"/>
              <w:right w:val="single" w:color="auto" w:sz="4" w:space="0"/>
            </w:tcBorders>
            <w:shd w:val="clear" w:color="auto" w:fill="FFFFFF"/>
            <w:vAlign w:val="bottom"/>
          </w:tcPr>
          <w:p w14:paraId="243F8F25">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r>
              <w:rPr>
                <w:rFonts w:hint="eastAsia" w:ascii="Calibri" w:hAnsi="仿宋" w:eastAsia="宋体" w:cs="宋体"/>
                <w:color w:val="000000"/>
                <w:spacing w:val="0"/>
                <w:kern w:val="2"/>
                <w:sz w:val="21"/>
                <w:szCs w:val="22"/>
                <w:lang w:val="en-US" w:eastAsia="en-US" w:bidi="ar-SA"/>
              </w:rPr>
              <w:t>2</w:t>
            </w:r>
          </w:p>
        </w:tc>
      </w:tr>
      <w:tr w14:paraId="117A1FA2">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4DB7A0F6">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A22.绩效指标设定的明确性</w:t>
            </w:r>
          </w:p>
        </w:tc>
        <w:tc>
          <w:tcPr>
            <w:tcW w:w="751" w:type="pct"/>
            <w:tcBorders>
              <w:top w:val="single" w:color="auto" w:sz="4" w:space="0"/>
              <w:left w:val="single" w:color="auto" w:sz="4" w:space="0"/>
            </w:tcBorders>
            <w:shd w:val="clear" w:color="auto" w:fill="FFFFFF"/>
            <w:vAlign w:val="bottom"/>
          </w:tcPr>
          <w:p w14:paraId="0392701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09" w:type="pct"/>
            <w:tcBorders>
              <w:top w:val="single" w:color="auto" w:sz="4" w:space="0"/>
              <w:left w:val="single" w:color="auto" w:sz="4" w:space="0"/>
            </w:tcBorders>
            <w:shd w:val="clear" w:color="auto" w:fill="FFFFFF"/>
            <w:vAlign w:val="center"/>
          </w:tcPr>
          <w:p w14:paraId="3443A69A">
            <w:pPr>
              <w:pStyle w:val="11"/>
              <w:shd w:val="clear" w:color="auto" w:fill="auto"/>
              <w:spacing w:after="0" w:line="360" w:lineRule="auto"/>
              <w:rPr>
                <w:rFonts w:hint="eastAsia" w:ascii="宋体" w:hAnsi="宋体" w:eastAsia="宋体" w:cs="宋体"/>
                <w:sz w:val="21"/>
                <w:szCs w:val="21"/>
              </w:rPr>
            </w:pPr>
          </w:p>
        </w:tc>
        <w:tc>
          <w:tcPr>
            <w:tcW w:w="1019" w:type="pct"/>
            <w:tcBorders>
              <w:top w:val="single" w:color="auto" w:sz="4" w:space="0"/>
              <w:left w:val="single" w:color="auto" w:sz="4" w:space="0"/>
              <w:right w:val="single" w:color="auto" w:sz="4" w:space="0"/>
            </w:tcBorders>
            <w:shd w:val="clear" w:color="auto" w:fill="FFFFFF"/>
            <w:vAlign w:val="bottom"/>
          </w:tcPr>
          <w:p w14:paraId="577C8222">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p>
        </w:tc>
      </w:tr>
      <w:tr w14:paraId="191E3547">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1FFC65D9">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A221.指标细化分解情况</w:t>
            </w:r>
          </w:p>
        </w:tc>
        <w:tc>
          <w:tcPr>
            <w:tcW w:w="751" w:type="pct"/>
            <w:tcBorders>
              <w:top w:val="single" w:color="auto" w:sz="4" w:space="0"/>
              <w:left w:val="single" w:color="auto" w:sz="4" w:space="0"/>
            </w:tcBorders>
            <w:shd w:val="clear" w:color="auto" w:fill="FFFFFF"/>
          </w:tcPr>
          <w:p w14:paraId="207321F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3</w:t>
            </w:r>
          </w:p>
        </w:tc>
        <w:tc>
          <w:tcPr>
            <w:tcW w:w="909" w:type="pct"/>
            <w:tcBorders>
              <w:top w:val="single" w:color="auto" w:sz="4" w:space="0"/>
              <w:left w:val="single" w:color="auto" w:sz="4" w:space="0"/>
            </w:tcBorders>
            <w:shd w:val="clear" w:color="auto" w:fill="FFFFFF"/>
          </w:tcPr>
          <w:p w14:paraId="7B72232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细化分解</w:t>
            </w:r>
          </w:p>
        </w:tc>
        <w:tc>
          <w:tcPr>
            <w:tcW w:w="1019" w:type="pct"/>
            <w:tcBorders>
              <w:top w:val="single" w:color="auto" w:sz="4" w:space="0"/>
              <w:left w:val="single" w:color="auto" w:sz="4" w:space="0"/>
              <w:right w:val="single" w:color="auto" w:sz="4" w:space="0"/>
            </w:tcBorders>
            <w:shd w:val="clear" w:color="auto" w:fill="FFFFFF"/>
          </w:tcPr>
          <w:p w14:paraId="0E96A13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3</w:t>
            </w:r>
          </w:p>
        </w:tc>
      </w:tr>
      <w:tr w14:paraId="0AC05CD6">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7DC0682C">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A222.指标与目标的匹配性</w:t>
            </w:r>
          </w:p>
        </w:tc>
        <w:tc>
          <w:tcPr>
            <w:tcW w:w="751" w:type="pct"/>
            <w:tcBorders>
              <w:top w:val="single" w:color="auto" w:sz="4" w:space="0"/>
              <w:left w:val="single" w:color="auto" w:sz="4" w:space="0"/>
            </w:tcBorders>
            <w:shd w:val="clear" w:color="auto" w:fill="FFFFFF"/>
            <w:vAlign w:val="bottom"/>
          </w:tcPr>
          <w:p w14:paraId="4F14716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3</w:t>
            </w:r>
          </w:p>
        </w:tc>
        <w:tc>
          <w:tcPr>
            <w:tcW w:w="909" w:type="pct"/>
            <w:tcBorders>
              <w:top w:val="single" w:color="auto" w:sz="4" w:space="0"/>
              <w:left w:val="single" w:color="auto" w:sz="4" w:space="0"/>
            </w:tcBorders>
            <w:shd w:val="clear" w:color="auto" w:fill="FFFFFF"/>
            <w:vAlign w:val="center"/>
          </w:tcPr>
          <w:p w14:paraId="73010C5B">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匹配</w:t>
            </w:r>
          </w:p>
        </w:tc>
        <w:tc>
          <w:tcPr>
            <w:tcW w:w="1019" w:type="pct"/>
            <w:tcBorders>
              <w:top w:val="single" w:color="auto" w:sz="4" w:space="0"/>
              <w:left w:val="single" w:color="auto" w:sz="4" w:space="0"/>
              <w:right w:val="single" w:color="auto" w:sz="4" w:space="0"/>
            </w:tcBorders>
            <w:shd w:val="clear" w:color="auto" w:fill="FFFFFF"/>
            <w:vAlign w:val="bottom"/>
          </w:tcPr>
          <w:p w14:paraId="7AD7E31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3</w:t>
            </w:r>
          </w:p>
        </w:tc>
      </w:tr>
      <w:tr w14:paraId="770FBC1E">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tcBorders>
            <w:shd w:val="clear" w:color="auto" w:fill="FFFFFF"/>
            <w:vAlign w:val="center"/>
          </w:tcPr>
          <w:p w14:paraId="1F8B87DA">
            <w:pPr>
              <w:pStyle w:val="11"/>
              <w:shd w:val="clear" w:color="auto" w:fill="auto"/>
              <w:spacing w:after="0" w:line="360" w:lineRule="auto"/>
              <w:rPr>
                <w:rFonts w:hint="eastAsia" w:ascii="宋体" w:hAnsi="宋体" w:eastAsia="宋体" w:cs="宋体"/>
                <w:b w:val="0"/>
                <w:bCs w:val="0"/>
                <w:sz w:val="21"/>
                <w:szCs w:val="21"/>
                <w:lang w:eastAsia="zh-CN"/>
              </w:rPr>
            </w:pPr>
            <w:r>
              <w:rPr>
                <w:rFonts w:hint="eastAsia" w:cs="宋体"/>
                <w:b w:val="0"/>
                <w:bCs w:val="0"/>
                <w:sz w:val="21"/>
                <w:szCs w:val="21"/>
                <w:lang w:eastAsia="zh-CN"/>
              </w:rPr>
              <w:t>合计</w:t>
            </w:r>
          </w:p>
        </w:tc>
        <w:tc>
          <w:tcPr>
            <w:tcW w:w="751" w:type="pct"/>
            <w:tcBorders>
              <w:top w:val="single" w:color="auto" w:sz="4" w:space="0"/>
              <w:left w:val="single" w:color="auto" w:sz="4" w:space="0"/>
              <w:bottom w:val="single" w:color="auto" w:sz="4" w:space="0"/>
            </w:tcBorders>
            <w:shd w:val="clear" w:color="auto" w:fill="FFFFFF"/>
            <w:vAlign w:val="center"/>
          </w:tcPr>
          <w:p w14:paraId="4CA90422">
            <w:pPr>
              <w:pStyle w:val="11"/>
              <w:shd w:val="clear" w:color="auto" w:fill="auto"/>
              <w:spacing w:after="0" w:line="360" w:lineRule="auto"/>
              <w:rPr>
                <w:rFonts w:hint="eastAsia" w:ascii="Calibri" w:hAnsi="仿宋" w:eastAsia="宋体" w:cs="宋体"/>
                <w:b w:val="0"/>
                <w:bCs w:val="0"/>
                <w:color w:val="000000"/>
                <w:spacing w:val="0"/>
                <w:kern w:val="2"/>
                <w:sz w:val="21"/>
                <w:szCs w:val="22"/>
                <w:lang w:val="en-US" w:eastAsia="zh-CN" w:bidi="ar-SA"/>
              </w:rPr>
            </w:pPr>
            <w:r>
              <w:rPr>
                <w:rFonts w:hint="eastAsia" w:ascii="Calibri" w:hAnsi="仿宋" w:eastAsia="宋体" w:cs="宋体"/>
                <w:b w:val="0"/>
                <w:bCs w:val="0"/>
                <w:color w:val="000000"/>
                <w:spacing w:val="0"/>
                <w:kern w:val="2"/>
                <w:sz w:val="21"/>
                <w:szCs w:val="22"/>
                <w:lang w:val="en-US" w:eastAsia="zh-CN" w:bidi="ar-SA"/>
              </w:rPr>
              <w:t>12</w:t>
            </w:r>
          </w:p>
        </w:tc>
        <w:tc>
          <w:tcPr>
            <w:tcW w:w="909" w:type="pct"/>
            <w:tcBorders>
              <w:top w:val="single" w:color="auto" w:sz="4" w:space="0"/>
              <w:left w:val="single" w:color="auto" w:sz="4" w:space="0"/>
              <w:bottom w:val="single" w:color="auto" w:sz="4" w:space="0"/>
            </w:tcBorders>
            <w:shd w:val="clear" w:color="auto" w:fill="FFFFFF"/>
          </w:tcPr>
          <w:p w14:paraId="7BC8FCFB">
            <w:pPr>
              <w:spacing w:line="360" w:lineRule="auto"/>
              <w:rPr>
                <w:rFonts w:hint="eastAsia" w:ascii="宋体" w:hAnsi="宋体" w:eastAsia="宋体" w:cs="宋体"/>
                <w:b w:val="0"/>
                <w:bCs w:val="0"/>
                <w:sz w:val="21"/>
                <w:szCs w:val="21"/>
              </w:rPr>
            </w:pPr>
          </w:p>
        </w:tc>
        <w:tc>
          <w:tcPr>
            <w:tcW w:w="1019" w:type="pct"/>
            <w:tcBorders>
              <w:top w:val="single" w:color="auto" w:sz="4" w:space="0"/>
              <w:left w:val="single" w:color="auto" w:sz="4" w:space="0"/>
              <w:bottom w:val="single" w:color="auto" w:sz="4" w:space="0"/>
              <w:right w:val="single" w:color="auto" w:sz="4" w:space="0"/>
            </w:tcBorders>
            <w:shd w:val="clear" w:color="auto" w:fill="FFFFFF"/>
            <w:vAlign w:val="center"/>
          </w:tcPr>
          <w:p w14:paraId="24D5F1CA">
            <w:pPr>
              <w:pStyle w:val="11"/>
              <w:shd w:val="clear" w:color="auto" w:fill="auto"/>
              <w:spacing w:after="0" w:line="360" w:lineRule="auto"/>
              <w:rPr>
                <w:rFonts w:hint="default" w:ascii="Calibri" w:hAnsi="仿宋" w:eastAsia="宋体" w:cs="宋体"/>
                <w:b w:val="0"/>
                <w:bCs w:val="0"/>
                <w:color w:val="000000"/>
                <w:spacing w:val="0"/>
                <w:kern w:val="2"/>
                <w:sz w:val="21"/>
                <w:szCs w:val="22"/>
                <w:lang w:val="en-US" w:eastAsia="zh-CN" w:bidi="ar-SA"/>
              </w:rPr>
            </w:pPr>
            <w:r>
              <w:rPr>
                <w:rFonts w:hint="eastAsia" w:ascii="Calibri" w:hAnsi="仿宋" w:cs="宋体"/>
                <w:b w:val="0"/>
                <w:bCs w:val="0"/>
                <w:color w:val="000000"/>
                <w:spacing w:val="0"/>
                <w:kern w:val="2"/>
                <w:sz w:val="21"/>
                <w:szCs w:val="22"/>
                <w:lang w:val="en-US" w:eastAsia="zh-CN" w:bidi="ar-SA"/>
              </w:rPr>
              <w:t>12</w:t>
            </w:r>
          </w:p>
        </w:tc>
      </w:tr>
    </w:tbl>
    <w:p w14:paraId="7C07AED2">
      <w:pPr>
        <w:topLinePunct/>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该项指标满分为2分，根据评分标准得2分。</w:t>
      </w:r>
    </w:p>
    <w:p w14:paraId="1F328F32">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u w:val="single"/>
          <w:lang w:val="en-US" w:eastAsia="zh-CN" w:bidi="ar-SA"/>
        </w:rPr>
        <w:t>A212.绩效目标完整性</w:t>
      </w:r>
      <w:r>
        <w:rPr>
          <w:rFonts w:hint="eastAsia" w:ascii="仿宋_GB2312" w:hAnsi="仿宋_GB2312" w:eastAsia="仿宋_GB2312" w:cs="仿宋_GB2312"/>
          <w:spacing w:val="0"/>
          <w:kern w:val="2"/>
          <w:sz w:val="28"/>
          <w:szCs w:val="28"/>
          <w:lang w:val="en-US" w:eastAsia="zh-CN" w:bidi="ar-SA"/>
        </w:rPr>
        <w:t>：根据绩效目标申报表和项目实施内容，本项目编制的绩效目标基本能够完整地反映预期的产出和效果，符合设定要求。</w:t>
      </w:r>
    </w:p>
    <w:p w14:paraId="0EEF53F5">
      <w:pPr>
        <w:topLinePunct/>
        <w:spacing w:line="579" w:lineRule="exact"/>
        <w:ind w:firstLine="560" w:firstLineChars="200"/>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该项指标满分为2分，根据评分标准得2分。</w:t>
      </w:r>
    </w:p>
    <w:p w14:paraId="7CCC6E86">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u w:val="single"/>
          <w:lang w:val="en-US" w:eastAsia="zh-CN" w:bidi="ar-SA"/>
        </w:rPr>
        <w:t>A213.目标与预算的匹配性</w:t>
      </w:r>
      <w:r>
        <w:rPr>
          <w:rFonts w:hint="eastAsia" w:ascii="仿宋_GB2312" w:hAnsi="仿宋_GB2312" w:eastAsia="仿宋_GB2312" w:cs="仿宋_GB2312"/>
          <w:spacing w:val="0"/>
          <w:kern w:val="2"/>
          <w:sz w:val="28"/>
          <w:szCs w:val="28"/>
          <w:lang w:val="en-US" w:eastAsia="zh-CN" w:bidi="ar-SA"/>
        </w:rPr>
        <w:t>：本项目工作目标为保障盘龙区7个大气自动监测站正常运行，项目目标与预算相匹配。</w:t>
      </w:r>
    </w:p>
    <w:p w14:paraId="1B08D2D4">
      <w:pPr>
        <w:topLinePunct/>
        <w:spacing w:line="579" w:lineRule="exact"/>
        <w:ind w:firstLine="560" w:firstLineChars="200"/>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该项指标满分为2分，根据评分标准得2分。</w:t>
      </w:r>
    </w:p>
    <w:p w14:paraId="37137633">
      <w:pPr>
        <w:pStyle w:val="11"/>
        <w:shd w:val="clear" w:color="auto" w:fill="auto"/>
        <w:spacing w:after="0" w:line="579" w:lineRule="exact"/>
        <w:ind w:firstLine="562" w:firstLineChars="200"/>
        <w:jc w:val="both"/>
        <w:rPr>
          <w:rFonts w:hint="eastAsia" w:ascii="仿宋_GB2312" w:hAnsi="仿宋_GB2312" w:eastAsia="仿宋_GB2312" w:cs="仿宋_GB2312"/>
          <w:b/>
          <w:bCs/>
          <w:spacing w:val="0"/>
          <w:kern w:val="2"/>
          <w:sz w:val="28"/>
          <w:szCs w:val="28"/>
          <w:lang w:val="en-US" w:eastAsia="zh-CN" w:bidi="ar-SA"/>
        </w:rPr>
      </w:pPr>
      <w:r>
        <w:rPr>
          <w:rFonts w:hint="eastAsia" w:ascii="仿宋_GB2312" w:hAnsi="仿宋_GB2312" w:eastAsia="仿宋_GB2312" w:cs="仿宋_GB2312"/>
          <w:b/>
          <w:bCs/>
          <w:spacing w:val="0"/>
          <w:kern w:val="2"/>
          <w:sz w:val="28"/>
          <w:szCs w:val="28"/>
          <w:lang w:val="en-US" w:eastAsia="zh-CN" w:bidi="ar-SA"/>
        </w:rPr>
        <w:t>A22.绩效指标设定的明确性</w:t>
      </w:r>
    </w:p>
    <w:p w14:paraId="3A62171A">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u w:val="single"/>
          <w:lang w:val="en-US" w:eastAsia="zh-CN" w:bidi="ar-SA"/>
        </w:rPr>
        <w:t>A221.指标细化分解情况</w:t>
      </w:r>
      <w:r>
        <w:rPr>
          <w:rFonts w:hint="eastAsia" w:ascii="仿宋_GB2312" w:hAnsi="仿宋_GB2312" w:eastAsia="仿宋_GB2312" w:cs="仿宋_GB2312"/>
          <w:spacing w:val="0"/>
          <w:kern w:val="2"/>
          <w:sz w:val="28"/>
          <w:szCs w:val="28"/>
          <w:lang w:val="en-US" w:eastAsia="zh-CN" w:bidi="ar-SA"/>
        </w:rPr>
        <w:t>：根据绩效目标申报表，昆明市生态环境局盘龙分局将年度目标细化分解为具体的投入目标、管理目标、产出目标、效果目标。</w:t>
      </w:r>
    </w:p>
    <w:p w14:paraId="53A71343">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该项指标满分为3分，根据评分标准得0分。</w:t>
      </w:r>
    </w:p>
    <w:p w14:paraId="55B9F703">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u w:val="single"/>
          <w:lang w:val="en-US" w:eastAsia="zh-CN" w:bidi="ar-SA"/>
        </w:rPr>
        <w:t>A222.指标与目标的匹配性</w:t>
      </w:r>
      <w:r>
        <w:rPr>
          <w:rFonts w:hint="eastAsia" w:ascii="仿宋_GB2312" w:hAnsi="仿宋_GB2312" w:eastAsia="仿宋_GB2312" w:cs="仿宋_GB2312"/>
          <w:spacing w:val="0"/>
          <w:kern w:val="2"/>
          <w:sz w:val="28"/>
          <w:szCs w:val="28"/>
          <w:lang w:val="en-US" w:eastAsia="zh-CN" w:bidi="ar-SA"/>
        </w:rPr>
        <w:t>：根据绩效目标申报表，本项目讲目标细化分解的具体各项指标，指标与目标与匹配。</w:t>
      </w:r>
    </w:p>
    <w:p w14:paraId="3CB4ABC8">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该项指标满分为3分，根据评分标准得3分。</w:t>
      </w:r>
    </w:p>
    <w:p w14:paraId="292A25A7">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2.项目管理分析</w:t>
      </w:r>
    </w:p>
    <w:p w14:paraId="0F260755">
      <w:pPr>
        <w:pStyle w:val="11"/>
        <w:shd w:val="clear" w:color="auto" w:fill="auto"/>
        <w:spacing w:after="0" w:line="579" w:lineRule="exact"/>
        <w:ind w:firstLine="560" w:firstLineChars="200"/>
        <w:jc w:val="both"/>
        <w:rPr>
          <w:rFonts w:ascii="仿宋" w:hAnsi="仿宋" w:eastAsia="仿宋_GB2312"/>
          <w:kern w:val="30"/>
          <w:sz w:val="28"/>
          <w:szCs w:val="28"/>
        </w:rPr>
      </w:pPr>
      <w:r>
        <w:rPr>
          <w:rFonts w:hint="eastAsia" w:ascii="仿宋_GB2312" w:hAnsi="仿宋_GB2312" w:eastAsia="仿宋_GB2312" w:cs="仿宋_GB2312"/>
          <w:spacing w:val="0"/>
          <w:kern w:val="2"/>
          <w:sz w:val="28"/>
          <w:szCs w:val="28"/>
          <w:lang w:val="en-US" w:eastAsia="zh-CN" w:bidi="ar-SA"/>
        </w:rPr>
        <w:t>项目管理指标包括投入管理、财务管理和项目实施三个方面</w:t>
      </w:r>
      <w:r>
        <w:rPr>
          <w:rFonts w:hint="eastAsia" w:ascii="仿宋_GB2312" w:hAnsi="仿宋_GB2312" w:eastAsia="仿宋_GB2312" w:cs="仿宋_GB2312"/>
          <w:sz w:val="30"/>
          <w:szCs w:val="30"/>
        </w:rPr>
        <w:t>内</w:t>
      </w:r>
      <w:r>
        <w:rPr>
          <w:rFonts w:hint="eastAsia" w:ascii="仿宋_GB2312" w:hAnsi="仿宋_GB2312" w:eastAsia="仿宋_GB2312" w:cs="仿宋_GB2312"/>
          <w:sz w:val="28"/>
          <w:szCs w:val="28"/>
        </w:rPr>
        <w:t>容，由9个三级指标构成，共细化分解为9个四级指标。权重分为20分，实际得分</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分，得分率为</w:t>
      </w:r>
      <w:r>
        <w:rPr>
          <w:rFonts w:hint="eastAsia" w:ascii="仿宋_GB2312" w:hAnsi="仿宋_GB2312" w:eastAsia="仿宋_GB2312" w:cs="仿宋_GB2312"/>
          <w:kern w:val="30"/>
          <w:sz w:val="28"/>
          <w:szCs w:val="28"/>
          <w:lang w:val="en-US" w:eastAsia="zh-CN"/>
        </w:rPr>
        <w:t>100</w:t>
      </w:r>
      <w:r>
        <w:rPr>
          <w:rFonts w:hint="eastAsia" w:ascii="仿宋_GB2312" w:hAnsi="仿宋_GB2312" w:eastAsia="仿宋_GB2312" w:cs="仿宋_GB2312"/>
          <w:kern w:val="30"/>
          <w:sz w:val="28"/>
          <w:szCs w:val="28"/>
        </w:rPr>
        <w:t>%</w:t>
      </w:r>
      <w:r>
        <w:rPr>
          <w:rFonts w:hint="eastAsia" w:ascii="仿宋" w:hAnsi="仿宋" w:eastAsia="仿宋_GB2312"/>
          <w:kern w:val="30"/>
          <w:sz w:val="28"/>
          <w:szCs w:val="28"/>
        </w:rPr>
        <w:t>。</w:t>
      </w:r>
    </w:p>
    <w:p w14:paraId="7CDB2B31">
      <w:pPr>
        <w:topLinePunct/>
        <w:spacing w:line="579" w:lineRule="exact"/>
        <w:ind w:firstLine="640" w:firstLineChars="200"/>
        <w:rPr>
          <w:rFonts w:hint="eastAsia" w:ascii="仿宋_GB2312" w:hAnsi="仿宋_GB2312" w:eastAsia="仿宋_GB2312" w:cs="仿宋_GB2312"/>
          <w:spacing w:val="20"/>
          <w:kern w:val="2"/>
          <w:sz w:val="28"/>
          <w:szCs w:val="28"/>
          <w:lang w:val="en-US" w:eastAsia="zh-CN" w:bidi="ar-SA"/>
        </w:rPr>
      </w:pPr>
      <w:r>
        <w:rPr>
          <w:rFonts w:hint="eastAsia" w:ascii="仿宋_GB2312" w:hAnsi="仿宋_GB2312" w:eastAsia="仿宋_GB2312" w:cs="仿宋_GB2312"/>
          <w:spacing w:val="20"/>
          <w:kern w:val="2"/>
          <w:sz w:val="28"/>
          <w:szCs w:val="28"/>
          <w:lang w:val="en-US" w:eastAsia="zh-CN" w:bidi="ar-SA"/>
        </w:rPr>
        <w:t>（1）投入管理</w:t>
      </w:r>
    </w:p>
    <w:p w14:paraId="49021A28">
      <w:pPr>
        <w:topLinePunct/>
        <w:spacing w:line="579" w:lineRule="exact"/>
        <w:ind w:firstLine="640" w:firstLineChars="200"/>
        <w:rPr>
          <w:rFonts w:hint="eastAsia" w:ascii="仿宋_GB2312" w:hAnsi="仿宋_GB2312" w:eastAsia="仿宋_GB2312" w:cs="仿宋_GB2312"/>
          <w:spacing w:val="20"/>
          <w:kern w:val="2"/>
          <w:sz w:val="28"/>
          <w:szCs w:val="28"/>
          <w:lang w:val="en-US" w:eastAsia="zh-CN" w:bidi="ar-SA"/>
        </w:rPr>
      </w:pPr>
      <w:r>
        <w:rPr>
          <w:rFonts w:hint="eastAsia" w:ascii="仿宋_GB2312" w:hAnsi="仿宋_GB2312" w:eastAsia="仿宋_GB2312" w:cs="仿宋_GB2312"/>
          <w:spacing w:val="20"/>
          <w:kern w:val="2"/>
          <w:sz w:val="28"/>
          <w:szCs w:val="28"/>
          <w:lang w:val="en-US" w:eastAsia="zh-CN" w:bidi="ar-SA"/>
        </w:rPr>
        <w:t>主要考察项目预算编制是否合理，预算调整是否符合规定，以及预算执行情况。各指标的业绩值和实际得分详见表8。</w:t>
      </w:r>
    </w:p>
    <w:p w14:paraId="7B876BFF">
      <w:pPr>
        <w:jc w:val="center"/>
        <w:rPr>
          <w:rFonts w:hint="eastAsia" w:ascii="黑体" w:hAnsi="黑体" w:eastAsia="黑体"/>
          <w:kern w:val="2"/>
          <w:sz w:val="24"/>
          <w:szCs w:val="24"/>
          <w:lang w:val="zh-CN"/>
        </w:rPr>
      </w:pPr>
      <w:r>
        <w:rPr>
          <w:rFonts w:hint="eastAsia" w:ascii="黑体" w:hAnsi="黑体" w:eastAsia="黑体"/>
          <w:kern w:val="2"/>
          <w:sz w:val="24"/>
          <w:szCs w:val="24"/>
          <w:lang w:val="zh-CN"/>
        </w:rPr>
        <w:t>表8  投入管理指标评分表</w:t>
      </w:r>
    </w:p>
    <w:tbl>
      <w:tblPr>
        <w:tblStyle w:val="8"/>
        <w:tblW w:w="5000" w:type="pct"/>
        <w:jc w:val="center"/>
        <w:tblLayout w:type="autofit"/>
        <w:tblCellMar>
          <w:top w:w="0" w:type="dxa"/>
          <w:left w:w="10" w:type="dxa"/>
          <w:bottom w:w="0" w:type="dxa"/>
          <w:right w:w="10" w:type="dxa"/>
        </w:tblCellMar>
      </w:tblPr>
      <w:tblGrid>
        <w:gridCol w:w="3864"/>
        <w:gridCol w:w="1251"/>
        <w:gridCol w:w="1514"/>
        <w:gridCol w:w="1697"/>
      </w:tblGrid>
      <w:tr w14:paraId="3830CE16">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bottom"/>
          </w:tcPr>
          <w:p w14:paraId="4AAB04EA">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指标名称</w:t>
            </w:r>
          </w:p>
        </w:tc>
        <w:tc>
          <w:tcPr>
            <w:tcW w:w="751" w:type="pct"/>
            <w:tcBorders>
              <w:top w:val="single" w:color="auto" w:sz="4" w:space="0"/>
              <w:left w:val="single" w:color="auto" w:sz="4" w:space="0"/>
            </w:tcBorders>
            <w:shd w:val="clear" w:color="auto" w:fill="FFFFFF"/>
            <w:vAlign w:val="bottom"/>
          </w:tcPr>
          <w:p w14:paraId="5567D1B9">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指标权重</w:t>
            </w:r>
          </w:p>
        </w:tc>
        <w:tc>
          <w:tcPr>
            <w:tcW w:w="909" w:type="pct"/>
            <w:tcBorders>
              <w:top w:val="single" w:color="auto" w:sz="4" w:space="0"/>
              <w:left w:val="single" w:color="auto" w:sz="4" w:space="0"/>
            </w:tcBorders>
            <w:shd w:val="clear" w:color="auto" w:fill="FFFFFF"/>
            <w:vAlign w:val="bottom"/>
          </w:tcPr>
          <w:p w14:paraId="4C54F51F">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业绩值</w:t>
            </w:r>
          </w:p>
        </w:tc>
        <w:tc>
          <w:tcPr>
            <w:tcW w:w="1019" w:type="pct"/>
            <w:tcBorders>
              <w:top w:val="single" w:color="auto" w:sz="4" w:space="0"/>
              <w:left w:val="single" w:color="auto" w:sz="4" w:space="0"/>
              <w:right w:val="single" w:color="auto" w:sz="4" w:space="0"/>
            </w:tcBorders>
            <w:shd w:val="clear" w:color="auto" w:fill="FFFFFF"/>
            <w:vAlign w:val="bottom"/>
          </w:tcPr>
          <w:p w14:paraId="117BD64C">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实际得分</w:t>
            </w:r>
          </w:p>
        </w:tc>
      </w:tr>
      <w:tr w14:paraId="317EC123">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2485A85E">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B</w:t>
            </w:r>
            <w:r>
              <w:rPr>
                <w:rStyle w:val="12"/>
                <w:rFonts w:hint="eastAsia" w:ascii="宋体" w:hAnsi="宋体" w:eastAsia="宋体" w:cs="宋体"/>
                <w:sz w:val="21"/>
                <w:szCs w:val="21"/>
                <w:lang w:eastAsia="en-US" w:bidi="en-US"/>
              </w:rPr>
              <w:t>11.</w:t>
            </w:r>
            <w:r>
              <w:rPr>
                <w:rStyle w:val="12"/>
                <w:rFonts w:hint="eastAsia" w:ascii="宋体" w:hAnsi="宋体" w:eastAsia="宋体" w:cs="宋体"/>
                <w:sz w:val="21"/>
                <w:szCs w:val="21"/>
              </w:rPr>
              <w:t>预算编制合理性</w:t>
            </w:r>
          </w:p>
        </w:tc>
        <w:tc>
          <w:tcPr>
            <w:tcW w:w="751" w:type="pct"/>
            <w:tcBorders>
              <w:top w:val="single" w:color="auto" w:sz="4" w:space="0"/>
              <w:left w:val="single" w:color="auto" w:sz="4" w:space="0"/>
            </w:tcBorders>
            <w:shd w:val="clear" w:color="auto" w:fill="FFFFFF"/>
          </w:tcPr>
          <w:p w14:paraId="3AF708E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909" w:type="pct"/>
            <w:tcBorders>
              <w:top w:val="single" w:color="auto" w:sz="4" w:space="0"/>
              <w:left w:val="single" w:color="auto" w:sz="4" w:space="0"/>
            </w:tcBorders>
            <w:shd w:val="clear" w:color="auto" w:fill="FFFFFF"/>
          </w:tcPr>
          <w:p w14:paraId="01A4DD24">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合理</w:t>
            </w:r>
          </w:p>
        </w:tc>
        <w:tc>
          <w:tcPr>
            <w:tcW w:w="1019" w:type="pct"/>
            <w:tcBorders>
              <w:top w:val="single" w:color="auto" w:sz="4" w:space="0"/>
              <w:left w:val="single" w:color="auto" w:sz="4" w:space="0"/>
              <w:right w:val="single" w:color="auto" w:sz="4" w:space="0"/>
            </w:tcBorders>
            <w:shd w:val="clear" w:color="auto" w:fill="FFFFFF"/>
          </w:tcPr>
          <w:p w14:paraId="398E355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r>
      <w:tr w14:paraId="2304175B">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6C81C44D">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B12.预算调整规范性</w:t>
            </w:r>
          </w:p>
        </w:tc>
        <w:tc>
          <w:tcPr>
            <w:tcW w:w="751" w:type="pct"/>
            <w:tcBorders>
              <w:top w:val="single" w:color="auto" w:sz="4" w:space="0"/>
              <w:left w:val="single" w:color="auto" w:sz="4" w:space="0"/>
            </w:tcBorders>
            <w:shd w:val="clear" w:color="auto" w:fill="FFFFFF"/>
            <w:vAlign w:val="bottom"/>
          </w:tcPr>
          <w:p w14:paraId="49593F5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909" w:type="pct"/>
            <w:tcBorders>
              <w:top w:val="single" w:color="auto" w:sz="4" w:space="0"/>
              <w:left w:val="single" w:color="auto" w:sz="4" w:space="0"/>
            </w:tcBorders>
            <w:shd w:val="clear" w:color="auto" w:fill="FFFFFF"/>
            <w:vAlign w:val="center"/>
          </w:tcPr>
          <w:p w14:paraId="21CAC171">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规范</w:t>
            </w:r>
          </w:p>
        </w:tc>
        <w:tc>
          <w:tcPr>
            <w:tcW w:w="1019" w:type="pct"/>
            <w:tcBorders>
              <w:top w:val="single" w:color="auto" w:sz="4" w:space="0"/>
              <w:left w:val="single" w:color="auto" w:sz="4" w:space="0"/>
              <w:right w:val="single" w:color="auto" w:sz="4" w:space="0"/>
            </w:tcBorders>
            <w:shd w:val="clear" w:color="auto" w:fill="FFFFFF"/>
            <w:vAlign w:val="bottom"/>
          </w:tcPr>
          <w:p w14:paraId="55643CD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3600B042">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30E00397">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B13.预算执行率</w:t>
            </w:r>
          </w:p>
        </w:tc>
        <w:tc>
          <w:tcPr>
            <w:tcW w:w="751" w:type="pct"/>
            <w:tcBorders>
              <w:top w:val="single" w:color="auto" w:sz="4" w:space="0"/>
              <w:left w:val="single" w:color="auto" w:sz="4" w:space="0"/>
            </w:tcBorders>
            <w:shd w:val="clear" w:color="auto" w:fill="FFFFFF"/>
          </w:tcPr>
          <w:p w14:paraId="2FC380F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tcBorders>
            <w:shd w:val="clear" w:color="auto" w:fill="FFFFFF"/>
          </w:tcPr>
          <w:p w14:paraId="4BE820BE">
            <w:pPr>
              <w:pStyle w:val="11"/>
              <w:shd w:val="clear" w:color="auto" w:fill="auto"/>
              <w:spacing w:after="0" w:line="360" w:lineRule="auto"/>
              <w:rPr>
                <w:rStyle w:val="12"/>
                <w:rFonts w:hint="default" w:ascii="宋体" w:hAnsi="宋体" w:eastAsia="宋体" w:cs="宋体"/>
                <w:sz w:val="21"/>
                <w:szCs w:val="21"/>
                <w:lang w:val="en-US"/>
              </w:rPr>
            </w:pPr>
            <w:r>
              <w:rPr>
                <w:rStyle w:val="12"/>
                <w:rFonts w:hint="eastAsia" w:cs="宋体"/>
                <w:sz w:val="21"/>
                <w:szCs w:val="21"/>
                <w:lang w:val="en-US"/>
              </w:rPr>
              <w:t>＞95%</w:t>
            </w:r>
          </w:p>
        </w:tc>
        <w:tc>
          <w:tcPr>
            <w:tcW w:w="1019" w:type="pct"/>
            <w:tcBorders>
              <w:top w:val="single" w:color="auto" w:sz="4" w:space="0"/>
              <w:left w:val="single" w:color="auto" w:sz="4" w:space="0"/>
              <w:right w:val="single" w:color="auto" w:sz="4" w:space="0"/>
            </w:tcBorders>
            <w:shd w:val="clear" w:color="auto" w:fill="FFFFFF"/>
          </w:tcPr>
          <w:p w14:paraId="0111D98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2</w:t>
            </w:r>
          </w:p>
        </w:tc>
      </w:tr>
      <w:tr w14:paraId="4C0A8C76">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tcBorders>
            <w:shd w:val="clear" w:color="auto" w:fill="FFFFFF"/>
            <w:vAlign w:val="center"/>
          </w:tcPr>
          <w:p w14:paraId="1ACF94D2">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合计</w:t>
            </w:r>
          </w:p>
        </w:tc>
        <w:tc>
          <w:tcPr>
            <w:tcW w:w="751" w:type="pct"/>
            <w:tcBorders>
              <w:top w:val="single" w:color="auto" w:sz="4" w:space="0"/>
              <w:left w:val="single" w:color="auto" w:sz="4" w:space="0"/>
              <w:bottom w:val="single" w:color="auto" w:sz="4" w:space="0"/>
            </w:tcBorders>
            <w:shd w:val="clear" w:color="auto" w:fill="FFFFFF"/>
            <w:vAlign w:val="center"/>
          </w:tcPr>
          <w:p w14:paraId="160D6053">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4</w:t>
            </w:r>
          </w:p>
        </w:tc>
        <w:tc>
          <w:tcPr>
            <w:tcW w:w="909" w:type="pct"/>
            <w:tcBorders>
              <w:top w:val="single" w:color="auto" w:sz="4" w:space="0"/>
              <w:left w:val="single" w:color="auto" w:sz="4" w:space="0"/>
              <w:bottom w:val="single" w:color="auto" w:sz="4" w:space="0"/>
            </w:tcBorders>
            <w:shd w:val="clear" w:color="auto" w:fill="FFFFFF"/>
          </w:tcPr>
          <w:p w14:paraId="045EDBF7">
            <w:pPr>
              <w:spacing w:line="360" w:lineRule="auto"/>
              <w:rPr>
                <w:rFonts w:hint="eastAsia" w:ascii="宋体" w:hAnsi="宋体" w:eastAsia="宋体" w:cs="宋体"/>
                <w:b/>
                <w:bCs/>
                <w:sz w:val="21"/>
                <w:szCs w:val="21"/>
              </w:rPr>
            </w:pPr>
          </w:p>
        </w:tc>
        <w:tc>
          <w:tcPr>
            <w:tcW w:w="1019" w:type="pct"/>
            <w:tcBorders>
              <w:top w:val="single" w:color="auto" w:sz="4" w:space="0"/>
              <w:left w:val="single" w:color="auto" w:sz="4" w:space="0"/>
              <w:bottom w:val="single" w:color="auto" w:sz="4" w:space="0"/>
              <w:right w:val="single" w:color="auto" w:sz="4" w:space="0"/>
            </w:tcBorders>
            <w:shd w:val="clear" w:color="auto" w:fill="FFFFFF"/>
            <w:vAlign w:val="center"/>
          </w:tcPr>
          <w:p w14:paraId="10E0484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4</w:t>
            </w:r>
          </w:p>
        </w:tc>
      </w:tr>
    </w:tbl>
    <w:p w14:paraId="6328BB30">
      <w:pPr>
        <w:pStyle w:val="14"/>
        <w:shd w:val="clear" w:color="auto" w:fill="auto"/>
        <w:spacing w:line="579" w:lineRule="exact"/>
        <w:ind w:firstLine="642" w:firstLineChars="200"/>
        <w:jc w:val="both"/>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w:t>
      </w:r>
      <w:r>
        <w:rPr>
          <w:rFonts w:hint="eastAsia" w:ascii="仿宋_GB2312" w:hAnsi="仿宋_GB2312" w:eastAsia="仿宋_GB2312" w:cs="仿宋_GB2312"/>
          <w:b/>
          <w:bCs/>
          <w:spacing w:val="20"/>
          <w:kern w:val="2"/>
          <w:sz w:val="28"/>
          <w:szCs w:val="28"/>
          <w:lang w:val="en-US" w:eastAsia="en-US" w:bidi="ar-SA"/>
        </w:rPr>
        <w:t>11.</w:t>
      </w:r>
      <w:r>
        <w:rPr>
          <w:rFonts w:hint="eastAsia" w:ascii="仿宋_GB2312" w:hAnsi="仿宋_GB2312" w:eastAsia="仿宋_GB2312" w:cs="仿宋_GB2312"/>
          <w:b/>
          <w:bCs/>
          <w:spacing w:val="20"/>
          <w:kern w:val="2"/>
          <w:sz w:val="28"/>
          <w:szCs w:val="28"/>
          <w:lang w:val="en-US" w:eastAsia="zh-CN" w:bidi="ar-SA"/>
        </w:rPr>
        <w:t>预算编制合理性</w:t>
      </w:r>
    </w:p>
    <w:p w14:paraId="76C10E5E">
      <w:pPr>
        <w:pStyle w:val="14"/>
        <w:shd w:val="clear" w:color="auto" w:fill="auto"/>
        <w:spacing w:line="579" w:lineRule="exact"/>
        <w:ind w:firstLine="640" w:firstLineChars="200"/>
        <w:jc w:val="both"/>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B11.预算编制合理性</w:t>
      </w:r>
      <w:r>
        <w:rPr>
          <w:rFonts w:hint="eastAsia" w:ascii="仿宋_GB2312" w:hAnsi="仿宋_GB2312" w:eastAsia="仿宋_GB2312" w:cs="仿宋_GB2312"/>
          <w:b w:val="0"/>
          <w:bCs w:val="0"/>
          <w:spacing w:val="20"/>
          <w:kern w:val="2"/>
          <w:sz w:val="28"/>
          <w:szCs w:val="28"/>
          <w:lang w:val="en-US" w:eastAsia="zh-CN" w:bidi="ar-SA"/>
        </w:rPr>
        <w:t>：根据查阅预算批复、支出明细账等资料，项目预算资金与实际金额差异不大，预算编制合理。</w:t>
      </w:r>
    </w:p>
    <w:p w14:paraId="4E38E7B5">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565CC737">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B12.预算调整规范性</w:t>
      </w:r>
    </w:p>
    <w:p w14:paraId="56E31DBB">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B12.预算调整规范性</w:t>
      </w:r>
      <w:r>
        <w:rPr>
          <w:rFonts w:hint="eastAsia" w:ascii="仿宋_GB2312" w:hAnsi="仿宋_GB2312" w:eastAsia="仿宋_GB2312" w:cs="仿宋_GB2312"/>
          <w:b w:val="0"/>
          <w:bCs w:val="0"/>
          <w:spacing w:val="20"/>
          <w:kern w:val="2"/>
          <w:sz w:val="28"/>
          <w:szCs w:val="28"/>
          <w:lang w:val="en-US" w:eastAsia="zh-CN" w:bidi="ar-SA"/>
        </w:rPr>
        <w:t>：本项目未涉及到预算调整。</w:t>
      </w:r>
    </w:p>
    <w:p w14:paraId="0D63B484">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24C6AE26">
      <w:pPr>
        <w:topLinePunct/>
        <w:spacing w:line="579" w:lineRule="exact"/>
        <w:ind w:firstLine="642"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B13.预算执行率</w:t>
      </w:r>
    </w:p>
    <w:p w14:paraId="345A4D7C">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B13.预算执行率</w:t>
      </w:r>
      <w:r>
        <w:rPr>
          <w:rFonts w:hint="eastAsia" w:ascii="仿宋_GB2312" w:hAnsi="仿宋_GB2312" w:eastAsia="仿宋_GB2312" w:cs="仿宋_GB2312"/>
          <w:b w:val="0"/>
          <w:bCs w:val="0"/>
          <w:spacing w:val="20"/>
          <w:kern w:val="2"/>
          <w:sz w:val="28"/>
          <w:szCs w:val="28"/>
          <w:lang w:val="en-US" w:eastAsia="zh-CN" w:bidi="ar-SA"/>
        </w:rPr>
        <w:t>：</w:t>
      </w:r>
      <w:r>
        <w:rPr>
          <w:rFonts w:hint="eastAsia" w:ascii="仿宋_GB2312" w:hAnsi="仿宋" w:eastAsia="仿宋_GB2312"/>
          <w:spacing w:val="6"/>
          <w:kern w:val="0"/>
          <w:sz w:val="28"/>
          <w:szCs w:val="28"/>
        </w:rPr>
        <w:t>该项目</w:t>
      </w:r>
      <w:r>
        <w:rPr>
          <w:rFonts w:hint="eastAsia" w:ascii="仿宋_GB2312" w:hAnsi="仿宋" w:eastAsia="仿宋_GB2312"/>
          <w:spacing w:val="6"/>
          <w:kern w:val="0"/>
          <w:sz w:val="28"/>
          <w:szCs w:val="28"/>
          <w:lang w:val="en-US" w:eastAsia="zh-CN"/>
        </w:rPr>
        <w:t>年初财政预算1,605,058元</w:t>
      </w:r>
      <w:r>
        <w:rPr>
          <w:rFonts w:hint="eastAsia" w:ascii="仿宋_GB2312" w:hAnsi="仿宋" w:eastAsia="仿宋_GB2312"/>
          <w:spacing w:val="6"/>
          <w:kern w:val="0"/>
          <w:sz w:val="28"/>
          <w:szCs w:val="28"/>
        </w:rPr>
        <w:t>，根据原始材料、支付凭证等统计，2019年昆明市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大气自动站运行维护费项目共实际支出</w:t>
      </w:r>
      <w:r>
        <w:rPr>
          <w:rFonts w:hint="eastAsia" w:ascii="仿宋_GB2312" w:hAnsi="仿宋" w:eastAsia="仿宋_GB2312"/>
          <w:spacing w:val="6"/>
          <w:kern w:val="0"/>
          <w:sz w:val="28"/>
          <w:szCs w:val="28"/>
          <w:lang w:val="en-US" w:eastAsia="zh-CN"/>
        </w:rPr>
        <w:t>1,552,558</w:t>
      </w:r>
      <w:r>
        <w:rPr>
          <w:rFonts w:hint="eastAsia" w:ascii="仿宋_GB2312" w:hAnsi="仿宋" w:eastAsia="仿宋_GB2312"/>
          <w:spacing w:val="6"/>
          <w:kern w:val="0"/>
          <w:sz w:val="28"/>
          <w:szCs w:val="28"/>
        </w:rPr>
        <w:t>元，</w:t>
      </w:r>
      <w:r>
        <w:rPr>
          <w:rFonts w:hint="eastAsia" w:ascii="仿宋_GB2312" w:hAnsi="仿宋" w:eastAsia="仿宋_GB2312"/>
          <w:spacing w:val="6"/>
          <w:kern w:val="0"/>
          <w:sz w:val="28"/>
          <w:szCs w:val="28"/>
          <w:lang w:val="en-US" w:eastAsia="zh-CN"/>
        </w:rPr>
        <w:t>因2019年维护设备合同尚有未签订的部分结余52,500元，已通过退额度方式退还给财政</w:t>
      </w:r>
      <w:r>
        <w:rPr>
          <w:rFonts w:hint="eastAsia" w:ascii="仿宋_GB2312" w:hAnsi="仿宋" w:eastAsia="仿宋_GB2312"/>
          <w:spacing w:val="6"/>
          <w:kern w:val="0"/>
          <w:sz w:val="28"/>
          <w:szCs w:val="28"/>
        </w:rPr>
        <w:t>预算执行率为</w:t>
      </w:r>
      <w:r>
        <w:rPr>
          <w:rFonts w:hint="eastAsia" w:ascii="仿宋_GB2312" w:hAnsi="仿宋" w:eastAsia="仿宋_GB2312"/>
          <w:spacing w:val="6"/>
          <w:kern w:val="0"/>
          <w:sz w:val="28"/>
          <w:szCs w:val="28"/>
          <w:lang w:val="en-US" w:eastAsia="zh-CN"/>
        </w:rPr>
        <w:t>96.73</w:t>
      </w:r>
      <w:r>
        <w:rPr>
          <w:rFonts w:hint="eastAsia" w:ascii="仿宋_GB2312" w:hAnsi="仿宋" w:eastAsia="仿宋_GB2312"/>
          <w:spacing w:val="6"/>
          <w:kern w:val="0"/>
          <w:sz w:val="28"/>
          <w:szCs w:val="28"/>
        </w:rPr>
        <w:t>%</w:t>
      </w:r>
      <w:r>
        <w:rPr>
          <w:rFonts w:hint="eastAsia" w:ascii="仿宋_GB2312" w:hAnsi="仿宋_GB2312" w:eastAsia="仿宋_GB2312" w:cs="仿宋_GB2312"/>
          <w:b w:val="0"/>
          <w:bCs w:val="0"/>
          <w:spacing w:val="20"/>
          <w:kern w:val="2"/>
          <w:sz w:val="28"/>
          <w:szCs w:val="28"/>
          <w:lang w:val="en-US" w:eastAsia="zh-CN" w:bidi="ar-SA"/>
        </w:rPr>
        <w:t>。</w:t>
      </w:r>
    </w:p>
    <w:p w14:paraId="1896A066">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该项指标满分为2分，根据评分标准得2分。</w:t>
      </w:r>
    </w:p>
    <w:p w14:paraId="459AC38B">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（2）财务管理</w:t>
      </w:r>
    </w:p>
    <w:p w14:paraId="0111010C">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主要考察项目资金使用是否符合预算批复的用途，是否存在截留、挤占、挪用、虚列支出等情况，用以反映和考核项目资金使用的规范性和安全性；项目的财务制度是否健全、完善、有效，用以反映和考核财务管理制度对资金规范、安全运行的保障情况；资金拨付程序是否完整，财务制度是否有效执行，用以反映和考核财务监控的有效性。各指标的业绩值和实际得分详见表9。</w:t>
      </w:r>
    </w:p>
    <w:p w14:paraId="72A8A3F8">
      <w:pPr>
        <w:jc w:val="center"/>
        <w:rPr>
          <w:rFonts w:hint="eastAsia" w:ascii="黑体" w:hAnsi="黑体" w:eastAsia="黑体"/>
          <w:kern w:val="2"/>
          <w:sz w:val="24"/>
          <w:szCs w:val="24"/>
          <w:lang w:val="zh-CN"/>
        </w:rPr>
      </w:pPr>
      <w:r>
        <w:rPr>
          <w:rFonts w:hint="eastAsia" w:ascii="黑体" w:hAnsi="黑体" w:eastAsia="黑体"/>
          <w:kern w:val="2"/>
          <w:sz w:val="24"/>
          <w:szCs w:val="24"/>
          <w:lang w:val="zh-CN"/>
        </w:rPr>
        <w:t>表9  财务管理指标评分表</w:t>
      </w:r>
    </w:p>
    <w:tbl>
      <w:tblPr>
        <w:tblStyle w:val="8"/>
        <w:tblW w:w="5000" w:type="pct"/>
        <w:jc w:val="center"/>
        <w:tblLayout w:type="autofit"/>
        <w:tblCellMar>
          <w:top w:w="0" w:type="dxa"/>
          <w:left w:w="10" w:type="dxa"/>
          <w:bottom w:w="0" w:type="dxa"/>
          <w:right w:w="10" w:type="dxa"/>
        </w:tblCellMar>
      </w:tblPr>
      <w:tblGrid>
        <w:gridCol w:w="3864"/>
        <w:gridCol w:w="1251"/>
        <w:gridCol w:w="1514"/>
        <w:gridCol w:w="1697"/>
      </w:tblGrid>
      <w:tr w14:paraId="4D6F3AF3">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bottom"/>
          </w:tcPr>
          <w:p w14:paraId="7BC8A67E">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751" w:type="pct"/>
            <w:tcBorders>
              <w:top w:val="single" w:color="auto" w:sz="4" w:space="0"/>
              <w:left w:val="single" w:color="auto" w:sz="4" w:space="0"/>
            </w:tcBorders>
            <w:shd w:val="clear" w:color="auto" w:fill="FFFFFF"/>
            <w:vAlign w:val="bottom"/>
          </w:tcPr>
          <w:p w14:paraId="2317F739">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909" w:type="pct"/>
            <w:tcBorders>
              <w:top w:val="single" w:color="auto" w:sz="4" w:space="0"/>
              <w:left w:val="single" w:color="auto" w:sz="4" w:space="0"/>
            </w:tcBorders>
            <w:shd w:val="clear" w:color="auto" w:fill="FFFFFF"/>
            <w:vAlign w:val="bottom"/>
          </w:tcPr>
          <w:p w14:paraId="09612979">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1019" w:type="pct"/>
            <w:tcBorders>
              <w:top w:val="single" w:color="auto" w:sz="4" w:space="0"/>
              <w:left w:val="single" w:color="auto" w:sz="4" w:space="0"/>
              <w:right w:val="single" w:color="auto" w:sz="4" w:space="0"/>
            </w:tcBorders>
            <w:shd w:val="clear" w:color="auto" w:fill="FFFFFF"/>
            <w:vAlign w:val="bottom"/>
          </w:tcPr>
          <w:p w14:paraId="39F67AD6">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580AFC4F">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3A1935D0">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B21.资金使用情况</w:t>
            </w:r>
          </w:p>
        </w:tc>
        <w:tc>
          <w:tcPr>
            <w:tcW w:w="751" w:type="pct"/>
            <w:tcBorders>
              <w:top w:val="single" w:color="auto" w:sz="4" w:space="0"/>
              <w:left w:val="single" w:color="auto" w:sz="4" w:space="0"/>
            </w:tcBorders>
            <w:shd w:val="clear" w:color="auto" w:fill="FFFFFF"/>
          </w:tcPr>
          <w:p w14:paraId="7E3F7B2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tcBorders>
            <w:shd w:val="clear" w:color="auto" w:fill="FFFFFF"/>
          </w:tcPr>
          <w:p w14:paraId="2398645D">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合规</w:t>
            </w:r>
          </w:p>
        </w:tc>
        <w:tc>
          <w:tcPr>
            <w:tcW w:w="1019" w:type="pct"/>
            <w:tcBorders>
              <w:top w:val="single" w:color="auto" w:sz="4" w:space="0"/>
              <w:left w:val="single" w:color="auto" w:sz="4" w:space="0"/>
              <w:right w:val="single" w:color="auto" w:sz="4" w:space="0"/>
            </w:tcBorders>
            <w:shd w:val="clear" w:color="auto" w:fill="FFFFFF"/>
          </w:tcPr>
          <w:p w14:paraId="1773917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r>
      <w:tr w14:paraId="39C58E8B">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10782BE3">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B22.财务管理制度健全性</w:t>
            </w:r>
          </w:p>
        </w:tc>
        <w:tc>
          <w:tcPr>
            <w:tcW w:w="751" w:type="pct"/>
            <w:tcBorders>
              <w:top w:val="single" w:color="auto" w:sz="4" w:space="0"/>
              <w:left w:val="single" w:color="auto" w:sz="4" w:space="0"/>
            </w:tcBorders>
            <w:shd w:val="clear" w:color="auto" w:fill="FFFFFF"/>
            <w:vAlign w:val="bottom"/>
          </w:tcPr>
          <w:p w14:paraId="4E2EB243">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909" w:type="pct"/>
            <w:tcBorders>
              <w:top w:val="single" w:color="auto" w:sz="4" w:space="0"/>
              <w:left w:val="single" w:color="auto" w:sz="4" w:space="0"/>
            </w:tcBorders>
            <w:shd w:val="clear" w:color="auto" w:fill="FFFFFF"/>
            <w:vAlign w:val="center"/>
          </w:tcPr>
          <w:p w14:paraId="7BA42094">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健全</w:t>
            </w:r>
          </w:p>
        </w:tc>
        <w:tc>
          <w:tcPr>
            <w:tcW w:w="1019" w:type="pct"/>
            <w:tcBorders>
              <w:top w:val="single" w:color="auto" w:sz="4" w:space="0"/>
              <w:left w:val="single" w:color="auto" w:sz="4" w:space="0"/>
              <w:right w:val="single" w:color="auto" w:sz="4" w:space="0"/>
            </w:tcBorders>
            <w:shd w:val="clear" w:color="auto" w:fill="FFFFFF"/>
            <w:vAlign w:val="bottom"/>
          </w:tcPr>
          <w:p w14:paraId="1D1D7C5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49AC845B">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67547D2F">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B23.财务监控有效性</w:t>
            </w:r>
          </w:p>
        </w:tc>
        <w:tc>
          <w:tcPr>
            <w:tcW w:w="751" w:type="pct"/>
            <w:tcBorders>
              <w:top w:val="single" w:color="auto" w:sz="4" w:space="0"/>
              <w:left w:val="single" w:color="auto" w:sz="4" w:space="0"/>
            </w:tcBorders>
            <w:shd w:val="clear" w:color="auto" w:fill="FFFFFF"/>
          </w:tcPr>
          <w:p w14:paraId="7A6C701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09" w:type="pct"/>
            <w:tcBorders>
              <w:top w:val="single" w:color="auto" w:sz="4" w:space="0"/>
              <w:left w:val="single" w:color="auto" w:sz="4" w:space="0"/>
            </w:tcBorders>
            <w:shd w:val="clear" w:color="auto" w:fill="FFFFFF"/>
          </w:tcPr>
          <w:p w14:paraId="42100058">
            <w:pPr>
              <w:pStyle w:val="11"/>
              <w:shd w:val="clear" w:color="auto" w:fill="auto"/>
              <w:spacing w:after="0" w:line="360" w:lineRule="auto"/>
              <w:rPr>
                <w:rStyle w:val="12"/>
                <w:rFonts w:hint="eastAsia" w:ascii="宋体" w:hAnsi="宋体" w:eastAsia="宋体" w:cs="宋体"/>
                <w:sz w:val="21"/>
                <w:szCs w:val="21"/>
              </w:rPr>
            </w:pPr>
          </w:p>
        </w:tc>
        <w:tc>
          <w:tcPr>
            <w:tcW w:w="1019" w:type="pct"/>
            <w:tcBorders>
              <w:top w:val="single" w:color="auto" w:sz="4" w:space="0"/>
              <w:left w:val="single" w:color="auto" w:sz="4" w:space="0"/>
              <w:right w:val="single" w:color="auto" w:sz="4" w:space="0"/>
            </w:tcBorders>
            <w:shd w:val="clear" w:color="auto" w:fill="FFFFFF"/>
          </w:tcPr>
          <w:p w14:paraId="6EE539F4">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p>
        </w:tc>
      </w:tr>
      <w:tr w14:paraId="28B3A39E">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42E95779">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B231.资金拨付程序完整性</w:t>
            </w:r>
          </w:p>
        </w:tc>
        <w:tc>
          <w:tcPr>
            <w:tcW w:w="751" w:type="pct"/>
            <w:tcBorders>
              <w:top w:val="single" w:color="auto" w:sz="4" w:space="0"/>
              <w:left w:val="single" w:color="auto" w:sz="4" w:space="0"/>
            </w:tcBorders>
            <w:shd w:val="clear" w:color="auto" w:fill="FFFFFF"/>
          </w:tcPr>
          <w:p w14:paraId="0EC8CBC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909" w:type="pct"/>
            <w:tcBorders>
              <w:top w:val="single" w:color="auto" w:sz="4" w:space="0"/>
              <w:left w:val="single" w:color="auto" w:sz="4" w:space="0"/>
            </w:tcBorders>
            <w:shd w:val="clear" w:color="auto" w:fill="FFFFFF"/>
          </w:tcPr>
          <w:p w14:paraId="3AF4FCBE">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完整</w:t>
            </w:r>
          </w:p>
        </w:tc>
        <w:tc>
          <w:tcPr>
            <w:tcW w:w="1019" w:type="pct"/>
            <w:tcBorders>
              <w:top w:val="single" w:color="auto" w:sz="4" w:space="0"/>
              <w:left w:val="single" w:color="auto" w:sz="4" w:space="0"/>
              <w:right w:val="single" w:color="auto" w:sz="4" w:space="0"/>
            </w:tcBorders>
            <w:shd w:val="clear" w:color="auto" w:fill="FFFFFF"/>
          </w:tcPr>
          <w:p w14:paraId="092E8A2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r>
      <w:tr w14:paraId="0D5BB508">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3865D533">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B232.财务制度执行有效性</w:t>
            </w:r>
          </w:p>
        </w:tc>
        <w:tc>
          <w:tcPr>
            <w:tcW w:w="751" w:type="pct"/>
            <w:tcBorders>
              <w:top w:val="single" w:color="auto" w:sz="4" w:space="0"/>
              <w:left w:val="single" w:color="auto" w:sz="4" w:space="0"/>
            </w:tcBorders>
            <w:shd w:val="clear" w:color="auto" w:fill="FFFFFF"/>
          </w:tcPr>
          <w:p w14:paraId="0B4B97A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tcBorders>
            <w:shd w:val="clear" w:color="auto" w:fill="FFFFFF"/>
          </w:tcPr>
          <w:p w14:paraId="7CFD5EEE">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有效</w:t>
            </w:r>
          </w:p>
        </w:tc>
        <w:tc>
          <w:tcPr>
            <w:tcW w:w="1019" w:type="pct"/>
            <w:tcBorders>
              <w:top w:val="single" w:color="auto" w:sz="4" w:space="0"/>
              <w:left w:val="single" w:color="auto" w:sz="4" w:space="0"/>
              <w:right w:val="single" w:color="auto" w:sz="4" w:space="0"/>
            </w:tcBorders>
            <w:shd w:val="clear" w:color="auto" w:fill="FFFFFF"/>
          </w:tcPr>
          <w:p w14:paraId="4AC91AE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r>
      <w:tr w14:paraId="74BC7562">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tcBorders>
            <w:shd w:val="clear" w:color="auto" w:fill="FFFFFF"/>
            <w:vAlign w:val="center"/>
          </w:tcPr>
          <w:p w14:paraId="648F4CC0">
            <w:pPr>
              <w:pStyle w:val="11"/>
              <w:shd w:val="clear" w:color="auto" w:fill="auto"/>
              <w:spacing w:after="0" w:line="360" w:lineRule="auto"/>
              <w:rPr>
                <w:rFonts w:hint="eastAsia" w:ascii="宋体" w:hAnsi="宋体" w:eastAsia="宋体" w:cs="宋体"/>
                <w:b/>
                <w:bCs/>
                <w:sz w:val="21"/>
                <w:szCs w:val="21"/>
              </w:rPr>
            </w:pPr>
            <w:r>
              <w:rPr>
                <w:rStyle w:val="12"/>
                <w:rFonts w:hint="eastAsia" w:cs="宋体"/>
                <w:b/>
                <w:bCs/>
                <w:sz w:val="21"/>
                <w:szCs w:val="21"/>
              </w:rPr>
              <w:t>合计</w:t>
            </w:r>
          </w:p>
        </w:tc>
        <w:tc>
          <w:tcPr>
            <w:tcW w:w="751" w:type="pct"/>
            <w:tcBorders>
              <w:top w:val="single" w:color="auto" w:sz="4" w:space="0"/>
              <w:left w:val="single" w:color="auto" w:sz="4" w:space="0"/>
              <w:bottom w:val="single" w:color="auto" w:sz="4" w:space="0"/>
            </w:tcBorders>
            <w:shd w:val="clear" w:color="auto" w:fill="FFFFFF"/>
            <w:vAlign w:val="center"/>
          </w:tcPr>
          <w:p w14:paraId="696E98E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6</w:t>
            </w:r>
          </w:p>
        </w:tc>
        <w:tc>
          <w:tcPr>
            <w:tcW w:w="909" w:type="pct"/>
            <w:tcBorders>
              <w:top w:val="single" w:color="auto" w:sz="4" w:space="0"/>
              <w:left w:val="single" w:color="auto" w:sz="4" w:space="0"/>
              <w:bottom w:val="single" w:color="auto" w:sz="4" w:space="0"/>
            </w:tcBorders>
            <w:shd w:val="clear" w:color="auto" w:fill="FFFFFF"/>
          </w:tcPr>
          <w:p w14:paraId="1CA41CC5">
            <w:pPr>
              <w:spacing w:line="360" w:lineRule="auto"/>
              <w:rPr>
                <w:rFonts w:hint="eastAsia" w:ascii="宋体" w:hAnsi="宋体" w:eastAsia="宋体" w:cs="宋体"/>
                <w:b/>
                <w:bCs/>
                <w:sz w:val="21"/>
                <w:szCs w:val="21"/>
              </w:rPr>
            </w:pPr>
          </w:p>
        </w:tc>
        <w:tc>
          <w:tcPr>
            <w:tcW w:w="1019" w:type="pct"/>
            <w:tcBorders>
              <w:top w:val="single" w:color="auto" w:sz="4" w:space="0"/>
              <w:left w:val="single" w:color="auto" w:sz="4" w:space="0"/>
              <w:bottom w:val="single" w:color="auto" w:sz="4" w:space="0"/>
              <w:right w:val="single" w:color="auto" w:sz="4" w:space="0"/>
            </w:tcBorders>
            <w:shd w:val="clear" w:color="auto" w:fill="FFFFFF"/>
            <w:vAlign w:val="center"/>
          </w:tcPr>
          <w:p w14:paraId="77EFFE2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6</w:t>
            </w:r>
          </w:p>
        </w:tc>
      </w:tr>
    </w:tbl>
    <w:p w14:paraId="1271D484">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B21.资金使用情况</w:t>
      </w:r>
    </w:p>
    <w:p w14:paraId="0069F5DC">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B21.资金使用情况</w:t>
      </w:r>
      <w:r>
        <w:rPr>
          <w:rFonts w:hint="eastAsia" w:ascii="仿宋_GB2312" w:hAnsi="仿宋_GB2312" w:eastAsia="仿宋_GB2312" w:cs="仿宋_GB2312"/>
          <w:b w:val="0"/>
          <w:bCs w:val="0"/>
          <w:spacing w:val="20"/>
          <w:kern w:val="2"/>
          <w:sz w:val="28"/>
          <w:szCs w:val="28"/>
          <w:lang w:val="en-US" w:eastAsia="zh-CN" w:bidi="ar-SA"/>
        </w:rPr>
        <w:t>：通过查阅预算批复、支出明细账、支付指令、原始凭证等资料，本项目资金使用符合预算批复的用途，不存在截留、挤占、挪用、虚列支出等情况。</w:t>
      </w:r>
    </w:p>
    <w:p w14:paraId="357733C5">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该项指标满分为2分，根据评分标准得2分。</w:t>
      </w:r>
    </w:p>
    <w:p w14:paraId="0B1AEB70">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B22.财务管理制度健全性</w:t>
      </w:r>
    </w:p>
    <w:p w14:paraId="75F32EE0">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B22.财务管理制度健全性</w:t>
      </w:r>
      <w:r>
        <w:rPr>
          <w:rFonts w:hint="eastAsia" w:ascii="仿宋_GB2312" w:hAnsi="仿宋_GB2312" w:eastAsia="仿宋_GB2312" w:cs="仿宋_GB2312"/>
          <w:b w:val="0"/>
          <w:bCs w:val="0"/>
          <w:spacing w:val="20"/>
          <w:kern w:val="2"/>
          <w:sz w:val="28"/>
          <w:szCs w:val="28"/>
          <w:lang w:val="en-US" w:eastAsia="zh-CN" w:bidi="ar-SA"/>
        </w:rPr>
        <w:t>：</w:t>
      </w:r>
      <w:r>
        <w:rPr>
          <w:rFonts w:hint="eastAsia" w:ascii="仿宋_GB2312" w:hAnsi="仿宋" w:eastAsia="仿宋_GB2312"/>
          <w:spacing w:val="6"/>
          <w:kern w:val="0"/>
          <w:sz w:val="28"/>
          <w:szCs w:val="28"/>
        </w:rPr>
        <w:t>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按照《昆明市盘龙区环境保护局预算管理内部控制流程》、《昆明市盘龙区环境保护局</w:t>
      </w:r>
      <w:r>
        <w:rPr>
          <w:rFonts w:hint="eastAsia" w:ascii="仿宋_GB2312" w:hAnsi="仿宋" w:eastAsia="仿宋_GB2312"/>
          <w:spacing w:val="6"/>
          <w:kern w:val="0"/>
          <w:sz w:val="28"/>
          <w:szCs w:val="28"/>
          <w:lang w:val="en-US" w:eastAsia="zh-CN"/>
        </w:rPr>
        <w:t>收支</w:t>
      </w:r>
      <w:r>
        <w:rPr>
          <w:rFonts w:hint="eastAsia" w:ascii="仿宋_GB2312" w:hAnsi="仿宋" w:eastAsia="仿宋_GB2312"/>
          <w:spacing w:val="6"/>
          <w:kern w:val="0"/>
          <w:sz w:val="28"/>
          <w:szCs w:val="28"/>
        </w:rPr>
        <w:t>管理内部控制流程》等文件要求，严格执行招投标管理机制、合同管理制和工程监理制等基本建设管理制度。项目资金开支严格按照国家有关财务管理规定单独建账、专人管理、专款专用，并根据</w:t>
      </w:r>
      <w:r>
        <w:rPr>
          <w:rFonts w:hint="eastAsia" w:ascii="仿宋_GB2312" w:hAnsi="仿宋" w:eastAsia="仿宋_GB2312"/>
          <w:spacing w:val="6"/>
          <w:kern w:val="0"/>
          <w:sz w:val="28"/>
          <w:szCs w:val="28"/>
          <w:lang w:val="en-US" w:eastAsia="zh-CN"/>
        </w:rPr>
        <w:t>盘龙</w:t>
      </w:r>
      <w:r>
        <w:rPr>
          <w:rFonts w:hint="eastAsia" w:ascii="仿宋_GB2312" w:hAnsi="仿宋" w:eastAsia="仿宋_GB2312"/>
          <w:spacing w:val="6"/>
          <w:kern w:val="0"/>
          <w:sz w:val="28"/>
          <w:szCs w:val="28"/>
        </w:rPr>
        <w:t>区财务管理制度执行</w:t>
      </w:r>
      <w:r>
        <w:rPr>
          <w:rFonts w:hint="eastAsia" w:ascii="仿宋_GB2312" w:hAnsi="仿宋_GB2312" w:eastAsia="仿宋_GB2312" w:cs="仿宋_GB2312"/>
          <w:b w:val="0"/>
          <w:bCs w:val="0"/>
          <w:spacing w:val="20"/>
          <w:kern w:val="2"/>
          <w:sz w:val="28"/>
          <w:szCs w:val="28"/>
          <w:lang w:val="en-US" w:eastAsia="zh-CN" w:bidi="ar-SA"/>
        </w:rPr>
        <w:t>。</w:t>
      </w:r>
    </w:p>
    <w:p w14:paraId="568901C7">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0989978A">
      <w:pPr>
        <w:topLinePunct/>
        <w:spacing w:line="579" w:lineRule="exact"/>
        <w:ind w:firstLine="642"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B23.财务监控有效性</w:t>
      </w:r>
    </w:p>
    <w:p w14:paraId="4223E6FE">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B231.资金拨付程序完整性</w:t>
      </w:r>
      <w:r>
        <w:rPr>
          <w:rFonts w:hint="eastAsia" w:ascii="仿宋_GB2312" w:hAnsi="仿宋_GB2312" w:eastAsia="仿宋_GB2312" w:cs="仿宋_GB2312"/>
          <w:b w:val="0"/>
          <w:bCs w:val="0"/>
          <w:spacing w:val="20"/>
          <w:kern w:val="2"/>
          <w:sz w:val="28"/>
          <w:szCs w:val="28"/>
          <w:lang w:val="en-US" w:eastAsia="zh-CN" w:bidi="ar-SA"/>
        </w:rPr>
        <w:t>：本项目的资金拨付程序为按照合同进度支付，经分管领导复核签字后，交单位负责人审批，财务支付资金，通过查阅相关的申请审批材料,资金拨付各环节程序完整。</w:t>
      </w:r>
    </w:p>
    <w:p w14:paraId="71F32F7B">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21287725">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B232.财务制度执行有效性</w:t>
      </w:r>
      <w:r>
        <w:rPr>
          <w:rFonts w:hint="eastAsia" w:ascii="仿宋_GB2312" w:hAnsi="仿宋_GB2312" w:eastAsia="仿宋_GB2312" w:cs="仿宋_GB2312"/>
          <w:b w:val="0"/>
          <w:bCs w:val="0"/>
          <w:spacing w:val="20"/>
          <w:kern w:val="2"/>
          <w:sz w:val="28"/>
          <w:szCs w:val="28"/>
          <w:lang w:val="en-US" w:eastAsia="zh-CN" w:bidi="ar-SA"/>
        </w:rPr>
        <w:t>：根据财务制度中的规定,项目组查阅了相关的资料，相关制度规定全部得到有效执行。</w:t>
      </w:r>
    </w:p>
    <w:p w14:paraId="4B46B4F8">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该项指标满分为2分，根据评分标准得2分。</w:t>
      </w:r>
    </w:p>
    <w:p w14:paraId="75BCD8DA">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（3）项目实施</w:t>
      </w:r>
    </w:p>
    <w:p w14:paraId="354BE93E">
      <w:pPr>
        <w:topLinePunct/>
        <w:spacing w:line="579" w:lineRule="exact"/>
        <w:ind w:firstLine="640" w:firstLineChars="200"/>
        <w:rPr>
          <w:rFonts w:ascii="仿宋" w:hAnsi="仿宋" w:eastAsia="仿宋_GB2312"/>
          <w:sz w:val="30"/>
          <w:szCs w:val="30"/>
        </w:rPr>
      </w:pPr>
      <w:r>
        <w:rPr>
          <w:rFonts w:hint="eastAsia" w:ascii="仿宋_GB2312" w:hAnsi="仿宋_GB2312" w:eastAsia="仿宋_GB2312" w:cs="仿宋_GB2312"/>
          <w:b w:val="0"/>
          <w:bCs w:val="0"/>
          <w:spacing w:val="20"/>
          <w:kern w:val="2"/>
          <w:sz w:val="28"/>
          <w:szCs w:val="28"/>
          <w:lang w:val="en-US" w:eastAsia="zh-CN" w:bidi="ar-SA"/>
        </w:rPr>
        <w:t>主要考察主管部门昆明市生态环境局盘龙分局相关管理制度、措施是否健全，是否有效执行，政府采购是否合规。各指标的业绩值和实际得分详见表10。</w:t>
      </w:r>
    </w:p>
    <w:p w14:paraId="4CC302F7">
      <w:pPr>
        <w:topLinePunct/>
        <w:spacing w:line="579" w:lineRule="exact"/>
        <w:ind w:firstLine="482" w:firstLineChars="200"/>
        <w:jc w:val="center"/>
        <w:rPr>
          <w:rFonts w:hint="eastAsia" w:ascii="黑体" w:hAnsi="黑体" w:eastAsia="黑体" w:cs="黑体"/>
          <w:b/>
          <w:bCs/>
          <w:color w:val="000000"/>
          <w:sz w:val="24"/>
          <w:szCs w:val="24"/>
          <w:lang w:val="zh-CN" w:bidi="zh-CN"/>
        </w:rPr>
      </w:pPr>
      <w:r>
        <w:rPr>
          <w:rFonts w:hint="eastAsia" w:ascii="黑体" w:hAnsi="黑体" w:eastAsia="黑体" w:cs="黑体"/>
          <w:b/>
          <w:bCs/>
          <w:color w:val="000000"/>
          <w:sz w:val="24"/>
          <w:szCs w:val="24"/>
          <w:lang w:val="zh-CN" w:bidi="zh-CN"/>
        </w:rPr>
        <w:t>表10  项目实施指标评分表</w:t>
      </w:r>
    </w:p>
    <w:tbl>
      <w:tblPr>
        <w:tblStyle w:val="8"/>
        <w:tblW w:w="5000" w:type="pct"/>
        <w:jc w:val="center"/>
        <w:tblLayout w:type="autofit"/>
        <w:tblCellMar>
          <w:top w:w="0" w:type="dxa"/>
          <w:left w:w="10" w:type="dxa"/>
          <w:bottom w:w="0" w:type="dxa"/>
          <w:right w:w="10" w:type="dxa"/>
        </w:tblCellMar>
      </w:tblPr>
      <w:tblGrid>
        <w:gridCol w:w="4832"/>
        <w:gridCol w:w="996"/>
        <w:gridCol w:w="1216"/>
        <w:gridCol w:w="1282"/>
      </w:tblGrid>
      <w:tr w14:paraId="05AC07A1">
        <w:tblPrEx>
          <w:tblCellMar>
            <w:top w:w="0" w:type="dxa"/>
            <w:left w:w="10" w:type="dxa"/>
            <w:bottom w:w="0" w:type="dxa"/>
            <w:right w:w="10" w:type="dxa"/>
          </w:tblCellMar>
        </w:tblPrEx>
        <w:trPr>
          <w:trHeight w:val="414" w:hRule="atLeast"/>
          <w:tblHeader/>
          <w:jc w:val="center"/>
        </w:trPr>
        <w:tc>
          <w:tcPr>
            <w:tcW w:w="2901" w:type="pct"/>
            <w:tcBorders>
              <w:top w:val="single" w:color="auto" w:sz="4" w:space="0"/>
              <w:left w:val="single" w:color="auto" w:sz="4" w:space="0"/>
            </w:tcBorders>
            <w:shd w:val="clear" w:color="auto" w:fill="FFFFFF"/>
            <w:vAlign w:val="bottom"/>
          </w:tcPr>
          <w:p w14:paraId="58191C43">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598" w:type="pct"/>
            <w:tcBorders>
              <w:top w:val="single" w:color="auto" w:sz="4" w:space="0"/>
              <w:left w:val="single" w:color="auto" w:sz="4" w:space="0"/>
            </w:tcBorders>
            <w:shd w:val="clear" w:color="auto" w:fill="FFFFFF"/>
            <w:vAlign w:val="bottom"/>
          </w:tcPr>
          <w:p w14:paraId="29292834">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730" w:type="pct"/>
            <w:tcBorders>
              <w:top w:val="single" w:color="auto" w:sz="4" w:space="0"/>
              <w:left w:val="single" w:color="auto" w:sz="4" w:space="0"/>
            </w:tcBorders>
            <w:shd w:val="clear" w:color="auto" w:fill="FFFFFF"/>
            <w:vAlign w:val="bottom"/>
          </w:tcPr>
          <w:p w14:paraId="1DE2BC73">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769" w:type="pct"/>
            <w:tcBorders>
              <w:top w:val="single" w:color="auto" w:sz="4" w:space="0"/>
              <w:left w:val="single" w:color="auto" w:sz="4" w:space="0"/>
              <w:right w:val="single" w:color="auto" w:sz="4" w:space="0"/>
            </w:tcBorders>
            <w:shd w:val="clear" w:color="auto" w:fill="FFFFFF"/>
            <w:vAlign w:val="bottom"/>
          </w:tcPr>
          <w:p w14:paraId="2A4447D1">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6781D54D">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2EFFDB6D">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B31.项目管理制度健全性</w:t>
            </w:r>
          </w:p>
        </w:tc>
        <w:tc>
          <w:tcPr>
            <w:tcW w:w="598" w:type="pct"/>
            <w:tcBorders>
              <w:top w:val="single" w:color="auto" w:sz="4" w:space="0"/>
              <w:left w:val="single" w:color="auto" w:sz="4" w:space="0"/>
            </w:tcBorders>
            <w:shd w:val="clear" w:color="auto" w:fill="FFFFFF"/>
          </w:tcPr>
          <w:p w14:paraId="7C740FE8">
            <w:pPr>
              <w:pStyle w:val="11"/>
              <w:shd w:val="clear" w:color="auto" w:fill="auto"/>
              <w:spacing w:after="0" w:line="360" w:lineRule="auto"/>
              <w:rPr>
                <w:rStyle w:val="12"/>
                <w:rFonts w:ascii="仿宋" w:hAnsi="仿宋" w:eastAsia="仿宋_GB2312"/>
                <w:sz w:val="24"/>
                <w:szCs w:val="24"/>
              </w:rPr>
            </w:pPr>
          </w:p>
        </w:tc>
        <w:tc>
          <w:tcPr>
            <w:tcW w:w="730" w:type="pct"/>
            <w:tcBorders>
              <w:top w:val="single" w:color="auto" w:sz="4" w:space="0"/>
              <w:left w:val="single" w:color="auto" w:sz="4" w:space="0"/>
            </w:tcBorders>
            <w:shd w:val="clear" w:color="auto" w:fill="FFFFFF"/>
          </w:tcPr>
          <w:p w14:paraId="6596BEC5">
            <w:pPr>
              <w:pStyle w:val="11"/>
              <w:shd w:val="clear" w:color="auto" w:fill="auto"/>
              <w:spacing w:after="0" w:line="360" w:lineRule="auto"/>
              <w:rPr>
                <w:rStyle w:val="12"/>
                <w:rFonts w:ascii="仿宋" w:hAnsi="仿宋" w:eastAsia="仿宋_GB2312"/>
                <w:sz w:val="24"/>
                <w:szCs w:val="24"/>
              </w:rPr>
            </w:pPr>
          </w:p>
        </w:tc>
        <w:tc>
          <w:tcPr>
            <w:tcW w:w="769" w:type="pct"/>
            <w:tcBorders>
              <w:top w:val="single" w:color="auto" w:sz="4" w:space="0"/>
              <w:left w:val="single" w:color="auto" w:sz="4" w:space="0"/>
              <w:right w:val="single" w:color="auto" w:sz="4" w:space="0"/>
            </w:tcBorders>
            <w:shd w:val="clear" w:color="auto" w:fill="FFFFFF"/>
          </w:tcPr>
          <w:p w14:paraId="3FAED055">
            <w:pPr>
              <w:pStyle w:val="11"/>
              <w:shd w:val="clear" w:color="auto" w:fill="auto"/>
              <w:spacing w:after="0" w:line="360" w:lineRule="auto"/>
              <w:rPr>
                <w:rStyle w:val="12"/>
                <w:rFonts w:ascii="仿宋" w:hAnsi="仿宋" w:eastAsia="仿宋_GB2312"/>
                <w:sz w:val="24"/>
                <w:szCs w:val="24"/>
              </w:rPr>
            </w:pPr>
          </w:p>
        </w:tc>
      </w:tr>
      <w:tr w14:paraId="4086A554">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vAlign w:val="center"/>
          </w:tcPr>
          <w:p w14:paraId="1DDA0C19">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B311.项目实施单位管理制度健全性</w:t>
            </w:r>
          </w:p>
        </w:tc>
        <w:tc>
          <w:tcPr>
            <w:tcW w:w="598" w:type="pct"/>
            <w:tcBorders>
              <w:top w:val="single" w:color="auto" w:sz="4" w:space="0"/>
              <w:left w:val="single" w:color="auto" w:sz="4" w:space="0"/>
            </w:tcBorders>
            <w:shd w:val="clear" w:color="auto" w:fill="FFFFFF"/>
            <w:vAlign w:val="bottom"/>
          </w:tcPr>
          <w:p w14:paraId="5416BBC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30" w:type="pct"/>
            <w:tcBorders>
              <w:top w:val="single" w:color="auto" w:sz="4" w:space="0"/>
              <w:left w:val="single" w:color="auto" w:sz="4" w:space="0"/>
            </w:tcBorders>
            <w:shd w:val="clear" w:color="auto" w:fill="FFFFFF"/>
            <w:vAlign w:val="center"/>
          </w:tcPr>
          <w:p w14:paraId="1D1BEDB0">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健全</w:t>
            </w:r>
          </w:p>
        </w:tc>
        <w:tc>
          <w:tcPr>
            <w:tcW w:w="769" w:type="pct"/>
            <w:tcBorders>
              <w:top w:val="single" w:color="auto" w:sz="4" w:space="0"/>
              <w:left w:val="single" w:color="auto" w:sz="4" w:space="0"/>
              <w:right w:val="single" w:color="auto" w:sz="4" w:space="0"/>
            </w:tcBorders>
            <w:shd w:val="clear" w:color="auto" w:fill="FFFFFF"/>
            <w:vAlign w:val="bottom"/>
          </w:tcPr>
          <w:p w14:paraId="165903F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609BB21A">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2FDBF422">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B312.管理方监管措施健全性</w:t>
            </w:r>
          </w:p>
        </w:tc>
        <w:tc>
          <w:tcPr>
            <w:tcW w:w="598" w:type="pct"/>
            <w:tcBorders>
              <w:top w:val="single" w:color="auto" w:sz="4" w:space="0"/>
              <w:left w:val="single" w:color="auto" w:sz="4" w:space="0"/>
            </w:tcBorders>
            <w:shd w:val="clear" w:color="auto" w:fill="FFFFFF"/>
          </w:tcPr>
          <w:p w14:paraId="13C7AE2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30" w:type="pct"/>
            <w:tcBorders>
              <w:top w:val="single" w:color="auto" w:sz="4" w:space="0"/>
              <w:left w:val="single" w:color="auto" w:sz="4" w:space="0"/>
            </w:tcBorders>
            <w:shd w:val="clear" w:color="auto" w:fill="FFFFFF"/>
          </w:tcPr>
          <w:p w14:paraId="4C02F464">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健全</w:t>
            </w:r>
          </w:p>
        </w:tc>
        <w:tc>
          <w:tcPr>
            <w:tcW w:w="769" w:type="pct"/>
            <w:tcBorders>
              <w:top w:val="single" w:color="auto" w:sz="4" w:space="0"/>
              <w:left w:val="single" w:color="auto" w:sz="4" w:space="0"/>
              <w:right w:val="single" w:color="auto" w:sz="4" w:space="0"/>
            </w:tcBorders>
            <w:shd w:val="clear" w:color="auto" w:fill="FFFFFF"/>
          </w:tcPr>
          <w:p w14:paraId="33BB34DA">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r>
              <w:rPr>
                <w:rFonts w:hint="eastAsia" w:ascii="Calibri" w:hAnsi="仿宋" w:eastAsia="宋体" w:cs="宋体"/>
                <w:color w:val="000000"/>
                <w:spacing w:val="0"/>
                <w:kern w:val="2"/>
                <w:sz w:val="21"/>
                <w:szCs w:val="22"/>
                <w:lang w:val="en-US" w:eastAsia="en-US" w:bidi="ar-SA"/>
              </w:rPr>
              <w:t>1</w:t>
            </w:r>
          </w:p>
        </w:tc>
      </w:tr>
      <w:tr w14:paraId="0571E63B">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188DBEFD">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B32.项目管理制度执行有效性</w:t>
            </w:r>
          </w:p>
        </w:tc>
        <w:tc>
          <w:tcPr>
            <w:tcW w:w="598" w:type="pct"/>
            <w:tcBorders>
              <w:top w:val="single" w:color="auto" w:sz="4" w:space="0"/>
              <w:left w:val="single" w:color="auto" w:sz="4" w:space="0"/>
            </w:tcBorders>
            <w:shd w:val="clear" w:color="auto" w:fill="FFFFFF"/>
          </w:tcPr>
          <w:p w14:paraId="09FB9ED0">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730" w:type="pct"/>
            <w:tcBorders>
              <w:top w:val="single" w:color="auto" w:sz="4" w:space="0"/>
              <w:left w:val="single" w:color="auto" w:sz="4" w:space="0"/>
            </w:tcBorders>
            <w:shd w:val="clear" w:color="auto" w:fill="FFFFFF"/>
          </w:tcPr>
          <w:p w14:paraId="758DC30E">
            <w:pPr>
              <w:pStyle w:val="11"/>
              <w:shd w:val="clear" w:color="auto" w:fill="auto"/>
              <w:spacing w:after="0" w:line="360" w:lineRule="auto"/>
              <w:rPr>
                <w:rStyle w:val="12"/>
                <w:rFonts w:hint="eastAsia" w:ascii="宋体" w:hAnsi="宋体" w:eastAsia="宋体" w:cs="宋体"/>
                <w:sz w:val="21"/>
                <w:szCs w:val="21"/>
              </w:rPr>
            </w:pPr>
          </w:p>
        </w:tc>
        <w:tc>
          <w:tcPr>
            <w:tcW w:w="769" w:type="pct"/>
            <w:tcBorders>
              <w:top w:val="single" w:color="auto" w:sz="4" w:space="0"/>
              <w:left w:val="single" w:color="auto" w:sz="4" w:space="0"/>
              <w:right w:val="single" w:color="auto" w:sz="4" w:space="0"/>
            </w:tcBorders>
            <w:shd w:val="clear" w:color="auto" w:fill="FFFFFF"/>
          </w:tcPr>
          <w:p w14:paraId="6579D2E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186BCE45">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tcPr>
          <w:p w14:paraId="3F3432C5">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B321.项目实施单位管理制度执行情况</w:t>
            </w:r>
          </w:p>
        </w:tc>
        <w:tc>
          <w:tcPr>
            <w:tcW w:w="598" w:type="pct"/>
            <w:tcBorders>
              <w:top w:val="single" w:color="auto" w:sz="4" w:space="0"/>
              <w:left w:val="single" w:color="auto" w:sz="4" w:space="0"/>
              <w:bottom w:val="single" w:color="auto" w:sz="4" w:space="0"/>
            </w:tcBorders>
            <w:shd w:val="clear" w:color="auto" w:fill="FFFFFF"/>
          </w:tcPr>
          <w:p w14:paraId="2B8791B3">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30" w:type="pct"/>
            <w:tcBorders>
              <w:top w:val="single" w:color="auto" w:sz="4" w:space="0"/>
              <w:left w:val="single" w:color="auto" w:sz="4" w:space="0"/>
              <w:bottom w:val="single" w:color="auto" w:sz="4" w:space="0"/>
            </w:tcBorders>
            <w:shd w:val="clear" w:color="auto" w:fill="FFFFFF"/>
          </w:tcPr>
          <w:p w14:paraId="4C4D5712">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部分执行</w:t>
            </w:r>
          </w:p>
        </w:tc>
        <w:tc>
          <w:tcPr>
            <w:tcW w:w="769" w:type="pct"/>
            <w:tcBorders>
              <w:top w:val="single" w:color="auto" w:sz="4" w:space="0"/>
              <w:left w:val="single" w:color="auto" w:sz="4" w:space="0"/>
              <w:bottom w:val="single" w:color="auto" w:sz="4" w:space="0"/>
              <w:right w:val="single" w:color="auto" w:sz="4" w:space="0"/>
            </w:tcBorders>
            <w:shd w:val="clear" w:color="auto" w:fill="FFFFFF"/>
          </w:tcPr>
          <w:p w14:paraId="7D431E1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w:t>
            </w:r>
          </w:p>
        </w:tc>
      </w:tr>
      <w:tr w14:paraId="1664184C">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right w:val="single" w:color="auto" w:sz="4" w:space="0"/>
            </w:tcBorders>
            <w:shd w:val="clear" w:color="auto" w:fill="FFFFFF"/>
          </w:tcPr>
          <w:p w14:paraId="13A331DB">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B322.监管措施执行情况</w:t>
            </w:r>
          </w:p>
        </w:tc>
        <w:tc>
          <w:tcPr>
            <w:tcW w:w="598" w:type="pct"/>
            <w:tcBorders>
              <w:top w:val="single" w:color="auto" w:sz="4" w:space="0"/>
              <w:left w:val="single" w:color="auto" w:sz="4" w:space="0"/>
              <w:bottom w:val="single" w:color="auto" w:sz="4" w:space="0"/>
              <w:right w:val="single" w:color="auto" w:sz="4" w:space="0"/>
            </w:tcBorders>
            <w:shd w:val="clear" w:color="auto" w:fill="FFFFFF"/>
          </w:tcPr>
          <w:p w14:paraId="0026C689">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30" w:type="pct"/>
            <w:tcBorders>
              <w:top w:val="single" w:color="auto" w:sz="4" w:space="0"/>
              <w:left w:val="single" w:color="auto" w:sz="4" w:space="0"/>
              <w:bottom w:val="single" w:color="auto" w:sz="4" w:space="0"/>
              <w:right w:val="single" w:color="auto" w:sz="4" w:space="0"/>
            </w:tcBorders>
            <w:shd w:val="clear" w:color="auto" w:fill="FFFFFF"/>
          </w:tcPr>
          <w:p w14:paraId="2088276B">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部分执行</w:t>
            </w:r>
          </w:p>
        </w:tc>
        <w:tc>
          <w:tcPr>
            <w:tcW w:w="769" w:type="pct"/>
            <w:tcBorders>
              <w:top w:val="single" w:color="auto" w:sz="4" w:space="0"/>
              <w:left w:val="single" w:color="auto" w:sz="4" w:space="0"/>
              <w:bottom w:val="single" w:color="auto" w:sz="4" w:space="0"/>
              <w:right w:val="single" w:color="auto" w:sz="4" w:space="0"/>
            </w:tcBorders>
            <w:shd w:val="clear" w:color="auto" w:fill="FFFFFF"/>
          </w:tcPr>
          <w:p w14:paraId="552DD2A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w:t>
            </w:r>
          </w:p>
        </w:tc>
      </w:tr>
      <w:tr w14:paraId="40FA07E8">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5DE66489">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B323.合同执行情况</w:t>
            </w:r>
          </w:p>
        </w:tc>
        <w:tc>
          <w:tcPr>
            <w:tcW w:w="598" w:type="pct"/>
            <w:tcBorders>
              <w:top w:val="single" w:color="auto" w:sz="4" w:space="0"/>
              <w:left w:val="single" w:color="auto" w:sz="4" w:space="0"/>
            </w:tcBorders>
            <w:shd w:val="clear" w:color="auto" w:fill="FFFFFF"/>
          </w:tcPr>
          <w:p w14:paraId="07F5FD7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30" w:type="pct"/>
            <w:tcBorders>
              <w:top w:val="single" w:color="auto" w:sz="4" w:space="0"/>
              <w:left w:val="single" w:color="auto" w:sz="4" w:space="0"/>
            </w:tcBorders>
            <w:shd w:val="clear" w:color="auto" w:fill="FFFFFF"/>
          </w:tcPr>
          <w:p w14:paraId="6A323C38">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部分执行</w:t>
            </w:r>
          </w:p>
        </w:tc>
        <w:tc>
          <w:tcPr>
            <w:tcW w:w="769" w:type="pct"/>
            <w:tcBorders>
              <w:top w:val="single" w:color="auto" w:sz="4" w:space="0"/>
              <w:left w:val="single" w:color="auto" w:sz="4" w:space="0"/>
              <w:right w:val="single" w:color="auto" w:sz="4" w:space="0"/>
            </w:tcBorders>
            <w:shd w:val="clear" w:color="auto" w:fill="FFFFFF"/>
          </w:tcPr>
          <w:p w14:paraId="4785C559">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2</w:t>
            </w:r>
          </w:p>
        </w:tc>
      </w:tr>
      <w:tr w14:paraId="1CFA4108">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10D67846">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B324.台账记录规范性</w:t>
            </w:r>
          </w:p>
        </w:tc>
        <w:tc>
          <w:tcPr>
            <w:tcW w:w="598" w:type="pct"/>
            <w:tcBorders>
              <w:top w:val="single" w:color="auto" w:sz="4" w:space="0"/>
              <w:left w:val="single" w:color="auto" w:sz="4" w:space="0"/>
            </w:tcBorders>
            <w:shd w:val="clear" w:color="auto" w:fill="FFFFFF"/>
          </w:tcPr>
          <w:p w14:paraId="64F91A6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30" w:type="pct"/>
            <w:tcBorders>
              <w:top w:val="single" w:color="auto" w:sz="4" w:space="0"/>
              <w:left w:val="single" w:color="auto" w:sz="4" w:space="0"/>
            </w:tcBorders>
            <w:shd w:val="clear" w:color="auto" w:fill="FFFFFF"/>
          </w:tcPr>
          <w:p w14:paraId="13B36E95">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规范</w:t>
            </w:r>
          </w:p>
        </w:tc>
        <w:tc>
          <w:tcPr>
            <w:tcW w:w="769" w:type="pct"/>
            <w:tcBorders>
              <w:top w:val="single" w:color="auto" w:sz="4" w:space="0"/>
              <w:left w:val="single" w:color="auto" w:sz="4" w:space="0"/>
              <w:right w:val="single" w:color="auto" w:sz="4" w:space="0"/>
            </w:tcBorders>
            <w:shd w:val="clear" w:color="auto" w:fill="FFFFFF"/>
          </w:tcPr>
          <w:p w14:paraId="4CB03689">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r>
      <w:tr w14:paraId="300DE772">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449848B6">
            <w:pPr>
              <w:pStyle w:val="11"/>
              <w:shd w:val="clear" w:color="auto" w:fill="auto"/>
              <w:spacing w:after="0" w:line="360" w:lineRule="auto"/>
              <w:jc w:val="both"/>
              <w:rPr>
                <w:rStyle w:val="12"/>
                <w:rFonts w:hint="default" w:ascii="宋体" w:hAnsi="宋体" w:eastAsia="宋体" w:cs="宋体"/>
                <w:sz w:val="21"/>
                <w:szCs w:val="21"/>
                <w:lang w:val="en-US"/>
              </w:rPr>
            </w:pPr>
            <w:r>
              <w:rPr>
                <w:rStyle w:val="12"/>
                <w:rFonts w:hint="eastAsia" w:ascii="宋体" w:hAnsi="宋体" w:eastAsia="宋体" w:cs="宋体"/>
                <w:sz w:val="21"/>
                <w:szCs w:val="21"/>
              </w:rPr>
              <w:t>B33.</w:t>
            </w:r>
            <w:r>
              <w:rPr>
                <w:rStyle w:val="12"/>
                <w:rFonts w:hint="eastAsia" w:cs="宋体"/>
                <w:sz w:val="21"/>
                <w:szCs w:val="21"/>
                <w:lang w:val="en-US"/>
              </w:rPr>
              <w:t>政府采购规范性</w:t>
            </w:r>
          </w:p>
        </w:tc>
        <w:tc>
          <w:tcPr>
            <w:tcW w:w="598" w:type="pct"/>
            <w:tcBorders>
              <w:top w:val="single" w:color="auto" w:sz="4" w:space="0"/>
              <w:left w:val="single" w:color="auto" w:sz="4" w:space="0"/>
            </w:tcBorders>
            <w:shd w:val="clear" w:color="auto" w:fill="FFFFFF"/>
          </w:tcPr>
          <w:p w14:paraId="1F1D933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730" w:type="pct"/>
            <w:tcBorders>
              <w:top w:val="single" w:color="auto" w:sz="4" w:space="0"/>
              <w:left w:val="single" w:color="auto" w:sz="4" w:space="0"/>
            </w:tcBorders>
            <w:shd w:val="clear" w:color="auto" w:fill="FFFFFF"/>
          </w:tcPr>
          <w:p w14:paraId="325DCD79">
            <w:pPr>
              <w:pStyle w:val="11"/>
              <w:shd w:val="clear" w:color="auto" w:fill="auto"/>
              <w:spacing w:after="0" w:line="360" w:lineRule="auto"/>
              <w:rPr>
                <w:rStyle w:val="12"/>
                <w:rFonts w:hint="eastAsia" w:ascii="宋体" w:hAnsi="宋体" w:eastAsia="宋体" w:cs="宋体"/>
                <w:sz w:val="21"/>
                <w:szCs w:val="21"/>
              </w:rPr>
            </w:pPr>
          </w:p>
        </w:tc>
        <w:tc>
          <w:tcPr>
            <w:tcW w:w="769" w:type="pct"/>
            <w:tcBorders>
              <w:top w:val="single" w:color="auto" w:sz="4" w:space="0"/>
              <w:left w:val="single" w:color="auto" w:sz="4" w:space="0"/>
              <w:right w:val="single" w:color="auto" w:sz="4" w:space="0"/>
            </w:tcBorders>
            <w:shd w:val="clear" w:color="auto" w:fill="FFFFFF"/>
          </w:tcPr>
          <w:p w14:paraId="3A81EC6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675665E9">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259783A6">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B331.</w:t>
            </w:r>
            <w:r>
              <w:rPr>
                <w:rStyle w:val="12"/>
                <w:rFonts w:hint="eastAsia" w:cs="宋体"/>
                <w:sz w:val="21"/>
                <w:szCs w:val="21"/>
                <w:lang w:val="en-US"/>
              </w:rPr>
              <w:t>采购方式</w:t>
            </w:r>
            <w:r>
              <w:rPr>
                <w:rStyle w:val="12"/>
                <w:rFonts w:hint="eastAsia" w:ascii="宋体" w:hAnsi="宋体" w:eastAsia="宋体" w:cs="宋体"/>
                <w:sz w:val="21"/>
                <w:szCs w:val="21"/>
              </w:rPr>
              <w:t>合规性</w:t>
            </w:r>
          </w:p>
        </w:tc>
        <w:tc>
          <w:tcPr>
            <w:tcW w:w="598" w:type="pct"/>
            <w:tcBorders>
              <w:top w:val="single" w:color="auto" w:sz="4" w:space="0"/>
              <w:left w:val="single" w:color="auto" w:sz="4" w:space="0"/>
            </w:tcBorders>
            <w:shd w:val="clear" w:color="auto" w:fill="FFFFFF"/>
          </w:tcPr>
          <w:p w14:paraId="3F3DCC3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w:t>
            </w:r>
          </w:p>
        </w:tc>
        <w:tc>
          <w:tcPr>
            <w:tcW w:w="730" w:type="pct"/>
            <w:tcBorders>
              <w:top w:val="single" w:color="auto" w:sz="4" w:space="0"/>
              <w:left w:val="single" w:color="auto" w:sz="4" w:space="0"/>
            </w:tcBorders>
            <w:shd w:val="clear" w:color="auto" w:fill="FFFFFF"/>
          </w:tcPr>
          <w:p w14:paraId="25D05F3E">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合规</w:t>
            </w:r>
          </w:p>
        </w:tc>
        <w:tc>
          <w:tcPr>
            <w:tcW w:w="769" w:type="pct"/>
            <w:tcBorders>
              <w:top w:val="single" w:color="auto" w:sz="4" w:space="0"/>
              <w:left w:val="single" w:color="auto" w:sz="4" w:space="0"/>
              <w:right w:val="single" w:color="auto" w:sz="4" w:space="0"/>
            </w:tcBorders>
            <w:shd w:val="clear" w:color="auto" w:fill="FFFFFF"/>
          </w:tcPr>
          <w:p w14:paraId="0A58404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r>
      <w:tr w14:paraId="3095E987">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0E72171B">
            <w:pPr>
              <w:pStyle w:val="11"/>
              <w:shd w:val="clear" w:color="auto" w:fill="auto"/>
              <w:spacing w:after="0" w:line="360" w:lineRule="auto"/>
              <w:ind w:firstLine="420" w:firstLineChars="200"/>
              <w:jc w:val="both"/>
              <w:rPr>
                <w:rFonts w:hint="eastAsia" w:ascii="宋体" w:hAnsi="宋体" w:eastAsia="宋体" w:cs="宋体"/>
                <w:b/>
                <w:bCs/>
                <w:sz w:val="21"/>
                <w:szCs w:val="21"/>
              </w:rPr>
            </w:pPr>
            <w:r>
              <w:rPr>
                <w:rStyle w:val="12"/>
                <w:rFonts w:hint="default" w:ascii="宋体" w:hAnsi="宋体" w:eastAsia="宋体" w:cs="宋体"/>
                <w:sz w:val="21"/>
                <w:szCs w:val="21"/>
                <w:lang w:val="en-US" w:eastAsia="zh-CN"/>
              </w:rPr>
              <w:t>B332.采购流程规范性</w:t>
            </w:r>
          </w:p>
        </w:tc>
        <w:tc>
          <w:tcPr>
            <w:tcW w:w="598" w:type="pct"/>
            <w:tcBorders>
              <w:top w:val="single" w:color="auto" w:sz="4" w:space="0"/>
              <w:left w:val="single" w:color="auto" w:sz="4" w:space="0"/>
              <w:bottom w:val="single" w:color="auto" w:sz="4" w:space="0"/>
            </w:tcBorders>
            <w:shd w:val="clear" w:color="auto" w:fill="FFFFFF"/>
            <w:vAlign w:val="center"/>
          </w:tcPr>
          <w:p w14:paraId="2BF27D14">
            <w:pPr>
              <w:pStyle w:val="11"/>
              <w:shd w:val="clear" w:color="auto" w:fill="auto"/>
              <w:spacing w:after="0" w:line="360" w:lineRule="auto"/>
              <w:rPr>
                <w:rStyle w:val="12"/>
                <w:rFonts w:hint="default" w:ascii="宋体" w:hAnsi="宋体" w:eastAsia="宋体" w:cs="宋体"/>
                <w:sz w:val="21"/>
                <w:szCs w:val="21"/>
                <w:lang w:val="en-US" w:eastAsia="zh-CN"/>
              </w:rPr>
            </w:pPr>
            <w:r>
              <w:rPr>
                <w:rStyle w:val="12"/>
                <w:rFonts w:hint="eastAsia" w:ascii="宋体" w:hAnsi="宋体" w:eastAsia="宋体" w:cs="宋体"/>
                <w:sz w:val="21"/>
                <w:szCs w:val="21"/>
                <w:lang w:val="en-US" w:eastAsia="zh-CN"/>
              </w:rPr>
              <w:t>1</w:t>
            </w:r>
          </w:p>
        </w:tc>
        <w:tc>
          <w:tcPr>
            <w:tcW w:w="730" w:type="pct"/>
            <w:tcBorders>
              <w:top w:val="single" w:color="auto" w:sz="4" w:space="0"/>
              <w:left w:val="single" w:color="auto" w:sz="4" w:space="0"/>
              <w:bottom w:val="single" w:color="auto" w:sz="4" w:space="0"/>
            </w:tcBorders>
            <w:shd w:val="clear" w:color="auto" w:fill="FFFFFF"/>
          </w:tcPr>
          <w:p w14:paraId="690B6A08">
            <w:pPr>
              <w:pStyle w:val="11"/>
              <w:shd w:val="clear" w:color="auto" w:fill="auto"/>
              <w:spacing w:after="0" w:line="360" w:lineRule="auto"/>
              <w:rPr>
                <w:rStyle w:val="12"/>
                <w:rFonts w:hint="eastAsia" w:ascii="宋体" w:hAnsi="宋体" w:eastAsia="宋体" w:cs="宋体"/>
                <w:sz w:val="21"/>
                <w:szCs w:val="21"/>
                <w:lang w:val="en-US" w:eastAsia="zh-CN"/>
              </w:rPr>
            </w:pPr>
            <w:r>
              <w:rPr>
                <w:rStyle w:val="12"/>
                <w:rFonts w:hint="eastAsia" w:ascii="宋体" w:hAnsi="宋体" w:eastAsia="宋体" w:cs="宋体"/>
                <w:sz w:val="21"/>
                <w:szCs w:val="21"/>
                <w:lang w:val="en-US" w:eastAsia="zh-CN"/>
              </w:rPr>
              <w:t>规范</w:t>
            </w:r>
          </w:p>
        </w:tc>
        <w:tc>
          <w:tcPr>
            <w:tcW w:w="769" w:type="pct"/>
            <w:tcBorders>
              <w:top w:val="single" w:color="auto" w:sz="4" w:space="0"/>
              <w:left w:val="single" w:color="auto" w:sz="4" w:space="0"/>
              <w:bottom w:val="single" w:color="auto" w:sz="4" w:space="0"/>
              <w:right w:val="single" w:color="auto" w:sz="4" w:space="0"/>
            </w:tcBorders>
            <w:shd w:val="clear" w:color="auto" w:fill="FFFFFF"/>
            <w:vAlign w:val="center"/>
          </w:tcPr>
          <w:p w14:paraId="0B5947AC">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w:t>
            </w:r>
          </w:p>
        </w:tc>
      </w:tr>
      <w:tr w14:paraId="7D72918B">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20863315">
            <w:pPr>
              <w:pStyle w:val="11"/>
              <w:shd w:val="clear" w:color="auto" w:fill="auto"/>
              <w:spacing w:after="0" w:line="360" w:lineRule="auto"/>
              <w:rPr>
                <w:rFonts w:hint="eastAsia" w:ascii="宋体" w:hAnsi="宋体" w:eastAsia="宋体" w:cs="宋体"/>
                <w:b/>
                <w:bCs/>
                <w:spacing w:val="20"/>
                <w:kern w:val="2"/>
                <w:sz w:val="21"/>
                <w:szCs w:val="21"/>
                <w:lang w:val="en-US" w:eastAsia="zh-CN" w:bidi="ar-SA"/>
              </w:rPr>
            </w:pPr>
            <w:r>
              <w:rPr>
                <w:rStyle w:val="12"/>
                <w:rFonts w:hint="eastAsia" w:cs="宋体"/>
                <w:b w:val="0"/>
                <w:bCs w:val="0"/>
                <w:sz w:val="21"/>
                <w:szCs w:val="21"/>
              </w:rPr>
              <w:t>合计</w:t>
            </w:r>
          </w:p>
        </w:tc>
        <w:tc>
          <w:tcPr>
            <w:tcW w:w="598" w:type="pct"/>
            <w:tcBorders>
              <w:top w:val="single" w:color="auto" w:sz="4" w:space="0"/>
              <w:left w:val="single" w:color="auto" w:sz="4" w:space="0"/>
              <w:bottom w:val="single" w:color="auto" w:sz="4" w:space="0"/>
            </w:tcBorders>
            <w:shd w:val="clear" w:color="auto" w:fill="FFFFFF"/>
            <w:vAlign w:val="center"/>
          </w:tcPr>
          <w:p w14:paraId="7150520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10</w:t>
            </w:r>
          </w:p>
        </w:tc>
        <w:tc>
          <w:tcPr>
            <w:tcW w:w="730" w:type="pct"/>
            <w:tcBorders>
              <w:top w:val="single" w:color="auto" w:sz="4" w:space="0"/>
              <w:left w:val="single" w:color="auto" w:sz="4" w:space="0"/>
              <w:bottom w:val="single" w:color="auto" w:sz="4" w:space="0"/>
            </w:tcBorders>
            <w:shd w:val="clear" w:color="auto" w:fill="FFFFFF"/>
            <w:vAlign w:val="top"/>
          </w:tcPr>
          <w:p w14:paraId="42A26F5F">
            <w:pPr>
              <w:spacing w:line="360" w:lineRule="auto"/>
              <w:rPr>
                <w:rFonts w:hint="eastAsia" w:ascii="宋体" w:hAnsi="宋体" w:eastAsia="宋体" w:cs="宋体"/>
                <w:b/>
                <w:bCs/>
                <w:kern w:val="2"/>
                <w:sz w:val="21"/>
                <w:szCs w:val="21"/>
                <w:lang w:val="en-US" w:eastAsia="zh-CN" w:bidi="ar-SA"/>
              </w:rPr>
            </w:pPr>
          </w:p>
        </w:tc>
        <w:tc>
          <w:tcPr>
            <w:tcW w:w="769" w:type="pct"/>
            <w:tcBorders>
              <w:top w:val="single" w:color="auto" w:sz="4" w:space="0"/>
              <w:left w:val="single" w:color="auto" w:sz="4" w:space="0"/>
              <w:bottom w:val="single" w:color="auto" w:sz="4" w:space="0"/>
              <w:right w:val="single" w:color="auto" w:sz="4" w:space="0"/>
            </w:tcBorders>
            <w:shd w:val="clear" w:color="auto" w:fill="FFFFFF"/>
            <w:vAlign w:val="center"/>
          </w:tcPr>
          <w:p w14:paraId="5A5D3650">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10</w:t>
            </w:r>
          </w:p>
        </w:tc>
      </w:tr>
    </w:tbl>
    <w:p w14:paraId="1F50DD6D">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B31.项目管理制度健全性</w:t>
      </w:r>
    </w:p>
    <w:p w14:paraId="0A7D8F4A">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B311.项目实施单位管理制度健全性</w:t>
      </w:r>
      <w:r>
        <w:rPr>
          <w:rFonts w:hint="eastAsia" w:ascii="仿宋_GB2312" w:hAnsi="仿宋_GB2312" w:eastAsia="仿宋_GB2312" w:cs="仿宋_GB2312"/>
          <w:b w:val="0"/>
          <w:bCs w:val="0"/>
          <w:spacing w:val="20"/>
          <w:kern w:val="2"/>
          <w:sz w:val="28"/>
          <w:szCs w:val="28"/>
          <w:lang w:val="en-US" w:eastAsia="zh-CN" w:bidi="ar-SA"/>
        </w:rPr>
        <w:t>：</w:t>
      </w:r>
      <w:r>
        <w:rPr>
          <w:rFonts w:hint="eastAsia" w:ascii="仿宋_GB2312" w:hAnsi="仿宋" w:eastAsia="仿宋_GB2312"/>
          <w:spacing w:val="6"/>
          <w:kern w:val="0"/>
          <w:sz w:val="28"/>
          <w:szCs w:val="28"/>
        </w:rPr>
        <w:t>昆明市环境保护局盘龙</w:t>
      </w:r>
      <w:r>
        <w:rPr>
          <w:rFonts w:hint="eastAsia" w:ascii="仿宋_GB2312" w:hAnsi="仿宋" w:eastAsia="仿宋_GB2312"/>
          <w:spacing w:val="6"/>
          <w:kern w:val="0"/>
          <w:sz w:val="28"/>
          <w:szCs w:val="28"/>
          <w:lang w:val="en-US" w:eastAsia="zh-CN"/>
        </w:rPr>
        <w:t>分局</w:t>
      </w:r>
      <w:r>
        <w:rPr>
          <w:rFonts w:hint="eastAsia" w:ascii="仿宋_GB2312" w:hAnsi="仿宋_GB2312" w:eastAsia="仿宋_GB2312" w:cs="仿宋_GB2312"/>
          <w:b w:val="0"/>
          <w:bCs w:val="0"/>
          <w:spacing w:val="20"/>
          <w:kern w:val="2"/>
          <w:sz w:val="28"/>
          <w:szCs w:val="28"/>
          <w:lang w:val="en-US" w:eastAsia="zh-CN" w:bidi="ar-SA"/>
        </w:rPr>
        <w:t>制定了</w:t>
      </w:r>
      <w:r>
        <w:rPr>
          <w:rFonts w:hint="eastAsia" w:ascii="仿宋_GB2312" w:hAnsi="仿宋" w:eastAsia="仿宋_GB2312"/>
          <w:spacing w:val="6"/>
          <w:kern w:val="0"/>
          <w:sz w:val="28"/>
          <w:szCs w:val="28"/>
        </w:rPr>
        <w:t>《昆明市盘龙区环境保护局</w:t>
      </w:r>
      <w:r>
        <w:rPr>
          <w:rFonts w:hint="eastAsia" w:ascii="仿宋_GB2312" w:hAnsi="仿宋" w:eastAsia="仿宋_GB2312"/>
          <w:spacing w:val="6"/>
          <w:kern w:val="0"/>
          <w:sz w:val="28"/>
          <w:szCs w:val="28"/>
          <w:lang w:val="en-US" w:eastAsia="zh-CN"/>
        </w:rPr>
        <w:t>采购</w:t>
      </w:r>
      <w:r>
        <w:rPr>
          <w:rFonts w:hint="eastAsia" w:ascii="仿宋_GB2312" w:hAnsi="仿宋" w:eastAsia="仿宋_GB2312"/>
          <w:spacing w:val="6"/>
          <w:kern w:val="0"/>
          <w:sz w:val="28"/>
          <w:szCs w:val="28"/>
        </w:rPr>
        <w:t>管理内部控制流程》、《昆明市盘龙区环境保护局</w:t>
      </w:r>
      <w:r>
        <w:rPr>
          <w:rFonts w:hint="eastAsia" w:ascii="仿宋_GB2312" w:hAnsi="仿宋" w:eastAsia="仿宋_GB2312"/>
          <w:spacing w:val="6"/>
          <w:kern w:val="0"/>
          <w:sz w:val="28"/>
          <w:szCs w:val="28"/>
          <w:lang w:val="en-US" w:eastAsia="zh-CN"/>
        </w:rPr>
        <w:t>国有资产</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《昆明市盘龙区环境保护局</w:t>
      </w:r>
      <w:r>
        <w:rPr>
          <w:rFonts w:hint="eastAsia" w:ascii="仿宋_GB2312" w:hAnsi="仿宋" w:eastAsia="仿宋_GB2312"/>
          <w:spacing w:val="6"/>
          <w:kern w:val="0"/>
          <w:sz w:val="28"/>
          <w:szCs w:val="28"/>
          <w:lang w:val="en-US" w:eastAsia="zh-CN"/>
        </w:rPr>
        <w:t>建设项目</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《昆明市盘龙区环境保护局</w:t>
      </w:r>
      <w:r>
        <w:rPr>
          <w:rFonts w:hint="eastAsia" w:ascii="仿宋_GB2312" w:hAnsi="仿宋" w:eastAsia="仿宋_GB2312"/>
          <w:spacing w:val="6"/>
          <w:kern w:val="0"/>
          <w:sz w:val="28"/>
          <w:szCs w:val="28"/>
          <w:lang w:val="en-US" w:eastAsia="zh-CN"/>
        </w:rPr>
        <w:t>合同</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昆明市盘龙区环境保护局经费支出管理办法</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盘环保</w:t>
      </w:r>
      <w:r>
        <w:rPr>
          <w:rFonts w:hint="eastAsia" w:ascii="仿宋_GB2312" w:hAnsi="仿宋" w:eastAsia="仿宋_GB2312"/>
          <w:spacing w:val="6"/>
          <w:kern w:val="0"/>
          <w:sz w:val="28"/>
          <w:szCs w:val="28"/>
        </w:rPr>
        <w:t>〔201</w:t>
      </w:r>
      <w:r>
        <w:rPr>
          <w:rFonts w:hint="eastAsia" w:ascii="仿宋_GB2312" w:hAnsi="仿宋" w:eastAsia="仿宋_GB2312"/>
          <w:spacing w:val="6"/>
          <w:kern w:val="0"/>
          <w:sz w:val="28"/>
          <w:szCs w:val="28"/>
          <w:lang w:val="en-US" w:eastAsia="zh-CN"/>
        </w:rPr>
        <w:t>7</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30</w:t>
      </w:r>
      <w:r>
        <w:rPr>
          <w:rFonts w:hint="eastAsia" w:ascii="仿宋_GB2312" w:hAnsi="仿宋" w:eastAsia="仿宋_GB2312"/>
          <w:spacing w:val="6"/>
          <w:kern w:val="0"/>
          <w:sz w:val="28"/>
          <w:szCs w:val="28"/>
        </w:rPr>
        <w:t>号）</w:t>
      </w:r>
      <w:r>
        <w:rPr>
          <w:rFonts w:hint="eastAsia" w:ascii="仿宋_GB2312" w:hAnsi="仿宋_GB2312" w:eastAsia="仿宋_GB2312" w:cs="仿宋_GB2312"/>
          <w:b w:val="0"/>
          <w:bCs w:val="0"/>
          <w:spacing w:val="20"/>
          <w:kern w:val="2"/>
          <w:sz w:val="28"/>
          <w:szCs w:val="28"/>
          <w:lang w:val="en-US" w:eastAsia="zh-CN" w:bidi="ar-SA"/>
        </w:rPr>
        <w:t>等相关项目管理制度，制度中对人员安排、操作要求及验收要求做了明确规定，能够保障项目顺利实施。</w:t>
      </w:r>
    </w:p>
    <w:p w14:paraId="52F65FAB">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00A88D61">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B312.管理方监管措施健全性</w:t>
      </w:r>
      <w:r>
        <w:rPr>
          <w:rFonts w:hint="eastAsia" w:ascii="仿宋_GB2312" w:hAnsi="仿宋_GB2312" w:eastAsia="仿宋_GB2312" w:cs="仿宋_GB2312"/>
          <w:b w:val="0"/>
          <w:bCs w:val="0"/>
          <w:spacing w:val="20"/>
          <w:kern w:val="2"/>
          <w:sz w:val="28"/>
          <w:szCs w:val="28"/>
          <w:lang w:val="en-US" w:eastAsia="zh-CN" w:bidi="ar-SA"/>
        </w:rPr>
        <w:t>：</w:t>
      </w:r>
      <w:r>
        <w:rPr>
          <w:rFonts w:hint="eastAsia" w:ascii="仿宋_GB2312" w:hAnsi="仿宋" w:eastAsia="仿宋_GB2312"/>
          <w:spacing w:val="6"/>
          <w:kern w:val="0"/>
          <w:sz w:val="28"/>
          <w:szCs w:val="28"/>
        </w:rPr>
        <w:t>昆明市环境保护局盘龙</w:t>
      </w:r>
      <w:r>
        <w:rPr>
          <w:rFonts w:hint="eastAsia" w:ascii="仿宋_GB2312" w:hAnsi="仿宋" w:eastAsia="仿宋_GB2312"/>
          <w:spacing w:val="6"/>
          <w:kern w:val="0"/>
          <w:sz w:val="28"/>
          <w:szCs w:val="28"/>
          <w:lang w:val="en-US" w:eastAsia="zh-CN"/>
        </w:rPr>
        <w:t>分局</w:t>
      </w:r>
      <w:r>
        <w:rPr>
          <w:rFonts w:hint="eastAsia" w:ascii="仿宋_GB2312" w:hAnsi="仿宋_GB2312" w:eastAsia="仿宋_GB2312" w:cs="仿宋_GB2312"/>
          <w:b w:val="0"/>
          <w:bCs w:val="0"/>
          <w:spacing w:val="20"/>
          <w:kern w:val="2"/>
          <w:sz w:val="28"/>
          <w:szCs w:val="28"/>
          <w:lang w:val="en-US" w:eastAsia="zh-CN" w:bidi="ar-SA"/>
        </w:rPr>
        <w:t>对项目实施的监管，要求实施单位提供项目实施的台账记录、日报表和月报表等文件资料，对项目的规划、建设及验收指派环保局分管领导进行监督。</w:t>
      </w:r>
    </w:p>
    <w:p w14:paraId="5F569932">
      <w:pPr>
        <w:topLinePunct/>
        <w:spacing w:line="579" w:lineRule="exact"/>
        <w:ind w:firstLine="640" w:firstLineChars="200"/>
        <w:rPr>
          <w:rStyle w:val="12"/>
          <w:rFonts w:ascii="仿宋_GB2312" w:hAnsi="仿宋_GB2312" w:eastAsia="仿宋_GB2312" w:cs="仿宋_GB2312"/>
          <w:color w:val="auto"/>
          <w:sz w:val="30"/>
          <w:szCs w:val="30"/>
          <w:shd w:val="clear" w:color="auto" w:fill="auto"/>
          <w:lang w:val="en-US"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2CDDB0BF">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B32.项目管理制度执行有效性</w:t>
      </w:r>
    </w:p>
    <w:p w14:paraId="6755D275">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B321.项目实施单位管理制度执行情况</w:t>
      </w:r>
      <w:r>
        <w:rPr>
          <w:rFonts w:hint="eastAsia" w:ascii="仿宋_GB2312" w:hAnsi="仿宋_GB2312" w:eastAsia="仿宋_GB2312" w:cs="仿宋_GB2312"/>
          <w:b w:val="0"/>
          <w:bCs w:val="0"/>
          <w:spacing w:val="20"/>
          <w:kern w:val="2"/>
          <w:sz w:val="28"/>
          <w:szCs w:val="28"/>
          <w:lang w:val="en-US" w:eastAsia="zh-CN" w:bidi="ar-SA"/>
        </w:rPr>
        <w:t>：通过实地调查、现场查阅资料，项目实施单位制订的管理制度实施单位部分得到执行，相关记录较为规范。</w:t>
      </w:r>
    </w:p>
    <w:p w14:paraId="4F72794D">
      <w:pPr>
        <w:topLinePunct/>
        <w:spacing w:line="579" w:lineRule="exact"/>
        <w:ind w:firstLine="640" w:firstLineChars="200"/>
        <w:rPr>
          <w:rFonts w:ascii="仿宋" w:hAnsi="仿宋" w:eastAsia="仿宋_GB2312"/>
          <w:sz w:val="30"/>
          <w:szCs w:val="30"/>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04B0C8B8">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B322.监管措施执行情况</w:t>
      </w:r>
      <w:r>
        <w:rPr>
          <w:rFonts w:hint="eastAsia" w:ascii="仿宋_GB2312" w:hAnsi="仿宋_GB2312" w:eastAsia="仿宋_GB2312" w:cs="仿宋_GB2312"/>
          <w:b w:val="0"/>
          <w:bCs w:val="0"/>
          <w:spacing w:val="20"/>
          <w:kern w:val="2"/>
          <w:sz w:val="28"/>
          <w:szCs w:val="28"/>
          <w:lang w:val="en-US" w:eastAsia="zh-CN" w:bidi="ar-SA"/>
        </w:rPr>
        <w:t>：通过实地调查、现场查阅资料，实施单位及时提交部分相关台账、日报表、月报表等材料，主管单位的工作人员也有效执行各项日常管理和监管工作。</w:t>
      </w:r>
    </w:p>
    <w:p w14:paraId="205F9229">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64AD580D">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B323.合同执行情况</w:t>
      </w:r>
      <w:r>
        <w:rPr>
          <w:rFonts w:hint="eastAsia" w:ascii="仿宋_GB2312" w:hAnsi="仿宋_GB2312" w:eastAsia="仿宋_GB2312" w:cs="仿宋_GB2312"/>
          <w:b w:val="0"/>
          <w:bCs w:val="0"/>
          <w:spacing w:val="20"/>
          <w:kern w:val="2"/>
          <w:sz w:val="28"/>
          <w:szCs w:val="28"/>
          <w:lang w:val="en-US" w:eastAsia="zh-CN" w:bidi="ar-SA"/>
        </w:rPr>
        <w:t>：通过梳理各子项目合同约定内容和实际实施情况，签订的合同规定的工作职责、服务内容、质量要求等内容均已有效执行。</w:t>
      </w:r>
    </w:p>
    <w:p w14:paraId="4CB3E5CF">
      <w:pPr>
        <w:topLinePunct/>
        <w:spacing w:line="579" w:lineRule="exact"/>
        <w:ind w:firstLine="640" w:firstLineChars="200"/>
        <w:rPr>
          <w:rStyle w:val="12"/>
          <w:rFonts w:ascii="仿宋" w:hAnsi="仿宋" w:eastAsia="仿宋_GB2312" w:cs="Times New Roman"/>
          <w:color w:val="auto"/>
          <w:sz w:val="30"/>
          <w:szCs w:val="30"/>
          <w:shd w:val="clear" w:color="auto" w:fill="auto"/>
          <w:lang w:val="en-US"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该项指标满分为2分，根据评分标准得2分。</w:t>
      </w:r>
    </w:p>
    <w:p w14:paraId="7E9D8B42">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B324.台账记录规范性</w:t>
      </w:r>
      <w:r>
        <w:rPr>
          <w:rFonts w:hint="eastAsia" w:ascii="仿宋_GB2312" w:hAnsi="仿宋_GB2312" w:eastAsia="仿宋_GB2312" w:cs="仿宋_GB2312"/>
          <w:b w:val="0"/>
          <w:bCs w:val="0"/>
          <w:spacing w:val="20"/>
          <w:kern w:val="2"/>
          <w:sz w:val="28"/>
          <w:szCs w:val="28"/>
          <w:lang w:val="en-US" w:eastAsia="zh-CN" w:bidi="ar-SA"/>
        </w:rPr>
        <w:t>：通过查阅相关台账记录，本项目各环节均已做了详细的台账记录，记录内容符合相关法律法规和主管部门的要求，可真实反映项目进度情况。</w:t>
      </w:r>
    </w:p>
    <w:p w14:paraId="586DAEDE">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该项指标满分为2分，根据评分标准得2分。</w:t>
      </w:r>
    </w:p>
    <w:p w14:paraId="20996218">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86" w:firstLineChars="200"/>
        <w:textAlignment w:val="auto"/>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B33.政府采购规范性</w:t>
      </w:r>
    </w:p>
    <w:p w14:paraId="12C389F2">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B331.采购方式合规性</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盘龙区环境保护局通过公开招投标、邀标、询价比选等方式开展本项目政府采购。采购方式符合中央、省、市的相关要求。</w:t>
      </w:r>
    </w:p>
    <w:p w14:paraId="28FA7F5C">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该项指标满分1分，根据评分标准得1分。</w:t>
      </w:r>
    </w:p>
    <w:p w14:paraId="33ED176A">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cs="Times New Roman"/>
          <w:spacing w:val="6"/>
          <w:kern w:val="0"/>
          <w:sz w:val="28"/>
          <w:szCs w:val="28"/>
          <w:highlight w:val="none"/>
          <w:u w:val="none"/>
          <w:lang w:val="en-US" w:eastAsia="zh-CN" w:bidi="ar-SA"/>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B332.采购流程规范性</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盘龙区环境保护局针对政府采购，严格按照</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cs="Times New Roman"/>
          <w:spacing w:val="6"/>
          <w:kern w:val="0"/>
          <w:sz w:val="28"/>
          <w:szCs w:val="28"/>
          <w:highlight w:val="none"/>
          <w:u w:val="none"/>
          <w:lang w:val="en-US" w:eastAsia="zh-CN" w:bidi="ar-SA"/>
        </w:rPr>
        <w:t>昆明市盘龙区环境保护局采购管理内部控制流程（修订稿）》执行，采购流程符合相关规定。</w:t>
      </w:r>
    </w:p>
    <w:p w14:paraId="2710E182">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84" w:firstLineChars="200"/>
        <w:textAlignment w:val="auto"/>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55374A0E">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3.项目绩效分析</w:t>
      </w:r>
    </w:p>
    <w:p w14:paraId="714591BB">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项目绩效类指标包括项目产出和项目效益两方面内容，由8个三级指标构成，共细化分解为11个四级指标。权重分60分，实际得分58分，得分率96.67%。</w:t>
      </w:r>
    </w:p>
    <w:p w14:paraId="6CA3B960">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（1）项目产出</w:t>
      </w:r>
    </w:p>
    <w:p w14:paraId="3B4FAD7A">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项目产出类指标主要包括大气自动监测站日常工作完成情况、大气自动监测站数据收集完成情况、成本控制率、项目完成及时性等3个方面，并尽量细化分解为大气自动监测站日常巡查完成情况、大气自动监测站硬件设施使用率、大气自动监测站各数据每日收集情况、大气自动监测站日平均浓度检测完成情况、大气自动监测站运行维护成本控制率和完成及时率等内容。各指标的业绩值和实际得分详见表11。</w:t>
      </w:r>
    </w:p>
    <w:p w14:paraId="299B95D7">
      <w:pPr>
        <w:topLinePunct/>
        <w:spacing w:line="579" w:lineRule="exact"/>
        <w:ind w:firstLine="480" w:firstLineChars="200"/>
        <w:jc w:val="center"/>
        <w:rPr>
          <w:rFonts w:hint="eastAsia" w:ascii="黑体" w:hAnsi="黑体" w:eastAsia="黑体" w:cs="黑体"/>
          <w:b w:val="0"/>
          <w:bCs w:val="0"/>
          <w:color w:val="000000"/>
          <w:sz w:val="24"/>
          <w:szCs w:val="24"/>
          <w:lang w:val="zh-CN" w:bidi="zh-CN"/>
        </w:rPr>
      </w:pPr>
      <w:r>
        <w:rPr>
          <w:rFonts w:hint="eastAsia" w:ascii="黑体" w:hAnsi="黑体" w:eastAsia="黑体" w:cs="黑体"/>
          <w:b w:val="0"/>
          <w:bCs w:val="0"/>
          <w:color w:val="000000"/>
          <w:sz w:val="24"/>
          <w:szCs w:val="24"/>
          <w:lang w:val="zh-CN" w:bidi="zh-CN"/>
        </w:rPr>
        <w:t>表11  项目产出指标评分表</w:t>
      </w:r>
    </w:p>
    <w:tbl>
      <w:tblPr>
        <w:tblStyle w:val="8"/>
        <w:tblW w:w="5000" w:type="pct"/>
        <w:jc w:val="center"/>
        <w:tblLayout w:type="autofit"/>
        <w:tblCellMar>
          <w:top w:w="0" w:type="dxa"/>
          <w:left w:w="10" w:type="dxa"/>
          <w:bottom w:w="0" w:type="dxa"/>
          <w:right w:w="10" w:type="dxa"/>
        </w:tblCellMar>
      </w:tblPr>
      <w:tblGrid>
        <w:gridCol w:w="4832"/>
        <w:gridCol w:w="996"/>
        <w:gridCol w:w="1354"/>
        <w:gridCol w:w="1144"/>
      </w:tblGrid>
      <w:tr w14:paraId="686F3122">
        <w:tblPrEx>
          <w:tblCellMar>
            <w:top w:w="0" w:type="dxa"/>
            <w:left w:w="10" w:type="dxa"/>
            <w:bottom w:w="0" w:type="dxa"/>
            <w:right w:w="10" w:type="dxa"/>
          </w:tblCellMar>
        </w:tblPrEx>
        <w:trPr>
          <w:trHeight w:val="556" w:hRule="atLeast"/>
          <w:jc w:val="center"/>
        </w:trPr>
        <w:tc>
          <w:tcPr>
            <w:tcW w:w="2901" w:type="pct"/>
            <w:tcBorders>
              <w:top w:val="single" w:color="auto" w:sz="4" w:space="0"/>
              <w:left w:val="single" w:color="auto" w:sz="4" w:space="0"/>
            </w:tcBorders>
            <w:shd w:val="clear" w:color="auto" w:fill="FFFFFF"/>
            <w:vAlign w:val="bottom"/>
          </w:tcPr>
          <w:p w14:paraId="6346F1C1">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598" w:type="pct"/>
            <w:tcBorders>
              <w:top w:val="single" w:color="auto" w:sz="4" w:space="0"/>
              <w:left w:val="single" w:color="auto" w:sz="4" w:space="0"/>
            </w:tcBorders>
            <w:shd w:val="clear" w:color="auto" w:fill="FFFFFF"/>
            <w:vAlign w:val="bottom"/>
          </w:tcPr>
          <w:p w14:paraId="34F1775B">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813" w:type="pct"/>
            <w:tcBorders>
              <w:top w:val="single" w:color="auto" w:sz="4" w:space="0"/>
              <w:left w:val="single" w:color="auto" w:sz="4" w:space="0"/>
            </w:tcBorders>
            <w:shd w:val="clear" w:color="auto" w:fill="FFFFFF"/>
            <w:vAlign w:val="bottom"/>
          </w:tcPr>
          <w:p w14:paraId="1896D34E">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687" w:type="pct"/>
            <w:tcBorders>
              <w:top w:val="single" w:color="auto" w:sz="4" w:space="0"/>
              <w:left w:val="single" w:color="auto" w:sz="4" w:space="0"/>
              <w:right w:val="single" w:color="auto" w:sz="4" w:space="0"/>
            </w:tcBorders>
            <w:shd w:val="clear" w:color="auto" w:fill="FFFFFF"/>
            <w:vAlign w:val="bottom"/>
          </w:tcPr>
          <w:p w14:paraId="64BFFACF">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2C452424">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7CEDB6D9">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C11.大气自动监测站日常工作完成情况</w:t>
            </w:r>
          </w:p>
        </w:tc>
        <w:tc>
          <w:tcPr>
            <w:tcW w:w="598" w:type="pct"/>
            <w:tcBorders>
              <w:top w:val="single" w:color="auto" w:sz="4" w:space="0"/>
              <w:left w:val="single" w:color="auto" w:sz="4" w:space="0"/>
            </w:tcBorders>
            <w:shd w:val="clear" w:color="auto" w:fill="FFFFFF"/>
          </w:tcPr>
          <w:p w14:paraId="771C46D5">
            <w:pPr>
              <w:pStyle w:val="11"/>
              <w:shd w:val="clear" w:color="auto" w:fill="auto"/>
              <w:spacing w:after="0" w:line="360" w:lineRule="auto"/>
              <w:rPr>
                <w:rStyle w:val="12"/>
                <w:rFonts w:ascii="仿宋" w:hAnsi="仿宋" w:eastAsia="仿宋_GB2312"/>
                <w:sz w:val="24"/>
                <w:szCs w:val="24"/>
              </w:rPr>
            </w:pPr>
          </w:p>
        </w:tc>
        <w:tc>
          <w:tcPr>
            <w:tcW w:w="813" w:type="pct"/>
            <w:tcBorders>
              <w:top w:val="single" w:color="auto" w:sz="4" w:space="0"/>
              <w:left w:val="single" w:color="auto" w:sz="4" w:space="0"/>
            </w:tcBorders>
            <w:shd w:val="clear" w:color="auto" w:fill="FFFFFF"/>
          </w:tcPr>
          <w:p w14:paraId="2991DCF5">
            <w:pPr>
              <w:pStyle w:val="11"/>
              <w:shd w:val="clear" w:color="auto" w:fill="auto"/>
              <w:spacing w:after="0" w:line="360" w:lineRule="auto"/>
              <w:rPr>
                <w:rStyle w:val="12"/>
                <w:rFonts w:ascii="仿宋" w:hAnsi="仿宋" w:eastAsia="仿宋_GB2312"/>
                <w:sz w:val="24"/>
                <w:szCs w:val="24"/>
              </w:rPr>
            </w:pPr>
          </w:p>
        </w:tc>
        <w:tc>
          <w:tcPr>
            <w:tcW w:w="687" w:type="pct"/>
            <w:tcBorders>
              <w:top w:val="single" w:color="auto" w:sz="4" w:space="0"/>
              <w:left w:val="single" w:color="auto" w:sz="4" w:space="0"/>
              <w:right w:val="single" w:color="auto" w:sz="4" w:space="0"/>
            </w:tcBorders>
            <w:shd w:val="clear" w:color="auto" w:fill="FFFFFF"/>
          </w:tcPr>
          <w:p w14:paraId="6099660E">
            <w:pPr>
              <w:pStyle w:val="11"/>
              <w:shd w:val="clear" w:color="auto" w:fill="auto"/>
              <w:spacing w:after="0" w:line="360" w:lineRule="auto"/>
              <w:rPr>
                <w:rStyle w:val="12"/>
                <w:rFonts w:ascii="仿宋" w:hAnsi="仿宋" w:eastAsia="仿宋_GB2312"/>
                <w:sz w:val="24"/>
                <w:szCs w:val="24"/>
              </w:rPr>
            </w:pPr>
          </w:p>
        </w:tc>
      </w:tr>
      <w:tr w14:paraId="19CC4196">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7FEC2843">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C111.大气自动监测站日常巡查完成情况</w:t>
            </w:r>
          </w:p>
        </w:tc>
        <w:tc>
          <w:tcPr>
            <w:tcW w:w="598" w:type="pct"/>
            <w:tcBorders>
              <w:top w:val="single" w:color="auto" w:sz="4" w:space="0"/>
              <w:left w:val="single" w:color="auto" w:sz="4" w:space="0"/>
              <w:bottom w:val="single" w:color="auto" w:sz="4" w:space="0"/>
            </w:tcBorders>
            <w:shd w:val="clear" w:color="auto" w:fill="FFFFFF"/>
            <w:vAlign w:val="bottom"/>
          </w:tcPr>
          <w:p w14:paraId="449F9FE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813" w:type="pct"/>
            <w:tcBorders>
              <w:top w:val="single" w:color="auto" w:sz="4" w:space="0"/>
              <w:left w:val="single" w:color="auto" w:sz="4" w:space="0"/>
              <w:bottom w:val="single" w:color="auto" w:sz="4" w:space="0"/>
            </w:tcBorders>
            <w:shd w:val="clear" w:color="auto" w:fill="FFFFFF"/>
            <w:vAlign w:val="center"/>
          </w:tcPr>
          <w:p w14:paraId="001ED6F3">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完成</w:t>
            </w:r>
          </w:p>
        </w:tc>
        <w:tc>
          <w:tcPr>
            <w:tcW w:w="687" w:type="pct"/>
            <w:tcBorders>
              <w:top w:val="single" w:color="auto" w:sz="4" w:space="0"/>
              <w:left w:val="single" w:color="auto" w:sz="4" w:space="0"/>
              <w:bottom w:val="single" w:color="auto" w:sz="4" w:space="0"/>
              <w:right w:val="single" w:color="auto" w:sz="4" w:space="0"/>
            </w:tcBorders>
            <w:shd w:val="clear" w:color="auto" w:fill="FFFFFF"/>
            <w:vAlign w:val="bottom"/>
          </w:tcPr>
          <w:p w14:paraId="5F1C7299">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01A0FA75">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tcPr>
          <w:p w14:paraId="261231F9">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C112.大气自动监测站硬件设施使用率</w:t>
            </w:r>
          </w:p>
        </w:tc>
        <w:tc>
          <w:tcPr>
            <w:tcW w:w="598" w:type="pct"/>
            <w:tcBorders>
              <w:top w:val="single" w:color="auto" w:sz="4" w:space="0"/>
              <w:left w:val="single" w:color="auto" w:sz="4" w:space="0"/>
              <w:bottom w:val="single" w:color="auto" w:sz="4" w:space="0"/>
            </w:tcBorders>
            <w:shd w:val="clear" w:color="auto" w:fill="FFFFFF"/>
          </w:tcPr>
          <w:p w14:paraId="5BC400E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813" w:type="pct"/>
            <w:tcBorders>
              <w:top w:val="single" w:color="auto" w:sz="4" w:space="0"/>
              <w:left w:val="single" w:color="auto" w:sz="4" w:space="0"/>
              <w:bottom w:val="single" w:color="auto" w:sz="4" w:space="0"/>
            </w:tcBorders>
            <w:shd w:val="clear" w:color="auto" w:fill="FFFFFF"/>
          </w:tcPr>
          <w:p w14:paraId="079E0E61">
            <w:pPr>
              <w:pStyle w:val="11"/>
              <w:shd w:val="clear" w:color="auto" w:fill="auto"/>
              <w:spacing w:after="0" w:line="360" w:lineRule="auto"/>
              <w:rPr>
                <w:rStyle w:val="12"/>
                <w:rFonts w:hint="default" w:ascii="宋体" w:hAnsi="宋体" w:eastAsia="宋体" w:cs="宋体"/>
                <w:sz w:val="21"/>
                <w:szCs w:val="21"/>
                <w:lang w:val="en-US"/>
              </w:rPr>
            </w:pPr>
            <w:r>
              <w:rPr>
                <w:rStyle w:val="12"/>
                <w:rFonts w:hint="eastAsia" w:cs="宋体"/>
                <w:sz w:val="21"/>
                <w:szCs w:val="21"/>
                <w:lang w:val="en-US"/>
              </w:rPr>
              <w:t>完成</w:t>
            </w:r>
          </w:p>
        </w:tc>
        <w:tc>
          <w:tcPr>
            <w:tcW w:w="687" w:type="pct"/>
            <w:tcBorders>
              <w:top w:val="single" w:color="auto" w:sz="4" w:space="0"/>
              <w:left w:val="single" w:color="auto" w:sz="4" w:space="0"/>
              <w:bottom w:val="single" w:color="auto" w:sz="4" w:space="0"/>
              <w:right w:val="single" w:color="auto" w:sz="4" w:space="0"/>
            </w:tcBorders>
            <w:shd w:val="clear" w:color="auto" w:fill="FFFFFF"/>
          </w:tcPr>
          <w:p w14:paraId="2852303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62A5CBBD">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11F478C4">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C12.大气自动监测站数据收集完成情况</w:t>
            </w:r>
          </w:p>
        </w:tc>
        <w:tc>
          <w:tcPr>
            <w:tcW w:w="598" w:type="pct"/>
            <w:tcBorders>
              <w:top w:val="single" w:color="auto" w:sz="4" w:space="0"/>
              <w:left w:val="single" w:color="auto" w:sz="4" w:space="0"/>
            </w:tcBorders>
            <w:shd w:val="clear" w:color="auto" w:fill="FFFFFF"/>
          </w:tcPr>
          <w:p w14:paraId="4F173FC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813" w:type="pct"/>
            <w:tcBorders>
              <w:top w:val="single" w:color="auto" w:sz="4" w:space="0"/>
              <w:left w:val="single" w:color="auto" w:sz="4" w:space="0"/>
            </w:tcBorders>
            <w:shd w:val="clear" w:color="auto" w:fill="FFFFFF"/>
          </w:tcPr>
          <w:p w14:paraId="54B3115E">
            <w:pPr>
              <w:pStyle w:val="11"/>
              <w:shd w:val="clear" w:color="auto" w:fill="auto"/>
              <w:spacing w:after="0" w:line="360" w:lineRule="auto"/>
              <w:rPr>
                <w:rStyle w:val="12"/>
                <w:rFonts w:hint="eastAsia" w:ascii="宋体" w:hAnsi="宋体" w:eastAsia="宋体" w:cs="宋体"/>
                <w:sz w:val="21"/>
                <w:szCs w:val="21"/>
              </w:rPr>
            </w:pPr>
          </w:p>
        </w:tc>
        <w:tc>
          <w:tcPr>
            <w:tcW w:w="687" w:type="pct"/>
            <w:tcBorders>
              <w:top w:val="single" w:color="auto" w:sz="4" w:space="0"/>
              <w:left w:val="single" w:color="auto" w:sz="4" w:space="0"/>
              <w:right w:val="single" w:color="auto" w:sz="4" w:space="0"/>
            </w:tcBorders>
            <w:shd w:val="clear" w:color="auto" w:fill="FFFFFF"/>
          </w:tcPr>
          <w:p w14:paraId="7C85ACC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66A6DCD0">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361683CB">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C121.大气自动监测站各数据每日收集情况</w:t>
            </w:r>
          </w:p>
        </w:tc>
        <w:tc>
          <w:tcPr>
            <w:tcW w:w="598" w:type="pct"/>
            <w:tcBorders>
              <w:top w:val="single" w:color="auto" w:sz="4" w:space="0"/>
              <w:left w:val="single" w:color="auto" w:sz="4" w:space="0"/>
            </w:tcBorders>
            <w:shd w:val="clear" w:color="auto" w:fill="FFFFFF"/>
          </w:tcPr>
          <w:p w14:paraId="441238A9">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6</w:t>
            </w:r>
          </w:p>
        </w:tc>
        <w:tc>
          <w:tcPr>
            <w:tcW w:w="813" w:type="pct"/>
            <w:tcBorders>
              <w:top w:val="single" w:color="auto" w:sz="4" w:space="0"/>
              <w:left w:val="single" w:color="auto" w:sz="4" w:space="0"/>
            </w:tcBorders>
            <w:shd w:val="clear" w:color="auto" w:fill="FFFFFF"/>
          </w:tcPr>
          <w:p w14:paraId="3C816F7B">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完成</w:t>
            </w:r>
          </w:p>
        </w:tc>
        <w:tc>
          <w:tcPr>
            <w:tcW w:w="687" w:type="pct"/>
            <w:tcBorders>
              <w:top w:val="single" w:color="auto" w:sz="4" w:space="0"/>
              <w:left w:val="single" w:color="auto" w:sz="4" w:space="0"/>
              <w:right w:val="single" w:color="auto" w:sz="4" w:space="0"/>
            </w:tcBorders>
            <w:shd w:val="clear" w:color="auto" w:fill="FFFFFF"/>
          </w:tcPr>
          <w:p w14:paraId="34C3AEF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6</w:t>
            </w:r>
          </w:p>
        </w:tc>
      </w:tr>
      <w:tr w14:paraId="5DC5831C">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31429B41">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C122.大气自动监测站日平均浓度检测完成情况</w:t>
            </w:r>
          </w:p>
        </w:tc>
        <w:tc>
          <w:tcPr>
            <w:tcW w:w="598" w:type="pct"/>
            <w:tcBorders>
              <w:top w:val="single" w:color="auto" w:sz="4" w:space="0"/>
              <w:left w:val="single" w:color="auto" w:sz="4" w:space="0"/>
            </w:tcBorders>
            <w:shd w:val="clear" w:color="auto" w:fill="FFFFFF"/>
          </w:tcPr>
          <w:p w14:paraId="7608A96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813" w:type="pct"/>
            <w:tcBorders>
              <w:top w:val="single" w:color="auto" w:sz="4" w:space="0"/>
              <w:left w:val="single" w:color="auto" w:sz="4" w:space="0"/>
            </w:tcBorders>
            <w:shd w:val="clear" w:color="auto" w:fill="FFFFFF"/>
          </w:tcPr>
          <w:p w14:paraId="554BF8C0">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达标</w:t>
            </w:r>
          </w:p>
        </w:tc>
        <w:tc>
          <w:tcPr>
            <w:tcW w:w="687" w:type="pct"/>
            <w:tcBorders>
              <w:top w:val="single" w:color="auto" w:sz="4" w:space="0"/>
              <w:left w:val="single" w:color="auto" w:sz="4" w:space="0"/>
              <w:right w:val="single" w:color="auto" w:sz="4" w:space="0"/>
            </w:tcBorders>
            <w:shd w:val="clear" w:color="auto" w:fill="FFFFFF"/>
          </w:tcPr>
          <w:p w14:paraId="5ACA3FD9">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4645E876">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6002D61E">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C13.成本控制率</w:t>
            </w:r>
          </w:p>
        </w:tc>
        <w:tc>
          <w:tcPr>
            <w:tcW w:w="598" w:type="pct"/>
            <w:tcBorders>
              <w:top w:val="single" w:color="auto" w:sz="4" w:space="0"/>
              <w:left w:val="single" w:color="auto" w:sz="4" w:space="0"/>
            </w:tcBorders>
            <w:shd w:val="clear" w:color="auto" w:fill="FFFFFF"/>
          </w:tcPr>
          <w:p w14:paraId="3EE79B6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813" w:type="pct"/>
            <w:tcBorders>
              <w:top w:val="single" w:color="auto" w:sz="4" w:space="0"/>
              <w:left w:val="single" w:color="auto" w:sz="4" w:space="0"/>
            </w:tcBorders>
            <w:shd w:val="clear" w:color="auto" w:fill="FFFFFF"/>
          </w:tcPr>
          <w:p w14:paraId="382655E3">
            <w:pPr>
              <w:pStyle w:val="11"/>
              <w:shd w:val="clear" w:color="auto" w:fill="auto"/>
              <w:spacing w:after="0" w:line="360" w:lineRule="auto"/>
              <w:rPr>
                <w:rStyle w:val="12"/>
                <w:rFonts w:hint="eastAsia" w:ascii="宋体" w:hAnsi="宋体" w:eastAsia="宋体" w:cs="宋体"/>
                <w:sz w:val="21"/>
                <w:szCs w:val="21"/>
              </w:rPr>
            </w:pPr>
          </w:p>
        </w:tc>
        <w:tc>
          <w:tcPr>
            <w:tcW w:w="687" w:type="pct"/>
            <w:tcBorders>
              <w:top w:val="single" w:color="auto" w:sz="4" w:space="0"/>
              <w:left w:val="single" w:color="auto" w:sz="4" w:space="0"/>
              <w:right w:val="single" w:color="auto" w:sz="4" w:space="0"/>
            </w:tcBorders>
            <w:shd w:val="clear" w:color="auto" w:fill="FFFFFF"/>
          </w:tcPr>
          <w:p w14:paraId="2051C9F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6B40DE01">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0A3FC747">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C131.大气自动监测站运行维护成本控制率</w:t>
            </w:r>
          </w:p>
        </w:tc>
        <w:tc>
          <w:tcPr>
            <w:tcW w:w="598" w:type="pct"/>
            <w:tcBorders>
              <w:top w:val="single" w:color="auto" w:sz="4" w:space="0"/>
              <w:left w:val="single" w:color="auto" w:sz="4" w:space="0"/>
            </w:tcBorders>
            <w:shd w:val="clear" w:color="auto" w:fill="FFFFFF"/>
          </w:tcPr>
          <w:p w14:paraId="23F8308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5</w:t>
            </w:r>
          </w:p>
        </w:tc>
        <w:tc>
          <w:tcPr>
            <w:tcW w:w="813" w:type="pct"/>
            <w:tcBorders>
              <w:top w:val="single" w:color="auto" w:sz="4" w:space="0"/>
              <w:left w:val="single" w:color="auto" w:sz="4" w:space="0"/>
            </w:tcBorders>
            <w:shd w:val="clear" w:color="auto" w:fill="FFFFFF"/>
          </w:tcPr>
          <w:p w14:paraId="3B9EE14C">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达标</w:t>
            </w:r>
          </w:p>
        </w:tc>
        <w:tc>
          <w:tcPr>
            <w:tcW w:w="687" w:type="pct"/>
            <w:tcBorders>
              <w:top w:val="single" w:color="auto" w:sz="4" w:space="0"/>
              <w:left w:val="single" w:color="auto" w:sz="4" w:space="0"/>
              <w:right w:val="single" w:color="auto" w:sz="4" w:space="0"/>
            </w:tcBorders>
            <w:shd w:val="clear" w:color="auto" w:fill="FFFFFF"/>
          </w:tcPr>
          <w:p w14:paraId="272284B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3F68D480">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1BD6366B">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C14.项目完成及时率</w:t>
            </w:r>
          </w:p>
        </w:tc>
        <w:tc>
          <w:tcPr>
            <w:tcW w:w="598" w:type="pct"/>
            <w:tcBorders>
              <w:top w:val="single" w:color="auto" w:sz="4" w:space="0"/>
              <w:left w:val="single" w:color="auto" w:sz="4" w:space="0"/>
              <w:bottom w:val="single" w:color="auto" w:sz="4" w:space="0"/>
            </w:tcBorders>
            <w:shd w:val="clear" w:color="auto" w:fill="FFFFFF"/>
            <w:vAlign w:val="center"/>
          </w:tcPr>
          <w:p w14:paraId="6D82F12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813" w:type="pct"/>
            <w:tcBorders>
              <w:top w:val="single" w:color="auto" w:sz="4" w:space="0"/>
              <w:left w:val="single" w:color="auto" w:sz="4" w:space="0"/>
              <w:bottom w:val="single" w:color="auto" w:sz="4" w:space="0"/>
            </w:tcBorders>
            <w:shd w:val="clear" w:color="auto" w:fill="FFFFFF"/>
          </w:tcPr>
          <w:p w14:paraId="16365428">
            <w:pPr>
              <w:spacing w:line="360" w:lineRule="auto"/>
              <w:rPr>
                <w:rFonts w:hint="eastAsia" w:ascii="宋体" w:hAnsi="宋体" w:eastAsia="宋体" w:cs="宋体"/>
                <w:b/>
                <w:bCs/>
                <w:sz w:val="21"/>
                <w:szCs w:val="21"/>
              </w:rPr>
            </w:pPr>
          </w:p>
        </w:tc>
        <w:tc>
          <w:tcPr>
            <w:tcW w:w="687" w:type="pct"/>
            <w:tcBorders>
              <w:top w:val="single" w:color="auto" w:sz="4" w:space="0"/>
              <w:left w:val="single" w:color="auto" w:sz="4" w:space="0"/>
              <w:bottom w:val="single" w:color="auto" w:sz="4" w:space="0"/>
              <w:right w:val="single" w:color="auto" w:sz="4" w:space="0"/>
            </w:tcBorders>
            <w:shd w:val="clear" w:color="auto" w:fill="FFFFFF"/>
            <w:vAlign w:val="center"/>
          </w:tcPr>
          <w:p w14:paraId="0756066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727F35D4">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56C90009">
            <w:pPr>
              <w:pStyle w:val="11"/>
              <w:shd w:val="clear" w:color="auto" w:fill="auto"/>
              <w:spacing w:after="0" w:line="360" w:lineRule="auto"/>
              <w:ind w:firstLine="420" w:firstLineChars="200"/>
              <w:jc w:val="both"/>
              <w:rPr>
                <w:rStyle w:val="12"/>
                <w:rFonts w:hint="eastAsia" w:ascii="宋体" w:hAnsi="宋体" w:eastAsia="宋体" w:cs="宋体"/>
                <w:sz w:val="21"/>
                <w:szCs w:val="21"/>
                <w:lang w:val="en-US" w:eastAsia="zh-CN"/>
              </w:rPr>
            </w:pPr>
            <w:r>
              <w:rPr>
                <w:rStyle w:val="12"/>
                <w:rFonts w:hint="eastAsia" w:ascii="宋体" w:hAnsi="宋体" w:eastAsia="宋体" w:cs="宋体"/>
                <w:sz w:val="21"/>
                <w:szCs w:val="21"/>
                <w:lang w:val="en-US" w:eastAsia="zh-CN"/>
              </w:rPr>
              <w:t>C141.完成及时率</w:t>
            </w:r>
          </w:p>
        </w:tc>
        <w:tc>
          <w:tcPr>
            <w:tcW w:w="598" w:type="pct"/>
            <w:tcBorders>
              <w:top w:val="single" w:color="auto" w:sz="4" w:space="0"/>
              <w:left w:val="single" w:color="auto" w:sz="4" w:space="0"/>
              <w:bottom w:val="single" w:color="auto" w:sz="4" w:space="0"/>
            </w:tcBorders>
            <w:shd w:val="clear" w:color="auto" w:fill="FFFFFF"/>
            <w:vAlign w:val="center"/>
          </w:tcPr>
          <w:p w14:paraId="12033C79">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4</w:t>
            </w:r>
          </w:p>
        </w:tc>
        <w:tc>
          <w:tcPr>
            <w:tcW w:w="813" w:type="pct"/>
            <w:tcBorders>
              <w:top w:val="single" w:color="auto" w:sz="4" w:space="0"/>
              <w:left w:val="single" w:color="auto" w:sz="4" w:space="0"/>
              <w:bottom w:val="single" w:color="auto" w:sz="4" w:space="0"/>
            </w:tcBorders>
            <w:shd w:val="clear" w:color="auto" w:fill="FFFFFF"/>
            <w:vAlign w:val="top"/>
          </w:tcPr>
          <w:p w14:paraId="15D6B922">
            <w:pPr>
              <w:spacing w:line="360" w:lineRule="auto"/>
              <w:jc w:val="center"/>
              <w:rPr>
                <w:rFonts w:hint="default" w:ascii="宋体" w:hAnsi="宋体" w:eastAsia="宋体" w:cs="宋体"/>
                <w:b/>
                <w:bCs/>
                <w:kern w:val="2"/>
                <w:sz w:val="21"/>
                <w:szCs w:val="21"/>
                <w:lang w:val="en-US" w:eastAsia="zh-CN" w:bidi="ar-SA"/>
              </w:rPr>
            </w:pPr>
            <w:r>
              <w:rPr>
                <w:rStyle w:val="12"/>
                <w:rFonts w:hint="eastAsia"/>
                <w:kern w:val="2"/>
                <w:lang w:val="en-US" w:eastAsia="zh-CN"/>
              </w:rPr>
              <w:t>达标</w:t>
            </w:r>
          </w:p>
        </w:tc>
        <w:tc>
          <w:tcPr>
            <w:tcW w:w="687" w:type="pct"/>
            <w:tcBorders>
              <w:top w:val="single" w:color="auto" w:sz="4" w:space="0"/>
              <w:left w:val="single" w:color="auto" w:sz="4" w:space="0"/>
              <w:bottom w:val="single" w:color="auto" w:sz="4" w:space="0"/>
              <w:right w:val="single" w:color="auto" w:sz="4" w:space="0"/>
            </w:tcBorders>
            <w:shd w:val="clear" w:color="auto" w:fill="FFFFFF"/>
            <w:vAlign w:val="center"/>
          </w:tcPr>
          <w:p w14:paraId="67F7741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4</w:t>
            </w:r>
          </w:p>
        </w:tc>
      </w:tr>
      <w:tr w14:paraId="10C2F001">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76619C5F">
            <w:pPr>
              <w:pStyle w:val="11"/>
              <w:shd w:val="clear" w:color="auto" w:fill="auto"/>
              <w:spacing w:after="0" w:line="360" w:lineRule="auto"/>
              <w:rPr>
                <w:rFonts w:hint="eastAsia" w:ascii="宋体" w:hAnsi="宋体" w:eastAsia="宋体" w:cs="宋体"/>
                <w:b/>
                <w:bCs/>
                <w:spacing w:val="20"/>
                <w:kern w:val="2"/>
                <w:sz w:val="21"/>
                <w:szCs w:val="21"/>
                <w:lang w:val="en-US" w:eastAsia="zh-CN" w:bidi="ar-SA"/>
              </w:rPr>
            </w:pPr>
            <w:r>
              <w:rPr>
                <w:rStyle w:val="12"/>
                <w:rFonts w:hint="eastAsia" w:cs="宋体"/>
                <w:b w:val="0"/>
                <w:bCs w:val="0"/>
                <w:sz w:val="21"/>
                <w:szCs w:val="21"/>
              </w:rPr>
              <w:t>合计</w:t>
            </w:r>
          </w:p>
        </w:tc>
        <w:tc>
          <w:tcPr>
            <w:tcW w:w="598" w:type="pct"/>
            <w:tcBorders>
              <w:top w:val="single" w:color="auto" w:sz="4" w:space="0"/>
              <w:left w:val="single" w:color="auto" w:sz="4" w:space="0"/>
              <w:bottom w:val="single" w:color="auto" w:sz="4" w:space="0"/>
            </w:tcBorders>
            <w:shd w:val="clear" w:color="auto" w:fill="FFFFFF"/>
            <w:vAlign w:val="center"/>
          </w:tcPr>
          <w:p w14:paraId="528FCD3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30</w:t>
            </w:r>
          </w:p>
        </w:tc>
        <w:tc>
          <w:tcPr>
            <w:tcW w:w="813" w:type="pct"/>
            <w:tcBorders>
              <w:top w:val="single" w:color="auto" w:sz="4" w:space="0"/>
              <w:left w:val="single" w:color="auto" w:sz="4" w:space="0"/>
              <w:bottom w:val="single" w:color="auto" w:sz="4" w:space="0"/>
            </w:tcBorders>
            <w:shd w:val="clear" w:color="auto" w:fill="FFFFFF"/>
            <w:vAlign w:val="top"/>
          </w:tcPr>
          <w:p w14:paraId="79B5660C">
            <w:pPr>
              <w:spacing w:line="360" w:lineRule="auto"/>
              <w:rPr>
                <w:rFonts w:hint="eastAsia" w:ascii="宋体" w:hAnsi="宋体" w:eastAsia="宋体" w:cs="宋体"/>
                <w:b/>
                <w:bCs/>
                <w:kern w:val="2"/>
                <w:sz w:val="21"/>
                <w:szCs w:val="21"/>
                <w:lang w:val="en-US" w:eastAsia="zh-CN" w:bidi="ar-SA"/>
              </w:rPr>
            </w:pPr>
          </w:p>
        </w:tc>
        <w:tc>
          <w:tcPr>
            <w:tcW w:w="687" w:type="pct"/>
            <w:tcBorders>
              <w:top w:val="single" w:color="auto" w:sz="4" w:space="0"/>
              <w:left w:val="single" w:color="auto" w:sz="4" w:space="0"/>
              <w:bottom w:val="single" w:color="auto" w:sz="4" w:space="0"/>
              <w:right w:val="single" w:color="auto" w:sz="4" w:space="0"/>
            </w:tcBorders>
            <w:shd w:val="clear" w:color="auto" w:fill="FFFFFF"/>
            <w:vAlign w:val="center"/>
          </w:tcPr>
          <w:p w14:paraId="20FF6226">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30</w:t>
            </w:r>
          </w:p>
        </w:tc>
      </w:tr>
    </w:tbl>
    <w:p w14:paraId="1264ED2A">
      <w:pPr>
        <w:spacing w:line="590" w:lineRule="exact"/>
        <w:ind w:firstLine="586" w:firstLineChars="200"/>
        <w:rPr>
          <w:rFonts w:hint="eastAsia" w:ascii="仿宋_GB2312" w:hAnsi="仿宋" w:eastAsia="仿宋_GB2312"/>
          <w:b/>
          <w:bCs/>
          <w:spacing w:val="6"/>
          <w:kern w:val="0"/>
          <w:sz w:val="28"/>
          <w:szCs w:val="28"/>
          <w:highlight w:val="none"/>
          <w:lang w:val="en-US" w:eastAsia="zh-CN"/>
        </w:rPr>
      </w:pPr>
      <w:r>
        <w:rPr>
          <w:rFonts w:hint="eastAsia" w:ascii="仿宋_GB2312" w:hAnsi="仿宋" w:eastAsia="仿宋_GB2312"/>
          <w:b/>
          <w:bCs/>
          <w:spacing w:val="6"/>
          <w:kern w:val="0"/>
          <w:sz w:val="28"/>
          <w:szCs w:val="28"/>
          <w:highlight w:val="none"/>
          <w:lang w:val="en-US" w:eastAsia="zh-CN"/>
        </w:rPr>
        <w:t>C11.</w:t>
      </w:r>
      <w:r>
        <w:rPr>
          <w:rFonts w:hint="eastAsia" w:ascii="仿宋_GB2312" w:hAnsi="仿宋" w:eastAsia="仿宋_GB2312" w:cs="Times New Roman"/>
          <w:b/>
          <w:bCs/>
          <w:spacing w:val="6"/>
          <w:kern w:val="0"/>
          <w:sz w:val="28"/>
          <w:szCs w:val="28"/>
          <w:highlight w:val="none"/>
          <w:lang w:val="en-US" w:eastAsia="zh-CN"/>
        </w:rPr>
        <w:t>大气自动监测站日常工作完成情况</w:t>
      </w:r>
    </w:p>
    <w:p w14:paraId="31E0B87A">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C111.大气自动监测站日常巡查完成情况</w:t>
      </w:r>
      <w:r>
        <w:rPr>
          <w:rFonts w:hint="eastAsia" w:ascii="仿宋_GB2312" w:hAnsi="仿宋" w:eastAsia="仿宋_GB2312"/>
          <w:spacing w:val="6"/>
          <w:kern w:val="0"/>
          <w:sz w:val="28"/>
          <w:szCs w:val="28"/>
          <w:highlight w:val="none"/>
          <w:lang w:val="en-US" w:eastAsia="zh-CN"/>
        </w:rPr>
        <w:t>：根据检阅台账及查，截止评价日2019年12月31日该项目完成大气自动监测站巡查54次，达到目标。</w:t>
      </w:r>
    </w:p>
    <w:p w14:paraId="511CF5D8">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该项指标满分为5分，根据评分标准得5分。</w:t>
      </w:r>
    </w:p>
    <w:p w14:paraId="27FFE2AC">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C112.大气自动监测站硬件设施使用率</w:t>
      </w:r>
      <w:r>
        <w:rPr>
          <w:rFonts w:hint="eastAsia" w:ascii="仿宋_GB2312" w:hAnsi="仿宋" w:eastAsia="仿宋_GB2312"/>
          <w:spacing w:val="6"/>
          <w:kern w:val="0"/>
          <w:sz w:val="28"/>
          <w:szCs w:val="28"/>
          <w:highlight w:val="none"/>
          <w:lang w:val="en-US" w:eastAsia="zh-CN"/>
        </w:rPr>
        <w:t>：根据现场勘查及查看台账记录，截止评价日2019年12月31日该项目大气自动站共136件设备均全部开启使用，使用率100%。</w:t>
      </w:r>
    </w:p>
    <w:p w14:paraId="655CACE2">
      <w:pPr>
        <w:spacing w:line="590" w:lineRule="exact"/>
        <w:ind w:firstLine="584" w:firstLineChars="200"/>
        <w:rPr>
          <w:rStyle w:val="12"/>
          <w:rFonts w:ascii="仿宋_GB2312" w:hAnsi="仿宋_GB2312" w:eastAsia="仿宋_GB2312" w:cs="仿宋_GB2312"/>
          <w:color w:val="auto"/>
          <w:sz w:val="30"/>
          <w:szCs w:val="30"/>
          <w:shd w:val="clear" w:color="auto" w:fill="auto"/>
          <w:lang w:val="en-US" w:bidi="ar-SA"/>
        </w:rPr>
      </w:pPr>
      <w:r>
        <w:rPr>
          <w:rFonts w:hint="eastAsia" w:ascii="仿宋_GB2312" w:hAnsi="仿宋" w:eastAsia="仿宋_GB2312"/>
          <w:spacing w:val="6"/>
          <w:kern w:val="0"/>
          <w:sz w:val="28"/>
          <w:szCs w:val="28"/>
          <w:highlight w:val="none"/>
          <w:lang w:val="en-US" w:eastAsia="zh-CN"/>
        </w:rPr>
        <w:t>该项指标满分为5分，根据评分标准得5分。</w:t>
      </w:r>
    </w:p>
    <w:p w14:paraId="3365517C">
      <w:pPr>
        <w:spacing w:line="590" w:lineRule="exact"/>
        <w:ind w:firstLine="586" w:firstLineChars="200"/>
        <w:rPr>
          <w:rFonts w:hint="eastAsia" w:ascii="仿宋_GB2312" w:hAnsi="仿宋" w:eastAsia="仿宋_GB2312"/>
          <w:b/>
          <w:bCs/>
          <w:spacing w:val="6"/>
          <w:kern w:val="0"/>
          <w:sz w:val="28"/>
          <w:szCs w:val="28"/>
          <w:highlight w:val="none"/>
          <w:lang w:val="en-US" w:eastAsia="zh-CN"/>
        </w:rPr>
      </w:pPr>
      <w:r>
        <w:rPr>
          <w:rFonts w:hint="eastAsia" w:ascii="仿宋_GB2312" w:hAnsi="仿宋" w:eastAsia="仿宋_GB2312"/>
          <w:b/>
          <w:bCs/>
          <w:spacing w:val="6"/>
          <w:kern w:val="0"/>
          <w:sz w:val="28"/>
          <w:szCs w:val="28"/>
          <w:highlight w:val="none"/>
          <w:lang w:val="en-US" w:eastAsia="zh-CN"/>
        </w:rPr>
        <w:t>C12.大气自动监测站数据收集完成情况</w:t>
      </w:r>
    </w:p>
    <w:p w14:paraId="3C943C2B">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C121.大气自动监测站各数据每日收集情况</w:t>
      </w:r>
      <w:r>
        <w:rPr>
          <w:rFonts w:hint="eastAsia" w:ascii="仿宋_GB2312" w:hAnsi="仿宋" w:eastAsia="仿宋_GB2312"/>
          <w:spacing w:val="6"/>
          <w:kern w:val="0"/>
          <w:sz w:val="28"/>
          <w:szCs w:val="28"/>
          <w:highlight w:val="none"/>
          <w:lang w:val="en-US" w:eastAsia="zh-CN"/>
        </w:rPr>
        <w:t>：根据现场勘查、检阅台账及查看验收报告等相关文件，截止评价日2019年12月31日该项目完成每天完成收集PM10监测数据达到1440个，每天完成收集PM2.5监测数据达到1440个，每天完成收集气象五参数（温度、气压、湿度、风向、风速）监测数据达到24个，达到目标值。</w:t>
      </w:r>
    </w:p>
    <w:p w14:paraId="1A4002AB">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该项指标满分为6分，根据评分标准得6分。</w:t>
      </w:r>
    </w:p>
    <w:p w14:paraId="7903BAB0">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C122.大气自动监测站日平均浓度检测完成情况</w:t>
      </w:r>
      <w:r>
        <w:rPr>
          <w:rFonts w:hint="eastAsia" w:ascii="仿宋_GB2312" w:hAnsi="仿宋" w:eastAsia="仿宋_GB2312"/>
          <w:spacing w:val="6"/>
          <w:kern w:val="0"/>
          <w:sz w:val="28"/>
          <w:szCs w:val="28"/>
          <w:highlight w:val="none"/>
          <w:lang w:val="en-US" w:eastAsia="zh-CN"/>
        </w:rPr>
        <w:t>：据现场勘查、检阅台账及查看验收报告等相关文件，截止评价日2019年12月31日，该项目全年完成PM10、PM2.5的平均浓度检测达到365日，超过目标360日。</w:t>
      </w:r>
    </w:p>
    <w:p w14:paraId="720E644D">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该项指标满分为5分，根据评分标准得5分。</w:t>
      </w:r>
    </w:p>
    <w:p w14:paraId="0CE479E8">
      <w:pPr>
        <w:spacing w:line="590" w:lineRule="exact"/>
        <w:ind w:firstLine="586"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b/>
          <w:bCs/>
          <w:spacing w:val="6"/>
          <w:kern w:val="0"/>
          <w:sz w:val="28"/>
          <w:szCs w:val="28"/>
          <w:highlight w:val="none"/>
          <w:lang w:val="en-US" w:eastAsia="zh-CN"/>
        </w:rPr>
        <w:t>C13.成本控制率</w:t>
      </w:r>
    </w:p>
    <w:p w14:paraId="6FA61272">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C131.大气自动监测站运行维护成本控制率</w:t>
      </w:r>
      <w:r>
        <w:rPr>
          <w:rFonts w:hint="eastAsia" w:ascii="仿宋_GB2312" w:hAnsi="仿宋" w:eastAsia="仿宋_GB2312"/>
          <w:spacing w:val="6"/>
          <w:kern w:val="0"/>
          <w:sz w:val="28"/>
          <w:szCs w:val="28"/>
          <w:highlight w:val="none"/>
          <w:lang w:val="en-US" w:eastAsia="zh-CN"/>
        </w:rPr>
        <w:t>：</w:t>
      </w:r>
      <w:r>
        <w:rPr>
          <w:rFonts w:hint="eastAsia" w:ascii="仿宋_GB2312" w:hAnsi="仿宋" w:eastAsia="仿宋_GB2312"/>
          <w:spacing w:val="6"/>
          <w:kern w:val="0"/>
          <w:sz w:val="28"/>
          <w:szCs w:val="28"/>
        </w:rPr>
        <w:t>根据原始材料、支付凭证等统计</w:t>
      </w:r>
      <w:r>
        <w:rPr>
          <w:rFonts w:hint="eastAsia" w:ascii="仿宋_GB2312" w:hAnsi="仿宋" w:eastAsia="仿宋_GB2312"/>
          <w:spacing w:val="6"/>
          <w:kern w:val="0"/>
          <w:sz w:val="28"/>
          <w:szCs w:val="28"/>
          <w:highlight w:val="none"/>
          <w:lang w:val="en-US" w:eastAsia="zh-CN"/>
        </w:rPr>
        <w:t>，</w:t>
      </w:r>
      <w:r>
        <w:rPr>
          <w:rFonts w:hint="eastAsia" w:ascii="仿宋_GB2312" w:hAnsi="仿宋" w:eastAsia="仿宋_GB2312"/>
          <w:spacing w:val="6"/>
          <w:kern w:val="0"/>
          <w:sz w:val="28"/>
          <w:szCs w:val="28"/>
        </w:rPr>
        <w:t>该项目</w:t>
      </w:r>
      <w:r>
        <w:rPr>
          <w:rFonts w:hint="eastAsia" w:ascii="仿宋_GB2312" w:hAnsi="仿宋" w:eastAsia="仿宋_GB2312"/>
          <w:spacing w:val="6"/>
          <w:kern w:val="0"/>
          <w:sz w:val="28"/>
          <w:szCs w:val="28"/>
          <w:lang w:val="en-US" w:eastAsia="zh-CN"/>
        </w:rPr>
        <w:t>年初财政预算1,605,058元</w:t>
      </w:r>
      <w:r>
        <w:rPr>
          <w:rFonts w:hint="eastAsia" w:ascii="仿宋_GB2312" w:hAnsi="仿宋" w:eastAsia="仿宋_GB2312"/>
          <w:spacing w:val="6"/>
          <w:kern w:val="0"/>
          <w:sz w:val="28"/>
          <w:szCs w:val="28"/>
        </w:rPr>
        <w:t>，2019年昆明市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大气自动站运行维护费项目共实际支出</w:t>
      </w:r>
      <w:r>
        <w:rPr>
          <w:rFonts w:hint="eastAsia" w:ascii="仿宋_GB2312" w:hAnsi="仿宋" w:eastAsia="仿宋_GB2312"/>
          <w:spacing w:val="6"/>
          <w:kern w:val="0"/>
          <w:sz w:val="28"/>
          <w:szCs w:val="28"/>
          <w:lang w:val="en-US" w:eastAsia="zh-CN"/>
        </w:rPr>
        <w:t>1,552,558</w:t>
      </w:r>
      <w:r>
        <w:rPr>
          <w:rFonts w:hint="eastAsia" w:ascii="仿宋_GB2312" w:hAnsi="仿宋" w:eastAsia="仿宋_GB2312"/>
          <w:spacing w:val="6"/>
          <w:kern w:val="0"/>
          <w:sz w:val="28"/>
          <w:szCs w:val="28"/>
        </w:rPr>
        <w:t>元，</w:t>
      </w:r>
      <w:r>
        <w:rPr>
          <w:rFonts w:hint="eastAsia" w:ascii="仿宋_GB2312" w:hAnsi="仿宋" w:eastAsia="仿宋_GB2312"/>
          <w:spacing w:val="6"/>
          <w:kern w:val="0"/>
          <w:sz w:val="28"/>
          <w:szCs w:val="28"/>
          <w:lang w:val="en-US" w:eastAsia="zh-CN"/>
        </w:rPr>
        <w:t>因2019年维护设备合同尚有未签订的部分结余52,500元，已通过退额度方式退还给财政，成本控制率</w:t>
      </w:r>
      <w:r>
        <w:rPr>
          <w:rFonts w:hint="eastAsia" w:ascii="仿宋_GB2312" w:hAnsi="仿宋" w:eastAsia="仿宋_GB2312"/>
          <w:spacing w:val="6"/>
          <w:kern w:val="0"/>
          <w:sz w:val="28"/>
          <w:szCs w:val="28"/>
        </w:rPr>
        <w:t>为</w:t>
      </w:r>
      <w:r>
        <w:rPr>
          <w:rFonts w:hint="eastAsia" w:ascii="仿宋_GB2312" w:hAnsi="仿宋" w:eastAsia="仿宋_GB2312"/>
          <w:spacing w:val="6"/>
          <w:kern w:val="0"/>
          <w:sz w:val="28"/>
          <w:szCs w:val="28"/>
          <w:lang w:val="en-US" w:eastAsia="zh-CN"/>
        </w:rPr>
        <w:t>96.73</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为超过100%</w:t>
      </w:r>
      <w:r>
        <w:rPr>
          <w:rFonts w:hint="eastAsia" w:ascii="仿宋_GB2312" w:hAnsi="仿宋" w:eastAsia="仿宋_GB2312"/>
          <w:spacing w:val="6"/>
          <w:kern w:val="0"/>
          <w:sz w:val="28"/>
          <w:szCs w:val="28"/>
          <w:highlight w:val="none"/>
          <w:lang w:val="en-US" w:eastAsia="zh-CN"/>
        </w:rPr>
        <w:t>。</w:t>
      </w:r>
    </w:p>
    <w:p w14:paraId="1A88B274">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该项指标满分为5分，根据评分标准得5分。</w:t>
      </w:r>
    </w:p>
    <w:p w14:paraId="52B41C6F">
      <w:pPr>
        <w:spacing w:line="590" w:lineRule="exact"/>
        <w:ind w:firstLine="586" w:firstLineChars="200"/>
        <w:rPr>
          <w:rFonts w:hint="eastAsia" w:ascii="仿宋_GB2312" w:hAnsi="仿宋" w:eastAsia="仿宋_GB2312" w:cs="Times New Roman"/>
          <w:b/>
          <w:bCs/>
          <w:spacing w:val="6"/>
          <w:kern w:val="0"/>
          <w:sz w:val="28"/>
          <w:szCs w:val="28"/>
          <w:highlight w:val="none"/>
          <w:lang w:val="en-US" w:eastAsia="zh-CN"/>
        </w:rPr>
      </w:pPr>
      <w:r>
        <w:rPr>
          <w:rFonts w:hint="eastAsia" w:ascii="仿宋_GB2312" w:hAnsi="仿宋" w:eastAsia="仿宋_GB2312" w:cs="Times New Roman"/>
          <w:b/>
          <w:bCs/>
          <w:spacing w:val="6"/>
          <w:kern w:val="0"/>
          <w:sz w:val="28"/>
          <w:szCs w:val="28"/>
          <w:highlight w:val="none"/>
          <w:lang w:val="en-US" w:eastAsia="zh-CN"/>
        </w:rPr>
        <w:t>C14.项目完成及时率</w:t>
      </w:r>
    </w:p>
    <w:p w14:paraId="0E1D1280">
      <w:pPr>
        <w:spacing w:line="590" w:lineRule="exact"/>
        <w:ind w:firstLine="584" w:firstLineChars="200"/>
        <w:rPr>
          <w:rFonts w:hint="eastAsia" w:ascii="仿宋_GB2312" w:hAnsi="仿宋" w:eastAsia="仿宋_GB2312"/>
          <w:spacing w:val="6"/>
          <w:kern w:val="0"/>
          <w:sz w:val="28"/>
          <w:szCs w:val="28"/>
          <w:highlight w:val="none"/>
          <w:u w:val="single"/>
          <w:lang w:val="en-US" w:eastAsia="zh-CN"/>
        </w:rPr>
      </w:pPr>
      <w:r>
        <w:rPr>
          <w:rFonts w:hint="eastAsia" w:ascii="仿宋_GB2312" w:hAnsi="仿宋" w:eastAsia="仿宋_GB2312"/>
          <w:spacing w:val="6"/>
          <w:kern w:val="0"/>
          <w:sz w:val="28"/>
          <w:szCs w:val="28"/>
          <w:highlight w:val="none"/>
          <w:u w:val="single"/>
          <w:lang w:val="en-US" w:eastAsia="zh-CN"/>
        </w:rPr>
        <w:t>C141.完成及时率：</w:t>
      </w:r>
      <w:r>
        <w:rPr>
          <w:rFonts w:hint="eastAsia" w:ascii="仿宋_GB2312" w:hAnsi="仿宋" w:eastAsia="仿宋_GB2312"/>
          <w:spacing w:val="6"/>
          <w:kern w:val="0"/>
          <w:sz w:val="28"/>
          <w:szCs w:val="28"/>
          <w:highlight w:val="none"/>
          <w:lang w:val="en-US" w:eastAsia="zh-CN"/>
        </w:rPr>
        <w:t>据现场勘查、检阅合同及查看验收报告等相关文件，该项目计划完成时间为2019年1月1日至2019年12月31日，历时365个日历天，项目实际使用365个日历天，完成及时率为100%。</w:t>
      </w:r>
    </w:p>
    <w:p w14:paraId="4181ABBD">
      <w:pPr>
        <w:spacing w:line="590" w:lineRule="exact"/>
        <w:ind w:firstLine="584" w:firstLineChars="200"/>
        <w:rPr>
          <w:rFonts w:hint="eastAsia" w:ascii="仿宋_GB2312" w:hAnsi="仿宋" w:eastAsia="仿宋_GB2312"/>
          <w:spacing w:val="6"/>
          <w:kern w:val="0"/>
          <w:sz w:val="28"/>
          <w:szCs w:val="28"/>
          <w:highlight w:val="none"/>
          <w:u w:val="single"/>
          <w:lang w:val="en-US" w:eastAsia="zh-CN"/>
        </w:rPr>
      </w:pPr>
      <w:r>
        <w:rPr>
          <w:rFonts w:hint="eastAsia" w:ascii="仿宋_GB2312" w:hAnsi="仿宋" w:eastAsia="仿宋_GB2312"/>
          <w:spacing w:val="6"/>
          <w:kern w:val="0"/>
          <w:sz w:val="28"/>
          <w:szCs w:val="28"/>
          <w:highlight w:val="none"/>
          <w:lang w:val="en-US" w:eastAsia="zh-CN"/>
        </w:rPr>
        <w:t>该项指标满分为4分，根据评分标准得4分。</w:t>
      </w:r>
    </w:p>
    <w:p w14:paraId="628CFEC6">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（2）项目效益</w:t>
      </w:r>
    </w:p>
    <w:p w14:paraId="1112A45B">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项目效益类指标包括社会效益、生态效益、可持续性效益和满意度四部分内容，主要反映大气自动监测站硬件设施完好率、盘龙区环境空气综合质量达标情况、盘龙区空气综合指数优良率、项目实施后带来的可持续影响及昆明市盘龙区市民的满意程度等问题。各指标的业绩值和实际得分详见表12。</w:t>
      </w:r>
    </w:p>
    <w:p w14:paraId="0F5E2ADE">
      <w:pPr>
        <w:topLinePunct/>
        <w:spacing w:line="579" w:lineRule="exact"/>
        <w:ind w:firstLine="480" w:firstLineChars="200"/>
        <w:jc w:val="center"/>
        <w:rPr>
          <w:rFonts w:hint="eastAsia" w:ascii="黑体" w:hAnsi="黑体" w:eastAsia="黑体" w:cs="黑体"/>
          <w:b w:val="0"/>
          <w:bCs w:val="0"/>
          <w:color w:val="000000"/>
          <w:sz w:val="24"/>
          <w:szCs w:val="24"/>
          <w:lang w:val="zh-CN" w:bidi="zh-CN"/>
        </w:rPr>
      </w:pPr>
    </w:p>
    <w:p w14:paraId="51FEEBE8">
      <w:pPr>
        <w:topLinePunct/>
        <w:spacing w:line="579" w:lineRule="exact"/>
        <w:ind w:firstLine="480" w:firstLineChars="200"/>
        <w:jc w:val="center"/>
        <w:rPr>
          <w:rFonts w:hint="eastAsia" w:ascii="黑体" w:hAnsi="黑体" w:eastAsia="黑体" w:cs="黑体"/>
          <w:b w:val="0"/>
          <w:bCs w:val="0"/>
          <w:color w:val="000000"/>
          <w:sz w:val="24"/>
          <w:szCs w:val="24"/>
          <w:lang w:val="zh-CN" w:bidi="zh-CN"/>
        </w:rPr>
      </w:pPr>
      <w:r>
        <w:rPr>
          <w:rFonts w:hint="eastAsia" w:ascii="黑体" w:hAnsi="黑体" w:eastAsia="黑体" w:cs="黑体"/>
          <w:b w:val="0"/>
          <w:bCs w:val="0"/>
          <w:color w:val="000000"/>
          <w:sz w:val="24"/>
          <w:szCs w:val="24"/>
          <w:lang w:val="zh-CN" w:bidi="zh-CN"/>
        </w:rPr>
        <w:t>表12  项目效益指标评分表</w:t>
      </w:r>
    </w:p>
    <w:tbl>
      <w:tblPr>
        <w:tblStyle w:val="8"/>
        <w:tblW w:w="5000" w:type="pct"/>
        <w:jc w:val="center"/>
        <w:tblLayout w:type="autofit"/>
        <w:tblCellMar>
          <w:top w:w="0" w:type="dxa"/>
          <w:left w:w="10" w:type="dxa"/>
          <w:bottom w:w="0" w:type="dxa"/>
          <w:right w:w="10" w:type="dxa"/>
        </w:tblCellMar>
      </w:tblPr>
      <w:tblGrid>
        <w:gridCol w:w="4280"/>
        <w:gridCol w:w="1243"/>
        <w:gridCol w:w="1659"/>
        <w:gridCol w:w="1144"/>
      </w:tblGrid>
      <w:tr w14:paraId="23253AA1">
        <w:tblPrEx>
          <w:tblCellMar>
            <w:top w:w="0" w:type="dxa"/>
            <w:left w:w="10" w:type="dxa"/>
            <w:bottom w:w="0" w:type="dxa"/>
            <w:right w:w="10" w:type="dxa"/>
          </w:tblCellMar>
        </w:tblPrEx>
        <w:trPr>
          <w:trHeight w:val="520" w:hRule="atLeast"/>
          <w:jc w:val="center"/>
        </w:trPr>
        <w:tc>
          <w:tcPr>
            <w:tcW w:w="2570" w:type="pct"/>
            <w:tcBorders>
              <w:top w:val="single" w:color="auto" w:sz="4" w:space="0"/>
              <w:left w:val="single" w:color="auto" w:sz="4" w:space="0"/>
            </w:tcBorders>
            <w:shd w:val="clear" w:color="auto" w:fill="FFFFFF"/>
            <w:vAlign w:val="bottom"/>
          </w:tcPr>
          <w:p w14:paraId="11C7431D">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746" w:type="pct"/>
            <w:tcBorders>
              <w:top w:val="single" w:color="auto" w:sz="4" w:space="0"/>
              <w:left w:val="single" w:color="auto" w:sz="4" w:space="0"/>
            </w:tcBorders>
            <w:shd w:val="clear" w:color="auto" w:fill="FFFFFF"/>
            <w:vAlign w:val="bottom"/>
          </w:tcPr>
          <w:p w14:paraId="0D637424">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996" w:type="pct"/>
            <w:tcBorders>
              <w:top w:val="single" w:color="auto" w:sz="4" w:space="0"/>
              <w:left w:val="single" w:color="auto" w:sz="4" w:space="0"/>
            </w:tcBorders>
            <w:shd w:val="clear" w:color="auto" w:fill="FFFFFF"/>
            <w:vAlign w:val="bottom"/>
          </w:tcPr>
          <w:p w14:paraId="304CD577">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687" w:type="pct"/>
            <w:tcBorders>
              <w:top w:val="single" w:color="auto" w:sz="4" w:space="0"/>
              <w:left w:val="single" w:color="auto" w:sz="4" w:space="0"/>
              <w:right w:val="single" w:color="auto" w:sz="4" w:space="0"/>
            </w:tcBorders>
            <w:shd w:val="clear" w:color="auto" w:fill="FFFFFF"/>
            <w:vAlign w:val="bottom"/>
          </w:tcPr>
          <w:p w14:paraId="316CEB6B">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598B8E3A">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tcBorders>
            <w:shd w:val="clear" w:color="auto" w:fill="FFFFFF"/>
          </w:tcPr>
          <w:p w14:paraId="19FC1BEB">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C21.社会效益</w:t>
            </w:r>
          </w:p>
        </w:tc>
        <w:tc>
          <w:tcPr>
            <w:tcW w:w="746" w:type="pct"/>
            <w:tcBorders>
              <w:top w:val="single" w:color="auto" w:sz="4" w:space="0"/>
              <w:left w:val="single" w:color="auto" w:sz="4" w:space="0"/>
            </w:tcBorders>
            <w:shd w:val="clear" w:color="auto" w:fill="FFFFFF"/>
          </w:tcPr>
          <w:p w14:paraId="6CBFE2A2">
            <w:pPr>
              <w:pStyle w:val="11"/>
              <w:shd w:val="clear" w:color="auto" w:fill="auto"/>
              <w:spacing w:after="0" w:line="360" w:lineRule="auto"/>
              <w:rPr>
                <w:rStyle w:val="12"/>
                <w:rFonts w:ascii="仿宋" w:hAnsi="仿宋" w:eastAsia="仿宋_GB2312"/>
                <w:sz w:val="24"/>
                <w:szCs w:val="24"/>
              </w:rPr>
            </w:pPr>
          </w:p>
        </w:tc>
        <w:tc>
          <w:tcPr>
            <w:tcW w:w="996" w:type="pct"/>
            <w:tcBorders>
              <w:top w:val="single" w:color="auto" w:sz="4" w:space="0"/>
              <w:left w:val="single" w:color="auto" w:sz="4" w:space="0"/>
            </w:tcBorders>
            <w:shd w:val="clear" w:color="auto" w:fill="FFFFFF"/>
          </w:tcPr>
          <w:p w14:paraId="437F342A">
            <w:pPr>
              <w:pStyle w:val="11"/>
              <w:shd w:val="clear" w:color="auto" w:fill="auto"/>
              <w:spacing w:after="0" w:line="360" w:lineRule="auto"/>
              <w:rPr>
                <w:rStyle w:val="12"/>
                <w:rFonts w:ascii="仿宋" w:hAnsi="仿宋" w:eastAsia="仿宋_GB2312"/>
                <w:sz w:val="24"/>
                <w:szCs w:val="24"/>
              </w:rPr>
            </w:pPr>
          </w:p>
        </w:tc>
        <w:tc>
          <w:tcPr>
            <w:tcW w:w="687" w:type="pct"/>
            <w:tcBorders>
              <w:top w:val="single" w:color="auto" w:sz="4" w:space="0"/>
              <w:left w:val="single" w:color="auto" w:sz="4" w:space="0"/>
              <w:right w:val="single" w:color="auto" w:sz="4" w:space="0"/>
            </w:tcBorders>
            <w:shd w:val="clear" w:color="auto" w:fill="FFFFFF"/>
          </w:tcPr>
          <w:p w14:paraId="561CDEB3">
            <w:pPr>
              <w:pStyle w:val="11"/>
              <w:shd w:val="clear" w:color="auto" w:fill="auto"/>
              <w:spacing w:after="0" w:line="360" w:lineRule="auto"/>
              <w:rPr>
                <w:rStyle w:val="12"/>
                <w:rFonts w:ascii="仿宋" w:hAnsi="仿宋" w:eastAsia="仿宋_GB2312"/>
                <w:sz w:val="24"/>
                <w:szCs w:val="24"/>
              </w:rPr>
            </w:pPr>
          </w:p>
        </w:tc>
      </w:tr>
      <w:tr w14:paraId="340A705F">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tcBorders>
            <w:shd w:val="clear" w:color="auto" w:fill="FFFFFF"/>
            <w:vAlign w:val="center"/>
          </w:tcPr>
          <w:p w14:paraId="06DE4786">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C211.大气自动监测站硬件设施完好率</w:t>
            </w:r>
          </w:p>
        </w:tc>
        <w:tc>
          <w:tcPr>
            <w:tcW w:w="746" w:type="pct"/>
            <w:tcBorders>
              <w:top w:val="single" w:color="auto" w:sz="4" w:space="0"/>
              <w:left w:val="single" w:color="auto" w:sz="4" w:space="0"/>
            </w:tcBorders>
            <w:shd w:val="clear" w:color="auto" w:fill="FFFFFF"/>
            <w:vAlign w:val="bottom"/>
          </w:tcPr>
          <w:p w14:paraId="56517613">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6</w:t>
            </w:r>
          </w:p>
        </w:tc>
        <w:tc>
          <w:tcPr>
            <w:tcW w:w="996" w:type="pct"/>
            <w:tcBorders>
              <w:top w:val="single" w:color="auto" w:sz="4" w:space="0"/>
              <w:left w:val="single" w:color="auto" w:sz="4" w:space="0"/>
            </w:tcBorders>
            <w:shd w:val="clear" w:color="auto" w:fill="FFFFFF"/>
            <w:vAlign w:val="center"/>
          </w:tcPr>
          <w:p w14:paraId="30E95BEE">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达到</w:t>
            </w:r>
          </w:p>
        </w:tc>
        <w:tc>
          <w:tcPr>
            <w:tcW w:w="687" w:type="pct"/>
            <w:tcBorders>
              <w:top w:val="single" w:color="auto" w:sz="4" w:space="0"/>
              <w:left w:val="single" w:color="auto" w:sz="4" w:space="0"/>
              <w:right w:val="single" w:color="auto" w:sz="4" w:space="0"/>
            </w:tcBorders>
            <w:shd w:val="clear" w:color="auto" w:fill="FFFFFF"/>
            <w:vAlign w:val="bottom"/>
          </w:tcPr>
          <w:p w14:paraId="7F284E23">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6</w:t>
            </w:r>
          </w:p>
        </w:tc>
      </w:tr>
      <w:tr w14:paraId="7719BD94">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tcBorders>
            <w:shd w:val="clear" w:color="auto" w:fill="FFFFFF"/>
          </w:tcPr>
          <w:p w14:paraId="1A2DA1F3">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C22.</w:t>
            </w:r>
            <w:r>
              <w:rPr>
                <w:rStyle w:val="12"/>
                <w:rFonts w:hint="eastAsia" w:cs="宋体"/>
                <w:sz w:val="21"/>
                <w:szCs w:val="21"/>
                <w:lang w:val="en-US"/>
              </w:rPr>
              <w:t>生态</w:t>
            </w:r>
            <w:r>
              <w:rPr>
                <w:rStyle w:val="12"/>
                <w:rFonts w:hint="eastAsia" w:ascii="宋体" w:hAnsi="宋体" w:eastAsia="宋体" w:cs="宋体"/>
                <w:sz w:val="21"/>
                <w:szCs w:val="21"/>
              </w:rPr>
              <w:t>效益</w:t>
            </w:r>
          </w:p>
        </w:tc>
        <w:tc>
          <w:tcPr>
            <w:tcW w:w="746" w:type="pct"/>
            <w:tcBorders>
              <w:top w:val="single" w:color="auto" w:sz="4" w:space="0"/>
              <w:left w:val="single" w:color="auto" w:sz="4" w:space="0"/>
            </w:tcBorders>
            <w:shd w:val="clear" w:color="auto" w:fill="FFFFFF"/>
          </w:tcPr>
          <w:p w14:paraId="56A8C6F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96" w:type="pct"/>
            <w:tcBorders>
              <w:top w:val="single" w:color="auto" w:sz="4" w:space="0"/>
              <w:left w:val="single" w:color="auto" w:sz="4" w:space="0"/>
            </w:tcBorders>
            <w:shd w:val="clear" w:color="auto" w:fill="FFFFFF"/>
          </w:tcPr>
          <w:p w14:paraId="39D2C4F3">
            <w:pPr>
              <w:pStyle w:val="11"/>
              <w:shd w:val="clear" w:color="auto" w:fill="auto"/>
              <w:spacing w:after="0" w:line="360" w:lineRule="auto"/>
              <w:rPr>
                <w:rStyle w:val="12"/>
                <w:rFonts w:hint="eastAsia" w:ascii="宋体" w:hAnsi="宋体" w:eastAsia="宋体" w:cs="宋体"/>
                <w:sz w:val="21"/>
                <w:szCs w:val="21"/>
              </w:rPr>
            </w:pPr>
          </w:p>
        </w:tc>
        <w:tc>
          <w:tcPr>
            <w:tcW w:w="687" w:type="pct"/>
            <w:tcBorders>
              <w:top w:val="single" w:color="auto" w:sz="4" w:space="0"/>
              <w:left w:val="single" w:color="auto" w:sz="4" w:space="0"/>
              <w:right w:val="single" w:color="auto" w:sz="4" w:space="0"/>
            </w:tcBorders>
            <w:shd w:val="clear" w:color="auto" w:fill="FFFFFF"/>
          </w:tcPr>
          <w:p w14:paraId="28614E2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35E62194">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tcBorders>
            <w:shd w:val="clear" w:color="auto" w:fill="FFFFFF"/>
          </w:tcPr>
          <w:p w14:paraId="0CFDEC16">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C221.盘龙区环境空气综合质量达标情况</w:t>
            </w:r>
          </w:p>
        </w:tc>
        <w:tc>
          <w:tcPr>
            <w:tcW w:w="746" w:type="pct"/>
            <w:tcBorders>
              <w:top w:val="single" w:color="auto" w:sz="4" w:space="0"/>
              <w:left w:val="single" w:color="auto" w:sz="4" w:space="0"/>
            </w:tcBorders>
            <w:shd w:val="clear" w:color="auto" w:fill="FFFFFF"/>
          </w:tcPr>
          <w:p w14:paraId="4601E920">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6</w:t>
            </w:r>
          </w:p>
        </w:tc>
        <w:tc>
          <w:tcPr>
            <w:tcW w:w="996" w:type="pct"/>
            <w:tcBorders>
              <w:top w:val="single" w:color="auto" w:sz="4" w:space="0"/>
              <w:left w:val="single" w:color="auto" w:sz="4" w:space="0"/>
            </w:tcBorders>
            <w:shd w:val="clear" w:color="auto" w:fill="FFFFFF"/>
          </w:tcPr>
          <w:p w14:paraId="1ABC2612">
            <w:pPr>
              <w:pStyle w:val="11"/>
              <w:shd w:val="clear" w:color="auto" w:fill="auto"/>
              <w:spacing w:after="0" w:line="360" w:lineRule="auto"/>
              <w:rPr>
                <w:rStyle w:val="12"/>
                <w:rFonts w:hint="eastAsia" w:ascii="宋体" w:hAnsi="宋体" w:eastAsia="宋体" w:cs="宋体"/>
                <w:sz w:val="21"/>
                <w:szCs w:val="21"/>
              </w:rPr>
            </w:pPr>
            <w:r>
              <w:rPr>
                <w:rStyle w:val="12"/>
                <w:rFonts w:hint="eastAsia" w:cs="宋体"/>
                <w:sz w:val="21"/>
                <w:szCs w:val="21"/>
                <w:lang w:val="en-US"/>
              </w:rPr>
              <w:t>达标</w:t>
            </w:r>
          </w:p>
        </w:tc>
        <w:tc>
          <w:tcPr>
            <w:tcW w:w="687" w:type="pct"/>
            <w:tcBorders>
              <w:top w:val="single" w:color="auto" w:sz="4" w:space="0"/>
              <w:left w:val="single" w:color="auto" w:sz="4" w:space="0"/>
              <w:right w:val="single" w:color="auto" w:sz="4" w:space="0"/>
            </w:tcBorders>
            <w:shd w:val="clear" w:color="auto" w:fill="FFFFFF"/>
          </w:tcPr>
          <w:p w14:paraId="2C35492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6</w:t>
            </w:r>
          </w:p>
        </w:tc>
      </w:tr>
      <w:tr w14:paraId="4CF5B01F">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tcBorders>
            <w:shd w:val="clear" w:color="auto" w:fill="FFFFFF"/>
          </w:tcPr>
          <w:p w14:paraId="4BD6FE32">
            <w:pPr>
              <w:pStyle w:val="11"/>
              <w:shd w:val="clear" w:color="auto" w:fill="auto"/>
              <w:spacing w:after="0" w:line="360" w:lineRule="auto"/>
              <w:ind w:firstLine="420" w:firstLineChars="200"/>
              <w:jc w:val="both"/>
              <w:rPr>
                <w:rStyle w:val="12"/>
                <w:rFonts w:hint="default" w:ascii="宋体" w:hAnsi="宋体" w:eastAsia="宋体" w:cs="宋体"/>
                <w:sz w:val="21"/>
                <w:szCs w:val="21"/>
                <w:lang w:val="en-US"/>
              </w:rPr>
            </w:pPr>
            <w:r>
              <w:rPr>
                <w:rStyle w:val="12"/>
                <w:rFonts w:hint="eastAsia" w:ascii="宋体" w:hAnsi="宋体" w:eastAsia="宋体" w:cs="宋体"/>
                <w:sz w:val="21"/>
                <w:szCs w:val="21"/>
                <w:lang w:val="en-US"/>
              </w:rPr>
              <w:t>C222.盘龙区空气综合指数优良率</w:t>
            </w:r>
          </w:p>
        </w:tc>
        <w:tc>
          <w:tcPr>
            <w:tcW w:w="746" w:type="pct"/>
            <w:tcBorders>
              <w:top w:val="single" w:color="auto" w:sz="4" w:space="0"/>
              <w:left w:val="single" w:color="auto" w:sz="4" w:space="0"/>
            </w:tcBorders>
            <w:shd w:val="clear" w:color="auto" w:fill="FFFFFF"/>
          </w:tcPr>
          <w:p w14:paraId="5AF53603">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6</w:t>
            </w:r>
          </w:p>
        </w:tc>
        <w:tc>
          <w:tcPr>
            <w:tcW w:w="996" w:type="pct"/>
            <w:tcBorders>
              <w:top w:val="single" w:color="auto" w:sz="4" w:space="0"/>
              <w:left w:val="single" w:color="auto" w:sz="4" w:space="0"/>
            </w:tcBorders>
            <w:shd w:val="clear" w:color="auto" w:fill="FFFFFF"/>
          </w:tcPr>
          <w:p w14:paraId="71C33B3D">
            <w:pPr>
              <w:pStyle w:val="11"/>
              <w:shd w:val="clear" w:color="auto" w:fill="auto"/>
              <w:spacing w:after="0" w:line="360" w:lineRule="auto"/>
              <w:rPr>
                <w:rStyle w:val="12"/>
                <w:rFonts w:hint="default" w:ascii="宋体" w:hAnsi="宋体" w:eastAsia="宋体" w:cs="宋体"/>
                <w:sz w:val="21"/>
                <w:szCs w:val="21"/>
                <w:lang w:val="en-US"/>
              </w:rPr>
            </w:pPr>
            <w:r>
              <w:rPr>
                <w:rStyle w:val="12"/>
                <w:rFonts w:hint="eastAsia" w:cs="宋体"/>
                <w:sz w:val="21"/>
                <w:szCs w:val="21"/>
                <w:lang w:val="en-US"/>
              </w:rPr>
              <w:t>达标</w:t>
            </w:r>
          </w:p>
        </w:tc>
        <w:tc>
          <w:tcPr>
            <w:tcW w:w="687" w:type="pct"/>
            <w:tcBorders>
              <w:top w:val="single" w:color="auto" w:sz="4" w:space="0"/>
              <w:left w:val="single" w:color="auto" w:sz="4" w:space="0"/>
              <w:right w:val="single" w:color="auto" w:sz="4" w:space="0"/>
            </w:tcBorders>
            <w:shd w:val="clear" w:color="auto" w:fill="FFFFFF"/>
          </w:tcPr>
          <w:p w14:paraId="16A41A60">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6</w:t>
            </w:r>
          </w:p>
        </w:tc>
      </w:tr>
      <w:tr w14:paraId="4484B0F9">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tcBorders>
            <w:shd w:val="clear" w:color="auto" w:fill="FFFFFF"/>
          </w:tcPr>
          <w:p w14:paraId="76DEC27E">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C23.可持续性效益</w:t>
            </w:r>
          </w:p>
        </w:tc>
        <w:tc>
          <w:tcPr>
            <w:tcW w:w="746" w:type="pct"/>
            <w:tcBorders>
              <w:top w:val="single" w:color="auto" w:sz="4" w:space="0"/>
              <w:left w:val="single" w:color="auto" w:sz="4" w:space="0"/>
            </w:tcBorders>
            <w:shd w:val="clear" w:color="auto" w:fill="FFFFFF"/>
          </w:tcPr>
          <w:p w14:paraId="7C701C0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96" w:type="pct"/>
            <w:tcBorders>
              <w:top w:val="single" w:color="auto" w:sz="4" w:space="0"/>
              <w:left w:val="single" w:color="auto" w:sz="4" w:space="0"/>
            </w:tcBorders>
            <w:shd w:val="clear" w:color="auto" w:fill="FFFFFF"/>
          </w:tcPr>
          <w:p w14:paraId="4B009958">
            <w:pPr>
              <w:pStyle w:val="11"/>
              <w:shd w:val="clear" w:color="auto" w:fill="auto"/>
              <w:spacing w:after="0" w:line="360" w:lineRule="auto"/>
              <w:rPr>
                <w:rStyle w:val="12"/>
                <w:rFonts w:hint="eastAsia" w:ascii="宋体" w:hAnsi="宋体" w:eastAsia="宋体" w:cs="宋体"/>
                <w:sz w:val="21"/>
                <w:szCs w:val="21"/>
              </w:rPr>
            </w:pPr>
          </w:p>
        </w:tc>
        <w:tc>
          <w:tcPr>
            <w:tcW w:w="687" w:type="pct"/>
            <w:tcBorders>
              <w:top w:val="single" w:color="auto" w:sz="4" w:space="0"/>
              <w:left w:val="single" w:color="auto" w:sz="4" w:space="0"/>
              <w:right w:val="single" w:color="auto" w:sz="4" w:space="0"/>
            </w:tcBorders>
            <w:shd w:val="clear" w:color="auto" w:fill="FFFFFF"/>
          </w:tcPr>
          <w:p w14:paraId="36610E5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0B0B29A1">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tcBorders>
            <w:shd w:val="clear" w:color="auto" w:fill="FFFFFF"/>
          </w:tcPr>
          <w:p w14:paraId="36405603">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C231.项目可持续影响</w:t>
            </w:r>
          </w:p>
        </w:tc>
        <w:tc>
          <w:tcPr>
            <w:tcW w:w="746" w:type="pct"/>
            <w:tcBorders>
              <w:top w:val="single" w:color="auto" w:sz="4" w:space="0"/>
              <w:left w:val="single" w:color="auto" w:sz="4" w:space="0"/>
            </w:tcBorders>
            <w:shd w:val="clear" w:color="auto" w:fill="FFFFFF"/>
          </w:tcPr>
          <w:p w14:paraId="0FE854C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6</w:t>
            </w:r>
          </w:p>
        </w:tc>
        <w:tc>
          <w:tcPr>
            <w:tcW w:w="996" w:type="pct"/>
            <w:tcBorders>
              <w:top w:val="single" w:color="auto" w:sz="4" w:space="0"/>
              <w:left w:val="single" w:color="auto" w:sz="4" w:space="0"/>
            </w:tcBorders>
            <w:shd w:val="clear" w:color="auto" w:fill="FFFFFF"/>
          </w:tcPr>
          <w:p w14:paraId="2CD960F1">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起到作用</w:t>
            </w:r>
          </w:p>
        </w:tc>
        <w:tc>
          <w:tcPr>
            <w:tcW w:w="687" w:type="pct"/>
            <w:tcBorders>
              <w:top w:val="single" w:color="auto" w:sz="4" w:space="0"/>
              <w:left w:val="single" w:color="auto" w:sz="4" w:space="0"/>
              <w:right w:val="single" w:color="auto" w:sz="4" w:space="0"/>
            </w:tcBorders>
            <w:shd w:val="clear" w:color="auto" w:fill="FFFFFF"/>
          </w:tcPr>
          <w:p w14:paraId="563D62C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6</w:t>
            </w:r>
          </w:p>
        </w:tc>
      </w:tr>
      <w:tr w14:paraId="3F83B214">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tcBorders>
            <w:shd w:val="clear" w:color="auto" w:fill="FFFFFF"/>
          </w:tcPr>
          <w:p w14:paraId="4EA11191">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C24.满意度</w:t>
            </w:r>
          </w:p>
        </w:tc>
        <w:tc>
          <w:tcPr>
            <w:tcW w:w="746" w:type="pct"/>
            <w:tcBorders>
              <w:top w:val="single" w:color="auto" w:sz="4" w:space="0"/>
              <w:left w:val="single" w:color="auto" w:sz="4" w:space="0"/>
            </w:tcBorders>
            <w:shd w:val="clear" w:color="auto" w:fill="FFFFFF"/>
          </w:tcPr>
          <w:p w14:paraId="511A3ED6">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96" w:type="pct"/>
            <w:tcBorders>
              <w:top w:val="single" w:color="auto" w:sz="4" w:space="0"/>
              <w:left w:val="single" w:color="auto" w:sz="4" w:space="0"/>
            </w:tcBorders>
            <w:shd w:val="clear" w:color="auto" w:fill="FFFFFF"/>
          </w:tcPr>
          <w:p w14:paraId="074D0C7A">
            <w:pPr>
              <w:pStyle w:val="11"/>
              <w:shd w:val="clear" w:color="auto" w:fill="auto"/>
              <w:spacing w:after="0" w:line="360" w:lineRule="auto"/>
              <w:rPr>
                <w:rStyle w:val="12"/>
                <w:rFonts w:hint="eastAsia" w:ascii="宋体" w:hAnsi="宋体" w:eastAsia="宋体" w:cs="宋体"/>
                <w:sz w:val="21"/>
                <w:szCs w:val="21"/>
              </w:rPr>
            </w:pPr>
          </w:p>
        </w:tc>
        <w:tc>
          <w:tcPr>
            <w:tcW w:w="687" w:type="pct"/>
            <w:tcBorders>
              <w:top w:val="single" w:color="auto" w:sz="4" w:space="0"/>
              <w:left w:val="single" w:color="auto" w:sz="4" w:space="0"/>
              <w:right w:val="single" w:color="auto" w:sz="4" w:space="0"/>
            </w:tcBorders>
            <w:shd w:val="clear" w:color="auto" w:fill="FFFFFF"/>
          </w:tcPr>
          <w:p w14:paraId="0B23F33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46E02594">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tcBorders>
            <w:shd w:val="clear" w:color="auto" w:fill="FFFFFF"/>
          </w:tcPr>
          <w:p w14:paraId="2F92F7DF">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C241.昆明市盘龙区市民的满意程度</w:t>
            </w:r>
          </w:p>
        </w:tc>
        <w:tc>
          <w:tcPr>
            <w:tcW w:w="746" w:type="pct"/>
            <w:tcBorders>
              <w:top w:val="single" w:color="auto" w:sz="4" w:space="0"/>
              <w:left w:val="single" w:color="auto" w:sz="4" w:space="0"/>
            </w:tcBorders>
            <w:shd w:val="clear" w:color="auto" w:fill="FFFFFF"/>
          </w:tcPr>
          <w:p w14:paraId="3703149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6</w:t>
            </w:r>
          </w:p>
        </w:tc>
        <w:tc>
          <w:tcPr>
            <w:tcW w:w="996" w:type="pct"/>
            <w:tcBorders>
              <w:top w:val="single" w:color="auto" w:sz="4" w:space="0"/>
              <w:left w:val="single" w:color="auto" w:sz="4" w:space="0"/>
            </w:tcBorders>
            <w:shd w:val="clear" w:color="auto" w:fill="FFFFFF"/>
          </w:tcPr>
          <w:p w14:paraId="6918570A">
            <w:pPr>
              <w:pStyle w:val="11"/>
              <w:shd w:val="clear" w:color="auto" w:fill="auto"/>
              <w:spacing w:after="0" w:line="360" w:lineRule="auto"/>
              <w:rPr>
                <w:rStyle w:val="12"/>
                <w:rFonts w:hint="default" w:ascii="宋体" w:hAnsi="宋体" w:eastAsia="宋体" w:cs="宋体"/>
                <w:sz w:val="21"/>
                <w:szCs w:val="21"/>
                <w:lang w:val="en-US"/>
              </w:rPr>
            </w:pPr>
            <w:r>
              <w:rPr>
                <w:rStyle w:val="12"/>
                <w:rFonts w:hint="eastAsia" w:cs="宋体"/>
                <w:sz w:val="21"/>
                <w:szCs w:val="21"/>
                <w:lang w:val="en-US"/>
              </w:rPr>
              <w:t>一般</w:t>
            </w:r>
          </w:p>
        </w:tc>
        <w:tc>
          <w:tcPr>
            <w:tcW w:w="687" w:type="pct"/>
            <w:tcBorders>
              <w:top w:val="single" w:color="auto" w:sz="4" w:space="0"/>
              <w:left w:val="single" w:color="auto" w:sz="4" w:space="0"/>
              <w:right w:val="single" w:color="auto" w:sz="4" w:space="0"/>
            </w:tcBorders>
            <w:shd w:val="clear" w:color="auto" w:fill="FFFFFF"/>
          </w:tcPr>
          <w:p w14:paraId="400E509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4</w:t>
            </w:r>
          </w:p>
        </w:tc>
      </w:tr>
      <w:tr w14:paraId="40CA3B55">
        <w:tblPrEx>
          <w:tblCellMar>
            <w:top w:w="0" w:type="dxa"/>
            <w:left w:w="10" w:type="dxa"/>
            <w:bottom w:w="0" w:type="dxa"/>
            <w:right w:w="10" w:type="dxa"/>
          </w:tblCellMar>
        </w:tblPrEx>
        <w:trPr>
          <w:trHeight w:val="468" w:hRule="atLeast"/>
          <w:jc w:val="center"/>
        </w:trPr>
        <w:tc>
          <w:tcPr>
            <w:tcW w:w="2570" w:type="pct"/>
            <w:tcBorders>
              <w:top w:val="single" w:color="auto" w:sz="4" w:space="0"/>
              <w:left w:val="single" w:color="auto" w:sz="4" w:space="0"/>
              <w:bottom w:val="single" w:color="auto" w:sz="4" w:space="0"/>
            </w:tcBorders>
            <w:shd w:val="clear" w:color="auto" w:fill="FFFFFF"/>
            <w:vAlign w:val="center"/>
          </w:tcPr>
          <w:p w14:paraId="4AC8453F">
            <w:pPr>
              <w:pStyle w:val="11"/>
              <w:shd w:val="clear" w:color="auto" w:fill="auto"/>
              <w:spacing w:after="0" w:line="360" w:lineRule="auto"/>
              <w:rPr>
                <w:rFonts w:hint="eastAsia" w:ascii="宋体" w:hAnsi="宋体" w:eastAsia="宋体" w:cs="宋体"/>
                <w:b/>
                <w:bCs/>
                <w:sz w:val="21"/>
                <w:szCs w:val="21"/>
                <w:lang w:eastAsia="zh-CN"/>
              </w:rPr>
            </w:pPr>
            <w:r>
              <w:rPr>
                <w:rFonts w:hint="eastAsia" w:cs="宋体"/>
                <w:b/>
                <w:bCs/>
                <w:sz w:val="21"/>
                <w:szCs w:val="21"/>
                <w:lang w:eastAsia="zh-CN"/>
              </w:rPr>
              <w:t>合计</w:t>
            </w:r>
          </w:p>
        </w:tc>
        <w:tc>
          <w:tcPr>
            <w:tcW w:w="746" w:type="pct"/>
            <w:tcBorders>
              <w:top w:val="single" w:color="auto" w:sz="4" w:space="0"/>
              <w:left w:val="single" w:color="auto" w:sz="4" w:space="0"/>
              <w:bottom w:val="single" w:color="auto" w:sz="4" w:space="0"/>
            </w:tcBorders>
            <w:shd w:val="clear" w:color="auto" w:fill="FFFFFF"/>
            <w:vAlign w:val="center"/>
          </w:tcPr>
          <w:p w14:paraId="0728E3C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30</w:t>
            </w:r>
          </w:p>
        </w:tc>
        <w:tc>
          <w:tcPr>
            <w:tcW w:w="996" w:type="pct"/>
            <w:tcBorders>
              <w:top w:val="single" w:color="auto" w:sz="4" w:space="0"/>
              <w:left w:val="single" w:color="auto" w:sz="4" w:space="0"/>
              <w:bottom w:val="single" w:color="auto" w:sz="4" w:space="0"/>
            </w:tcBorders>
            <w:shd w:val="clear" w:color="auto" w:fill="FFFFFF"/>
          </w:tcPr>
          <w:p w14:paraId="44FBDDF4">
            <w:pPr>
              <w:spacing w:line="360" w:lineRule="auto"/>
              <w:rPr>
                <w:rFonts w:ascii="仿宋" w:hAnsi="仿宋" w:eastAsia="仿宋_GB2312"/>
                <w:b/>
                <w:bCs/>
                <w:sz w:val="24"/>
                <w:szCs w:val="24"/>
              </w:rPr>
            </w:pPr>
          </w:p>
        </w:tc>
        <w:tc>
          <w:tcPr>
            <w:tcW w:w="687" w:type="pct"/>
            <w:tcBorders>
              <w:top w:val="single" w:color="auto" w:sz="4" w:space="0"/>
              <w:left w:val="single" w:color="auto" w:sz="4" w:space="0"/>
              <w:bottom w:val="single" w:color="auto" w:sz="4" w:space="0"/>
              <w:right w:val="single" w:color="auto" w:sz="4" w:space="0"/>
            </w:tcBorders>
            <w:shd w:val="clear" w:color="auto" w:fill="FFFFFF"/>
            <w:vAlign w:val="center"/>
          </w:tcPr>
          <w:p w14:paraId="28A2D24C">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28</w:t>
            </w:r>
          </w:p>
        </w:tc>
      </w:tr>
    </w:tbl>
    <w:p w14:paraId="7E47F28F">
      <w:pPr>
        <w:pStyle w:val="11"/>
        <w:shd w:val="clear" w:color="auto" w:fill="auto"/>
        <w:spacing w:after="0" w:line="579" w:lineRule="exact"/>
        <w:ind w:firstLine="586" w:firstLineChars="200"/>
        <w:jc w:val="both"/>
        <w:rPr>
          <w:rFonts w:hint="eastAsia" w:ascii="仿宋_GB2312" w:hAnsi="仿宋" w:eastAsia="仿宋_GB2312" w:cs="Times New Roman"/>
          <w:b/>
          <w:bCs/>
          <w:spacing w:val="6"/>
          <w:kern w:val="0"/>
          <w:sz w:val="28"/>
          <w:szCs w:val="28"/>
          <w:highlight w:val="none"/>
          <w:lang w:val="en-US" w:eastAsia="zh-CN" w:bidi="ar-SA"/>
        </w:rPr>
      </w:pPr>
      <w:r>
        <w:rPr>
          <w:rFonts w:hint="eastAsia" w:ascii="仿宋_GB2312" w:hAnsi="仿宋" w:eastAsia="仿宋_GB2312" w:cs="Times New Roman"/>
          <w:b/>
          <w:bCs/>
          <w:spacing w:val="6"/>
          <w:kern w:val="0"/>
          <w:sz w:val="28"/>
          <w:szCs w:val="28"/>
          <w:highlight w:val="none"/>
          <w:lang w:val="en-US" w:eastAsia="zh-CN" w:bidi="ar-SA"/>
        </w:rPr>
        <w:t>C21.社会效益</w:t>
      </w:r>
    </w:p>
    <w:p w14:paraId="20C8649B">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C211.大气自动监测站硬件设施完好率</w:t>
      </w:r>
      <w:r>
        <w:rPr>
          <w:rFonts w:hint="eastAsia" w:ascii="仿宋_GB2312" w:hAnsi="仿宋" w:eastAsia="仿宋_GB2312" w:cs="Times New Roman"/>
          <w:spacing w:val="6"/>
          <w:kern w:val="0"/>
          <w:sz w:val="28"/>
          <w:szCs w:val="28"/>
          <w:highlight w:val="none"/>
          <w:lang w:val="en-US" w:eastAsia="zh-CN" w:bidi="ar-SA"/>
        </w:rPr>
        <w:t>：根据台账记录显示，2019年盘龙区7个大气自动监测站136件设施设备均完好无损坏并正常使用。</w:t>
      </w:r>
    </w:p>
    <w:p w14:paraId="44738FAD">
      <w:pPr>
        <w:spacing w:line="579" w:lineRule="exact"/>
        <w:ind w:firstLine="584" w:firstLineChars="200"/>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该项指标满分为6分，根据评分标准得6分。</w:t>
      </w:r>
    </w:p>
    <w:p w14:paraId="2B34E444">
      <w:pPr>
        <w:pStyle w:val="11"/>
        <w:shd w:val="clear" w:color="auto" w:fill="auto"/>
        <w:spacing w:after="0" w:line="579" w:lineRule="exact"/>
        <w:ind w:firstLine="586"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b/>
          <w:bCs/>
          <w:spacing w:val="6"/>
          <w:kern w:val="0"/>
          <w:sz w:val="28"/>
          <w:szCs w:val="28"/>
          <w:highlight w:val="none"/>
          <w:lang w:val="en-US" w:eastAsia="zh-CN" w:bidi="ar-SA"/>
        </w:rPr>
        <w:t>C22.生态效益</w:t>
      </w:r>
    </w:p>
    <w:p w14:paraId="6A21E45F">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C221.盘龙区环境空气综合质量达标情况</w:t>
      </w:r>
      <w:r>
        <w:rPr>
          <w:rFonts w:hint="eastAsia" w:ascii="仿宋_GB2312" w:hAnsi="仿宋" w:eastAsia="仿宋_GB2312" w:cs="Times New Roman"/>
          <w:spacing w:val="6"/>
          <w:kern w:val="0"/>
          <w:sz w:val="28"/>
          <w:szCs w:val="28"/>
          <w:highlight w:val="none"/>
          <w:lang w:val="en-US" w:eastAsia="zh-CN" w:bidi="ar-SA"/>
        </w:rPr>
        <w:t>：根据云南省生态环境厅出具的环境状况公报显示2019年盘龙区环境空气质量总体继续保持优良，达到国家二级标准。</w:t>
      </w:r>
    </w:p>
    <w:p w14:paraId="0CCDD10D">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该项指标满分为6分，根据评分标准得6分。</w:t>
      </w:r>
    </w:p>
    <w:p w14:paraId="2D32C5E7">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C222.盘龙区空气综合指数优良率</w:t>
      </w:r>
      <w:r>
        <w:rPr>
          <w:rFonts w:hint="eastAsia" w:ascii="仿宋_GB2312" w:hAnsi="仿宋" w:eastAsia="仿宋_GB2312" w:cs="Times New Roman"/>
          <w:spacing w:val="6"/>
          <w:kern w:val="0"/>
          <w:sz w:val="28"/>
          <w:szCs w:val="28"/>
          <w:highlight w:val="none"/>
          <w:lang w:val="en-US" w:eastAsia="zh-CN" w:bidi="ar-SA"/>
        </w:rPr>
        <w:t>：根据云南省生态环境厅出具的环境状况公报显示，2019年盘龙区空气综合指数≤3.48，空气质量优良率≥80%。</w:t>
      </w:r>
    </w:p>
    <w:p w14:paraId="2B5E6CA5">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该项指标满分为6分，根据评分标准得6分。</w:t>
      </w:r>
    </w:p>
    <w:p w14:paraId="3D204641">
      <w:pPr>
        <w:pStyle w:val="11"/>
        <w:shd w:val="clear" w:color="auto" w:fill="auto"/>
        <w:spacing w:after="0" w:line="579" w:lineRule="exact"/>
        <w:ind w:firstLine="586" w:firstLineChars="200"/>
        <w:jc w:val="both"/>
        <w:rPr>
          <w:rFonts w:hint="eastAsia" w:ascii="仿宋_GB2312" w:hAnsi="仿宋" w:eastAsia="仿宋_GB2312" w:cs="Times New Roman"/>
          <w:b/>
          <w:bCs/>
          <w:spacing w:val="6"/>
          <w:kern w:val="0"/>
          <w:sz w:val="28"/>
          <w:szCs w:val="28"/>
          <w:highlight w:val="none"/>
          <w:lang w:val="en-US" w:eastAsia="zh-CN" w:bidi="ar-SA"/>
        </w:rPr>
      </w:pPr>
      <w:r>
        <w:rPr>
          <w:rFonts w:hint="eastAsia" w:ascii="仿宋_GB2312" w:hAnsi="仿宋" w:eastAsia="仿宋_GB2312" w:cs="Times New Roman"/>
          <w:b/>
          <w:bCs/>
          <w:spacing w:val="6"/>
          <w:kern w:val="0"/>
          <w:sz w:val="28"/>
          <w:szCs w:val="28"/>
          <w:highlight w:val="none"/>
          <w:lang w:val="en-US" w:eastAsia="zh-CN" w:bidi="ar-SA"/>
        </w:rPr>
        <w:t>C23.可持续性效益</w:t>
      </w:r>
    </w:p>
    <w:p w14:paraId="37B82C0E">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C231.项目可持续影响</w:t>
      </w:r>
      <w:r>
        <w:rPr>
          <w:rFonts w:hint="eastAsia" w:ascii="仿宋_GB2312" w:hAnsi="仿宋" w:eastAsia="仿宋_GB2312" w:cs="Times New Roman"/>
          <w:spacing w:val="6"/>
          <w:kern w:val="0"/>
          <w:sz w:val="28"/>
          <w:szCs w:val="28"/>
          <w:highlight w:val="none"/>
          <w:lang w:val="en-US" w:eastAsia="zh-CN" w:bidi="ar-SA"/>
        </w:rPr>
        <w:t>：项目实施后可持续对盘龙区7个大气自动监测站的运行维护提供保障，使盘龙区空气环境质量起到持续提升作用，针对盘龙区大气自动监测站建立了长效管理机制并有效执行有效实施。</w:t>
      </w:r>
    </w:p>
    <w:p w14:paraId="49D85869">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该项指标满分为6分，根据评分标准得6分。</w:t>
      </w:r>
    </w:p>
    <w:p w14:paraId="23FD0F32">
      <w:pPr>
        <w:pStyle w:val="11"/>
        <w:shd w:val="clear" w:color="auto" w:fill="auto"/>
        <w:spacing w:after="0" w:line="579" w:lineRule="exact"/>
        <w:ind w:firstLine="586"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b/>
          <w:bCs/>
          <w:spacing w:val="6"/>
          <w:kern w:val="0"/>
          <w:sz w:val="28"/>
          <w:szCs w:val="28"/>
          <w:highlight w:val="none"/>
          <w:lang w:val="en-US" w:eastAsia="zh-CN" w:bidi="ar-SA"/>
        </w:rPr>
        <w:t>C24.满意度</w:t>
      </w:r>
    </w:p>
    <w:p w14:paraId="6EAC1802">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C241.昆明市盘龙区市民的满意程度</w:t>
      </w:r>
      <w:r>
        <w:rPr>
          <w:rFonts w:hint="eastAsia" w:ascii="仿宋_GB2312" w:hAnsi="仿宋" w:eastAsia="仿宋_GB2312" w:cs="Times New Roman"/>
          <w:spacing w:val="6"/>
          <w:kern w:val="0"/>
          <w:sz w:val="28"/>
          <w:szCs w:val="28"/>
          <w:highlight w:val="none"/>
          <w:lang w:val="en-US" w:eastAsia="zh-CN" w:bidi="ar-SA"/>
        </w:rPr>
        <w:t>：通过对</w:t>
      </w:r>
      <w:r>
        <w:rPr>
          <w:rFonts w:hint="eastAsia" w:ascii="仿宋_GB2312" w:hAnsi="仿宋" w:eastAsia="仿宋_GB2312" w:cs="Times New Roman"/>
          <w:spacing w:val="6"/>
          <w:kern w:val="0"/>
          <w:sz w:val="28"/>
          <w:szCs w:val="28"/>
          <w:highlight w:val="none"/>
          <w:u w:val="none"/>
          <w:lang w:val="en-US" w:eastAsia="zh-CN" w:bidi="ar-SA"/>
        </w:rPr>
        <w:t>昆明市盘龙区市民的满意程度进行满意度问卷调查，发放问卷60份，回收有效问卷60分，满意问卷52份，最终满意度=满意问卷份数/有效问卷份数×100%，通过计算得出昆明市盘龙区市民的满意程度</w:t>
      </w:r>
      <w:r>
        <w:rPr>
          <w:rFonts w:hint="eastAsia" w:ascii="仿宋_GB2312" w:hAnsi="仿宋" w:eastAsia="仿宋_GB2312" w:cs="Times New Roman"/>
          <w:spacing w:val="6"/>
          <w:kern w:val="0"/>
          <w:sz w:val="28"/>
          <w:szCs w:val="28"/>
          <w:highlight w:val="none"/>
          <w:lang w:val="en-US" w:eastAsia="zh-CN" w:bidi="ar-SA"/>
        </w:rPr>
        <w:t>为86.67%。</w:t>
      </w:r>
    </w:p>
    <w:p w14:paraId="0EC3B646">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zh-CN" w:eastAsia="zh-CN" w:bidi="ar-SA"/>
        </w:rPr>
      </w:pPr>
      <w:r>
        <w:rPr>
          <w:rFonts w:hint="eastAsia" w:ascii="仿宋_GB2312" w:hAnsi="仿宋" w:eastAsia="仿宋_GB2312" w:cs="Times New Roman"/>
          <w:spacing w:val="6"/>
          <w:kern w:val="0"/>
          <w:sz w:val="28"/>
          <w:szCs w:val="28"/>
          <w:highlight w:val="none"/>
          <w:lang w:val="en-US" w:eastAsia="zh-CN" w:bidi="ar-SA"/>
        </w:rPr>
        <w:t>该项指标满分为6分，根据评分标准得4分。</w:t>
      </w:r>
    </w:p>
    <w:p w14:paraId="7FD506F6">
      <w:pPr>
        <w:spacing w:line="579" w:lineRule="exact"/>
        <w:ind w:firstLine="600" w:firstLineChars="200"/>
        <w:outlineLvl w:val="0"/>
        <w:rPr>
          <w:rFonts w:hint="eastAsia" w:ascii="黑体" w:hAnsi="黑体" w:eastAsia="黑体" w:cs="宋体"/>
          <w:kern w:val="30"/>
          <w:sz w:val="30"/>
          <w:szCs w:val="30"/>
          <w:highlight w:val="none"/>
          <w:lang w:val="en-US" w:eastAsia="zh-CN"/>
        </w:rPr>
      </w:pPr>
      <w:r>
        <w:rPr>
          <w:rFonts w:hint="eastAsia" w:ascii="黑体" w:hAnsi="黑体" w:eastAsia="黑体" w:cs="宋体"/>
          <w:kern w:val="30"/>
          <w:sz w:val="30"/>
          <w:szCs w:val="30"/>
          <w:highlight w:val="none"/>
          <w:lang w:val="en-US" w:eastAsia="zh-CN"/>
        </w:rPr>
        <w:t>四、主要经验及做法、存在的问题和建议</w:t>
      </w:r>
    </w:p>
    <w:p w14:paraId="75E21436">
      <w:pPr>
        <w:keepNext w:val="0"/>
        <w:keepLines w:val="0"/>
        <w:pageBreakBefore w:val="0"/>
        <w:widowControl w:val="0"/>
        <w:kinsoku/>
        <w:wordWrap/>
        <w:overflowPunct/>
        <w:topLinePunct/>
        <w:autoSpaceDE/>
        <w:autoSpaceDN/>
        <w:bidi w:val="0"/>
        <w:adjustRightInd/>
        <w:snapToGrid/>
        <w:spacing w:line="579" w:lineRule="exact"/>
        <w:ind w:firstLine="600" w:firstLineChars="200"/>
        <w:textAlignment w:val="auto"/>
        <w:rPr>
          <w:rFonts w:hint="eastAsia" w:ascii="楷体" w:hAnsi="楷体" w:eastAsia="楷体"/>
          <w:kern w:val="30"/>
          <w:sz w:val="30"/>
          <w:szCs w:val="30"/>
          <w:highlight w:val="none"/>
        </w:rPr>
      </w:pPr>
      <w:r>
        <w:rPr>
          <w:rFonts w:hint="eastAsia" w:ascii="楷体" w:hAnsi="楷体" w:eastAsia="楷体"/>
          <w:kern w:val="30"/>
          <w:sz w:val="30"/>
          <w:szCs w:val="30"/>
          <w:highlight w:val="none"/>
        </w:rPr>
        <w:t>（一）主要经验及做法</w:t>
      </w:r>
    </w:p>
    <w:p w14:paraId="1A533F15">
      <w:pPr>
        <w:spacing w:line="570" w:lineRule="exact"/>
        <w:ind w:firstLine="645"/>
        <w:rPr>
          <w:rFonts w:hint="eastAsia" w:ascii="仿宋_GB2312" w:hAnsi="仿宋" w:eastAsia="仿宋_GB2312" w:cs="Times New Roman"/>
          <w:spacing w:val="6"/>
          <w:kern w:val="0"/>
          <w:sz w:val="28"/>
          <w:szCs w:val="28"/>
          <w:highlight w:val="none"/>
          <w:u w:val="none"/>
          <w:lang w:val="en-US" w:eastAsia="zh-CN" w:bidi="ar-SA"/>
        </w:rPr>
      </w:pPr>
      <w:r>
        <w:rPr>
          <w:rFonts w:hint="eastAsia" w:ascii="仿宋_GB2312" w:hAnsi="仿宋" w:eastAsia="仿宋_GB2312" w:cs="Times New Roman"/>
          <w:spacing w:val="6"/>
          <w:kern w:val="0"/>
          <w:sz w:val="28"/>
          <w:szCs w:val="28"/>
          <w:highlight w:val="none"/>
          <w:u w:val="none"/>
          <w:lang w:val="en-US" w:eastAsia="zh-CN" w:bidi="ar-SA"/>
        </w:rPr>
        <w:t>盘龙区共有2个大气环境国控监测点，分别是东风东路监测点和龙泉镇监测点。截至2019年9月30日，东风东路监测点有效监测天数255，其中优142天，良1130天，轻度污染5天，空气质量优良率为93.41%（首要污染物为臭氧的天数不计入污染天数）。发生轻度污染时间：4月1日首要污染物为PM2.5。龙泉镇监测点有效监测天数245天，其中优121天，良124天，轻度污染9天，空气质量优良率为100%（首要污染物为臭氧的天数不计入污染天数）。截至2019年9月30日全区PM10平均浓度为54微克/立方米，PM2.5平均浓度为24微克/立方米。</w:t>
      </w:r>
    </w:p>
    <w:p w14:paraId="3953E51C">
      <w:pPr>
        <w:spacing w:line="570" w:lineRule="exact"/>
        <w:ind w:firstLine="584" w:firstLineChars="200"/>
        <w:jc w:val="left"/>
        <w:rPr>
          <w:rFonts w:hint="eastAsia" w:ascii="仿宋_GB2312" w:hAnsi="仿宋" w:eastAsia="仿宋_GB2312" w:cs="Times New Roman"/>
          <w:spacing w:val="6"/>
          <w:kern w:val="0"/>
          <w:sz w:val="28"/>
          <w:szCs w:val="28"/>
          <w:highlight w:val="none"/>
          <w:u w:val="none"/>
          <w:lang w:val="en-US" w:eastAsia="zh-CN" w:bidi="ar-SA"/>
        </w:rPr>
      </w:pPr>
      <w:r>
        <w:rPr>
          <w:rFonts w:hint="eastAsia" w:ascii="仿宋_GB2312" w:hAnsi="仿宋" w:eastAsia="仿宋_GB2312" w:cs="Times New Roman"/>
          <w:spacing w:val="6"/>
          <w:kern w:val="0"/>
          <w:sz w:val="28"/>
          <w:szCs w:val="28"/>
          <w:highlight w:val="none"/>
          <w:u w:val="none"/>
          <w:lang w:val="en-US" w:eastAsia="zh-CN" w:bidi="ar-SA"/>
        </w:rPr>
        <w:t>根据区政府下发的《盘龙区2019年度大气污染防治工作方案》的要求，我站按期对昆明醋酸纤维有限公司进行监督性监测，1-9月份共监测了5次，出具了5份监测报告。对施工工地、道路扬尘等大气污染情况实施监测，运用激光雷达等先进技术手段查找污染源源头，综合分析2万余个监测数据，编写了36余份大气环境质量周报，科学地指导街道办事处精准治污，为全区上半年大气污染防治工作提供了有力的技术保障。</w:t>
      </w:r>
    </w:p>
    <w:p w14:paraId="37CFF6D0">
      <w:pPr>
        <w:spacing w:line="570" w:lineRule="exact"/>
        <w:ind w:firstLine="584" w:firstLineChars="200"/>
        <w:jc w:val="left"/>
        <w:rPr>
          <w:rFonts w:hint="eastAsia" w:ascii="仿宋_GB2312" w:hAnsi="仿宋" w:eastAsia="仿宋_GB2312" w:cs="Times New Roman"/>
          <w:spacing w:val="6"/>
          <w:kern w:val="0"/>
          <w:sz w:val="28"/>
          <w:szCs w:val="28"/>
          <w:highlight w:val="none"/>
          <w:u w:val="none"/>
          <w:lang w:val="en-US" w:eastAsia="zh-CN" w:bidi="ar-SA"/>
        </w:rPr>
      </w:pPr>
      <w:r>
        <w:rPr>
          <w:rFonts w:hint="eastAsia" w:ascii="仿宋_GB2312" w:hAnsi="仿宋" w:eastAsia="仿宋_GB2312" w:cs="Times New Roman"/>
          <w:spacing w:val="6"/>
          <w:kern w:val="0"/>
          <w:sz w:val="28"/>
          <w:szCs w:val="28"/>
          <w:highlight w:val="none"/>
          <w:u w:val="none"/>
          <w:lang w:val="en-US" w:eastAsia="zh-CN" w:bidi="ar-SA"/>
        </w:rPr>
        <w:t>根据《盘龙区2019年度大气污染防治工作方案》，我站积极报送数据，每隔一小时对两个自动监测点的AQI进行统计播报配合，对区内东风东路和龙泉镇自动监测点进行每天时时监测报，密切关注着各污染物的变化趋势，对大气环境质量趋势进行预判。</w:t>
      </w:r>
    </w:p>
    <w:p w14:paraId="74B0BD72">
      <w:pPr>
        <w:spacing w:line="570" w:lineRule="exact"/>
        <w:ind w:firstLine="584" w:firstLineChars="200"/>
        <w:jc w:val="left"/>
        <w:rPr>
          <w:rFonts w:hint="eastAsia" w:ascii="仿宋_GB2312" w:hAnsi="仿宋" w:eastAsia="仿宋_GB2312" w:cs="Times New Roman"/>
          <w:spacing w:val="6"/>
          <w:kern w:val="0"/>
          <w:sz w:val="28"/>
          <w:szCs w:val="28"/>
          <w:highlight w:val="none"/>
          <w:u w:val="none"/>
          <w:lang w:val="en-US" w:eastAsia="zh-CN" w:bidi="ar-SA"/>
        </w:rPr>
      </w:pPr>
      <w:r>
        <w:rPr>
          <w:rFonts w:hint="eastAsia" w:ascii="仿宋_GB2312" w:hAnsi="仿宋" w:eastAsia="仿宋_GB2312" w:cs="Times New Roman"/>
          <w:spacing w:val="6"/>
          <w:kern w:val="0"/>
          <w:sz w:val="28"/>
          <w:szCs w:val="28"/>
          <w:highlight w:val="none"/>
          <w:u w:val="none"/>
          <w:lang w:val="en-US" w:eastAsia="zh-CN" w:bidi="ar-SA"/>
        </w:rPr>
        <w:t>根据昆明市政府研究部署2019年昆明市大气污染防治重点工作会议精神及《盘龙区2019年度大气污染防治工作方案》的要求，实现盘龙区大气自动监测点街道办事处全覆盖，盘龙区拟在鼓楼、东华、联盟、青云、龙泉、茨坝、双龙街道办事处建设7个大气自动监测站。根据监测数据，每周编写盘龙区街道办事处空气质量周报。</w:t>
      </w:r>
    </w:p>
    <w:p w14:paraId="4AFC6AC1">
      <w:pPr>
        <w:keepNext w:val="0"/>
        <w:keepLines w:val="0"/>
        <w:pageBreakBefore w:val="0"/>
        <w:widowControl w:val="0"/>
        <w:numPr>
          <w:ilvl w:val="0"/>
          <w:numId w:val="5"/>
        </w:numPr>
        <w:kinsoku/>
        <w:wordWrap/>
        <w:overflowPunct/>
        <w:topLinePunct/>
        <w:autoSpaceDE/>
        <w:autoSpaceDN/>
        <w:bidi w:val="0"/>
        <w:adjustRightInd/>
        <w:snapToGrid/>
        <w:spacing w:line="579" w:lineRule="exact"/>
        <w:ind w:firstLine="600" w:firstLineChars="200"/>
        <w:jc w:val="both"/>
        <w:textAlignment w:val="auto"/>
        <w:rPr>
          <w:rFonts w:hint="eastAsia" w:ascii="楷体" w:hAnsi="楷体" w:eastAsia="楷体"/>
          <w:kern w:val="30"/>
          <w:sz w:val="30"/>
          <w:szCs w:val="30"/>
          <w:lang w:val="en-US" w:eastAsia="zh-CN"/>
        </w:rPr>
      </w:pPr>
      <w:r>
        <w:rPr>
          <w:rFonts w:hint="eastAsia" w:ascii="楷体" w:hAnsi="楷体" w:eastAsia="楷体"/>
          <w:kern w:val="30"/>
          <w:sz w:val="30"/>
          <w:szCs w:val="30"/>
          <w:lang w:val="en-US" w:eastAsia="zh-CN"/>
        </w:rPr>
        <w:t>存在的问题</w:t>
      </w:r>
    </w:p>
    <w:p w14:paraId="6352C33B">
      <w:pPr>
        <w:spacing w:line="570" w:lineRule="exact"/>
        <w:ind w:firstLine="584" w:firstLineChars="200"/>
        <w:jc w:val="left"/>
        <w:rPr>
          <w:rFonts w:hint="eastAsia" w:ascii="仿宋_GB2312" w:hAnsi="仿宋" w:eastAsia="仿宋_GB2312" w:cs="Times New Roman"/>
          <w:spacing w:val="6"/>
          <w:kern w:val="0"/>
          <w:sz w:val="28"/>
          <w:szCs w:val="28"/>
          <w:highlight w:val="none"/>
          <w:u w:val="none"/>
          <w:lang w:val="en-US" w:eastAsia="zh-CN" w:bidi="ar-SA"/>
        </w:rPr>
      </w:pPr>
      <w:r>
        <w:rPr>
          <w:rFonts w:hint="eastAsia" w:ascii="仿宋_GB2312" w:hAnsi="仿宋" w:eastAsia="仿宋_GB2312" w:cs="Times New Roman"/>
          <w:spacing w:val="6"/>
          <w:kern w:val="0"/>
          <w:sz w:val="28"/>
          <w:szCs w:val="28"/>
          <w:highlight w:val="none"/>
          <w:u w:val="none"/>
          <w:lang w:val="en-US" w:eastAsia="zh-CN" w:bidi="ar-SA"/>
        </w:rPr>
        <w:t>1.问卷调查满意度不高</w:t>
      </w:r>
    </w:p>
    <w:p w14:paraId="0D02F0EA">
      <w:pPr>
        <w:keepNext w:val="0"/>
        <w:keepLines w:val="0"/>
        <w:pageBreakBefore w:val="0"/>
        <w:widowControl w:val="0"/>
        <w:kinsoku/>
        <w:wordWrap/>
        <w:overflowPunct/>
        <w:autoSpaceDE/>
        <w:autoSpaceDN/>
        <w:bidi w:val="0"/>
        <w:adjustRightInd/>
        <w:snapToGrid/>
        <w:spacing w:line="579" w:lineRule="exact"/>
        <w:ind w:firstLine="584" w:firstLineChars="200"/>
        <w:jc w:val="both"/>
        <w:textAlignment w:val="auto"/>
        <w:rPr>
          <w:rFonts w:hint="default" w:ascii="仿宋_GB2312" w:hAnsi="仿宋" w:eastAsia="仿宋_GB2312" w:cs="Times New Roman"/>
          <w:spacing w:val="6"/>
          <w:kern w:val="0"/>
          <w:sz w:val="28"/>
          <w:szCs w:val="28"/>
          <w:highlight w:val="none"/>
          <w:u w:val="none"/>
          <w:lang w:val="en-US" w:eastAsia="zh-CN" w:bidi="ar-SA"/>
        </w:rPr>
      </w:pPr>
      <w:r>
        <w:rPr>
          <w:rFonts w:hint="eastAsia" w:ascii="仿宋_GB2312" w:hAnsi="仿宋" w:eastAsia="仿宋_GB2312" w:cs="Times New Roman"/>
          <w:spacing w:val="6"/>
          <w:kern w:val="0"/>
          <w:sz w:val="28"/>
          <w:szCs w:val="28"/>
          <w:highlight w:val="none"/>
          <w:u w:val="none"/>
          <w:lang w:val="en-US" w:eastAsia="zh-CN" w:bidi="ar-SA"/>
        </w:rPr>
        <w:t>通过问卷调查显示，部分市民反映部分地区存在渣土车不盖篷布、工地防尘措施不够完善的情况，从而导致空气中散播颗粒污染物，对周边市民产生很大影响。</w:t>
      </w:r>
    </w:p>
    <w:p w14:paraId="433100B5">
      <w:pPr>
        <w:keepNext w:val="0"/>
        <w:keepLines w:val="0"/>
        <w:pageBreakBefore w:val="0"/>
        <w:widowControl w:val="0"/>
        <w:numPr>
          <w:ilvl w:val="0"/>
          <w:numId w:val="5"/>
        </w:numPr>
        <w:kinsoku/>
        <w:wordWrap/>
        <w:overflowPunct/>
        <w:topLinePunct/>
        <w:autoSpaceDE/>
        <w:autoSpaceDN/>
        <w:bidi w:val="0"/>
        <w:adjustRightInd/>
        <w:snapToGrid/>
        <w:spacing w:line="579" w:lineRule="exact"/>
        <w:ind w:left="0" w:leftChars="0" w:firstLine="600" w:firstLineChars="200"/>
        <w:textAlignment w:val="auto"/>
        <w:rPr>
          <w:rFonts w:hint="eastAsia" w:ascii="楷体" w:hAnsi="楷体" w:eastAsia="楷体"/>
          <w:kern w:val="30"/>
          <w:sz w:val="30"/>
          <w:szCs w:val="30"/>
          <w:lang w:val="en-US" w:eastAsia="zh-CN"/>
        </w:rPr>
      </w:pPr>
      <w:r>
        <w:rPr>
          <w:rFonts w:hint="eastAsia" w:ascii="楷体" w:hAnsi="楷体" w:eastAsia="楷体"/>
          <w:kern w:val="30"/>
          <w:sz w:val="30"/>
          <w:szCs w:val="30"/>
          <w:lang w:val="en-US" w:eastAsia="zh-CN"/>
        </w:rPr>
        <w:t>建议及改进措施</w:t>
      </w:r>
    </w:p>
    <w:p w14:paraId="3C2A65C4">
      <w:pPr>
        <w:keepNext w:val="0"/>
        <w:keepLines w:val="0"/>
        <w:pageBreakBefore w:val="0"/>
        <w:widowControl w:val="0"/>
        <w:kinsoku/>
        <w:wordWrap/>
        <w:overflowPunct/>
        <w:autoSpaceDE/>
        <w:autoSpaceDN/>
        <w:bidi w:val="0"/>
        <w:adjustRightInd/>
        <w:snapToGrid/>
        <w:spacing w:line="579" w:lineRule="exact"/>
        <w:ind w:firstLine="584" w:firstLineChars="200"/>
        <w:jc w:val="both"/>
        <w:textAlignment w:val="auto"/>
        <w:rPr>
          <w:rFonts w:hint="default" w:ascii="仿宋_GB2312" w:hAnsi="仿宋" w:eastAsia="仿宋_GB2312" w:cs="Times New Roman"/>
          <w:spacing w:val="6"/>
          <w:kern w:val="0"/>
          <w:sz w:val="28"/>
          <w:szCs w:val="28"/>
          <w:highlight w:val="none"/>
          <w:u w:val="none"/>
          <w:lang w:val="en-US" w:eastAsia="zh-CN" w:bidi="ar-SA"/>
        </w:rPr>
      </w:pPr>
      <w:r>
        <w:rPr>
          <w:rFonts w:hint="eastAsia" w:ascii="仿宋_GB2312" w:hAnsi="仿宋" w:eastAsia="仿宋_GB2312" w:cs="Times New Roman"/>
          <w:spacing w:val="6"/>
          <w:kern w:val="0"/>
          <w:sz w:val="28"/>
          <w:szCs w:val="28"/>
          <w:highlight w:val="none"/>
          <w:u w:val="none"/>
          <w:lang w:val="en-US" w:eastAsia="zh-CN" w:bidi="ar-SA"/>
        </w:rPr>
        <w:t>1.加大项目实施力度</w:t>
      </w:r>
    </w:p>
    <w:p w14:paraId="6510842C">
      <w:pPr>
        <w:keepNext w:val="0"/>
        <w:keepLines w:val="0"/>
        <w:pageBreakBefore w:val="0"/>
        <w:widowControl w:val="0"/>
        <w:kinsoku/>
        <w:wordWrap/>
        <w:overflowPunct/>
        <w:autoSpaceDE/>
        <w:autoSpaceDN/>
        <w:bidi w:val="0"/>
        <w:adjustRightInd/>
        <w:snapToGrid/>
        <w:spacing w:line="579" w:lineRule="exact"/>
        <w:ind w:firstLine="584" w:firstLineChars="200"/>
        <w:jc w:val="both"/>
        <w:textAlignment w:val="auto"/>
        <w:rPr>
          <w:rFonts w:hint="eastAsia" w:ascii="仿宋_GB2312" w:hAnsi="仿宋" w:eastAsia="仿宋_GB2312" w:cs="Times New Roman"/>
          <w:spacing w:val="6"/>
          <w:kern w:val="0"/>
          <w:sz w:val="28"/>
          <w:szCs w:val="28"/>
          <w:highlight w:val="none"/>
          <w:u w:val="none"/>
          <w:lang w:val="en-US" w:eastAsia="zh-CN" w:bidi="ar-SA"/>
        </w:rPr>
      </w:pPr>
      <w:r>
        <w:rPr>
          <w:rFonts w:hint="eastAsia" w:ascii="仿宋_GB2312" w:hAnsi="仿宋" w:eastAsia="仿宋_GB2312" w:cs="Times New Roman"/>
          <w:spacing w:val="6"/>
          <w:kern w:val="0"/>
          <w:sz w:val="28"/>
          <w:szCs w:val="28"/>
          <w:highlight w:val="none"/>
          <w:u w:val="none"/>
          <w:lang w:val="en-US" w:eastAsia="zh-CN" w:bidi="ar-SA"/>
        </w:rPr>
        <w:t>建议昆明市生态环境局盘龙分局对辖区内的所有能够影响大气质量的各项因素作全面、系统的分析，充分利用环境的自净能力，综合运用各种防治大气污染的技术措施，并在这些措施的基础上制定最佳的废气处理措施，以达到控制区域性大气环境质量、消除或减轻大气污染的目的。</w:t>
      </w:r>
    </w:p>
    <w:p w14:paraId="03F837EF">
      <w:pPr>
        <w:keepNext w:val="0"/>
        <w:keepLines w:val="0"/>
        <w:pageBreakBefore w:val="0"/>
        <w:widowControl w:val="0"/>
        <w:kinsoku/>
        <w:wordWrap/>
        <w:overflowPunct/>
        <w:autoSpaceDE/>
        <w:autoSpaceDN/>
        <w:bidi w:val="0"/>
        <w:adjustRightInd/>
        <w:snapToGrid/>
        <w:spacing w:line="579" w:lineRule="exact"/>
        <w:ind w:firstLine="584" w:firstLineChars="200"/>
        <w:jc w:val="both"/>
        <w:textAlignment w:val="auto"/>
        <w:rPr>
          <w:rFonts w:hint="eastAsia" w:ascii="仿宋_GB2312" w:hAnsi="仿宋" w:eastAsia="仿宋_GB2312" w:cs="Times New Roman"/>
          <w:spacing w:val="6"/>
          <w:kern w:val="0"/>
          <w:sz w:val="28"/>
          <w:szCs w:val="28"/>
          <w:highlight w:val="none"/>
          <w:u w:val="none"/>
          <w:lang w:val="en-US" w:eastAsia="zh-CN" w:bidi="ar-SA"/>
        </w:rPr>
      </w:pPr>
    </w:p>
    <w:p w14:paraId="147ED78B">
      <w:pPr>
        <w:keepNext w:val="0"/>
        <w:keepLines w:val="0"/>
        <w:pageBreakBefore w:val="0"/>
        <w:widowControl w:val="0"/>
        <w:kinsoku/>
        <w:wordWrap/>
        <w:overflowPunct/>
        <w:autoSpaceDE/>
        <w:autoSpaceDN/>
        <w:bidi w:val="0"/>
        <w:spacing w:line="360" w:lineRule="auto"/>
        <w:ind w:right="0" w:rightChars="0" w:firstLine="640" w:firstLineChars="200"/>
        <w:jc w:val="center"/>
        <w:textAlignment w:val="auto"/>
        <w:rPr>
          <w:rFonts w:hint="eastAsia"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val="en-US" w:eastAsia="zh-CN"/>
        </w:rPr>
        <w:t>第二次全国污染源普查工作经费项目绩效自评价报告</w:t>
      </w:r>
    </w:p>
    <w:p w14:paraId="08C29399">
      <w:pPr>
        <w:topLinePunct/>
        <w:spacing w:line="440" w:lineRule="exact"/>
        <w:ind w:firstLine="750" w:firstLineChars="250"/>
        <w:rPr>
          <w:rFonts w:hint="eastAsia" w:ascii="黑体" w:hAnsi="黑体" w:eastAsia="黑体" w:cs="黑体"/>
          <w:sz w:val="30"/>
          <w:szCs w:val="30"/>
        </w:rPr>
      </w:pPr>
      <w:r>
        <w:rPr>
          <w:rFonts w:hint="eastAsia" w:ascii="黑体" w:hAnsi="黑体" w:eastAsia="黑体"/>
          <w:sz w:val="30"/>
          <w:szCs w:val="30"/>
        </w:rPr>
        <w:t>一、项目基本情况</w:t>
      </w:r>
    </w:p>
    <w:p w14:paraId="54B12A9B">
      <w:pPr>
        <w:spacing w:line="579" w:lineRule="exact"/>
        <w:ind w:firstLine="600" w:firstLineChars="200"/>
        <w:outlineLvl w:val="1"/>
        <w:rPr>
          <w:rFonts w:hint="eastAsia" w:ascii="楷体" w:hAnsi="楷体" w:eastAsia="楷体" w:cs="Times New Roman"/>
          <w:kern w:val="30"/>
          <w:sz w:val="30"/>
          <w:szCs w:val="30"/>
          <w:highlight w:val="none"/>
        </w:rPr>
      </w:pPr>
      <w:r>
        <w:rPr>
          <w:rFonts w:hint="eastAsia" w:ascii="楷体" w:hAnsi="楷体" w:eastAsia="楷体" w:cs="Times New Roman"/>
          <w:kern w:val="30"/>
          <w:sz w:val="30"/>
          <w:szCs w:val="30"/>
          <w:highlight w:val="none"/>
        </w:rPr>
        <w:t>（一）项目概况</w:t>
      </w:r>
    </w:p>
    <w:p w14:paraId="69F9BE89">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1.立项背景及目的</w:t>
      </w:r>
    </w:p>
    <w:p w14:paraId="7302D833">
      <w:pPr>
        <w:pStyle w:val="15"/>
        <w:keepNext w:val="0"/>
        <w:keepLines w:val="0"/>
        <w:widowControl w:val="0"/>
        <w:shd w:val="clear" w:color="auto" w:fill="auto"/>
        <w:bidi w:val="0"/>
        <w:spacing w:before="0" w:after="0" w:line="576" w:lineRule="exact"/>
        <w:ind w:left="0" w:right="0" w:firstLine="584" w:firstLineChars="200"/>
        <w:jc w:val="both"/>
        <w:rPr>
          <w:rFonts w:hint="default" w:ascii="仿宋_GB2312" w:hAnsi="仿宋" w:eastAsia="仿宋_GB2312" w:cs="Times New Roman"/>
          <w:color w:val="000000"/>
          <w:spacing w:val="6"/>
          <w:kern w:val="0"/>
          <w:sz w:val="28"/>
          <w:szCs w:val="28"/>
          <w:highlight w:val="none"/>
          <w:u w:val="none"/>
          <w:lang w:val="en-US" w:eastAsia="zh-CN" w:bidi="ar-SA"/>
        </w:rPr>
      </w:pPr>
      <w:r>
        <w:rPr>
          <w:rFonts w:hint="eastAsia" w:ascii="仿宋_GB2312" w:hAnsi="仿宋" w:eastAsia="仿宋_GB2312" w:cs="Times New Roman"/>
          <w:color w:val="000000"/>
          <w:spacing w:val="6"/>
          <w:kern w:val="0"/>
          <w:sz w:val="28"/>
          <w:szCs w:val="28"/>
          <w:highlight w:val="none"/>
          <w:u w:val="none"/>
          <w:lang w:val="zh-CN" w:eastAsia="zh-CN" w:bidi="ar-SA"/>
        </w:rPr>
        <w:t>全国污染源普查是重大的国情调查，是环境保护的基础性工作，平均每十年开展一次，</w:t>
      </w:r>
      <w:r>
        <w:rPr>
          <w:rFonts w:hint="eastAsia" w:ascii="仿宋_GB2312" w:hAnsi="仿宋" w:eastAsia="仿宋_GB2312" w:cs="Times New Roman"/>
          <w:color w:val="000000"/>
          <w:spacing w:val="6"/>
          <w:kern w:val="0"/>
          <w:sz w:val="28"/>
          <w:szCs w:val="28"/>
          <w:highlight w:val="none"/>
          <w:u w:val="none"/>
          <w:lang w:val="en-US" w:eastAsia="zh-CN" w:bidi="ar-SA"/>
        </w:rPr>
        <w:t>主要是为了摸清盘龙区各类污染源基本情况，了解污染源数量、结构和分布状况，掌握辖区内各行业污染</w:t>
      </w:r>
      <w:r>
        <w:rPr>
          <w:rFonts w:hint="eastAsia" w:ascii="仿宋_GB2312" w:hAnsi="仿宋" w:eastAsia="仿宋_GB2312" w:cs="Times New Roman"/>
          <w:color w:val="000000"/>
          <w:spacing w:val="6"/>
          <w:kern w:val="0"/>
          <w:sz w:val="28"/>
          <w:szCs w:val="28"/>
          <w:highlight w:val="none"/>
          <w:u w:val="none"/>
          <w:lang w:val="zh-CN" w:eastAsia="zh-CN" w:bidi="ar-SA"/>
        </w:rPr>
        <w:t>物产生、排放和处理情况，建立健全盘龙区重点污染源档案、污染源信息数据库和环境统计平台，对于准确判断当前盘龙区环境形势，制定实施有针对性的经济发展和环境保护政策、规划，不断改善环境质量，加快推进生态文明排头兵建设步伐，坚决保护好盘龙的绿水青山、蓝天白云、原野沃土具有重要意义。</w:t>
      </w:r>
    </w:p>
    <w:p w14:paraId="45652950">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2.项目立项依据</w:t>
      </w:r>
    </w:p>
    <w:p w14:paraId="74BD87D3">
      <w:pPr>
        <w:spacing w:line="579" w:lineRule="exact"/>
        <w:ind w:firstLine="584" w:firstLineChars="200"/>
        <w:rPr>
          <w:rFonts w:hint="eastAsia" w:ascii="仿宋_GB2312" w:hAnsi="仿宋" w:eastAsia="仿宋_GB2312" w:cs="MingLiU_HKSCS"/>
          <w:color w:val="000000"/>
          <w:spacing w:val="6"/>
          <w:kern w:val="0"/>
          <w:sz w:val="28"/>
          <w:szCs w:val="28"/>
          <w:highlight w:val="none"/>
          <w:u w:val="none"/>
          <w:lang w:val="zh-CN" w:eastAsia="zh-CN" w:bidi="ar-SA"/>
        </w:rPr>
      </w:pPr>
      <w:r>
        <w:rPr>
          <w:rFonts w:hint="eastAsia" w:ascii="仿宋_GB2312" w:hAnsi="仿宋" w:eastAsia="仿宋_GB2312" w:cs="MingLiU_HKSCS"/>
          <w:color w:val="000000"/>
          <w:spacing w:val="6"/>
          <w:kern w:val="0"/>
          <w:sz w:val="28"/>
          <w:szCs w:val="28"/>
          <w:highlight w:val="none"/>
          <w:u w:val="none"/>
          <w:lang w:val="zh-CN" w:eastAsia="zh-CN" w:bidi="ar-SA"/>
        </w:rPr>
        <w:t>为加强盘龙区污染源监管、改善环境质量、提升防控环境风险、促进服务环境与社会发展相结合，根据《云南省人民政府关于做好第二次全国污染源普查工作的通知》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云政发</w:t>
      </w:r>
      <w:r>
        <w:rPr>
          <w:rFonts w:hint="eastAsia" w:ascii="仿宋_GB2312" w:hAnsi="仿宋" w:eastAsia="仿宋_GB2312" w:cs="MingLiU_HKSCS"/>
          <w:color w:val="000000"/>
          <w:spacing w:val="6"/>
          <w:kern w:val="0"/>
          <w:sz w:val="28"/>
          <w:szCs w:val="28"/>
          <w:highlight w:val="none"/>
          <w:u w:val="none"/>
          <w:lang w:val="en-US" w:eastAsia="zh-CN" w:bidi="ar-SA"/>
        </w:rPr>
        <w:t>〔2017〕45</w:t>
      </w:r>
      <w:r>
        <w:rPr>
          <w:rFonts w:hint="eastAsia" w:ascii="仿宋_GB2312" w:hAnsi="仿宋" w:eastAsia="仿宋_GB2312" w:cs="MingLiU_HKSCS"/>
          <w:color w:val="000000"/>
          <w:spacing w:val="6"/>
          <w:kern w:val="0"/>
          <w:sz w:val="28"/>
          <w:szCs w:val="28"/>
          <w:highlight w:val="none"/>
          <w:u w:val="none"/>
          <w:lang w:val="zh-CN" w:eastAsia="zh-CN" w:bidi="ar-SA"/>
        </w:rPr>
        <w:t>号）和《昆明市关于做好第二次全国污染源普查工作的通知》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昆政发</w:t>
      </w:r>
      <w:r>
        <w:rPr>
          <w:rFonts w:hint="eastAsia" w:ascii="仿宋_GB2312" w:hAnsi="仿宋" w:eastAsia="仿宋_GB2312" w:cs="MingLiU_HKSCS"/>
          <w:color w:val="000000"/>
          <w:spacing w:val="6"/>
          <w:kern w:val="0"/>
          <w:sz w:val="28"/>
          <w:szCs w:val="28"/>
          <w:highlight w:val="none"/>
          <w:u w:val="none"/>
          <w:lang w:val="en-US" w:eastAsia="zh-CN" w:bidi="ar-SA"/>
        </w:rPr>
        <w:t>〔2017〕50</w:t>
      </w:r>
      <w:r>
        <w:rPr>
          <w:rFonts w:hint="eastAsia" w:ascii="仿宋_GB2312" w:hAnsi="仿宋" w:eastAsia="仿宋_GB2312" w:cs="MingLiU_HKSCS"/>
          <w:color w:val="000000"/>
          <w:spacing w:val="6"/>
          <w:kern w:val="0"/>
          <w:sz w:val="28"/>
          <w:szCs w:val="28"/>
          <w:highlight w:val="none"/>
          <w:u w:val="none"/>
          <w:lang w:val="zh-CN" w:eastAsia="zh-CN" w:bidi="ar-SA"/>
        </w:rPr>
        <w:t>号）的相关文件要求，</w:t>
      </w:r>
      <w:r>
        <w:rPr>
          <w:rFonts w:hint="eastAsia" w:ascii="仿宋_GB2312" w:hAnsi="仿宋" w:eastAsia="仿宋_GB2312" w:cs="MingLiU_HKSCS"/>
          <w:color w:val="000000"/>
          <w:spacing w:val="6"/>
          <w:kern w:val="0"/>
          <w:sz w:val="28"/>
          <w:szCs w:val="28"/>
          <w:highlight w:val="none"/>
          <w:u w:val="none"/>
          <w:lang w:val="en-US" w:eastAsia="zh-CN" w:bidi="ar-SA"/>
        </w:rPr>
        <w:t>2017</w:t>
      </w:r>
      <w:r>
        <w:rPr>
          <w:rFonts w:hint="eastAsia" w:ascii="仿宋_GB2312" w:hAnsi="仿宋" w:eastAsia="仿宋_GB2312" w:cs="MingLiU_HKSCS"/>
          <w:color w:val="000000"/>
          <w:spacing w:val="6"/>
          <w:kern w:val="0"/>
          <w:sz w:val="28"/>
          <w:szCs w:val="28"/>
          <w:highlight w:val="none"/>
          <w:u w:val="none"/>
          <w:lang w:val="zh-CN" w:eastAsia="zh-CN" w:bidi="ar-SA"/>
        </w:rPr>
        <w:t>年底昆明市生态环境局盘龙分局牵头拟定了《盘龙区人民政府关于做好第二次全国污染源普查工作的通知》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盘政发</w:t>
      </w:r>
      <w:r>
        <w:rPr>
          <w:rFonts w:hint="eastAsia" w:ascii="仿宋_GB2312" w:hAnsi="仿宋" w:eastAsia="仿宋_GB2312" w:cs="MingLiU_HKSCS"/>
          <w:color w:val="000000"/>
          <w:spacing w:val="6"/>
          <w:kern w:val="0"/>
          <w:sz w:val="28"/>
          <w:szCs w:val="28"/>
          <w:highlight w:val="none"/>
          <w:u w:val="none"/>
          <w:lang w:val="en-US" w:eastAsia="zh-CN" w:bidi="ar-SA"/>
        </w:rPr>
        <w:t>〔2017〕8</w:t>
      </w:r>
      <w:r>
        <w:rPr>
          <w:rFonts w:hint="eastAsia" w:ascii="仿宋_GB2312" w:hAnsi="仿宋" w:eastAsia="仿宋_GB2312" w:cs="MingLiU_HKSCS"/>
          <w:color w:val="000000"/>
          <w:spacing w:val="6"/>
          <w:kern w:val="0"/>
          <w:sz w:val="28"/>
          <w:szCs w:val="28"/>
          <w:highlight w:val="none"/>
          <w:u w:val="none"/>
          <w:lang w:val="zh-CN" w:eastAsia="zh-CN" w:bidi="ar-SA"/>
        </w:rPr>
        <w:t>号）和《盘龙区环境保护局关于成立第二次全国污染源普查领导小组的通知》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盘环保</w:t>
      </w:r>
      <w:r>
        <w:rPr>
          <w:rFonts w:hint="eastAsia" w:ascii="仿宋_GB2312" w:hAnsi="仿宋" w:eastAsia="仿宋_GB2312" w:cs="MingLiU_HKSCS"/>
          <w:color w:val="000000"/>
          <w:spacing w:val="6"/>
          <w:kern w:val="0"/>
          <w:sz w:val="28"/>
          <w:szCs w:val="28"/>
          <w:highlight w:val="none"/>
          <w:u w:val="none"/>
          <w:lang w:val="en-US" w:eastAsia="zh-CN" w:bidi="ar-SA"/>
        </w:rPr>
        <w:t>〔2017〕107</w:t>
      </w:r>
      <w:r>
        <w:rPr>
          <w:rFonts w:hint="eastAsia" w:ascii="仿宋_GB2312" w:hAnsi="仿宋" w:eastAsia="仿宋_GB2312" w:cs="MingLiU_HKSCS"/>
          <w:color w:val="000000"/>
          <w:spacing w:val="6"/>
          <w:kern w:val="0"/>
          <w:sz w:val="28"/>
          <w:szCs w:val="28"/>
          <w:highlight w:val="none"/>
          <w:u w:val="none"/>
          <w:lang w:val="zh-CN" w:eastAsia="zh-CN" w:bidi="ar-SA"/>
        </w:rPr>
        <w:t>号），项目立项依据充分。</w:t>
      </w:r>
    </w:p>
    <w:p w14:paraId="49BFE389">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3.项目实施情况</w:t>
      </w:r>
    </w:p>
    <w:p w14:paraId="6E54AABD">
      <w:pPr>
        <w:spacing w:line="579" w:lineRule="exact"/>
        <w:ind w:firstLine="560" w:firstLineChars="200"/>
        <w:rPr>
          <w:rFonts w:hint="default" w:ascii="仿宋_GB2312" w:hAnsi="楷体" w:eastAsia="仿宋_GB2312"/>
          <w:sz w:val="28"/>
          <w:szCs w:val="28"/>
          <w:lang w:val="en-US" w:eastAsia="zh-CN"/>
        </w:rPr>
      </w:pPr>
      <w:r>
        <w:rPr>
          <w:rFonts w:hint="eastAsia" w:ascii="仿宋_GB2312" w:hAnsi="楷体" w:eastAsia="仿宋_GB2312"/>
          <w:sz w:val="28"/>
          <w:szCs w:val="28"/>
          <w:lang w:eastAsia="zh-CN"/>
        </w:rPr>
        <w:t>该项目普查对象是盘龙区境内污染源的单位和个体经营户。范围包括：工业污染源、农业污染源、生活污染源、集中式污染治理设施、移动源及其他产生、排放污染物的设施。普查的内容包括普查对象的基本信息、污染物种类和来源、污染物产生和排放情况、污染治理设施建设和运行情况等。截止</w:t>
      </w:r>
      <w:r>
        <w:rPr>
          <w:rFonts w:hint="eastAsia" w:ascii="仿宋_GB2312" w:hAnsi="楷体" w:eastAsia="仿宋_GB2312"/>
          <w:sz w:val="28"/>
          <w:szCs w:val="28"/>
          <w:lang w:val="en-US" w:eastAsia="zh-CN"/>
        </w:rPr>
        <w:t>2019年12月31日</w:t>
      </w:r>
      <w:r>
        <w:rPr>
          <w:rFonts w:hint="eastAsia" w:ascii="仿宋_GB2312" w:hAnsi="楷体" w:eastAsia="仿宋_GB2312"/>
          <w:sz w:val="28"/>
          <w:szCs w:val="28"/>
          <w:lang w:eastAsia="zh-CN"/>
        </w:rPr>
        <w:t>，已经摸清盘龙区各类污染源基本情况，包括污染源数量、结构和分布状况；进一步掌握了辖区内各行业污染物产生、排放和处理情况；初步建立盘龙区重点污染源档案、污染源信息数据库和环境统计平台。</w:t>
      </w:r>
    </w:p>
    <w:p w14:paraId="33DE30D0">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4.资金来源及使用情况</w:t>
      </w:r>
    </w:p>
    <w:p w14:paraId="156C77F6">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①资金来源情况</w:t>
      </w:r>
    </w:p>
    <w:p w14:paraId="264931D7">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val="en-US" w:eastAsia="zh-CN"/>
        </w:rPr>
        <w:t>根据《昆明市盘龙区财政局关于下达盘龙区2019年部门预算的批复》（盘财〔2019〕1号）文件，共下达盘龙区环境保护局904.11万元，其中第二次全国污染源普查工作经费项目共下达63.52万元，</w:t>
      </w:r>
      <w:r>
        <w:rPr>
          <w:rFonts w:hint="eastAsia" w:ascii="仿宋_GB2312" w:hAnsi="楷体" w:eastAsia="仿宋_GB2312"/>
          <w:sz w:val="28"/>
          <w:szCs w:val="28"/>
          <w:lang w:eastAsia="zh-CN"/>
        </w:rPr>
        <w:t>资金到位率为</w:t>
      </w:r>
      <w:r>
        <w:rPr>
          <w:rFonts w:hint="eastAsia" w:ascii="仿宋_GB2312" w:hAnsi="楷体" w:eastAsia="仿宋_GB2312"/>
          <w:sz w:val="28"/>
          <w:szCs w:val="28"/>
          <w:lang w:val="en-US" w:eastAsia="zh-CN"/>
        </w:rPr>
        <w:t>100%。</w:t>
      </w:r>
    </w:p>
    <w:p w14:paraId="33DDE891">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②资金使用情况</w:t>
      </w:r>
    </w:p>
    <w:p w14:paraId="646FBD28">
      <w:pPr>
        <w:spacing w:line="579" w:lineRule="exact"/>
        <w:ind w:firstLine="560" w:firstLineChars="200"/>
        <w:rPr>
          <w:rFonts w:hint="eastAsia" w:ascii="仿宋_GB2312" w:hAnsi="楷体" w:eastAsia="仿宋_GB2312"/>
          <w:sz w:val="28"/>
          <w:szCs w:val="28"/>
          <w:lang w:val="en-US" w:eastAsia="zh-CN"/>
        </w:rPr>
      </w:pPr>
      <w:r>
        <w:rPr>
          <w:rFonts w:hint="eastAsia" w:ascii="仿宋_GB2312" w:hAnsi="楷体" w:eastAsia="仿宋_GB2312"/>
          <w:sz w:val="28"/>
          <w:szCs w:val="28"/>
          <w:lang w:val="en-US" w:eastAsia="zh-CN"/>
        </w:rPr>
        <w:t>截至2019年12月31日第二次全国污染源普查工作经费项目资金实际支出共计58.81万元，结余资金4.71万元，预算执行率达92.59%。由于现场监测合同尾款未达到合同约定付款条件，因此未支出4.71万元的合同尾款，该部分经费已通过退额度的方式退回财政，其他支出主要用于支付盘龙区第二次全国污染源普查第三方机构（八户调查及两员选聘）服务费、（普查信息系统建设与运维）服务费、支付盘龙区第二次全国污染源普查资料建档、质量评估与报告编制费用、支付盘龙区第二次全国污染源普查八户调查及两员选聘费用、支付盘龙区第二次全国污染源普查信息系统建设与运维费用。上述各项费用均为该项目评价相关方的合同尾款。</w:t>
      </w:r>
    </w:p>
    <w:p w14:paraId="5632BEB5">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5.组织及管理情况</w:t>
      </w:r>
    </w:p>
    <w:p w14:paraId="77048CAA">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rPr>
        <w:t>①项目</w:t>
      </w:r>
      <w:r>
        <w:rPr>
          <w:rFonts w:hint="eastAsia" w:ascii="仿宋_GB2312" w:hAnsi="楷体" w:eastAsia="仿宋_GB2312"/>
          <w:sz w:val="28"/>
          <w:szCs w:val="28"/>
          <w:lang w:eastAsia="zh-CN"/>
        </w:rPr>
        <w:t>组织情况</w:t>
      </w:r>
    </w:p>
    <w:p w14:paraId="1A640BED">
      <w:pPr>
        <w:spacing w:line="579" w:lineRule="exact"/>
        <w:ind w:firstLine="560" w:firstLineChars="200"/>
        <w:rPr>
          <w:rFonts w:hint="eastAsia" w:ascii="仿宋_GB2312" w:hAnsi="楷体" w:eastAsia="仿宋_GB2312"/>
          <w:sz w:val="28"/>
          <w:szCs w:val="28"/>
          <w:lang w:val="en-US" w:eastAsia="zh-CN"/>
        </w:rPr>
      </w:pPr>
      <w:r>
        <w:rPr>
          <w:rFonts w:hint="eastAsia" w:ascii="仿宋_GB2312" w:hAnsi="楷体" w:eastAsia="仿宋_GB2312"/>
          <w:sz w:val="28"/>
          <w:szCs w:val="28"/>
          <w:lang w:val="en-US" w:eastAsia="zh-CN"/>
        </w:rPr>
        <w:t>按照“全市统一领导，部门分工协作，昆明市级、县（市）区级开发（度假）园区分级负责，各方共同参与”的原则组织实施普查工作。昆明市第二次全国污染源普查领导小组（以下简称市领导小组）负责统筹协调推进昆明市第二次全国污染源普查工作，研究解决有关重大事项。市领导小组下设办公室在市环境保护局，市领导小组办公室负责普查的日常工作。领导小组成员单位按照各自职责协调落实有关工作，根据工作需要，成立相应的污染源普查工作机构，开展污染源普查工作。各县（市）区人民政府、各开发（度假）园区管委会应成立相应的污染源普查工作领导小组及办公室，按照市领导小组的统一部署和要求，具体负责本行政区域内的污染源普查工作。乡（镇）人民政府、街道办事处和村（居）民委员会应当积极参与并认真做好本区域普查工作。重点排污单位应按照环境保护法律法规、排放标准及排污许可证管理等相关要求开展监测，如实填报普查年度监测结果。各类污染源普查调查对象和填报单位应当指定专人负责本单位污染源普查表填报工作。充分利用相关部门现有统计、监测和各专项调查成果，借助购买第三方服务和信息化手段，提高普查效率。发挥科研院所、高校、环保咨询机构等社会组织作用，鼓励社会组织和公众参与普查工作。</w:t>
      </w:r>
    </w:p>
    <w:p w14:paraId="77A742AA">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②保障措施</w:t>
      </w:r>
    </w:p>
    <w:p w14:paraId="798A9282">
      <w:pPr>
        <w:spacing w:line="579" w:lineRule="exact"/>
        <w:ind w:firstLine="560" w:firstLineChars="200"/>
        <w:rPr>
          <w:rFonts w:hint="eastAsia" w:ascii="仿宋_GB2312" w:hAnsi="楷体" w:eastAsia="仿宋_GB2312"/>
          <w:sz w:val="28"/>
          <w:szCs w:val="28"/>
          <w:lang w:val="en-US" w:eastAsia="zh-CN"/>
        </w:rPr>
      </w:pPr>
      <w:r>
        <w:rPr>
          <w:rFonts w:hint="eastAsia" w:ascii="仿宋_GB2312" w:hAnsi="楷体" w:eastAsia="仿宋_GB2312"/>
          <w:sz w:val="28"/>
          <w:szCs w:val="28"/>
          <w:lang w:val="en-US" w:eastAsia="zh-CN"/>
        </w:rPr>
        <w:t>为保障该项目顺利实施，按照《第二次全国污染源普查技术规定》、《第二次全国污染源普查制度》及《昆明市第二次全国污染源普查试点工作方案》的要求和精神，</w:t>
      </w:r>
      <w:r>
        <w:rPr>
          <w:rFonts w:hint="eastAsia" w:ascii="仿宋_GB2312" w:hAnsi="楷体" w:eastAsia="仿宋_GB2312"/>
          <w:sz w:val="28"/>
          <w:szCs w:val="28"/>
          <w:lang w:eastAsia="zh-CN"/>
        </w:rPr>
        <w:t>昆明市生态环境局盘龙分局</w:t>
      </w:r>
      <w:r>
        <w:rPr>
          <w:rFonts w:hint="eastAsia" w:ascii="仿宋_GB2312" w:hAnsi="楷体" w:eastAsia="仿宋_GB2312"/>
          <w:sz w:val="28"/>
          <w:szCs w:val="28"/>
          <w:lang w:val="en-US" w:eastAsia="zh-CN"/>
        </w:rPr>
        <w:t>结合盘龙区实际以及以往工作经验，认真拟定、下发了《昆明市盘龙区第二次全国污染源普查实施方案》、《昆明市盘龙区第二次全国污染源普查办公室保密规定》、“两员”职责及权利和《盘龙区第二次全国污染源普查宣传工作方案》等相关指导方法，积极与市污普办联系、明确各项工作重点、工作内容和时间节点等，并在年中进行项目实施评估，根据实际及时调整工作目标和方法，精细开展各项工作，确保项目实施效益最大化，成本最小化。项目完成后还开展了绩效评估，为来年下一阶段污普工作的高效开展提供经验借鉴和数据支持。</w:t>
      </w:r>
    </w:p>
    <w:p w14:paraId="5EDDC308">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③评价相关方</w:t>
      </w:r>
    </w:p>
    <w:p w14:paraId="6D25D31B">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项目主管单位：昆明市生态环境局盘龙分局</w:t>
      </w:r>
    </w:p>
    <w:p w14:paraId="2D47699C">
      <w:pPr>
        <w:spacing w:line="579" w:lineRule="exact"/>
        <w:ind w:firstLine="560" w:firstLineChars="200"/>
        <w:rPr>
          <w:rFonts w:hint="eastAsia" w:ascii="仿宋_GB2312" w:hAnsi="楷体" w:eastAsia="仿宋_GB2312"/>
          <w:sz w:val="28"/>
          <w:szCs w:val="28"/>
          <w:highlight w:val="yellow"/>
          <w:lang w:eastAsia="zh-CN"/>
        </w:rPr>
      </w:pPr>
      <w:r>
        <w:rPr>
          <w:rFonts w:hint="eastAsia" w:ascii="仿宋_GB2312" w:hAnsi="楷体" w:eastAsia="仿宋_GB2312"/>
          <w:sz w:val="28"/>
          <w:szCs w:val="28"/>
          <w:lang w:eastAsia="zh-CN"/>
        </w:rPr>
        <w:t>项目实施处室：昆明市生态环境局盘</w:t>
      </w:r>
      <w:r>
        <w:rPr>
          <w:rFonts w:hint="eastAsia" w:ascii="仿宋_GB2312" w:hAnsi="楷体" w:eastAsia="仿宋_GB2312"/>
          <w:sz w:val="28"/>
          <w:szCs w:val="28"/>
          <w:highlight w:val="none"/>
          <w:lang w:eastAsia="zh-CN"/>
        </w:rPr>
        <w:t>龙分局污控科</w:t>
      </w:r>
    </w:p>
    <w:p w14:paraId="4827F5EA">
      <w:pPr>
        <w:spacing w:line="579" w:lineRule="exact"/>
        <w:ind w:firstLine="560" w:firstLineChars="200"/>
        <w:rPr>
          <w:rFonts w:hint="eastAsia" w:ascii="仿宋_GB2312" w:hAnsi="楷体" w:eastAsia="仿宋_GB2312"/>
          <w:sz w:val="28"/>
          <w:szCs w:val="28"/>
          <w:highlight w:val="none"/>
          <w:lang w:eastAsia="zh-CN"/>
        </w:rPr>
      </w:pPr>
      <w:r>
        <w:rPr>
          <w:rFonts w:hint="eastAsia" w:ascii="仿宋_GB2312" w:hAnsi="楷体" w:eastAsia="仿宋_GB2312"/>
          <w:sz w:val="28"/>
          <w:szCs w:val="28"/>
          <w:highlight w:val="none"/>
          <w:lang w:eastAsia="zh-CN"/>
        </w:rPr>
        <w:t>普查信息系统建设与运维：云南恒晟创新科技有限公司</w:t>
      </w:r>
    </w:p>
    <w:p w14:paraId="045B6ED7">
      <w:pPr>
        <w:spacing w:line="579" w:lineRule="exact"/>
        <w:ind w:firstLine="560" w:firstLineChars="200"/>
        <w:rPr>
          <w:rFonts w:hint="eastAsia" w:ascii="仿宋_GB2312" w:hAnsi="楷体" w:eastAsia="仿宋_GB2312"/>
          <w:sz w:val="28"/>
          <w:szCs w:val="28"/>
          <w:highlight w:val="none"/>
          <w:lang w:eastAsia="zh-CN"/>
        </w:rPr>
      </w:pPr>
      <w:r>
        <w:rPr>
          <w:rFonts w:hint="eastAsia" w:ascii="仿宋_GB2312" w:hAnsi="楷体" w:eastAsia="仿宋_GB2312"/>
          <w:sz w:val="28"/>
          <w:szCs w:val="28"/>
          <w:highlight w:val="none"/>
          <w:lang w:eastAsia="zh-CN"/>
        </w:rPr>
        <w:t>入户调查及两员选聘涉及单位：云南滇洁环保科技有限公司</w:t>
      </w:r>
    </w:p>
    <w:p w14:paraId="39595CD6">
      <w:pPr>
        <w:spacing w:line="579" w:lineRule="exact"/>
        <w:ind w:firstLine="560" w:firstLineChars="200"/>
        <w:rPr>
          <w:rFonts w:hint="eastAsia" w:ascii="仿宋_GB2312" w:hAnsi="楷体" w:eastAsia="仿宋_GB2312"/>
          <w:sz w:val="28"/>
          <w:szCs w:val="28"/>
          <w:highlight w:val="none"/>
          <w:lang w:eastAsia="zh-CN"/>
        </w:rPr>
      </w:pPr>
      <w:r>
        <w:rPr>
          <w:rFonts w:hint="eastAsia" w:ascii="仿宋_GB2312" w:hAnsi="楷体" w:eastAsia="仿宋_GB2312"/>
          <w:sz w:val="28"/>
          <w:szCs w:val="28"/>
          <w:highlight w:val="none"/>
          <w:lang w:eastAsia="zh-CN"/>
        </w:rPr>
        <w:t>现场监测：云南鼎祺环境监测有限公司</w:t>
      </w:r>
    </w:p>
    <w:p w14:paraId="430B7920">
      <w:pPr>
        <w:spacing w:line="579" w:lineRule="exact"/>
        <w:ind w:firstLine="560" w:firstLineChars="200"/>
        <w:rPr>
          <w:rFonts w:hint="eastAsia" w:ascii="仿宋_GB2312" w:hAnsi="楷体" w:eastAsia="仿宋_GB2312"/>
          <w:sz w:val="28"/>
          <w:szCs w:val="28"/>
          <w:highlight w:val="none"/>
          <w:lang w:eastAsia="zh-CN"/>
        </w:rPr>
      </w:pPr>
      <w:r>
        <w:rPr>
          <w:rFonts w:hint="eastAsia" w:ascii="仿宋_GB2312" w:hAnsi="楷体" w:eastAsia="仿宋_GB2312"/>
          <w:sz w:val="28"/>
          <w:szCs w:val="28"/>
          <w:highlight w:val="none"/>
          <w:lang w:eastAsia="zh-CN"/>
        </w:rPr>
        <w:t>资料建档、质量评估与报告编制：云南金兰环保技术有限公司</w:t>
      </w:r>
    </w:p>
    <w:p w14:paraId="5283EFD2">
      <w:pPr>
        <w:spacing w:line="579" w:lineRule="exact"/>
        <w:ind w:firstLine="560" w:firstLineChars="200"/>
        <w:rPr>
          <w:rFonts w:hint="eastAsia" w:ascii="仿宋_GB2312" w:hAnsi="楷体" w:eastAsia="仿宋_GB2312"/>
          <w:sz w:val="28"/>
          <w:szCs w:val="28"/>
          <w:highlight w:val="none"/>
        </w:rPr>
      </w:pPr>
      <w:r>
        <w:rPr>
          <w:rFonts w:hint="eastAsia" w:ascii="仿宋_GB2312" w:hAnsi="楷体" w:eastAsia="仿宋_GB2312"/>
          <w:sz w:val="28"/>
          <w:szCs w:val="28"/>
          <w:highlight w:val="none"/>
          <w:lang w:eastAsia="zh-CN"/>
        </w:rPr>
        <w:t>受益对象：昆明市盘龙区所涉企业</w:t>
      </w:r>
      <w:r>
        <w:rPr>
          <w:rFonts w:hint="eastAsia" w:ascii="仿宋_GB2312" w:hAnsi="仿宋" w:eastAsia="仿宋_GB2312"/>
          <w:spacing w:val="6"/>
          <w:kern w:val="0"/>
          <w:sz w:val="28"/>
          <w:szCs w:val="28"/>
          <w:highlight w:val="none"/>
          <w:lang w:val="en-US" w:eastAsia="zh-CN"/>
        </w:rPr>
        <w:t>及其周边居民</w:t>
      </w:r>
    </w:p>
    <w:p w14:paraId="078FAF0F">
      <w:pPr>
        <w:topLinePunct/>
        <w:ind w:firstLine="750" w:firstLineChars="250"/>
        <w:rPr>
          <w:rFonts w:hint="eastAsia" w:ascii="楷体" w:hAnsi="楷体" w:eastAsia="楷体"/>
          <w:sz w:val="30"/>
          <w:szCs w:val="30"/>
        </w:rPr>
      </w:pPr>
      <w:r>
        <w:rPr>
          <w:rFonts w:hint="eastAsia" w:ascii="楷体" w:hAnsi="楷体" w:eastAsia="楷体"/>
          <w:sz w:val="30"/>
          <w:szCs w:val="30"/>
        </w:rPr>
        <w:t>（二）绩效目标</w:t>
      </w:r>
    </w:p>
    <w:p w14:paraId="7E2A19F8">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根据对项目立项背景依据、项目实施方案等相关资料分析，通过与项目责任单位及相关业务处室沟通并结合项目实际情况制定清晰可衡量的主要绩效目标如下表：</w:t>
      </w:r>
    </w:p>
    <w:p w14:paraId="3CE842EE">
      <w:pPr>
        <w:jc w:val="center"/>
        <w:rPr>
          <w:rFonts w:hint="eastAsia" w:ascii="黑体" w:hAnsi="黑体" w:eastAsia="黑体" w:cs="宋体"/>
          <w:bCs/>
          <w:spacing w:val="6"/>
          <w:sz w:val="24"/>
          <w:szCs w:val="24"/>
          <w:highlight w:val="none"/>
        </w:rPr>
      </w:pPr>
      <w:r>
        <w:rPr>
          <w:rFonts w:hint="eastAsia" w:ascii="黑体" w:hAnsi="黑体" w:eastAsia="黑体" w:cs="宋体"/>
          <w:bCs/>
          <w:spacing w:val="6"/>
          <w:sz w:val="24"/>
          <w:szCs w:val="24"/>
          <w:highlight w:val="none"/>
        </w:rPr>
        <w:t>表</w:t>
      </w:r>
      <w:r>
        <w:rPr>
          <w:rFonts w:hint="eastAsia" w:ascii="黑体" w:hAnsi="黑体" w:eastAsia="黑体" w:cs="宋体"/>
          <w:bCs/>
          <w:spacing w:val="6"/>
          <w:sz w:val="24"/>
          <w:szCs w:val="24"/>
          <w:highlight w:val="none"/>
          <w:lang w:val="en-US" w:eastAsia="zh-CN"/>
        </w:rPr>
        <w:t xml:space="preserve">1 </w:t>
      </w:r>
      <w:r>
        <w:rPr>
          <w:rFonts w:hint="eastAsia" w:ascii="黑体" w:hAnsi="黑体" w:eastAsia="黑体" w:cs="宋体"/>
          <w:bCs/>
          <w:spacing w:val="6"/>
          <w:sz w:val="24"/>
          <w:szCs w:val="24"/>
          <w:highlight w:val="none"/>
        </w:rPr>
        <w:t>绩效目标完成情况表</w:t>
      </w:r>
    </w:p>
    <w:tbl>
      <w:tblPr>
        <w:tblStyle w:val="8"/>
        <w:tblW w:w="80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326"/>
        <w:gridCol w:w="3368"/>
        <w:gridCol w:w="687"/>
        <w:gridCol w:w="3707"/>
      </w:tblGrid>
      <w:tr w14:paraId="79F1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36" w:hRule="atLeast"/>
          <w:tblHeader/>
          <w:jc w:val="center"/>
        </w:trPr>
        <w:tc>
          <w:tcPr>
            <w:tcW w:w="326" w:type="dxa"/>
            <w:tcBorders>
              <w:top w:val="single" w:color="auto" w:sz="4" w:space="0"/>
            </w:tcBorders>
            <w:noWrap w:val="0"/>
            <w:vAlign w:val="center"/>
          </w:tcPr>
          <w:p w14:paraId="174982CE">
            <w:pPr>
              <w:widowControl/>
              <w:jc w:val="center"/>
              <w:textAlignment w:val="center"/>
              <w:rPr>
                <w:rFonts w:ascii="仿宋_GB2312" w:hAnsi="楷体" w:eastAsia="仿宋_GB2312"/>
                <w:b/>
                <w:bCs/>
                <w:sz w:val="24"/>
                <w:szCs w:val="24"/>
              </w:rPr>
            </w:pPr>
            <w:r>
              <w:rPr>
                <w:rFonts w:hint="eastAsia" w:ascii="仿宋_GB2312" w:hAnsi="楷体" w:eastAsia="仿宋_GB2312"/>
                <w:b/>
                <w:bCs/>
                <w:sz w:val="24"/>
                <w:szCs w:val="24"/>
              </w:rPr>
              <w:t>序号</w:t>
            </w:r>
          </w:p>
        </w:tc>
        <w:tc>
          <w:tcPr>
            <w:tcW w:w="3368" w:type="dxa"/>
            <w:tcBorders>
              <w:top w:val="single" w:color="auto" w:sz="4" w:space="0"/>
            </w:tcBorders>
            <w:noWrap w:val="0"/>
            <w:vAlign w:val="center"/>
          </w:tcPr>
          <w:p w14:paraId="7637069A">
            <w:pPr>
              <w:widowControl/>
              <w:jc w:val="center"/>
              <w:textAlignment w:val="center"/>
              <w:rPr>
                <w:rFonts w:ascii="仿宋_GB2312" w:hAnsi="楷体" w:eastAsia="仿宋_GB2312"/>
                <w:b/>
                <w:bCs/>
                <w:sz w:val="24"/>
                <w:szCs w:val="24"/>
              </w:rPr>
            </w:pPr>
            <w:r>
              <w:rPr>
                <w:rFonts w:hint="eastAsia" w:ascii="仿宋_GB2312" w:hAnsi="楷体" w:eastAsia="仿宋_GB2312"/>
                <w:b/>
                <w:bCs/>
                <w:sz w:val="24"/>
                <w:szCs w:val="24"/>
              </w:rPr>
              <w:t>项目绩效目标</w:t>
            </w:r>
          </w:p>
        </w:tc>
        <w:tc>
          <w:tcPr>
            <w:tcW w:w="687" w:type="dxa"/>
            <w:tcBorders>
              <w:top w:val="single" w:color="auto" w:sz="4" w:space="0"/>
            </w:tcBorders>
            <w:noWrap w:val="0"/>
            <w:vAlign w:val="center"/>
          </w:tcPr>
          <w:p w14:paraId="64590F06">
            <w:pPr>
              <w:widowControl/>
              <w:jc w:val="center"/>
              <w:textAlignment w:val="center"/>
              <w:rPr>
                <w:rFonts w:hint="eastAsia" w:ascii="仿宋_GB2312" w:hAnsi="楷体" w:eastAsia="仿宋_GB2312"/>
                <w:b/>
                <w:bCs/>
                <w:sz w:val="24"/>
                <w:szCs w:val="24"/>
              </w:rPr>
            </w:pPr>
            <w:r>
              <w:rPr>
                <w:rFonts w:hint="eastAsia" w:ascii="仿宋_GB2312" w:hAnsi="楷体" w:eastAsia="仿宋_GB2312"/>
                <w:b/>
                <w:bCs/>
                <w:sz w:val="24"/>
                <w:szCs w:val="24"/>
              </w:rPr>
              <w:t>目标实现情况</w:t>
            </w:r>
          </w:p>
        </w:tc>
        <w:tc>
          <w:tcPr>
            <w:tcW w:w="3707" w:type="dxa"/>
            <w:tcBorders>
              <w:top w:val="single" w:color="auto" w:sz="4" w:space="0"/>
            </w:tcBorders>
            <w:noWrap w:val="0"/>
            <w:vAlign w:val="center"/>
          </w:tcPr>
          <w:p w14:paraId="2984FA33">
            <w:pPr>
              <w:widowControl/>
              <w:jc w:val="center"/>
              <w:textAlignment w:val="center"/>
              <w:rPr>
                <w:rFonts w:hint="eastAsia" w:ascii="仿宋_GB2312" w:hAnsi="楷体" w:eastAsia="仿宋_GB2312"/>
                <w:b/>
                <w:bCs/>
                <w:sz w:val="24"/>
                <w:szCs w:val="24"/>
              </w:rPr>
            </w:pPr>
            <w:r>
              <w:rPr>
                <w:rFonts w:hint="eastAsia" w:ascii="仿宋_GB2312" w:hAnsi="楷体" w:eastAsia="仿宋_GB2312"/>
                <w:b/>
                <w:bCs/>
                <w:sz w:val="24"/>
                <w:szCs w:val="24"/>
              </w:rPr>
              <w:t>目标完成情况说明</w:t>
            </w:r>
          </w:p>
        </w:tc>
      </w:tr>
      <w:tr w14:paraId="0042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326" w:type="dxa"/>
            <w:noWrap w:val="0"/>
            <w:vAlign w:val="center"/>
          </w:tcPr>
          <w:p w14:paraId="019010A2">
            <w:pPr>
              <w:widowControl/>
              <w:jc w:val="center"/>
              <w:textAlignment w:val="center"/>
              <w:rPr>
                <w:rFonts w:hint="eastAsia" w:ascii="仿宋_GB2312" w:hAnsi="楷体" w:eastAsia="仿宋_GB2312"/>
                <w:sz w:val="24"/>
                <w:szCs w:val="24"/>
              </w:rPr>
            </w:pPr>
            <w:r>
              <w:rPr>
                <w:rFonts w:hint="eastAsia" w:ascii="仿宋_GB2312" w:hAnsi="楷体" w:eastAsia="仿宋_GB2312"/>
                <w:sz w:val="24"/>
                <w:szCs w:val="24"/>
              </w:rPr>
              <w:t>1</w:t>
            </w:r>
          </w:p>
        </w:tc>
        <w:tc>
          <w:tcPr>
            <w:tcW w:w="3368" w:type="dxa"/>
            <w:noWrap w:val="0"/>
            <w:vAlign w:val="center"/>
          </w:tcPr>
          <w:p w14:paraId="20764B89">
            <w:pPr>
              <w:widowControl/>
              <w:jc w:val="both"/>
              <w:textAlignment w:val="center"/>
              <w:rPr>
                <w:rFonts w:hint="eastAsia" w:ascii="仿宋_GB2312" w:hAnsi="楷体" w:eastAsia="仿宋_GB2312"/>
                <w:sz w:val="24"/>
                <w:szCs w:val="24"/>
              </w:rPr>
            </w:pPr>
            <w:r>
              <w:rPr>
                <w:rFonts w:hint="eastAsia" w:ascii="仿宋_GB2312" w:hAnsi="楷体" w:eastAsia="仿宋_GB2312"/>
                <w:sz w:val="24"/>
                <w:szCs w:val="24"/>
              </w:rPr>
              <w:t>①</w:t>
            </w:r>
            <w:r>
              <w:rPr>
                <w:rFonts w:hint="eastAsia" w:ascii="仿宋_GB2312" w:hAnsi="楷体" w:eastAsia="仿宋_GB2312"/>
                <w:sz w:val="24"/>
                <w:szCs w:val="24"/>
                <w:lang w:eastAsia="zh-CN"/>
              </w:rPr>
              <w:t>投入普查员≥</w:t>
            </w:r>
            <w:r>
              <w:rPr>
                <w:rFonts w:hint="eastAsia" w:ascii="仿宋_GB2312" w:hAnsi="楷体" w:eastAsia="仿宋_GB2312"/>
                <w:sz w:val="24"/>
                <w:szCs w:val="24"/>
                <w:lang w:val="en-US" w:eastAsia="zh-CN"/>
              </w:rPr>
              <w:t>33人</w:t>
            </w:r>
            <w:r>
              <w:rPr>
                <w:rFonts w:hint="eastAsia" w:ascii="仿宋_GB2312" w:hAnsi="楷体" w:eastAsia="仿宋_GB2312"/>
                <w:sz w:val="24"/>
                <w:szCs w:val="24"/>
              </w:rPr>
              <w:t>；</w:t>
            </w:r>
          </w:p>
          <w:p w14:paraId="1AD543D2">
            <w:pPr>
              <w:widowControl/>
              <w:jc w:val="left"/>
              <w:textAlignment w:val="center"/>
              <w:rPr>
                <w:rFonts w:hint="eastAsia" w:ascii="仿宋_GB2312" w:hAnsi="楷体" w:eastAsia="仿宋_GB2312"/>
                <w:sz w:val="24"/>
                <w:szCs w:val="24"/>
                <w:lang w:eastAsia="zh-CN"/>
              </w:rPr>
            </w:pPr>
            <w:r>
              <w:rPr>
                <w:rFonts w:hint="eastAsia" w:ascii="仿宋_GB2312" w:hAnsi="楷体" w:eastAsia="仿宋_GB2312"/>
                <w:sz w:val="24"/>
                <w:szCs w:val="24"/>
              </w:rPr>
              <w:t>②</w:t>
            </w:r>
            <w:r>
              <w:rPr>
                <w:rFonts w:hint="eastAsia" w:ascii="仿宋_GB2312" w:hAnsi="楷体" w:eastAsia="仿宋_GB2312"/>
                <w:sz w:val="24"/>
                <w:szCs w:val="24"/>
                <w:lang w:eastAsia="zh-CN"/>
              </w:rPr>
              <w:t>投入普查指导员≥</w:t>
            </w:r>
            <w:r>
              <w:rPr>
                <w:rFonts w:hint="eastAsia" w:ascii="仿宋_GB2312" w:hAnsi="楷体" w:eastAsia="仿宋_GB2312"/>
                <w:sz w:val="24"/>
                <w:szCs w:val="24"/>
                <w:lang w:val="en-US" w:eastAsia="zh-CN"/>
              </w:rPr>
              <w:t>18人</w:t>
            </w:r>
            <w:r>
              <w:rPr>
                <w:rFonts w:hint="eastAsia" w:ascii="仿宋_GB2312" w:hAnsi="楷体" w:eastAsia="仿宋_GB2312"/>
                <w:sz w:val="24"/>
                <w:szCs w:val="24"/>
                <w:lang w:eastAsia="zh-CN"/>
              </w:rPr>
              <w:t>。</w:t>
            </w:r>
          </w:p>
          <w:p w14:paraId="78A3F4D9">
            <w:pPr>
              <w:widowControl/>
              <w:jc w:val="left"/>
              <w:textAlignment w:val="center"/>
              <w:rPr>
                <w:rFonts w:ascii="仿宋_GB2312" w:hAnsi="楷体" w:eastAsia="仿宋_GB2312"/>
                <w:sz w:val="24"/>
                <w:szCs w:val="24"/>
              </w:rPr>
            </w:pPr>
          </w:p>
        </w:tc>
        <w:tc>
          <w:tcPr>
            <w:tcW w:w="687" w:type="dxa"/>
            <w:noWrap w:val="0"/>
            <w:vAlign w:val="center"/>
          </w:tcPr>
          <w:p w14:paraId="64EF90FC">
            <w:pPr>
              <w:widowControl/>
              <w:jc w:val="center"/>
              <w:textAlignment w:val="center"/>
              <w:rPr>
                <w:rFonts w:hint="eastAsia" w:ascii="仿宋_GB2312" w:hAnsi="楷体" w:eastAsia="仿宋_GB2312"/>
                <w:sz w:val="24"/>
                <w:szCs w:val="24"/>
              </w:rPr>
            </w:pPr>
            <w:r>
              <w:rPr>
                <w:rFonts w:hint="eastAsia" w:ascii="仿宋_GB2312" w:hAnsi="楷体" w:eastAsia="仿宋_GB2312"/>
                <w:sz w:val="24"/>
                <w:szCs w:val="24"/>
              </w:rPr>
              <w:t>完成</w:t>
            </w:r>
          </w:p>
        </w:tc>
        <w:tc>
          <w:tcPr>
            <w:tcW w:w="3707" w:type="dxa"/>
            <w:noWrap w:val="0"/>
            <w:vAlign w:val="center"/>
          </w:tcPr>
          <w:p w14:paraId="33250CA8">
            <w:pPr>
              <w:widowControl/>
              <w:jc w:val="both"/>
              <w:textAlignment w:val="center"/>
              <w:rPr>
                <w:rFonts w:hint="eastAsia" w:ascii="仿宋_GB2312" w:hAnsi="楷体" w:eastAsia="仿宋_GB2312"/>
                <w:sz w:val="24"/>
                <w:szCs w:val="24"/>
                <w:lang w:eastAsia="zh-CN"/>
              </w:rPr>
            </w:pPr>
            <w:r>
              <w:rPr>
                <w:rFonts w:hint="eastAsia" w:ascii="仿宋_GB2312" w:hAnsi="楷体" w:eastAsia="仿宋_GB2312"/>
                <w:sz w:val="24"/>
                <w:szCs w:val="24"/>
              </w:rPr>
              <w:t>根据</w:t>
            </w:r>
            <w:r>
              <w:rPr>
                <w:rFonts w:hint="eastAsia" w:ascii="仿宋_GB2312" w:hAnsi="楷体" w:eastAsia="仿宋_GB2312"/>
                <w:sz w:val="24"/>
                <w:szCs w:val="24"/>
                <w:lang w:eastAsia="zh-CN"/>
              </w:rPr>
              <w:t>昆明市生态环境局盘龙分局</w:t>
            </w:r>
            <w:r>
              <w:rPr>
                <w:rFonts w:hint="eastAsia" w:ascii="仿宋_GB2312" w:hAnsi="楷体" w:eastAsia="仿宋_GB2312"/>
                <w:sz w:val="24"/>
                <w:szCs w:val="24"/>
              </w:rPr>
              <w:t>相关数据统计</w:t>
            </w:r>
            <w:r>
              <w:rPr>
                <w:rFonts w:hint="eastAsia" w:ascii="仿宋_GB2312" w:hAnsi="楷体" w:eastAsia="仿宋_GB2312"/>
                <w:sz w:val="24"/>
                <w:szCs w:val="24"/>
                <w:lang w:eastAsia="zh-CN"/>
              </w:rPr>
              <w:t>投入普查员</w:t>
            </w:r>
            <w:r>
              <w:rPr>
                <w:rFonts w:hint="eastAsia" w:ascii="仿宋_GB2312" w:hAnsi="楷体" w:eastAsia="仿宋_GB2312"/>
                <w:sz w:val="24"/>
                <w:szCs w:val="24"/>
                <w:lang w:val="en-US" w:eastAsia="zh-CN"/>
              </w:rPr>
              <w:t>33人，</w:t>
            </w:r>
            <w:r>
              <w:rPr>
                <w:rFonts w:hint="eastAsia" w:ascii="仿宋_GB2312" w:hAnsi="楷体" w:eastAsia="仿宋_GB2312"/>
                <w:sz w:val="24"/>
                <w:szCs w:val="24"/>
                <w:lang w:eastAsia="zh-CN"/>
              </w:rPr>
              <w:t>投入普查指导员</w:t>
            </w:r>
            <w:r>
              <w:rPr>
                <w:rFonts w:hint="eastAsia" w:ascii="仿宋_GB2312" w:hAnsi="楷体" w:eastAsia="仿宋_GB2312"/>
                <w:sz w:val="24"/>
                <w:szCs w:val="24"/>
                <w:lang w:val="en-US" w:eastAsia="zh-CN"/>
              </w:rPr>
              <w:t>18人。</w:t>
            </w:r>
          </w:p>
        </w:tc>
      </w:tr>
      <w:tr w14:paraId="2745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326" w:type="dxa"/>
            <w:noWrap w:val="0"/>
            <w:vAlign w:val="center"/>
          </w:tcPr>
          <w:p w14:paraId="5D2562A7">
            <w:pPr>
              <w:widowControl/>
              <w:jc w:val="center"/>
              <w:textAlignment w:val="center"/>
              <w:rPr>
                <w:rFonts w:hint="eastAsia" w:ascii="仿宋_GB2312" w:hAnsi="楷体" w:eastAsia="仿宋_GB2312"/>
                <w:sz w:val="24"/>
                <w:szCs w:val="24"/>
              </w:rPr>
            </w:pPr>
            <w:r>
              <w:rPr>
                <w:rFonts w:hint="eastAsia" w:ascii="仿宋_GB2312" w:hAnsi="楷体" w:eastAsia="仿宋_GB2312"/>
                <w:sz w:val="24"/>
                <w:szCs w:val="24"/>
              </w:rPr>
              <w:t>2</w:t>
            </w:r>
          </w:p>
        </w:tc>
        <w:tc>
          <w:tcPr>
            <w:tcW w:w="3368" w:type="dxa"/>
            <w:noWrap w:val="0"/>
            <w:vAlign w:val="center"/>
          </w:tcPr>
          <w:p w14:paraId="445A9D5E">
            <w:pPr>
              <w:widowControl/>
              <w:textAlignment w:val="center"/>
              <w:rPr>
                <w:rFonts w:ascii="仿宋_GB2312" w:hAnsi="楷体" w:eastAsia="仿宋_GB2312"/>
                <w:sz w:val="24"/>
                <w:szCs w:val="24"/>
              </w:rPr>
            </w:pPr>
            <w:r>
              <w:rPr>
                <w:rFonts w:hint="eastAsia" w:ascii="仿宋_GB2312" w:hAnsi="楷体" w:eastAsia="仿宋_GB2312"/>
                <w:sz w:val="24"/>
                <w:szCs w:val="24"/>
              </w:rPr>
              <w:t>①</w:t>
            </w:r>
            <w:r>
              <w:rPr>
                <w:rFonts w:hint="eastAsia" w:ascii="仿宋_GB2312" w:hAnsi="楷体" w:eastAsia="仿宋_GB2312"/>
                <w:sz w:val="24"/>
                <w:szCs w:val="24"/>
                <w:lang w:eastAsia="zh-CN"/>
              </w:rPr>
              <w:t>调查工业企业≥</w:t>
            </w:r>
            <w:r>
              <w:rPr>
                <w:rFonts w:hint="eastAsia" w:ascii="仿宋_GB2312" w:hAnsi="楷体" w:eastAsia="仿宋_GB2312"/>
                <w:sz w:val="24"/>
                <w:szCs w:val="24"/>
                <w:lang w:val="en-US" w:eastAsia="zh-CN"/>
              </w:rPr>
              <w:t>189家</w:t>
            </w:r>
            <w:r>
              <w:rPr>
                <w:rFonts w:hint="eastAsia" w:ascii="仿宋_GB2312" w:hAnsi="楷体" w:eastAsia="仿宋_GB2312"/>
                <w:sz w:val="24"/>
                <w:szCs w:val="24"/>
              </w:rPr>
              <w:t>；</w:t>
            </w:r>
          </w:p>
          <w:p w14:paraId="4AEB68C0">
            <w:pPr>
              <w:widowControl/>
              <w:textAlignment w:val="center"/>
              <w:rPr>
                <w:rFonts w:hint="eastAsia" w:ascii="仿宋_GB2312" w:hAnsi="楷体" w:eastAsia="仿宋_GB2312"/>
                <w:sz w:val="24"/>
                <w:szCs w:val="24"/>
              </w:rPr>
            </w:pPr>
            <w:r>
              <w:rPr>
                <w:rFonts w:hint="eastAsia" w:ascii="仿宋_GB2312" w:hAnsi="楷体" w:eastAsia="仿宋_GB2312"/>
                <w:sz w:val="24"/>
                <w:szCs w:val="24"/>
              </w:rPr>
              <w:t>②</w:t>
            </w:r>
            <w:r>
              <w:rPr>
                <w:rFonts w:hint="eastAsia" w:ascii="仿宋_GB2312" w:hAnsi="楷体" w:eastAsia="仿宋_GB2312"/>
                <w:sz w:val="24"/>
                <w:szCs w:val="24"/>
                <w:lang w:eastAsia="zh-CN"/>
              </w:rPr>
              <w:t>调查生活源锅炉≥</w:t>
            </w:r>
            <w:r>
              <w:rPr>
                <w:rFonts w:hint="eastAsia" w:ascii="仿宋_GB2312" w:hAnsi="楷体" w:eastAsia="仿宋_GB2312"/>
                <w:sz w:val="24"/>
                <w:szCs w:val="24"/>
                <w:lang w:val="en-US" w:eastAsia="zh-CN"/>
              </w:rPr>
              <w:t>11台</w:t>
            </w:r>
            <w:r>
              <w:rPr>
                <w:rFonts w:hint="eastAsia" w:ascii="仿宋_GB2312" w:hAnsi="楷体" w:eastAsia="仿宋_GB2312"/>
                <w:sz w:val="24"/>
                <w:szCs w:val="24"/>
              </w:rPr>
              <w:t>；</w:t>
            </w:r>
          </w:p>
          <w:p w14:paraId="5F240367">
            <w:pPr>
              <w:widowControl/>
              <w:textAlignment w:val="center"/>
              <w:rPr>
                <w:rFonts w:hint="eastAsia" w:ascii="仿宋_GB2312" w:hAnsi="楷体" w:eastAsia="仿宋_GB2312"/>
                <w:sz w:val="24"/>
                <w:szCs w:val="24"/>
              </w:rPr>
            </w:pPr>
            <w:r>
              <w:rPr>
                <w:rFonts w:hint="eastAsia" w:ascii="仿宋_GB2312" w:hAnsi="楷体" w:eastAsia="仿宋_GB2312"/>
                <w:sz w:val="24"/>
                <w:szCs w:val="24"/>
              </w:rPr>
              <w:t>③</w:t>
            </w:r>
            <w:r>
              <w:rPr>
                <w:rFonts w:hint="eastAsia" w:ascii="仿宋_GB2312" w:hAnsi="楷体" w:eastAsia="仿宋_GB2312"/>
                <w:sz w:val="24"/>
                <w:szCs w:val="24"/>
                <w:lang w:eastAsia="zh-CN"/>
              </w:rPr>
              <w:t>调查集中式污染治理设施≥</w:t>
            </w:r>
            <w:r>
              <w:rPr>
                <w:rFonts w:hint="eastAsia" w:ascii="仿宋_GB2312" w:hAnsi="楷体" w:eastAsia="仿宋_GB2312"/>
                <w:sz w:val="24"/>
                <w:szCs w:val="24"/>
                <w:lang w:val="en-US" w:eastAsia="zh-CN"/>
              </w:rPr>
              <w:t>10个</w:t>
            </w:r>
            <w:r>
              <w:rPr>
                <w:rFonts w:hint="eastAsia" w:ascii="仿宋_GB2312" w:hAnsi="楷体" w:eastAsia="仿宋_GB2312"/>
                <w:sz w:val="24"/>
                <w:szCs w:val="24"/>
              </w:rPr>
              <w:t>；</w:t>
            </w:r>
          </w:p>
          <w:p w14:paraId="18365257">
            <w:pPr>
              <w:widowControl/>
              <w:textAlignment w:val="center"/>
              <w:rPr>
                <w:rFonts w:hint="default" w:ascii="仿宋_GB2312" w:hAnsi="楷体" w:eastAsia="仿宋_GB2312"/>
                <w:sz w:val="24"/>
                <w:szCs w:val="24"/>
                <w:lang w:val="en-US" w:eastAsia="zh-CN"/>
              </w:rPr>
            </w:pPr>
            <w:r>
              <w:rPr>
                <w:rFonts w:hint="eastAsia" w:ascii="仿宋_GB2312" w:hAnsi="楷体" w:eastAsia="仿宋_GB2312"/>
                <w:sz w:val="24"/>
                <w:szCs w:val="24"/>
                <w:lang w:eastAsia="zh-CN"/>
              </w:rPr>
              <w:t>④调查排污口≥</w:t>
            </w:r>
            <w:r>
              <w:rPr>
                <w:rFonts w:hint="eastAsia" w:ascii="仿宋_GB2312" w:hAnsi="楷体" w:eastAsia="仿宋_GB2312"/>
                <w:sz w:val="24"/>
                <w:szCs w:val="24"/>
                <w:lang w:val="en-US" w:eastAsia="zh-CN"/>
              </w:rPr>
              <w:t>5个。</w:t>
            </w:r>
          </w:p>
        </w:tc>
        <w:tc>
          <w:tcPr>
            <w:tcW w:w="687" w:type="dxa"/>
            <w:noWrap w:val="0"/>
            <w:vAlign w:val="center"/>
          </w:tcPr>
          <w:p w14:paraId="70A866AB">
            <w:pPr>
              <w:widowControl/>
              <w:jc w:val="center"/>
              <w:textAlignment w:val="center"/>
              <w:rPr>
                <w:rFonts w:hint="eastAsia" w:ascii="仿宋_GB2312" w:hAnsi="楷体" w:eastAsia="仿宋_GB2312"/>
                <w:sz w:val="24"/>
                <w:szCs w:val="24"/>
              </w:rPr>
            </w:pPr>
          </w:p>
          <w:p w14:paraId="0ECD0D53">
            <w:pPr>
              <w:widowControl/>
              <w:jc w:val="center"/>
              <w:textAlignment w:val="center"/>
              <w:rPr>
                <w:rFonts w:hint="eastAsia" w:ascii="仿宋_GB2312" w:hAnsi="楷体" w:eastAsia="仿宋_GB2312"/>
                <w:sz w:val="24"/>
                <w:szCs w:val="24"/>
              </w:rPr>
            </w:pPr>
            <w:r>
              <w:rPr>
                <w:rFonts w:hint="eastAsia" w:ascii="仿宋_GB2312" w:hAnsi="楷体" w:eastAsia="仿宋_GB2312"/>
                <w:sz w:val="24"/>
                <w:szCs w:val="24"/>
              </w:rPr>
              <w:t>完成</w:t>
            </w:r>
          </w:p>
        </w:tc>
        <w:tc>
          <w:tcPr>
            <w:tcW w:w="3707" w:type="dxa"/>
            <w:noWrap w:val="0"/>
            <w:vAlign w:val="center"/>
          </w:tcPr>
          <w:p w14:paraId="7122101E">
            <w:pPr>
              <w:widowControl/>
              <w:textAlignment w:val="center"/>
              <w:rPr>
                <w:rFonts w:hint="eastAsia" w:ascii="仿宋_GB2312" w:hAnsi="楷体" w:eastAsia="仿宋_GB2312"/>
                <w:sz w:val="24"/>
                <w:szCs w:val="24"/>
                <w:lang w:eastAsia="zh-CN"/>
              </w:rPr>
            </w:pPr>
            <w:r>
              <w:rPr>
                <w:rFonts w:hint="eastAsia" w:ascii="仿宋_GB2312" w:hAnsi="楷体" w:eastAsia="仿宋_GB2312"/>
                <w:sz w:val="24"/>
                <w:szCs w:val="24"/>
              </w:rPr>
              <w:t>根据</w:t>
            </w:r>
            <w:r>
              <w:rPr>
                <w:rFonts w:hint="eastAsia" w:ascii="仿宋_GB2312" w:hAnsi="楷体" w:eastAsia="仿宋_GB2312"/>
                <w:sz w:val="24"/>
                <w:szCs w:val="24"/>
                <w:lang w:eastAsia="zh-CN"/>
              </w:rPr>
              <w:t>昆明市生态环境局盘龙分局相关数据显示</w:t>
            </w:r>
            <w:r>
              <w:rPr>
                <w:rFonts w:hint="eastAsia" w:ascii="仿宋_GB2312" w:hAnsi="楷体" w:eastAsia="仿宋_GB2312"/>
                <w:sz w:val="24"/>
                <w:szCs w:val="24"/>
              </w:rPr>
              <w:t>进入入户调查的工业企业共计230家（其中停产企业21家），其中分流工业企业17家，进入核算的工业企业共209家。移动源36家，生活源32家（行政村），集中式污染治理设施13家，排污口5个，均已完成核算及建档工作</w:t>
            </w:r>
            <w:r>
              <w:rPr>
                <w:rFonts w:hint="eastAsia" w:ascii="仿宋_GB2312" w:hAnsi="楷体" w:eastAsia="仿宋_GB2312"/>
                <w:sz w:val="24"/>
                <w:szCs w:val="24"/>
                <w:lang w:eastAsia="zh-CN"/>
              </w:rPr>
              <w:t>。</w:t>
            </w:r>
          </w:p>
        </w:tc>
      </w:tr>
      <w:tr w14:paraId="3333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326" w:type="dxa"/>
            <w:noWrap w:val="0"/>
            <w:vAlign w:val="center"/>
          </w:tcPr>
          <w:p w14:paraId="0777F372">
            <w:pPr>
              <w:widowControl/>
              <w:jc w:val="center"/>
              <w:textAlignment w:val="center"/>
              <w:rPr>
                <w:rFonts w:ascii="仿宋_GB2312" w:hAnsi="楷体" w:eastAsia="仿宋_GB2312"/>
                <w:sz w:val="24"/>
                <w:szCs w:val="24"/>
              </w:rPr>
            </w:pPr>
            <w:r>
              <w:rPr>
                <w:rFonts w:hint="eastAsia" w:ascii="仿宋_GB2312" w:hAnsi="楷体" w:eastAsia="仿宋_GB2312"/>
                <w:sz w:val="24"/>
                <w:szCs w:val="24"/>
              </w:rPr>
              <w:t>3</w:t>
            </w:r>
          </w:p>
        </w:tc>
        <w:tc>
          <w:tcPr>
            <w:tcW w:w="3368" w:type="dxa"/>
            <w:noWrap w:val="0"/>
            <w:vAlign w:val="center"/>
          </w:tcPr>
          <w:p w14:paraId="02397B99">
            <w:pPr>
              <w:widowControl/>
              <w:textAlignment w:val="center"/>
              <w:rPr>
                <w:rFonts w:ascii="仿宋_GB2312" w:hAnsi="楷体" w:eastAsia="仿宋_GB2312"/>
                <w:sz w:val="24"/>
                <w:szCs w:val="24"/>
              </w:rPr>
            </w:pPr>
            <w:r>
              <w:rPr>
                <w:rFonts w:hint="eastAsia" w:ascii="仿宋_GB2312" w:hAnsi="楷体" w:eastAsia="仿宋_GB2312"/>
                <w:sz w:val="24"/>
                <w:szCs w:val="24"/>
              </w:rPr>
              <w:t>①</w:t>
            </w:r>
            <w:r>
              <w:rPr>
                <w:rFonts w:hint="eastAsia" w:ascii="仿宋_GB2312" w:hAnsi="楷体" w:eastAsia="仿宋_GB2312"/>
                <w:sz w:val="24"/>
                <w:szCs w:val="24"/>
                <w:lang w:eastAsia="zh-CN"/>
              </w:rPr>
              <w:t>建立工业企业污染源普查档案≥</w:t>
            </w:r>
            <w:r>
              <w:rPr>
                <w:rFonts w:hint="eastAsia" w:ascii="仿宋_GB2312" w:hAnsi="楷体" w:eastAsia="仿宋_GB2312"/>
                <w:sz w:val="24"/>
                <w:szCs w:val="24"/>
                <w:lang w:val="en-US" w:eastAsia="zh-CN"/>
              </w:rPr>
              <w:t>170家</w:t>
            </w:r>
            <w:r>
              <w:rPr>
                <w:rFonts w:hint="eastAsia" w:ascii="仿宋_GB2312" w:hAnsi="楷体" w:eastAsia="仿宋_GB2312"/>
                <w:sz w:val="24"/>
                <w:szCs w:val="24"/>
              </w:rPr>
              <w:t>；</w:t>
            </w:r>
          </w:p>
          <w:p w14:paraId="63C1E9E0">
            <w:pPr>
              <w:widowControl/>
              <w:textAlignment w:val="center"/>
              <w:rPr>
                <w:rFonts w:hint="eastAsia" w:ascii="仿宋_GB2312" w:hAnsi="楷体" w:eastAsia="仿宋_GB2312"/>
                <w:color w:val="FF0000"/>
                <w:sz w:val="24"/>
                <w:szCs w:val="24"/>
              </w:rPr>
            </w:pPr>
            <w:r>
              <w:rPr>
                <w:rFonts w:hint="eastAsia" w:ascii="仿宋_GB2312" w:hAnsi="楷体" w:eastAsia="仿宋_GB2312"/>
                <w:sz w:val="24"/>
                <w:szCs w:val="24"/>
              </w:rPr>
              <w:t>②</w:t>
            </w:r>
            <w:r>
              <w:rPr>
                <w:rFonts w:hint="eastAsia" w:ascii="仿宋_GB2312" w:hAnsi="楷体" w:eastAsia="仿宋_GB2312"/>
                <w:sz w:val="24"/>
                <w:szCs w:val="24"/>
                <w:lang w:eastAsia="zh-CN"/>
              </w:rPr>
              <w:t>建立集中式污染治理设施污染源普查档案≥</w:t>
            </w:r>
            <w:r>
              <w:rPr>
                <w:rFonts w:hint="eastAsia" w:ascii="仿宋_GB2312" w:hAnsi="楷体" w:eastAsia="仿宋_GB2312"/>
                <w:sz w:val="24"/>
                <w:szCs w:val="24"/>
                <w:lang w:val="en-US" w:eastAsia="zh-CN"/>
              </w:rPr>
              <w:t>10个</w:t>
            </w:r>
            <w:r>
              <w:rPr>
                <w:rFonts w:hint="eastAsia" w:ascii="仿宋_GB2312" w:hAnsi="楷体" w:eastAsia="仿宋_GB2312"/>
                <w:sz w:val="24"/>
                <w:szCs w:val="24"/>
              </w:rPr>
              <w:t>；</w:t>
            </w:r>
          </w:p>
          <w:p w14:paraId="2B8710DF">
            <w:pPr>
              <w:widowControl/>
              <w:textAlignment w:val="center"/>
              <w:rPr>
                <w:rFonts w:hint="eastAsia" w:ascii="仿宋_GB2312" w:hAnsi="楷体" w:eastAsia="仿宋_GB2312"/>
                <w:sz w:val="24"/>
                <w:szCs w:val="24"/>
              </w:rPr>
            </w:pPr>
            <w:r>
              <w:rPr>
                <w:rFonts w:hint="eastAsia" w:ascii="仿宋_GB2312" w:hAnsi="楷体" w:eastAsia="仿宋_GB2312"/>
                <w:sz w:val="24"/>
                <w:szCs w:val="24"/>
              </w:rPr>
              <w:t>③</w:t>
            </w:r>
            <w:r>
              <w:rPr>
                <w:rFonts w:hint="eastAsia" w:ascii="仿宋_GB2312" w:hAnsi="楷体" w:eastAsia="仿宋_GB2312"/>
                <w:sz w:val="24"/>
                <w:szCs w:val="24"/>
                <w:lang w:eastAsia="zh-CN"/>
              </w:rPr>
              <w:t>建立排污口污染源普查档案≥</w:t>
            </w:r>
            <w:r>
              <w:rPr>
                <w:rFonts w:hint="eastAsia" w:ascii="仿宋_GB2312" w:hAnsi="楷体" w:eastAsia="仿宋_GB2312"/>
                <w:sz w:val="24"/>
                <w:szCs w:val="24"/>
                <w:lang w:val="en-US" w:eastAsia="zh-CN"/>
              </w:rPr>
              <w:t>5个。</w:t>
            </w:r>
          </w:p>
        </w:tc>
        <w:tc>
          <w:tcPr>
            <w:tcW w:w="687" w:type="dxa"/>
            <w:noWrap w:val="0"/>
            <w:vAlign w:val="center"/>
          </w:tcPr>
          <w:p w14:paraId="7D35EF7F">
            <w:pPr>
              <w:widowControl/>
              <w:jc w:val="center"/>
              <w:textAlignment w:val="center"/>
              <w:rPr>
                <w:rFonts w:hint="eastAsia" w:ascii="仿宋_GB2312" w:hAnsi="楷体" w:eastAsia="仿宋_GB2312"/>
                <w:sz w:val="24"/>
                <w:szCs w:val="24"/>
              </w:rPr>
            </w:pPr>
            <w:r>
              <w:rPr>
                <w:rFonts w:hint="eastAsia" w:ascii="仿宋_GB2312" w:hAnsi="楷体" w:eastAsia="仿宋_GB2312"/>
                <w:sz w:val="24"/>
                <w:szCs w:val="24"/>
              </w:rPr>
              <w:t>完成</w:t>
            </w:r>
          </w:p>
        </w:tc>
        <w:tc>
          <w:tcPr>
            <w:tcW w:w="3707" w:type="dxa"/>
            <w:noWrap w:val="0"/>
            <w:vAlign w:val="center"/>
          </w:tcPr>
          <w:p w14:paraId="3C923EBD">
            <w:pPr>
              <w:widowControl/>
              <w:textAlignment w:val="center"/>
              <w:rPr>
                <w:rFonts w:hint="eastAsia" w:ascii="仿宋_GB2312" w:hAnsi="楷体" w:eastAsia="仿宋_GB2312"/>
                <w:sz w:val="24"/>
                <w:szCs w:val="24"/>
                <w:lang w:eastAsia="zh-CN"/>
              </w:rPr>
            </w:pPr>
            <w:r>
              <w:rPr>
                <w:rFonts w:hint="eastAsia" w:ascii="仿宋_GB2312" w:hAnsi="楷体" w:eastAsia="仿宋_GB2312"/>
                <w:sz w:val="24"/>
                <w:szCs w:val="24"/>
              </w:rPr>
              <w:t>根据</w:t>
            </w:r>
            <w:r>
              <w:rPr>
                <w:rFonts w:hint="eastAsia" w:ascii="仿宋_GB2312" w:hAnsi="楷体" w:eastAsia="仿宋_GB2312"/>
                <w:sz w:val="24"/>
                <w:szCs w:val="24"/>
                <w:lang w:eastAsia="zh-CN"/>
              </w:rPr>
              <w:t>昆明市生态环境局盘龙分局相关数据统计</w:t>
            </w:r>
            <w:r>
              <w:rPr>
                <w:rFonts w:hint="eastAsia" w:ascii="仿宋_GB2312" w:hAnsi="楷体" w:eastAsia="仿宋_GB2312"/>
                <w:sz w:val="24"/>
                <w:szCs w:val="24"/>
              </w:rPr>
              <w:t>辖区内纳入调查的工业源189家，其中178家已建立“一企一档”，其余11家无法入户的企业均有相关佐证材料。集中式10家及移动源38家也均已建立“一源一档”。</w:t>
            </w:r>
          </w:p>
        </w:tc>
      </w:tr>
      <w:tr w14:paraId="69E1C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56" w:hRule="atLeast"/>
          <w:jc w:val="center"/>
        </w:trPr>
        <w:tc>
          <w:tcPr>
            <w:tcW w:w="326" w:type="dxa"/>
            <w:noWrap w:val="0"/>
            <w:vAlign w:val="center"/>
          </w:tcPr>
          <w:p w14:paraId="19F9BD12">
            <w:pPr>
              <w:widowControl/>
              <w:jc w:val="center"/>
              <w:textAlignment w:val="center"/>
              <w:rPr>
                <w:rFonts w:ascii="仿宋_GB2312" w:hAnsi="楷体" w:eastAsia="仿宋_GB2312"/>
                <w:sz w:val="24"/>
                <w:szCs w:val="24"/>
              </w:rPr>
            </w:pPr>
            <w:r>
              <w:rPr>
                <w:rFonts w:hint="eastAsia" w:ascii="仿宋_GB2312" w:hAnsi="楷体" w:eastAsia="仿宋_GB2312"/>
                <w:sz w:val="24"/>
                <w:szCs w:val="24"/>
              </w:rPr>
              <w:t>4</w:t>
            </w:r>
          </w:p>
        </w:tc>
        <w:tc>
          <w:tcPr>
            <w:tcW w:w="3368" w:type="dxa"/>
            <w:noWrap w:val="0"/>
            <w:vAlign w:val="center"/>
          </w:tcPr>
          <w:p w14:paraId="0F139692">
            <w:pPr>
              <w:widowControl/>
              <w:jc w:val="both"/>
              <w:textAlignment w:val="center"/>
              <w:rPr>
                <w:rFonts w:ascii="仿宋_GB2312" w:hAnsi="楷体" w:eastAsia="仿宋_GB2312"/>
                <w:sz w:val="24"/>
                <w:szCs w:val="24"/>
              </w:rPr>
            </w:pPr>
            <w:r>
              <w:rPr>
                <w:rFonts w:hint="eastAsia" w:ascii="仿宋_GB2312" w:hAnsi="楷体" w:eastAsia="仿宋_GB2312"/>
                <w:sz w:val="24"/>
                <w:szCs w:val="24"/>
              </w:rPr>
              <w:t>2019年</w:t>
            </w:r>
            <w:r>
              <w:rPr>
                <w:rFonts w:hint="eastAsia" w:ascii="仿宋_GB2312" w:hAnsi="楷体" w:eastAsia="仿宋_GB2312"/>
                <w:sz w:val="24"/>
                <w:szCs w:val="24"/>
                <w:lang w:eastAsia="zh-CN"/>
              </w:rPr>
              <w:t>清</w:t>
            </w:r>
            <w:r>
              <w:rPr>
                <w:rFonts w:hint="eastAsia" w:ascii="仿宋_GB2312" w:hAnsi="楷体" w:eastAsia="仿宋_GB2312"/>
                <w:sz w:val="24"/>
                <w:szCs w:val="24"/>
              </w:rPr>
              <w:t>查重复率≤3%</w:t>
            </w:r>
          </w:p>
        </w:tc>
        <w:tc>
          <w:tcPr>
            <w:tcW w:w="687" w:type="dxa"/>
            <w:noWrap w:val="0"/>
            <w:vAlign w:val="center"/>
          </w:tcPr>
          <w:p w14:paraId="3502B6D9">
            <w:pPr>
              <w:widowControl/>
              <w:jc w:val="center"/>
              <w:textAlignment w:val="center"/>
              <w:rPr>
                <w:rFonts w:hint="eastAsia" w:ascii="仿宋_GB2312" w:hAnsi="楷体" w:eastAsia="仿宋_GB2312"/>
                <w:sz w:val="24"/>
                <w:szCs w:val="24"/>
              </w:rPr>
            </w:pPr>
            <w:r>
              <w:rPr>
                <w:rFonts w:hint="eastAsia" w:ascii="仿宋_GB2312" w:hAnsi="楷体" w:eastAsia="仿宋_GB2312"/>
                <w:sz w:val="24"/>
                <w:szCs w:val="24"/>
              </w:rPr>
              <w:t>完成</w:t>
            </w:r>
          </w:p>
        </w:tc>
        <w:tc>
          <w:tcPr>
            <w:tcW w:w="3707" w:type="dxa"/>
            <w:noWrap w:val="0"/>
            <w:vAlign w:val="center"/>
          </w:tcPr>
          <w:p w14:paraId="4F1D33F2">
            <w:pPr>
              <w:widowControl/>
              <w:textAlignment w:val="center"/>
              <w:rPr>
                <w:rFonts w:hint="default" w:ascii="仿宋_GB2312" w:hAnsi="楷体" w:eastAsia="仿宋_GB2312"/>
                <w:sz w:val="24"/>
                <w:szCs w:val="24"/>
                <w:lang w:val="en-US" w:eastAsia="zh-CN"/>
              </w:rPr>
            </w:pPr>
            <w:r>
              <w:rPr>
                <w:rFonts w:hint="eastAsia" w:ascii="仿宋_GB2312" w:hAnsi="楷体" w:eastAsia="仿宋_GB2312"/>
                <w:sz w:val="24"/>
                <w:szCs w:val="24"/>
              </w:rPr>
              <w:t>根据</w:t>
            </w:r>
            <w:r>
              <w:rPr>
                <w:rFonts w:hint="eastAsia" w:ascii="仿宋_GB2312" w:hAnsi="楷体" w:eastAsia="仿宋_GB2312"/>
                <w:sz w:val="24"/>
                <w:szCs w:val="24"/>
                <w:lang w:eastAsia="zh-CN"/>
              </w:rPr>
              <w:t>昆明市生态环境局盘龙分局</w:t>
            </w:r>
            <w:r>
              <w:rPr>
                <w:rFonts w:hint="eastAsia" w:ascii="仿宋_GB2312" w:hAnsi="楷体" w:eastAsia="仿宋_GB2312"/>
                <w:sz w:val="24"/>
                <w:szCs w:val="24"/>
              </w:rPr>
              <w:t>相关数据统计2019年</w:t>
            </w:r>
            <w:r>
              <w:rPr>
                <w:rFonts w:hint="eastAsia" w:ascii="仿宋_GB2312" w:hAnsi="楷体" w:eastAsia="仿宋_GB2312"/>
                <w:sz w:val="24"/>
                <w:szCs w:val="24"/>
                <w:lang w:eastAsia="zh-CN"/>
              </w:rPr>
              <w:t>清</w:t>
            </w:r>
            <w:r>
              <w:rPr>
                <w:rFonts w:hint="eastAsia" w:ascii="仿宋_GB2312" w:hAnsi="楷体" w:eastAsia="仿宋_GB2312"/>
                <w:sz w:val="24"/>
                <w:szCs w:val="24"/>
              </w:rPr>
              <w:t>查重复率</w:t>
            </w:r>
            <w:r>
              <w:rPr>
                <w:rFonts w:hint="eastAsia" w:ascii="仿宋_GB2312" w:hAnsi="楷体" w:eastAsia="仿宋_GB2312"/>
                <w:sz w:val="24"/>
                <w:szCs w:val="24"/>
                <w:lang w:eastAsia="zh-CN"/>
              </w:rPr>
              <w:t>≈</w:t>
            </w:r>
            <w:r>
              <w:rPr>
                <w:rFonts w:hint="eastAsia" w:ascii="仿宋_GB2312" w:hAnsi="楷体" w:eastAsia="仿宋_GB2312"/>
                <w:sz w:val="24"/>
                <w:szCs w:val="24"/>
                <w:lang w:val="en-US" w:eastAsia="zh-CN"/>
              </w:rPr>
              <w:t>2%。</w:t>
            </w:r>
          </w:p>
        </w:tc>
      </w:tr>
      <w:tr w14:paraId="4712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326" w:type="dxa"/>
            <w:noWrap w:val="0"/>
            <w:vAlign w:val="center"/>
          </w:tcPr>
          <w:p w14:paraId="314982D6">
            <w:pPr>
              <w:widowControl/>
              <w:jc w:val="center"/>
              <w:textAlignment w:val="center"/>
              <w:rPr>
                <w:rFonts w:ascii="仿宋_GB2312" w:hAnsi="楷体" w:eastAsia="仿宋_GB2312"/>
                <w:sz w:val="24"/>
                <w:szCs w:val="24"/>
              </w:rPr>
            </w:pPr>
            <w:r>
              <w:rPr>
                <w:rFonts w:hint="eastAsia" w:ascii="仿宋_GB2312" w:hAnsi="楷体" w:eastAsia="仿宋_GB2312"/>
                <w:sz w:val="24"/>
                <w:szCs w:val="24"/>
              </w:rPr>
              <w:t>5</w:t>
            </w:r>
          </w:p>
        </w:tc>
        <w:tc>
          <w:tcPr>
            <w:tcW w:w="3368" w:type="dxa"/>
            <w:noWrap w:val="0"/>
            <w:vAlign w:val="center"/>
          </w:tcPr>
          <w:p w14:paraId="01A2E8F0">
            <w:pPr>
              <w:widowControl/>
              <w:textAlignment w:val="center"/>
              <w:rPr>
                <w:rFonts w:ascii="仿宋_GB2312" w:hAnsi="楷体" w:eastAsia="仿宋_GB2312"/>
                <w:sz w:val="24"/>
                <w:szCs w:val="24"/>
              </w:rPr>
            </w:pPr>
            <w:r>
              <w:rPr>
                <w:rFonts w:hint="eastAsia" w:ascii="仿宋_GB2312" w:hAnsi="楷体" w:eastAsia="仿宋_GB2312"/>
                <w:sz w:val="24"/>
                <w:szCs w:val="24"/>
              </w:rPr>
              <w:t>2019年</w:t>
            </w:r>
            <w:r>
              <w:rPr>
                <w:rFonts w:hint="eastAsia" w:ascii="仿宋_GB2312" w:hAnsi="楷体" w:eastAsia="仿宋_GB2312"/>
                <w:sz w:val="24"/>
                <w:szCs w:val="24"/>
                <w:lang w:eastAsia="zh-CN"/>
              </w:rPr>
              <w:t>清</w:t>
            </w:r>
            <w:r>
              <w:rPr>
                <w:rFonts w:hint="eastAsia" w:ascii="仿宋_GB2312" w:hAnsi="楷体" w:eastAsia="仿宋_GB2312"/>
                <w:sz w:val="24"/>
                <w:szCs w:val="24"/>
              </w:rPr>
              <w:t>查漏查率≤2%</w:t>
            </w:r>
          </w:p>
        </w:tc>
        <w:tc>
          <w:tcPr>
            <w:tcW w:w="687" w:type="dxa"/>
            <w:noWrap w:val="0"/>
            <w:vAlign w:val="center"/>
          </w:tcPr>
          <w:p w14:paraId="7E01CE6D">
            <w:pPr>
              <w:widowControl/>
              <w:jc w:val="center"/>
              <w:textAlignment w:val="center"/>
              <w:rPr>
                <w:rFonts w:hint="eastAsia" w:ascii="仿宋_GB2312" w:hAnsi="楷体" w:eastAsia="仿宋_GB2312"/>
                <w:sz w:val="24"/>
                <w:szCs w:val="24"/>
              </w:rPr>
            </w:pPr>
            <w:r>
              <w:rPr>
                <w:rFonts w:hint="eastAsia" w:ascii="仿宋_GB2312" w:hAnsi="楷体" w:eastAsia="仿宋_GB2312"/>
                <w:sz w:val="24"/>
                <w:szCs w:val="24"/>
              </w:rPr>
              <w:t>完成</w:t>
            </w:r>
          </w:p>
        </w:tc>
        <w:tc>
          <w:tcPr>
            <w:tcW w:w="3707" w:type="dxa"/>
            <w:noWrap w:val="0"/>
            <w:vAlign w:val="center"/>
          </w:tcPr>
          <w:p w14:paraId="64F2FA76">
            <w:pPr>
              <w:widowControl/>
              <w:jc w:val="left"/>
              <w:textAlignment w:val="center"/>
              <w:rPr>
                <w:rFonts w:ascii="仿宋_GB2312" w:hAnsi="楷体" w:eastAsia="仿宋_GB2312"/>
                <w:sz w:val="24"/>
                <w:szCs w:val="24"/>
              </w:rPr>
            </w:pPr>
            <w:r>
              <w:rPr>
                <w:rFonts w:hint="eastAsia" w:ascii="仿宋_GB2312" w:hAnsi="楷体" w:eastAsia="仿宋_GB2312"/>
                <w:sz w:val="24"/>
                <w:szCs w:val="24"/>
              </w:rPr>
              <w:t>根据</w:t>
            </w:r>
            <w:r>
              <w:rPr>
                <w:rFonts w:hint="eastAsia" w:ascii="仿宋_GB2312" w:hAnsi="楷体" w:eastAsia="仿宋_GB2312"/>
                <w:sz w:val="24"/>
                <w:szCs w:val="24"/>
                <w:lang w:eastAsia="zh-CN"/>
              </w:rPr>
              <w:t>昆明市生态环境局盘龙分局</w:t>
            </w:r>
            <w:r>
              <w:rPr>
                <w:rFonts w:hint="eastAsia" w:ascii="仿宋_GB2312" w:hAnsi="楷体" w:eastAsia="仿宋_GB2312"/>
                <w:sz w:val="24"/>
                <w:szCs w:val="24"/>
              </w:rPr>
              <w:t>相关数据统计2019年</w:t>
            </w:r>
            <w:r>
              <w:rPr>
                <w:rFonts w:hint="eastAsia" w:ascii="仿宋_GB2312" w:hAnsi="楷体" w:eastAsia="仿宋_GB2312"/>
                <w:sz w:val="24"/>
                <w:szCs w:val="24"/>
                <w:lang w:eastAsia="zh-CN"/>
              </w:rPr>
              <w:t>清</w:t>
            </w:r>
            <w:r>
              <w:rPr>
                <w:rFonts w:hint="eastAsia" w:ascii="仿宋_GB2312" w:hAnsi="楷体" w:eastAsia="仿宋_GB2312"/>
                <w:sz w:val="24"/>
                <w:szCs w:val="24"/>
              </w:rPr>
              <w:t>查漏查率</w:t>
            </w:r>
            <w:r>
              <w:rPr>
                <w:rFonts w:hint="eastAsia" w:ascii="仿宋_GB2312" w:hAnsi="楷体" w:eastAsia="仿宋_GB2312"/>
                <w:sz w:val="24"/>
                <w:szCs w:val="24"/>
                <w:lang w:eastAsia="zh-CN"/>
              </w:rPr>
              <w:t>≈</w:t>
            </w:r>
            <w:r>
              <w:rPr>
                <w:rFonts w:hint="eastAsia" w:ascii="仿宋_GB2312" w:hAnsi="楷体" w:eastAsia="仿宋_GB2312"/>
                <w:sz w:val="24"/>
                <w:szCs w:val="24"/>
                <w:lang w:val="en-US" w:eastAsia="zh-CN"/>
              </w:rPr>
              <w:t>1%。</w:t>
            </w:r>
          </w:p>
        </w:tc>
      </w:tr>
      <w:tr w14:paraId="7A18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326" w:type="dxa"/>
            <w:noWrap w:val="0"/>
            <w:vAlign w:val="center"/>
          </w:tcPr>
          <w:p w14:paraId="00BFC88C">
            <w:pPr>
              <w:widowControl/>
              <w:jc w:val="center"/>
              <w:textAlignment w:val="center"/>
              <w:rPr>
                <w:rFonts w:hint="eastAsia" w:ascii="仿宋_GB2312" w:hAnsi="楷体" w:eastAsia="仿宋_GB2312"/>
                <w:sz w:val="24"/>
                <w:szCs w:val="24"/>
                <w:lang w:val="en-US" w:eastAsia="zh-CN"/>
              </w:rPr>
            </w:pPr>
            <w:r>
              <w:rPr>
                <w:rFonts w:hint="eastAsia" w:ascii="仿宋_GB2312" w:hAnsi="楷体" w:eastAsia="仿宋_GB2312"/>
                <w:sz w:val="24"/>
                <w:szCs w:val="24"/>
                <w:lang w:val="en-US" w:eastAsia="zh-CN"/>
              </w:rPr>
              <w:t>6</w:t>
            </w:r>
          </w:p>
        </w:tc>
        <w:tc>
          <w:tcPr>
            <w:tcW w:w="3368" w:type="dxa"/>
            <w:noWrap w:val="0"/>
            <w:vAlign w:val="center"/>
          </w:tcPr>
          <w:p w14:paraId="0D15A2DA">
            <w:pPr>
              <w:widowControl/>
              <w:textAlignment w:val="center"/>
              <w:rPr>
                <w:rFonts w:hint="eastAsia" w:ascii="仿宋_GB2312" w:hAnsi="楷体" w:eastAsia="仿宋_GB2312"/>
                <w:sz w:val="24"/>
                <w:szCs w:val="24"/>
              </w:rPr>
            </w:pPr>
            <w:r>
              <w:rPr>
                <w:rFonts w:hint="eastAsia" w:ascii="仿宋_GB2312" w:hAnsi="楷体" w:eastAsia="仿宋_GB2312"/>
                <w:sz w:val="24"/>
                <w:szCs w:val="24"/>
              </w:rPr>
              <w:t>2019年</w:t>
            </w:r>
            <w:r>
              <w:rPr>
                <w:rFonts w:hint="eastAsia" w:ascii="仿宋_GB2312" w:hAnsi="楷体" w:eastAsia="仿宋_GB2312"/>
                <w:sz w:val="24"/>
                <w:szCs w:val="24"/>
                <w:lang w:eastAsia="zh-CN"/>
              </w:rPr>
              <w:t>清</w:t>
            </w:r>
            <w:r>
              <w:rPr>
                <w:rFonts w:hint="eastAsia" w:ascii="仿宋_GB2312" w:hAnsi="楷体" w:eastAsia="仿宋_GB2312"/>
                <w:sz w:val="24"/>
                <w:szCs w:val="24"/>
              </w:rPr>
              <w:t>查错误率≤3%</w:t>
            </w:r>
          </w:p>
        </w:tc>
        <w:tc>
          <w:tcPr>
            <w:tcW w:w="687" w:type="dxa"/>
            <w:noWrap w:val="0"/>
            <w:vAlign w:val="center"/>
          </w:tcPr>
          <w:p w14:paraId="5E6540F3">
            <w:pPr>
              <w:widowControl/>
              <w:jc w:val="center"/>
              <w:textAlignment w:val="center"/>
              <w:rPr>
                <w:rFonts w:hint="eastAsia" w:ascii="仿宋_GB2312" w:hAnsi="楷体" w:eastAsia="仿宋_GB2312"/>
                <w:sz w:val="24"/>
                <w:szCs w:val="24"/>
                <w:lang w:eastAsia="zh-CN"/>
              </w:rPr>
            </w:pPr>
            <w:r>
              <w:rPr>
                <w:rFonts w:hint="eastAsia" w:ascii="仿宋_GB2312" w:hAnsi="楷体" w:eastAsia="仿宋_GB2312"/>
                <w:sz w:val="24"/>
                <w:szCs w:val="24"/>
                <w:lang w:eastAsia="zh-CN"/>
              </w:rPr>
              <w:t>完成</w:t>
            </w:r>
          </w:p>
        </w:tc>
        <w:tc>
          <w:tcPr>
            <w:tcW w:w="3707" w:type="dxa"/>
            <w:noWrap w:val="0"/>
            <w:vAlign w:val="center"/>
          </w:tcPr>
          <w:p w14:paraId="76B0594A">
            <w:pPr>
              <w:widowControl/>
              <w:jc w:val="left"/>
              <w:textAlignment w:val="center"/>
              <w:rPr>
                <w:rFonts w:ascii="仿宋_GB2312" w:hAnsi="楷体" w:eastAsia="仿宋_GB2312"/>
                <w:sz w:val="24"/>
                <w:szCs w:val="24"/>
              </w:rPr>
            </w:pPr>
            <w:r>
              <w:rPr>
                <w:rFonts w:hint="eastAsia" w:ascii="仿宋_GB2312" w:hAnsi="楷体" w:eastAsia="仿宋_GB2312"/>
                <w:sz w:val="24"/>
                <w:szCs w:val="24"/>
              </w:rPr>
              <w:t>根据</w:t>
            </w:r>
            <w:r>
              <w:rPr>
                <w:rFonts w:hint="eastAsia" w:ascii="仿宋_GB2312" w:hAnsi="楷体" w:eastAsia="仿宋_GB2312"/>
                <w:sz w:val="24"/>
                <w:szCs w:val="24"/>
                <w:lang w:eastAsia="zh-CN"/>
              </w:rPr>
              <w:t>昆明市生态环境局盘龙分局</w:t>
            </w:r>
            <w:r>
              <w:rPr>
                <w:rFonts w:hint="eastAsia" w:ascii="仿宋_GB2312" w:hAnsi="楷体" w:eastAsia="仿宋_GB2312"/>
                <w:sz w:val="24"/>
                <w:szCs w:val="24"/>
              </w:rPr>
              <w:t>相关数据统计2019年</w:t>
            </w:r>
            <w:r>
              <w:rPr>
                <w:rFonts w:hint="eastAsia" w:ascii="仿宋_GB2312" w:hAnsi="楷体" w:eastAsia="仿宋_GB2312"/>
                <w:sz w:val="24"/>
                <w:szCs w:val="24"/>
                <w:lang w:eastAsia="zh-CN"/>
              </w:rPr>
              <w:t>清</w:t>
            </w:r>
            <w:r>
              <w:rPr>
                <w:rFonts w:hint="eastAsia" w:ascii="仿宋_GB2312" w:hAnsi="楷体" w:eastAsia="仿宋_GB2312"/>
                <w:sz w:val="24"/>
                <w:szCs w:val="24"/>
              </w:rPr>
              <w:t>查</w:t>
            </w:r>
            <w:r>
              <w:rPr>
                <w:rFonts w:hint="eastAsia" w:ascii="仿宋_GB2312" w:hAnsi="楷体" w:eastAsia="仿宋_GB2312"/>
                <w:sz w:val="24"/>
                <w:szCs w:val="24"/>
                <w:lang w:eastAsia="zh-CN"/>
              </w:rPr>
              <w:t>错误</w:t>
            </w:r>
            <w:r>
              <w:rPr>
                <w:rFonts w:hint="eastAsia" w:ascii="仿宋_GB2312" w:hAnsi="楷体" w:eastAsia="仿宋_GB2312"/>
                <w:sz w:val="24"/>
                <w:szCs w:val="24"/>
              </w:rPr>
              <w:t>率</w:t>
            </w:r>
            <w:r>
              <w:rPr>
                <w:rFonts w:hint="eastAsia" w:ascii="仿宋_GB2312" w:hAnsi="楷体" w:eastAsia="仿宋_GB2312"/>
                <w:sz w:val="24"/>
                <w:szCs w:val="24"/>
                <w:lang w:eastAsia="zh-CN"/>
              </w:rPr>
              <w:t>≈</w:t>
            </w:r>
            <w:r>
              <w:rPr>
                <w:rFonts w:hint="eastAsia" w:ascii="仿宋_GB2312" w:hAnsi="楷体" w:eastAsia="仿宋_GB2312"/>
                <w:sz w:val="24"/>
                <w:szCs w:val="24"/>
                <w:lang w:val="en-US" w:eastAsia="zh-CN"/>
              </w:rPr>
              <w:t>1%</w:t>
            </w:r>
          </w:p>
        </w:tc>
      </w:tr>
      <w:tr w14:paraId="1B6F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326" w:type="dxa"/>
            <w:noWrap w:val="0"/>
            <w:vAlign w:val="center"/>
          </w:tcPr>
          <w:p w14:paraId="369E9AC4">
            <w:pPr>
              <w:widowControl/>
              <w:jc w:val="center"/>
              <w:textAlignment w:val="center"/>
              <w:rPr>
                <w:rFonts w:hint="eastAsia" w:ascii="仿宋_GB2312" w:hAnsi="楷体" w:eastAsia="仿宋_GB2312"/>
                <w:sz w:val="24"/>
                <w:szCs w:val="24"/>
                <w:lang w:val="en-US" w:eastAsia="zh-CN"/>
              </w:rPr>
            </w:pPr>
            <w:r>
              <w:rPr>
                <w:rFonts w:hint="eastAsia" w:ascii="仿宋_GB2312" w:hAnsi="楷体" w:eastAsia="仿宋_GB2312"/>
                <w:sz w:val="24"/>
                <w:szCs w:val="24"/>
                <w:lang w:val="en-US" w:eastAsia="zh-CN"/>
              </w:rPr>
              <w:t>7</w:t>
            </w:r>
          </w:p>
        </w:tc>
        <w:tc>
          <w:tcPr>
            <w:tcW w:w="3368" w:type="dxa"/>
            <w:noWrap w:val="0"/>
            <w:vAlign w:val="center"/>
          </w:tcPr>
          <w:p w14:paraId="4B8ACF6E">
            <w:pPr>
              <w:widowControl/>
              <w:textAlignment w:val="center"/>
              <w:rPr>
                <w:rFonts w:hint="default" w:ascii="仿宋_GB2312" w:hAnsi="楷体" w:eastAsia="仿宋_GB2312"/>
                <w:sz w:val="24"/>
                <w:szCs w:val="24"/>
                <w:lang w:val="en-US" w:eastAsia="zh-CN"/>
              </w:rPr>
            </w:pPr>
            <w:r>
              <w:rPr>
                <w:rFonts w:hint="eastAsia" w:ascii="仿宋_GB2312" w:hAnsi="楷体" w:eastAsia="仿宋_GB2312"/>
                <w:sz w:val="24"/>
                <w:szCs w:val="24"/>
                <w:lang w:eastAsia="zh-CN"/>
              </w:rPr>
              <w:t>受益对象满意度≥</w:t>
            </w:r>
            <w:r>
              <w:rPr>
                <w:rFonts w:hint="eastAsia" w:ascii="仿宋_GB2312" w:hAnsi="楷体" w:eastAsia="仿宋_GB2312"/>
                <w:sz w:val="24"/>
                <w:szCs w:val="24"/>
                <w:lang w:val="en-US" w:eastAsia="zh-CN"/>
              </w:rPr>
              <w:t>90%</w:t>
            </w:r>
          </w:p>
        </w:tc>
        <w:tc>
          <w:tcPr>
            <w:tcW w:w="687" w:type="dxa"/>
            <w:noWrap w:val="0"/>
            <w:vAlign w:val="center"/>
          </w:tcPr>
          <w:p w14:paraId="6C1B0ACA">
            <w:pPr>
              <w:widowControl/>
              <w:jc w:val="center"/>
              <w:textAlignment w:val="center"/>
              <w:rPr>
                <w:rFonts w:hint="eastAsia" w:ascii="仿宋_GB2312" w:hAnsi="楷体" w:eastAsia="仿宋_GB2312"/>
                <w:sz w:val="24"/>
                <w:szCs w:val="24"/>
                <w:lang w:eastAsia="zh-CN"/>
              </w:rPr>
            </w:pPr>
            <w:r>
              <w:rPr>
                <w:rFonts w:hint="eastAsia" w:ascii="仿宋_GB2312" w:hAnsi="楷体" w:eastAsia="仿宋_GB2312"/>
                <w:sz w:val="24"/>
                <w:szCs w:val="24"/>
                <w:lang w:eastAsia="zh-CN"/>
              </w:rPr>
              <w:t>未完成</w:t>
            </w:r>
          </w:p>
        </w:tc>
        <w:tc>
          <w:tcPr>
            <w:tcW w:w="3707" w:type="dxa"/>
            <w:noWrap w:val="0"/>
            <w:vAlign w:val="center"/>
          </w:tcPr>
          <w:p w14:paraId="1B6619C0">
            <w:pPr>
              <w:widowControl/>
              <w:jc w:val="left"/>
              <w:textAlignment w:val="center"/>
              <w:rPr>
                <w:rFonts w:hint="default" w:ascii="仿宋_GB2312" w:hAnsi="楷体" w:eastAsia="仿宋_GB2312"/>
                <w:sz w:val="24"/>
                <w:szCs w:val="24"/>
                <w:lang w:val="en-US" w:eastAsia="zh-CN"/>
              </w:rPr>
            </w:pPr>
            <w:r>
              <w:rPr>
                <w:rFonts w:hint="eastAsia" w:ascii="仿宋_GB2312" w:hAnsi="楷体" w:eastAsia="仿宋_GB2312"/>
                <w:sz w:val="24"/>
                <w:szCs w:val="24"/>
                <w:lang w:eastAsia="zh-CN"/>
              </w:rPr>
              <w:t>经抽样统计，受益对象满意度为</w:t>
            </w:r>
            <w:r>
              <w:rPr>
                <w:rFonts w:hint="eastAsia" w:ascii="仿宋_GB2312" w:hAnsi="楷体" w:eastAsia="仿宋_GB2312"/>
                <w:sz w:val="24"/>
                <w:szCs w:val="24"/>
                <w:lang w:val="en-US" w:eastAsia="zh-CN"/>
              </w:rPr>
              <w:t>85%。</w:t>
            </w:r>
          </w:p>
        </w:tc>
      </w:tr>
    </w:tbl>
    <w:p w14:paraId="5A0083E5">
      <w:pPr>
        <w:topLinePunct/>
        <w:spacing w:line="440" w:lineRule="exact"/>
        <w:ind w:firstLine="750" w:firstLineChars="250"/>
        <w:rPr>
          <w:rFonts w:hint="eastAsia" w:ascii="黑体" w:hAnsi="黑体" w:eastAsia="黑体"/>
          <w:sz w:val="30"/>
          <w:szCs w:val="30"/>
        </w:rPr>
      </w:pPr>
      <w:r>
        <w:rPr>
          <w:rFonts w:hint="eastAsia" w:ascii="黑体" w:hAnsi="黑体" w:eastAsia="黑体"/>
          <w:sz w:val="30"/>
          <w:szCs w:val="30"/>
        </w:rPr>
        <w:t>二、绩效评价工作情况</w:t>
      </w:r>
    </w:p>
    <w:p w14:paraId="02F3598F">
      <w:pPr>
        <w:topLinePunct/>
        <w:ind w:firstLine="750" w:firstLineChars="250"/>
        <w:rPr>
          <w:rFonts w:hint="eastAsia" w:ascii="楷体" w:hAnsi="楷体" w:eastAsia="楷体"/>
          <w:sz w:val="30"/>
          <w:szCs w:val="30"/>
        </w:rPr>
      </w:pPr>
      <w:r>
        <w:rPr>
          <w:rFonts w:hint="eastAsia" w:ascii="楷体" w:hAnsi="楷体" w:eastAsia="楷体"/>
          <w:sz w:val="30"/>
          <w:szCs w:val="30"/>
        </w:rPr>
        <w:t>（一）绩效评价目的</w:t>
      </w:r>
    </w:p>
    <w:p w14:paraId="042E1C7B">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362CD0D8">
      <w:pPr>
        <w:topLinePunct/>
        <w:ind w:firstLine="750" w:firstLineChars="250"/>
        <w:rPr>
          <w:rFonts w:hint="eastAsia" w:ascii="楷体" w:hAnsi="楷体" w:eastAsia="楷体"/>
          <w:sz w:val="30"/>
          <w:szCs w:val="30"/>
        </w:rPr>
      </w:pPr>
      <w:r>
        <w:rPr>
          <w:rFonts w:hint="eastAsia" w:ascii="楷体" w:hAnsi="楷体" w:eastAsia="楷体"/>
          <w:sz w:val="30"/>
          <w:szCs w:val="30"/>
        </w:rPr>
        <w:t>（二）绩效评价工作方案制定过程</w:t>
      </w:r>
    </w:p>
    <w:p w14:paraId="4755126F">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1.前期调研</w:t>
      </w:r>
    </w:p>
    <w:p w14:paraId="26539F63">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通过前期对昆明市生态环境局盘龙分局开展调研，初步了解项目立项背景及依据、组织及管理情况、实施内容、实施计划及完成情况等，并向项目相关单位索要相关文件，通过调研会议等工作的相继开展，进一步了解项目情况。</w:t>
      </w:r>
    </w:p>
    <w:p w14:paraId="7849471F">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2.研究文件</w:t>
      </w:r>
    </w:p>
    <w:p w14:paraId="44A1A203">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通过前期调研结束后所收集的相关项目资料，通过分析研究相关文件资料，进一步了解项目立项背景及依据、组织及管理情况、实施内容、实施计划及完成情况，绩效目标申报和实现情况，结合项目特点制定适用的评价指标体系。</w:t>
      </w:r>
    </w:p>
    <w:p w14:paraId="503725E2">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3.绩效评价指标体系及工作方案的设计</w:t>
      </w:r>
    </w:p>
    <w:p w14:paraId="7DE6EE2B">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项目评价指标体系主要包括项目决策、项目管理、项目绩效三个方面，包括投入、过程、产出及效益。并根据《昆明市本级部门预算绩效自评管理暂行办法》附件项目支出共性指标体系细化评价指标，使设置的评价指标具有可操作性，能系统反映第二次全国污染源调查工作经费项目支出所产生的项目效益。指标分值满分为100分。一是项目决策指标：占指标权重20%。含2个二级指标，5个三级指标及10个四级指标。主要从项目与部门中长期规划目标适应性、立项依据充分性、项目立项规范性、绩效目标设定的合理性及绩效指标设定的明确性等方面对项目决策作出评价。二是项目管理指标：占指标权重20%。含3个二级指标，</w:t>
      </w:r>
      <w:r>
        <w:rPr>
          <w:rFonts w:hint="eastAsia" w:ascii="仿宋_GB2312" w:hAnsi="楷体" w:eastAsia="仿宋_GB2312"/>
          <w:sz w:val="28"/>
          <w:szCs w:val="28"/>
          <w:lang w:val="en-US" w:eastAsia="zh-CN"/>
        </w:rPr>
        <w:t>9</w:t>
      </w:r>
      <w:r>
        <w:rPr>
          <w:rFonts w:hint="eastAsia" w:ascii="仿宋_GB2312" w:hAnsi="楷体" w:eastAsia="仿宋_GB2312"/>
          <w:sz w:val="28"/>
          <w:szCs w:val="28"/>
          <w:lang w:eastAsia="zh-CN"/>
        </w:rPr>
        <w:t>个三级指标及</w:t>
      </w:r>
      <w:r>
        <w:rPr>
          <w:rFonts w:hint="eastAsia" w:ascii="仿宋_GB2312" w:hAnsi="楷体" w:eastAsia="仿宋_GB2312"/>
          <w:sz w:val="28"/>
          <w:szCs w:val="28"/>
          <w:lang w:val="en-US" w:eastAsia="zh-CN"/>
        </w:rPr>
        <w:t>10</w:t>
      </w:r>
      <w:r>
        <w:rPr>
          <w:rFonts w:hint="eastAsia" w:ascii="仿宋_GB2312" w:hAnsi="楷体" w:eastAsia="仿宋_GB2312"/>
          <w:sz w:val="28"/>
          <w:szCs w:val="28"/>
          <w:lang w:eastAsia="zh-CN"/>
        </w:rPr>
        <w:t>个四级指标。主要从预算资金到位率、</w:t>
      </w:r>
      <w:r>
        <w:rPr>
          <w:rFonts w:hint="eastAsia" w:ascii="仿宋_GB2312" w:hAnsi="楷体" w:eastAsia="仿宋_GB2312"/>
          <w:sz w:val="28"/>
          <w:szCs w:val="28"/>
          <w:highlight w:val="none"/>
          <w:lang w:eastAsia="zh-CN"/>
        </w:rPr>
        <w:t>预算执行率、资金使用情况、财务管理制度健全性、财务监控有效性、项目管理制度健全性、项目管理制度执行有效性、政府采购规范性等方面对项目实施的过程进行评价。三是项目绩效指标：占指标权重60%。含2个二级指标，</w:t>
      </w:r>
      <w:r>
        <w:rPr>
          <w:rFonts w:hint="eastAsia" w:ascii="仿宋_GB2312" w:hAnsi="楷体" w:eastAsia="仿宋_GB2312"/>
          <w:sz w:val="28"/>
          <w:szCs w:val="28"/>
          <w:highlight w:val="none"/>
          <w:lang w:val="en-US" w:eastAsia="zh-CN"/>
        </w:rPr>
        <w:t>8</w:t>
      </w:r>
      <w:r>
        <w:rPr>
          <w:rFonts w:hint="eastAsia" w:ascii="仿宋_GB2312" w:hAnsi="楷体" w:eastAsia="仿宋_GB2312"/>
          <w:sz w:val="28"/>
          <w:szCs w:val="28"/>
          <w:highlight w:val="none"/>
          <w:lang w:eastAsia="zh-CN"/>
        </w:rPr>
        <w:t>个三级指标及1</w:t>
      </w:r>
      <w:r>
        <w:rPr>
          <w:rFonts w:hint="eastAsia" w:ascii="仿宋_GB2312" w:hAnsi="楷体" w:eastAsia="仿宋_GB2312"/>
          <w:sz w:val="28"/>
          <w:szCs w:val="28"/>
          <w:highlight w:val="none"/>
          <w:lang w:val="en-US" w:eastAsia="zh-CN"/>
        </w:rPr>
        <w:t>5</w:t>
      </w:r>
      <w:r>
        <w:rPr>
          <w:rFonts w:hint="eastAsia" w:ascii="仿宋_GB2312" w:hAnsi="楷体" w:eastAsia="仿宋_GB2312"/>
          <w:sz w:val="28"/>
          <w:szCs w:val="28"/>
          <w:highlight w:val="none"/>
          <w:lang w:eastAsia="zh-CN"/>
        </w:rPr>
        <w:t>个四级指标。主要从普查专员投入情况、普查人员资格确认率、入户调查污染源情况、普查建档情况、清查质量、验收合格率、成本控制情况、社会效益、可持续发展影响、社会群众满意度等方面对项目产出及其成效进行评价考核。根据评价得分情况，评价结</w:t>
      </w:r>
      <w:r>
        <w:rPr>
          <w:rFonts w:hint="eastAsia" w:ascii="仿宋_GB2312" w:hAnsi="楷体" w:eastAsia="仿宋_GB2312"/>
          <w:sz w:val="28"/>
          <w:szCs w:val="28"/>
          <w:lang w:eastAsia="zh-CN"/>
        </w:rPr>
        <w:t>果分为：优、良、中、差四个等级档次，具体等级档次划分如下表：</w:t>
      </w:r>
    </w:p>
    <w:p w14:paraId="598439E6">
      <w:pPr>
        <w:jc w:val="center"/>
        <w:rPr>
          <w:rFonts w:hint="eastAsia" w:ascii="仿宋_GB2312" w:hAnsi="楷体" w:eastAsia="仿宋_GB2312"/>
          <w:b/>
          <w:bCs/>
          <w:sz w:val="24"/>
          <w:szCs w:val="24"/>
        </w:rPr>
      </w:pPr>
      <w:r>
        <w:rPr>
          <w:rFonts w:hint="eastAsia" w:ascii="仿宋_GB2312" w:hAnsi="楷体" w:eastAsia="仿宋_GB2312"/>
          <w:b/>
          <w:bCs/>
          <w:sz w:val="24"/>
          <w:szCs w:val="24"/>
        </w:rPr>
        <w:t>表</w:t>
      </w:r>
      <w:r>
        <w:rPr>
          <w:rFonts w:hint="eastAsia" w:ascii="仿宋_GB2312" w:hAnsi="楷体" w:eastAsia="仿宋_GB2312"/>
          <w:b/>
          <w:bCs/>
          <w:sz w:val="24"/>
          <w:szCs w:val="24"/>
          <w:lang w:val="en-US" w:eastAsia="zh-CN"/>
        </w:rPr>
        <w:t>2</w:t>
      </w:r>
      <w:r>
        <w:rPr>
          <w:rFonts w:hint="eastAsia" w:ascii="仿宋_GB2312" w:hAnsi="楷体" w:eastAsia="仿宋_GB2312"/>
          <w:b/>
          <w:bCs/>
          <w:sz w:val="24"/>
          <w:szCs w:val="24"/>
        </w:rPr>
        <w:t xml:space="preserve">  评分档次划分情况表</w:t>
      </w:r>
    </w:p>
    <w:tbl>
      <w:tblPr>
        <w:tblStyle w:val="8"/>
        <w:tblW w:w="8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1514"/>
        <w:gridCol w:w="2020"/>
        <w:gridCol w:w="2013"/>
        <w:gridCol w:w="1737"/>
      </w:tblGrid>
      <w:tr w14:paraId="29D12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blHeader/>
          <w:jc w:val="center"/>
        </w:trPr>
        <w:tc>
          <w:tcPr>
            <w:tcW w:w="925" w:type="dxa"/>
            <w:noWrap w:val="0"/>
            <w:vAlign w:val="center"/>
          </w:tcPr>
          <w:p w14:paraId="3813A803">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档次</w:t>
            </w:r>
          </w:p>
        </w:tc>
        <w:tc>
          <w:tcPr>
            <w:tcW w:w="1514" w:type="dxa"/>
            <w:noWrap w:val="0"/>
            <w:vAlign w:val="center"/>
          </w:tcPr>
          <w:p w14:paraId="508AF4A1">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优</w:t>
            </w:r>
          </w:p>
        </w:tc>
        <w:tc>
          <w:tcPr>
            <w:tcW w:w="2020" w:type="dxa"/>
            <w:noWrap w:val="0"/>
            <w:vAlign w:val="center"/>
          </w:tcPr>
          <w:p w14:paraId="6091C3E0">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良</w:t>
            </w:r>
          </w:p>
        </w:tc>
        <w:tc>
          <w:tcPr>
            <w:tcW w:w="2013" w:type="dxa"/>
            <w:noWrap w:val="0"/>
            <w:vAlign w:val="center"/>
          </w:tcPr>
          <w:p w14:paraId="31F5793A">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中</w:t>
            </w:r>
          </w:p>
        </w:tc>
        <w:tc>
          <w:tcPr>
            <w:tcW w:w="1737" w:type="dxa"/>
            <w:noWrap w:val="0"/>
            <w:vAlign w:val="center"/>
          </w:tcPr>
          <w:p w14:paraId="4779D682">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差</w:t>
            </w:r>
          </w:p>
        </w:tc>
      </w:tr>
      <w:tr w14:paraId="34C8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925" w:type="dxa"/>
            <w:noWrap w:val="0"/>
            <w:vAlign w:val="center"/>
          </w:tcPr>
          <w:p w14:paraId="44652F9D">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分值</w:t>
            </w:r>
          </w:p>
        </w:tc>
        <w:tc>
          <w:tcPr>
            <w:tcW w:w="1514" w:type="dxa"/>
            <w:noWrap w:val="0"/>
            <w:vAlign w:val="center"/>
          </w:tcPr>
          <w:p w14:paraId="37D38E04">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得分≥90</w:t>
            </w:r>
          </w:p>
        </w:tc>
        <w:tc>
          <w:tcPr>
            <w:tcW w:w="2020" w:type="dxa"/>
            <w:noWrap w:val="0"/>
            <w:vAlign w:val="center"/>
          </w:tcPr>
          <w:p w14:paraId="6F743059">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80≤得分＜90</w:t>
            </w:r>
          </w:p>
        </w:tc>
        <w:tc>
          <w:tcPr>
            <w:tcW w:w="2013" w:type="dxa"/>
            <w:noWrap w:val="0"/>
            <w:vAlign w:val="center"/>
          </w:tcPr>
          <w:p w14:paraId="5E8DF681">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60≤得分＜80</w:t>
            </w:r>
          </w:p>
        </w:tc>
        <w:tc>
          <w:tcPr>
            <w:tcW w:w="1737" w:type="dxa"/>
            <w:noWrap w:val="0"/>
            <w:vAlign w:val="center"/>
          </w:tcPr>
          <w:p w14:paraId="68960AFC">
            <w:pPr>
              <w:spacing w:line="579" w:lineRule="exact"/>
              <w:jc w:val="center"/>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得分＜60</w:t>
            </w:r>
          </w:p>
        </w:tc>
      </w:tr>
    </w:tbl>
    <w:p w14:paraId="46BA39E3">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lang w:eastAsia="zh-CN"/>
        </w:rPr>
        <w:t>（详见附件1：《第二次全国污染源普查工作经费项目中期绩效自评价绩效自评价指标体系》）</w:t>
      </w:r>
    </w:p>
    <w:p w14:paraId="611077A2">
      <w:pPr>
        <w:topLinePunct/>
        <w:ind w:firstLine="750" w:firstLineChars="250"/>
        <w:rPr>
          <w:rFonts w:hint="eastAsia" w:ascii="楷体" w:hAnsi="楷体" w:eastAsia="楷体"/>
          <w:sz w:val="30"/>
          <w:szCs w:val="30"/>
        </w:rPr>
      </w:pPr>
      <w:r>
        <w:rPr>
          <w:rFonts w:hint="eastAsia" w:ascii="楷体" w:hAnsi="楷体" w:eastAsia="楷体"/>
          <w:sz w:val="30"/>
          <w:szCs w:val="30"/>
        </w:rPr>
        <w:t>（三）绩效评价原则、评价方法</w:t>
      </w:r>
    </w:p>
    <w:p w14:paraId="109FAFD1">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1.绩效评价原则</w:t>
      </w:r>
    </w:p>
    <w:p w14:paraId="077FDD33">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本次绩效评价工作坚持科学规范、公开公正、绩效相关等原则。采用以定量评价为主、定性评价为辅、定量与定性相结合的方法进行评价。</w:t>
      </w:r>
    </w:p>
    <w:p w14:paraId="70D2D5F7">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2.绩效评价方法</w:t>
      </w:r>
    </w:p>
    <w:p w14:paraId="509E9D5F">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结合本次绩效重点评价项目的具体情况，为确保本次绩效重点评价工作的真实可靠，本次绩效重点评价主要通过审阅资料、现场调研、实地评价、专家会审等方法进行评价。</w:t>
      </w:r>
    </w:p>
    <w:p w14:paraId="54C19F1A">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①审阅资料</w:t>
      </w:r>
    </w:p>
    <w:p w14:paraId="3055D3E8">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从项目单位及项目实施处室收集与项目预算、管理、绩效相关的评价数据，形成绩效重点评价的基础资料，并对基础资料的真实性、可靠性进行审阅。具体为（1）收集绩效重点评价的基础数据。（2）对项目实施单位填报的项目完成情况表、资金使用情况表进行审阅，对异常的资金使用通过实地调查、原始凭证查阅等进行核实。（3）收集项目绩效的相关资料并结合问卷调查、座谈访谈结果对项目绩效进行客观评价。</w:t>
      </w:r>
    </w:p>
    <w:p w14:paraId="25250ECA">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②现场调研</w:t>
      </w:r>
    </w:p>
    <w:p w14:paraId="16B23386">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通过调研，进一步了解部门职能职责、履职情况、项目实施及绩效目标申报和实现情况，结合项目特点制定适用的评价指标体系。</w:t>
      </w:r>
    </w:p>
    <w:p w14:paraId="0E82559D">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③实地评价</w:t>
      </w:r>
    </w:p>
    <w:p w14:paraId="50F3E7D4">
      <w:pPr>
        <w:spacing w:line="579" w:lineRule="exact"/>
        <w:ind w:firstLine="584" w:firstLineChars="200"/>
        <w:rPr>
          <w:rFonts w:hint="eastAsia" w:ascii="仿宋_GB2312" w:hAnsi="楷体" w:eastAsia="仿宋_GB2312"/>
          <w:sz w:val="28"/>
          <w:szCs w:val="28"/>
          <w:lang w:eastAsia="zh-CN"/>
        </w:rPr>
      </w:pPr>
      <w:r>
        <w:rPr>
          <w:rFonts w:hint="eastAsia" w:ascii="仿宋_GB2312" w:hAnsi="仿宋" w:eastAsia="仿宋_GB2312"/>
          <w:spacing w:val="6"/>
          <w:kern w:val="0"/>
          <w:sz w:val="28"/>
          <w:szCs w:val="28"/>
          <w:highlight w:val="none"/>
          <w:lang w:val="en-US" w:eastAsia="zh-CN"/>
        </w:rPr>
        <w:t>绩效自评评价工作组根据分工，采用资料收集与数据填报、案卷研究、实地调研、座谈会、问卷调查等方式，组织开展实地再评价。在绩效重点评价实施过程中，根据评价对象的具体情况，设计数据收集表格收集评价数据、资料；同时发放调查问卷调查项目的公众满意度、管理人员意见以及评价相关的信息。</w:t>
      </w:r>
    </w:p>
    <w:p w14:paraId="3B75AA53">
      <w:pPr>
        <w:topLinePunct/>
        <w:ind w:firstLine="750" w:firstLineChars="250"/>
        <w:rPr>
          <w:rFonts w:hint="eastAsia" w:ascii="楷体" w:hAnsi="楷体" w:eastAsia="楷体"/>
          <w:sz w:val="30"/>
          <w:szCs w:val="30"/>
        </w:rPr>
      </w:pPr>
      <w:r>
        <w:rPr>
          <w:rFonts w:hint="eastAsia" w:ascii="楷体" w:hAnsi="楷体" w:eastAsia="楷体"/>
          <w:sz w:val="30"/>
          <w:szCs w:val="30"/>
        </w:rPr>
        <w:t>（四）绩效评价实施过程</w:t>
      </w:r>
    </w:p>
    <w:p w14:paraId="12700427">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1.数据填报和采集</w:t>
      </w:r>
    </w:p>
    <w:p w14:paraId="6F67E250">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向项目实施单位收集相关项目实施进度资料、项目实施情况、完成情况，结合项目涉及的</w:t>
      </w:r>
      <w:r>
        <w:rPr>
          <w:rFonts w:hint="eastAsia" w:ascii="仿宋_GB2312" w:hAnsi="楷体" w:eastAsia="仿宋_GB2312"/>
          <w:sz w:val="28"/>
          <w:szCs w:val="28"/>
          <w:lang w:eastAsia="zh-CN"/>
        </w:rPr>
        <w:t>相关绩效目标进行</w:t>
      </w:r>
      <w:r>
        <w:rPr>
          <w:rFonts w:hint="eastAsia" w:ascii="仿宋_GB2312" w:hAnsi="楷体" w:eastAsia="仿宋_GB2312"/>
          <w:sz w:val="28"/>
          <w:szCs w:val="28"/>
        </w:rPr>
        <w:t>核实和查阅台账等结果资料进行分析整理。</w:t>
      </w:r>
    </w:p>
    <w:p w14:paraId="41B88D64">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2.社会调查</w:t>
      </w:r>
    </w:p>
    <w:p w14:paraId="015B3D56">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本次问卷发放的对象分为昆明市盘龙区所涉及的企业</w:t>
      </w:r>
      <w:r>
        <w:rPr>
          <w:rFonts w:hint="eastAsia" w:ascii="仿宋_GB2312" w:hAnsi="仿宋" w:eastAsia="仿宋_GB2312"/>
          <w:spacing w:val="6"/>
          <w:kern w:val="0"/>
          <w:sz w:val="28"/>
          <w:szCs w:val="28"/>
          <w:highlight w:val="none"/>
          <w:lang w:val="en-US" w:eastAsia="zh-CN"/>
        </w:rPr>
        <w:t>及其周边居民</w:t>
      </w:r>
      <w:r>
        <w:rPr>
          <w:rFonts w:hint="eastAsia" w:ascii="仿宋_GB2312" w:hAnsi="楷体" w:eastAsia="仿宋_GB2312"/>
          <w:sz w:val="28"/>
          <w:szCs w:val="28"/>
          <w:lang w:eastAsia="zh-CN"/>
        </w:rPr>
        <w:t>，并以满意度调查结果加权得分作为衡量公众满意度的标准。</w:t>
      </w:r>
      <w:r>
        <w:rPr>
          <w:rFonts w:hint="eastAsia" w:ascii="仿宋_GB2312" w:hAnsi="楷体" w:eastAsia="仿宋_GB2312"/>
          <w:sz w:val="28"/>
          <w:szCs w:val="28"/>
          <w:lang w:eastAsia="zh-CN"/>
        </w:rPr>
        <w:br w:type="textWrapping"/>
      </w:r>
      <w:r>
        <w:rPr>
          <w:rFonts w:hint="eastAsia" w:ascii="仿宋_GB2312" w:hAnsi="楷体" w:eastAsia="仿宋_GB2312"/>
          <w:sz w:val="28"/>
          <w:szCs w:val="28"/>
          <w:lang w:eastAsia="zh-CN"/>
        </w:rPr>
        <w:t xml:space="preserve">    调查问卷共计发放130份，实际回收有效问卷100份，有效回收率为76.92%。</w:t>
      </w:r>
      <w:r>
        <w:rPr>
          <w:rFonts w:hint="eastAsia" w:ascii="仿宋_GB2312" w:hAnsi="楷体" w:eastAsia="仿宋_GB2312"/>
          <w:sz w:val="28"/>
          <w:szCs w:val="28"/>
          <w:lang w:eastAsia="zh-CN"/>
        </w:rPr>
        <w:br w:type="textWrapping"/>
      </w:r>
      <w:r>
        <w:rPr>
          <w:rFonts w:hint="eastAsia" w:ascii="仿宋_GB2312" w:hAnsi="楷体" w:eastAsia="仿宋_GB2312"/>
          <w:sz w:val="28"/>
          <w:szCs w:val="28"/>
          <w:lang w:eastAsia="zh-CN"/>
        </w:rPr>
        <w:t xml:space="preserve">  根据调查结果，评价小组撰写了工作人员调查问卷汇总分析报告，详见附件4。</w:t>
      </w:r>
    </w:p>
    <w:p w14:paraId="73E4A41D">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20</w:t>
      </w:r>
      <w:r>
        <w:rPr>
          <w:rFonts w:hint="eastAsia" w:ascii="仿宋_GB2312" w:hAnsi="楷体" w:eastAsia="仿宋_GB2312"/>
          <w:sz w:val="28"/>
          <w:szCs w:val="28"/>
          <w:lang w:val="en-US" w:eastAsia="zh-CN"/>
        </w:rPr>
        <w:t>20</w:t>
      </w:r>
      <w:r>
        <w:rPr>
          <w:rFonts w:hint="eastAsia" w:ascii="仿宋_GB2312" w:hAnsi="楷体" w:eastAsia="仿宋_GB2312"/>
          <w:sz w:val="28"/>
          <w:szCs w:val="28"/>
          <w:lang w:eastAsia="zh-CN"/>
        </w:rPr>
        <w:t>年</w:t>
      </w:r>
      <w:r>
        <w:rPr>
          <w:rFonts w:hint="eastAsia" w:ascii="仿宋_GB2312" w:hAnsi="楷体" w:eastAsia="仿宋_GB2312"/>
          <w:sz w:val="28"/>
          <w:szCs w:val="28"/>
          <w:lang w:val="en-US" w:eastAsia="zh-CN"/>
        </w:rPr>
        <w:t>4</w:t>
      </w:r>
      <w:r>
        <w:rPr>
          <w:rFonts w:hint="eastAsia" w:ascii="仿宋_GB2312" w:hAnsi="楷体" w:eastAsia="仿宋_GB2312"/>
          <w:sz w:val="28"/>
          <w:szCs w:val="28"/>
          <w:lang w:eastAsia="zh-CN"/>
        </w:rPr>
        <w:t>月-</w:t>
      </w:r>
      <w:r>
        <w:rPr>
          <w:rFonts w:hint="eastAsia" w:ascii="仿宋_GB2312" w:hAnsi="楷体" w:eastAsia="仿宋_GB2312"/>
          <w:sz w:val="28"/>
          <w:szCs w:val="28"/>
          <w:lang w:val="en-US" w:eastAsia="zh-CN"/>
        </w:rPr>
        <w:t>5</w:t>
      </w:r>
      <w:r>
        <w:rPr>
          <w:rFonts w:hint="eastAsia" w:ascii="仿宋_GB2312" w:hAnsi="楷体" w:eastAsia="仿宋_GB2312"/>
          <w:sz w:val="28"/>
          <w:szCs w:val="28"/>
          <w:lang w:eastAsia="zh-CN"/>
        </w:rPr>
        <w:t>月，评价小组采取现场访谈的形式，对昆明市生态环境局盘龙分局相关业务处室以及第二次全国污染源普查工作经费工作项目负责人等进行了访谈，了解项目组织、实施和管理的具体情况，并根据访谈情况撰写了访谈汇总分析报告，详见附件3。</w:t>
      </w:r>
    </w:p>
    <w:p w14:paraId="44D0440A">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rPr>
        <w:t>3.数据分析和撰写报告</w:t>
      </w:r>
    </w:p>
    <w:p w14:paraId="4C845AF9">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将各级相关部分填报的数据和通过现场勘查采集到的基础数据，通过分析整理对应考核指标从项目立项、绩效目标、投入管理、财务管理、项目实施、项目产出、项目效益等方面逐项考核，并梳理总结相关项目单位的主要经验及做法及存在问题，对应问题给予建议和改进措施，形成最终报告。</w:t>
      </w:r>
    </w:p>
    <w:p w14:paraId="141CFE68">
      <w:pPr>
        <w:topLinePunct/>
        <w:spacing w:line="440" w:lineRule="exact"/>
        <w:ind w:firstLine="750" w:firstLineChars="250"/>
        <w:rPr>
          <w:rFonts w:hint="eastAsia" w:ascii="楷体" w:hAnsi="楷体" w:eastAsia="楷体"/>
          <w:sz w:val="30"/>
          <w:szCs w:val="30"/>
        </w:rPr>
      </w:pPr>
      <w:r>
        <w:rPr>
          <w:rFonts w:hint="eastAsia" w:ascii="黑体" w:hAnsi="黑体" w:eastAsia="黑体"/>
          <w:sz w:val="30"/>
          <w:szCs w:val="30"/>
        </w:rPr>
        <w:t>三、评价结论和绩效分析</w:t>
      </w:r>
    </w:p>
    <w:p w14:paraId="7B75B5ED">
      <w:pPr>
        <w:topLinePunct/>
        <w:ind w:firstLine="750" w:firstLineChars="250"/>
        <w:rPr>
          <w:rFonts w:hint="eastAsia" w:ascii="楷体" w:hAnsi="楷体" w:eastAsia="楷体"/>
          <w:sz w:val="30"/>
          <w:szCs w:val="30"/>
        </w:rPr>
      </w:pPr>
      <w:r>
        <w:rPr>
          <w:rFonts w:hint="eastAsia" w:ascii="楷体" w:hAnsi="楷体" w:eastAsia="楷体"/>
          <w:sz w:val="30"/>
          <w:szCs w:val="30"/>
        </w:rPr>
        <w:t>（一）评价结论</w:t>
      </w:r>
    </w:p>
    <w:p w14:paraId="0B92801E">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1.评价结果</w:t>
      </w:r>
    </w:p>
    <w:p w14:paraId="57E738E7">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本次昆明市生态环境局盘龙分局第二次全国污染源调查工作经费项目支出绩效中期自评价最终得分</w:t>
      </w:r>
      <w:r>
        <w:rPr>
          <w:rFonts w:hint="eastAsia" w:ascii="仿宋_GB2312" w:hAnsi="楷体" w:eastAsia="仿宋_GB2312"/>
          <w:sz w:val="28"/>
          <w:szCs w:val="28"/>
          <w:lang w:val="en-US" w:eastAsia="zh-CN"/>
        </w:rPr>
        <w:t>96.94</w:t>
      </w:r>
      <w:r>
        <w:rPr>
          <w:rFonts w:hint="eastAsia" w:ascii="仿宋_GB2312" w:hAnsi="楷体" w:eastAsia="仿宋_GB2312"/>
          <w:sz w:val="28"/>
          <w:szCs w:val="28"/>
          <w:lang w:eastAsia="zh-CN"/>
        </w:rPr>
        <w:t>分，评价结果为“优”。具体得分情况如下表：</w:t>
      </w:r>
    </w:p>
    <w:p w14:paraId="5AC3E86B">
      <w:pPr>
        <w:widowControl/>
        <w:jc w:val="center"/>
        <w:rPr>
          <w:rFonts w:hint="eastAsia" w:ascii="仿宋_GB2312" w:hAnsi="楷体" w:eastAsia="仿宋_GB2312"/>
          <w:b/>
          <w:bCs/>
          <w:sz w:val="24"/>
          <w:szCs w:val="24"/>
        </w:rPr>
      </w:pPr>
      <w:r>
        <w:rPr>
          <w:rFonts w:hint="eastAsia" w:ascii="黑体" w:hAnsi="黑体" w:eastAsia="黑体" w:cs="黑体"/>
          <w:b w:val="0"/>
          <w:bCs w:val="0"/>
          <w:sz w:val="24"/>
          <w:szCs w:val="24"/>
        </w:rPr>
        <w:t>表</w:t>
      </w:r>
      <w:r>
        <w:rPr>
          <w:rFonts w:hint="eastAsia" w:ascii="黑体" w:hAnsi="黑体" w:eastAsia="黑体" w:cs="黑体"/>
          <w:b w:val="0"/>
          <w:bCs w:val="0"/>
          <w:sz w:val="24"/>
          <w:szCs w:val="24"/>
          <w:lang w:val="en-US" w:eastAsia="zh-CN"/>
        </w:rPr>
        <w:t>3</w:t>
      </w:r>
      <w:r>
        <w:rPr>
          <w:rFonts w:hint="eastAsia" w:ascii="黑体" w:hAnsi="黑体" w:eastAsia="黑体" w:cs="黑体"/>
          <w:b w:val="0"/>
          <w:bCs w:val="0"/>
          <w:sz w:val="24"/>
          <w:szCs w:val="24"/>
        </w:rPr>
        <w:t xml:space="preserve"> 项目支出绩效</w:t>
      </w:r>
      <w:r>
        <w:rPr>
          <w:rFonts w:hint="eastAsia" w:ascii="黑体" w:hAnsi="黑体" w:eastAsia="黑体" w:cs="黑体"/>
          <w:b w:val="0"/>
          <w:bCs w:val="0"/>
          <w:sz w:val="24"/>
          <w:szCs w:val="24"/>
          <w:lang w:eastAsia="zh-CN"/>
        </w:rPr>
        <w:t>自评价</w:t>
      </w:r>
      <w:r>
        <w:rPr>
          <w:rFonts w:hint="eastAsia" w:ascii="黑体" w:hAnsi="黑体" w:eastAsia="黑体" w:cs="黑体"/>
          <w:b w:val="0"/>
          <w:bCs w:val="0"/>
          <w:sz w:val="24"/>
          <w:szCs w:val="24"/>
        </w:rPr>
        <w:t>得分情况表</w:t>
      </w:r>
    </w:p>
    <w:tbl>
      <w:tblPr>
        <w:tblStyle w:val="8"/>
        <w:tblW w:w="8359" w:type="dxa"/>
        <w:jc w:val="center"/>
        <w:tblLayout w:type="fixed"/>
        <w:tblCellMar>
          <w:top w:w="57" w:type="dxa"/>
          <w:left w:w="57" w:type="dxa"/>
          <w:bottom w:w="57" w:type="dxa"/>
          <w:right w:w="57" w:type="dxa"/>
        </w:tblCellMar>
      </w:tblPr>
      <w:tblGrid>
        <w:gridCol w:w="1894"/>
        <w:gridCol w:w="2211"/>
        <w:gridCol w:w="2211"/>
        <w:gridCol w:w="2043"/>
      </w:tblGrid>
      <w:tr w14:paraId="7EA651AD">
        <w:tblPrEx>
          <w:tblCellMar>
            <w:top w:w="57" w:type="dxa"/>
            <w:left w:w="57" w:type="dxa"/>
            <w:bottom w:w="57" w:type="dxa"/>
            <w:right w:w="57" w:type="dxa"/>
          </w:tblCellMar>
        </w:tblPrEx>
        <w:trPr>
          <w:trHeight w:val="454" w:hRule="atLeast"/>
          <w:tblHeader/>
          <w:jc w:val="center"/>
        </w:trPr>
        <w:tc>
          <w:tcPr>
            <w:tcW w:w="1894" w:type="dxa"/>
            <w:tcBorders>
              <w:top w:val="single" w:color="auto" w:sz="4" w:space="0"/>
              <w:left w:val="single" w:color="auto" w:sz="4" w:space="0"/>
              <w:bottom w:val="single" w:color="auto" w:sz="4" w:space="0"/>
              <w:right w:val="single" w:color="auto" w:sz="4" w:space="0"/>
            </w:tcBorders>
            <w:noWrap w:val="0"/>
            <w:vAlign w:val="center"/>
          </w:tcPr>
          <w:p w14:paraId="395306AC">
            <w:pPr>
              <w:widowControl/>
              <w:jc w:val="center"/>
              <w:rPr>
                <w:rFonts w:hint="eastAsia" w:ascii="宋体" w:hAnsi="宋体" w:eastAsia="宋体" w:cs="宋体"/>
                <w:b/>
                <w:bCs/>
                <w:sz w:val="21"/>
                <w:szCs w:val="21"/>
              </w:rPr>
            </w:pPr>
            <w:r>
              <w:rPr>
                <w:rFonts w:hint="eastAsia" w:ascii="宋体" w:hAnsi="宋体" w:eastAsia="宋体" w:cs="宋体"/>
                <w:b/>
                <w:bCs/>
                <w:sz w:val="21"/>
                <w:szCs w:val="21"/>
              </w:rPr>
              <w:t>一级指标</w:t>
            </w:r>
          </w:p>
        </w:tc>
        <w:tc>
          <w:tcPr>
            <w:tcW w:w="2211" w:type="dxa"/>
            <w:tcBorders>
              <w:top w:val="single" w:color="auto" w:sz="4" w:space="0"/>
              <w:left w:val="nil"/>
              <w:bottom w:val="single" w:color="auto" w:sz="4" w:space="0"/>
              <w:right w:val="single" w:color="auto" w:sz="4" w:space="0"/>
            </w:tcBorders>
            <w:noWrap w:val="0"/>
            <w:vAlign w:val="center"/>
          </w:tcPr>
          <w:p w14:paraId="2533B14B">
            <w:pPr>
              <w:widowControl/>
              <w:jc w:val="center"/>
              <w:rPr>
                <w:rFonts w:hint="eastAsia" w:ascii="宋体" w:hAnsi="宋体" w:eastAsia="宋体" w:cs="宋体"/>
                <w:b/>
                <w:bCs/>
                <w:sz w:val="21"/>
                <w:szCs w:val="21"/>
              </w:rPr>
            </w:pPr>
            <w:r>
              <w:rPr>
                <w:rFonts w:hint="eastAsia" w:ascii="宋体" w:hAnsi="宋体" w:eastAsia="宋体" w:cs="宋体"/>
                <w:b/>
                <w:bCs/>
                <w:sz w:val="21"/>
                <w:szCs w:val="21"/>
              </w:rPr>
              <w:t>指标分值</w:t>
            </w:r>
          </w:p>
        </w:tc>
        <w:tc>
          <w:tcPr>
            <w:tcW w:w="2211" w:type="dxa"/>
            <w:tcBorders>
              <w:top w:val="single" w:color="auto" w:sz="4" w:space="0"/>
              <w:left w:val="nil"/>
              <w:bottom w:val="single" w:color="auto" w:sz="4" w:space="0"/>
              <w:right w:val="single" w:color="auto" w:sz="4" w:space="0"/>
            </w:tcBorders>
            <w:noWrap w:val="0"/>
            <w:vAlign w:val="center"/>
          </w:tcPr>
          <w:p w14:paraId="78CEF1C4">
            <w:pPr>
              <w:widowControl/>
              <w:jc w:val="center"/>
              <w:rPr>
                <w:rFonts w:hint="eastAsia" w:ascii="宋体" w:hAnsi="宋体" w:eastAsia="宋体" w:cs="宋体"/>
                <w:b/>
                <w:bCs/>
                <w:sz w:val="21"/>
                <w:szCs w:val="21"/>
              </w:rPr>
            </w:pPr>
            <w:r>
              <w:rPr>
                <w:rFonts w:hint="eastAsia" w:ascii="宋体" w:hAnsi="宋体" w:eastAsia="宋体" w:cs="宋体"/>
                <w:b/>
                <w:bCs/>
                <w:sz w:val="21"/>
                <w:szCs w:val="21"/>
              </w:rPr>
              <w:t>评价得分</w:t>
            </w:r>
          </w:p>
        </w:tc>
        <w:tc>
          <w:tcPr>
            <w:tcW w:w="2043" w:type="dxa"/>
            <w:tcBorders>
              <w:top w:val="single" w:color="auto" w:sz="4" w:space="0"/>
              <w:left w:val="nil"/>
              <w:bottom w:val="single" w:color="auto" w:sz="4" w:space="0"/>
              <w:right w:val="single" w:color="auto" w:sz="4" w:space="0"/>
            </w:tcBorders>
            <w:noWrap w:val="0"/>
            <w:vAlign w:val="center"/>
          </w:tcPr>
          <w:p w14:paraId="286AB67F">
            <w:pPr>
              <w:widowControl/>
              <w:jc w:val="center"/>
              <w:rPr>
                <w:rFonts w:hint="eastAsia" w:ascii="宋体" w:hAnsi="宋体" w:eastAsia="宋体" w:cs="宋体"/>
                <w:b/>
                <w:bCs/>
                <w:sz w:val="21"/>
                <w:szCs w:val="21"/>
              </w:rPr>
            </w:pPr>
            <w:r>
              <w:rPr>
                <w:rFonts w:hint="eastAsia" w:ascii="宋体" w:hAnsi="宋体" w:eastAsia="宋体" w:cs="宋体"/>
                <w:b/>
                <w:bCs/>
                <w:sz w:val="21"/>
                <w:szCs w:val="21"/>
              </w:rPr>
              <w:t>得分率</w:t>
            </w:r>
          </w:p>
        </w:tc>
      </w:tr>
      <w:tr w14:paraId="0E4B00FD">
        <w:tblPrEx>
          <w:tblCellMar>
            <w:top w:w="57" w:type="dxa"/>
            <w:left w:w="57" w:type="dxa"/>
            <w:bottom w:w="57" w:type="dxa"/>
            <w:right w:w="57" w:type="dxa"/>
          </w:tblCellMar>
        </w:tblPrEx>
        <w:trPr>
          <w:trHeight w:val="454" w:hRule="atLeast"/>
          <w:jc w:val="center"/>
        </w:trPr>
        <w:tc>
          <w:tcPr>
            <w:tcW w:w="1894" w:type="dxa"/>
            <w:tcBorders>
              <w:top w:val="nil"/>
              <w:left w:val="single" w:color="auto" w:sz="4" w:space="0"/>
              <w:bottom w:val="single" w:color="auto" w:sz="4" w:space="0"/>
              <w:right w:val="single" w:color="auto" w:sz="4" w:space="0"/>
            </w:tcBorders>
            <w:noWrap w:val="0"/>
            <w:vAlign w:val="center"/>
          </w:tcPr>
          <w:p w14:paraId="6E8990AE">
            <w:pPr>
              <w:widowControl/>
              <w:spacing w:line="300" w:lineRule="exact"/>
              <w:jc w:val="center"/>
              <w:rPr>
                <w:rFonts w:hint="eastAsia" w:ascii="宋体" w:hAnsi="宋体" w:eastAsia="宋体" w:cs="宋体"/>
                <w:color w:val="000000"/>
                <w:sz w:val="21"/>
                <w:szCs w:val="21"/>
              </w:rPr>
            </w:pPr>
            <w:r>
              <w:rPr>
                <w:rFonts w:hint="eastAsia" w:ascii="宋体" w:hAnsi="宋体" w:eastAsia="宋体" w:cs="宋体"/>
                <w:sz w:val="21"/>
                <w:szCs w:val="21"/>
              </w:rPr>
              <w:t>项目决策</w:t>
            </w:r>
          </w:p>
        </w:tc>
        <w:tc>
          <w:tcPr>
            <w:tcW w:w="2211" w:type="dxa"/>
            <w:tcBorders>
              <w:top w:val="nil"/>
              <w:left w:val="nil"/>
              <w:bottom w:val="single" w:color="auto" w:sz="4" w:space="0"/>
              <w:right w:val="single" w:color="auto" w:sz="4" w:space="0"/>
            </w:tcBorders>
            <w:noWrap w:val="0"/>
            <w:vAlign w:val="center"/>
          </w:tcPr>
          <w:p w14:paraId="4DFAB4A3">
            <w:pPr>
              <w:widowControl/>
              <w:spacing w:line="300" w:lineRule="exact"/>
              <w:jc w:val="center"/>
              <w:rPr>
                <w:rFonts w:hint="eastAsia" w:ascii="宋体" w:hAnsi="宋体" w:eastAsia="宋体" w:cs="宋体"/>
                <w:sz w:val="21"/>
                <w:szCs w:val="21"/>
              </w:rPr>
            </w:pPr>
            <w:r>
              <w:rPr>
                <w:rFonts w:hint="eastAsia" w:ascii="宋体" w:hAnsi="宋体" w:eastAsia="宋体" w:cs="宋体"/>
                <w:sz w:val="21"/>
                <w:szCs w:val="21"/>
              </w:rPr>
              <w:t>20</w:t>
            </w:r>
          </w:p>
        </w:tc>
        <w:tc>
          <w:tcPr>
            <w:tcW w:w="2211" w:type="dxa"/>
            <w:tcBorders>
              <w:top w:val="nil"/>
              <w:left w:val="nil"/>
              <w:bottom w:val="single" w:color="auto" w:sz="4" w:space="0"/>
              <w:right w:val="single" w:color="auto" w:sz="4" w:space="0"/>
            </w:tcBorders>
            <w:noWrap w:val="0"/>
            <w:vAlign w:val="center"/>
          </w:tcPr>
          <w:p w14:paraId="5B93072A">
            <w:pPr>
              <w:widowControl/>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2043" w:type="dxa"/>
            <w:tcBorders>
              <w:top w:val="nil"/>
              <w:left w:val="nil"/>
              <w:bottom w:val="single" w:color="auto" w:sz="4" w:space="0"/>
              <w:right w:val="single" w:color="auto" w:sz="4" w:space="0"/>
            </w:tcBorders>
            <w:noWrap w:val="0"/>
            <w:vAlign w:val="center"/>
          </w:tcPr>
          <w:p w14:paraId="19B74926">
            <w:pPr>
              <w:widowControl/>
              <w:spacing w:line="300" w:lineRule="exact"/>
              <w:jc w:val="center"/>
              <w:rPr>
                <w:rFonts w:hint="eastAsia" w:ascii="宋体" w:hAnsi="宋体" w:eastAsia="宋体" w:cs="宋体"/>
                <w:sz w:val="21"/>
                <w:szCs w:val="21"/>
              </w:rPr>
            </w:pPr>
            <w:r>
              <w:rPr>
                <w:rFonts w:hint="eastAsia" w:ascii="宋体" w:hAnsi="宋体" w:eastAsia="宋体" w:cs="宋体"/>
                <w:sz w:val="21"/>
                <w:szCs w:val="21"/>
                <w:lang w:val="en-US" w:eastAsia="zh-CN"/>
              </w:rPr>
              <w:t>100</w:t>
            </w:r>
            <w:r>
              <w:rPr>
                <w:rFonts w:hint="eastAsia" w:ascii="宋体" w:hAnsi="宋体" w:eastAsia="宋体" w:cs="宋体"/>
                <w:sz w:val="21"/>
                <w:szCs w:val="21"/>
              </w:rPr>
              <w:t>.00%</w:t>
            </w:r>
          </w:p>
        </w:tc>
      </w:tr>
      <w:tr w14:paraId="0CA407E0">
        <w:tblPrEx>
          <w:tblCellMar>
            <w:top w:w="57" w:type="dxa"/>
            <w:left w:w="57" w:type="dxa"/>
            <w:bottom w:w="57" w:type="dxa"/>
            <w:right w:w="57" w:type="dxa"/>
          </w:tblCellMar>
        </w:tblPrEx>
        <w:trPr>
          <w:trHeight w:val="454" w:hRule="atLeast"/>
          <w:jc w:val="center"/>
        </w:trPr>
        <w:tc>
          <w:tcPr>
            <w:tcW w:w="1894" w:type="dxa"/>
            <w:tcBorders>
              <w:top w:val="nil"/>
              <w:left w:val="single" w:color="auto" w:sz="4" w:space="0"/>
              <w:bottom w:val="single" w:color="auto" w:sz="4" w:space="0"/>
              <w:right w:val="single" w:color="auto" w:sz="4" w:space="0"/>
            </w:tcBorders>
            <w:noWrap w:val="0"/>
            <w:vAlign w:val="center"/>
          </w:tcPr>
          <w:p w14:paraId="5CB7C71D">
            <w:pPr>
              <w:widowControl/>
              <w:spacing w:line="300" w:lineRule="exact"/>
              <w:jc w:val="center"/>
              <w:rPr>
                <w:rFonts w:hint="eastAsia" w:ascii="宋体" w:hAnsi="宋体" w:eastAsia="宋体" w:cs="宋体"/>
                <w:color w:val="000000"/>
                <w:sz w:val="21"/>
                <w:szCs w:val="21"/>
              </w:rPr>
            </w:pPr>
            <w:r>
              <w:rPr>
                <w:rFonts w:hint="eastAsia" w:ascii="宋体" w:hAnsi="宋体" w:eastAsia="宋体" w:cs="宋体"/>
                <w:sz w:val="21"/>
                <w:szCs w:val="21"/>
              </w:rPr>
              <w:t>项目管理</w:t>
            </w:r>
          </w:p>
        </w:tc>
        <w:tc>
          <w:tcPr>
            <w:tcW w:w="2211" w:type="dxa"/>
            <w:tcBorders>
              <w:top w:val="nil"/>
              <w:left w:val="nil"/>
              <w:bottom w:val="single" w:color="auto" w:sz="4" w:space="0"/>
              <w:right w:val="single" w:color="auto" w:sz="4" w:space="0"/>
            </w:tcBorders>
            <w:noWrap w:val="0"/>
            <w:vAlign w:val="center"/>
          </w:tcPr>
          <w:p w14:paraId="60D7023B">
            <w:pPr>
              <w:widowControl/>
              <w:spacing w:line="300" w:lineRule="exact"/>
              <w:jc w:val="center"/>
              <w:rPr>
                <w:rFonts w:hint="eastAsia" w:ascii="宋体" w:hAnsi="宋体" w:eastAsia="宋体" w:cs="宋体"/>
                <w:sz w:val="21"/>
                <w:szCs w:val="21"/>
              </w:rPr>
            </w:pPr>
            <w:r>
              <w:rPr>
                <w:rFonts w:hint="eastAsia" w:ascii="宋体" w:hAnsi="宋体" w:eastAsia="宋体" w:cs="宋体"/>
                <w:sz w:val="21"/>
                <w:szCs w:val="21"/>
              </w:rPr>
              <w:t>20</w:t>
            </w:r>
          </w:p>
        </w:tc>
        <w:tc>
          <w:tcPr>
            <w:tcW w:w="2211" w:type="dxa"/>
            <w:tcBorders>
              <w:top w:val="nil"/>
              <w:left w:val="nil"/>
              <w:bottom w:val="single" w:color="auto" w:sz="4" w:space="0"/>
              <w:right w:val="single" w:color="auto" w:sz="4" w:space="0"/>
            </w:tcBorders>
            <w:noWrap w:val="0"/>
            <w:vAlign w:val="center"/>
          </w:tcPr>
          <w:p w14:paraId="717DFAAB">
            <w:pPr>
              <w:widowControl/>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19.94</w:t>
            </w:r>
          </w:p>
        </w:tc>
        <w:tc>
          <w:tcPr>
            <w:tcW w:w="2043" w:type="dxa"/>
            <w:tcBorders>
              <w:top w:val="nil"/>
              <w:left w:val="nil"/>
              <w:bottom w:val="single" w:color="auto" w:sz="4" w:space="0"/>
              <w:right w:val="single" w:color="auto" w:sz="4" w:space="0"/>
            </w:tcBorders>
            <w:noWrap w:val="0"/>
            <w:vAlign w:val="center"/>
          </w:tcPr>
          <w:p w14:paraId="7A67A48D">
            <w:pPr>
              <w:widowControl/>
              <w:spacing w:line="300" w:lineRule="exact"/>
              <w:jc w:val="center"/>
              <w:rPr>
                <w:rFonts w:hint="eastAsia" w:ascii="宋体" w:hAnsi="宋体" w:eastAsia="宋体" w:cs="宋体"/>
                <w:sz w:val="21"/>
                <w:szCs w:val="21"/>
              </w:rPr>
            </w:pPr>
            <w:r>
              <w:rPr>
                <w:rFonts w:hint="eastAsia" w:ascii="宋体" w:hAnsi="宋体" w:eastAsia="宋体" w:cs="宋体"/>
                <w:sz w:val="21"/>
                <w:szCs w:val="21"/>
                <w:lang w:val="en-US" w:eastAsia="zh-CN"/>
              </w:rPr>
              <w:t>99</w:t>
            </w:r>
            <w:r>
              <w:rPr>
                <w:rFonts w:hint="eastAsia" w:ascii="宋体" w:hAnsi="宋体" w:eastAsia="宋体" w:cs="宋体"/>
                <w:sz w:val="21"/>
                <w:szCs w:val="21"/>
              </w:rPr>
              <w:t>.</w:t>
            </w:r>
            <w:r>
              <w:rPr>
                <w:rFonts w:hint="eastAsia" w:ascii="宋体" w:hAnsi="宋体" w:eastAsia="宋体" w:cs="宋体"/>
                <w:sz w:val="21"/>
                <w:szCs w:val="21"/>
                <w:lang w:val="en-US" w:eastAsia="zh-CN"/>
              </w:rPr>
              <w:t>7</w:t>
            </w:r>
            <w:r>
              <w:rPr>
                <w:rFonts w:hint="eastAsia" w:ascii="宋体" w:hAnsi="宋体" w:eastAsia="宋体" w:cs="宋体"/>
                <w:sz w:val="21"/>
                <w:szCs w:val="21"/>
              </w:rPr>
              <w:t>0%</w:t>
            </w:r>
          </w:p>
        </w:tc>
      </w:tr>
      <w:tr w14:paraId="68D34DED">
        <w:tblPrEx>
          <w:tblCellMar>
            <w:top w:w="57" w:type="dxa"/>
            <w:left w:w="57" w:type="dxa"/>
            <w:bottom w:w="57" w:type="dxa"/>
            <w:right w:w="57" w:type="dxa"/>
          </w:tblCellMar>
        </w:tblPrEx>
        <w:trPr>
          <w:trHeight w:val="454" w:hRule="atLeast"/>
          <w:jc w:val="center"/>
        </w:trPr>
        <w:tc>
          <w:tcPr>
            <w:tcW w:w="1894" w:type="dxa"/>
            <w:tcBorders>
              <w:top w:val="single" w:color="auto" w:sz="4" w:space="0"/>
              <w:left w:val="single" w:color="auto" w:sz="4" w:space="0"/>
              <w:bottom w:val="single" w:color="auto" w:sz="4" w:space="0"/>
              <w:right w:val="single" w:color="auto" w:sz="4" w:space="0"/>
            </w:tcBorders>
            <w:noWrap w:val="0"/>
            <w:vAlign w:val="center"/>
          </w:tcPr>
          <w:p w14:paraId="05A8BF7E">
            <w:pPr>
              <w:widowControl/>
              <w:spacing w:line="300" w:lineRule="exact"/>
              <w:jc w:val="center"/>
              <w:rPr>
                <w:rFonts w:hint="eastAsia" w:ascii="宋体" w:hAnsi="宋体" w:eastAsia="宋体" w:cs="宋体"/>
                <w:color w:val="000000"/>
                <w:sz w:val="21"/>
                <w:szCs w:val="21"/>
              </w:rPr>
            </w:pPr>
            <w:r>
              <w:rPr>
                <w:rFonts w:hint="eastAsia" w:ascii="宋体" w:hAnsi="宋体" w:eastAsia="宋体" w:cs="宋体"/>
                <w:sz w:val="21"/>
                <w:szCs w:val="21"/>
              </w:rPr>
              <w:t>项目绩效</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69E06B8">
            <w:pPr>
              <w:widowControl/>
              <w:spacing w:line="300" w:lineRule="exact"/>
              <w:jc w:val="center"/>
              <w:rPr>
                <w:rFonts w:hint="eastAsia" w:ascii="宋体" w:hAnsi="宋体" w:eastAsia="宋体" w:cs="宋体"/>
                <w:sz w:val="21"/>
                <w:szCs w:val="21"/>
              </w:rPr>
            </w:pPr>
            <w:r>
              <w:rPr>
                <w:rFonts w:hint="eastAsia" w:ascii="宋体" w:hAnsi="宋体" w:eastAsia="宋体" w:cs="宋体"/>
                <w:sz w:val="21"/>
                <w:szCs w:val="21"/>
              </w:rPr>
              <w:t>60</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82FE98D">
            <w:pPr>
              <w:widowControl/>
              <w:spacing w:line="300" w:lineRule="exact"/>
              <w:jc w:val="center"/>
              <w:rPr>
                <w:rFonts w:hint="eastAsia" w:ascii="宋体" w:hAnsi="宋体" w:eastAsia="宋体" w:cs="宋体"/>
                <w:sz w:val="21"/>
                <w:szCs w:val="21"/>
                <w:lang w:eastAsia="zh-CN"/>
              </w:rPr>
            </w:pPr>
            <w:r>
              <w:rPr>
                <w:rFonts w:hint="eastAsia" w:ascii="宋体" w:hAnsi="宋体" w:eastAsia="宋体" w:cs="宋体"/>
                <w:sz w:val="21"/>
                <w:szCs w:val="21"/>
              </w:rPr>
              <w:t>5</w:t>
            </w:r>
            <w:r>
              <w:rPr>
                <w:rFonts w:hint="eastAsia" w:ascii="宋体" w:hAnsi="宋体" w:eastAsia="宋体" w:cs="宋体"/>
                <w:sz w:val="21"/>
                <w:szCs w:val="21"/>
                <w:lang w:val="en-US" w:eastAsia="zh-CN"/>
              </w:rPr>
              <w:t>7</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6714CCE1">
            <w:pPr>
              <w:widowControl/>
              <w:spacing w:line="300" w:lineRule="exact"/>
              <w:jc w:val="center"/>
              <w:rPr>
                <w:rFonts w:hint="eastAsia" w:ascii="宋体" w:hAnsi="宋体" w:eastAsia="宋体" w:cs="宋体"/>
                <w:sz w:val="21"/>
                <w:szCs w:val="21"/>
              </w:rPr>
            </w:pPr>
            <w:r>
              <w:rPr>
                <w:rFonts w:hint="eastAsia" w:ascii="宋体" w:hAnsi="宋体" w:eastAsia="宋体" w:cs="宋体"/>
                <w:sz w:val="21"/>
                <w:szCs w:val="21"/>
                <w:lang w:val="en-US" w:eastAsia="zh-CN"/>
              </w:rPr>
              <w:t>95</w:t>
            </w:r>
            <w:r>
              <w:rPr>
                <w:rFonts w:hint="eastAsia" w:ascii="宋体" w:hAnsi="宋体" w:eastAsia="宋体" w:cs="宋体"/>
                <w:sz w:val="21"/>
                <w:szCs w:val="21"/>
              </w:rPr>
              <w:t>.</w:t>
            </w:r>
            <w:r>
              <w:rPr>
                <w:rFonts w:hint="eastAsia" w:ascii="宋体" w:hAnsi="宋体" w:eastAsia="宋体" w:cs="宋体"/>
                <w:sz w:val="21"/>
                <w:szCs w:val="21"/>
                <w:lang w:val="en-US" w:eastAsia="zh-CN"/>
              </w:rPr>
              <w:t>00</w:t>
            </w:r>
            <w:r>
              <w:rPr>
                <w:rFonts w:hint="eastAsia" w:ascii="宋体" w:hAnsi="宋体" w:eastAsia="宋体" w:cs="宋体"/>
                <w:sz w:val="21"/>
                <w:szCs w:val="21"/>
              </w:rPr>
              <w:t>%</w:t>
            </w:r>
          </w:p>
        </w:tc>
      </w:tr>
      <w:tr w14:paraId="710B9882">
        <w:tblPrEx>
          <w:tblCellMar>
            <w:top w:w="57" w:type="dxa"/>
            <w:left w:w="57" w:type="dxa"/>
            <w:bottom w:w="57" w:type="dxa"/>
            <w:right w:w="57" w:type="dxa"/>
          </w:tblCellMar>
        </w:tblPrEx>
        <w:trPr>
          <w:trHeight w:val="454" w:hRule="atLeast"/>
          <w:jc w:val="center"/>
        </w:trPr>
        <w:tc>
          <w:tcPr>
            <w:tcW w:w="1894" w:type="dxa"/>
            <w:tcBorders>
              <w:top w:val="single" w:color="auto" w:sz="4" w:space="0"/>
              <w:left w:val="single" w:color="auto" w:sz="4" w:space="0"/>
              <w:bottom w:val="single" w:color="auto" w:sz="4" w:space="0"/>
              <w:right w:val="single" w:color="auto" w:sz="4" w:space="0"/>
            </w:tcBorders>
            <w:noWrap w:val="0"/>
            <w:vAlign w:val="center"/>
          </w:tcPr>
          <w:p w14:paraId="1555F121">
            <w:pPr>
              <w:widowControl/>
              <w:spacing w:line="30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合  计</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5681BF1">
            <w:pPr>
              <w:widowControl/>
              <w:spacing w:line="30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100</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6AAABDD">
            <w:pPr>
              <w:widowControl/>
              <w:spacing w:line="300" w:lineRule="exact"/>
              <w:jc w:val="center"/>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96.94</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0F4EDE83">
            <w:pPr>
              <w:widowControl/>
              <w:spacing w:line="300" w:lineRule="exact"/>
              <w:jc w:val="cente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96</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94</w:t>
            </w:r>
            <w:r>
              <w:rPr>
                <w:rFonts w:hint="eastAsia" w:ascii="宋体" w:hAnsi="宋体" w:eastAsia="宋体" w:cs="宋体"/>
                <w:b w:val="0"/>
                <w:bCs w:val="0"/>
                <w:sz w:val="21"/>
                <w:szCs w:val="21"/>
              </w:rPr>
              <w:t>%</w:t>
            </w:r>
          </w:p>
        </w:tc>
      </w:tr>
    </w:tbl>
    <w:p w14:paraId="57C54720">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2.主要绩效</w:t>
      </w:r>
    </w:p>
    <w:p w14:paraId="54413CA5">
      <w:pPr>
        <w:spacing w:line="579" w:lineRule="exact"/>
        <w:ind w:firstLine="560" w:firstLineChars="200"/>
        <w:rPr>
          <w:rFonts w:hint="default" w:ascii="仿宋_GB2312" w:hAnsi="楷体" w:eastAsia="仿宋_GB2312"/>
          <w:sz w:val="28"/>
          <w:szCs w:val="28"/>
          <w:lang w:val="en-US" w:eastAsia="zh-CN"/>
        </w:rPr>
      </w:pPr>
      <w:r>
        <w:rPr>
          <w:rFonts w:hint="eastAsia" w:ascii="仿宋_GB2312" w:hAnsi="楷体" w:eastAsia="仿宋_GB2312"/>
          <w:sz w:val="28"/>
          <w:szCs w:val="28"/>
          <w:lang w:eastAsia="zh-CN"/>
        </w:rPr>
        <w:t>该项目为第二次全国污染源普查工作，自</w:t>
      </w:r>
      <w:r>
        <w:rPr>
          <w:rFonts w:hint="eastAsia" w:ascii="仿宋_GB2312" w:hAnsi="楷体" w:eastAsia="仿宋_GB2312"/>
          <w:sz w:val="28"/>
          <w:szCs w:val="28"/>
          <w:lang w:val="en-US" w:eastAsia="zh-CN"/>
        </w:rPr>
        <w:t>2017年实施以来该项目资金支出均参照国家相关法律法规，未出现资金挤占、截留及挪用等情况，项目管理制度健全且能够有效执行。该项目共计投入了普查人员33人，普查指导员18人，先后对盘龙区所涉企业进行污染源信息采集工作，</w:t>
      </w:r>
      <w:r>
        <w:rPr>
          <w:rFonts w:hint="eastAsia" w:ascii="仿宋_GB2312" w:hAnsi="楷体" w:eastAsia="仿宋_GB2312"/>
          <w:sz w:val="28"/>
          <w:szCs w:val="28"/>
          <w:lang w:eastAsia="zh-CN"/>
        </w:rPr>
        <w:t>进入入户调查的工业企业共计230家（其中停产企业21家），其中分流工业企业17家，进入核算的工业企业共209家。移动源36家，生活源32家（行政村），集中式污染治理设施13家，排污口5个，均已完成核算及建档工作。</w:t>
      </w:r>
      <w:r>
        <w:rPr>
          <w:rFonts w:hint="eastAsia" w:ascii="仿宋_GB2312" w:hAnsi="楷体" w:eastAsia="仿宋_GB2312"/>
          <w:sz w:val="28"/>
          <w:szCs w:val="28"/>
          <w:lang w:val="en-US" w:eastAsia="zh-CN"/>
        </w:rPr>
        <w:t>根据昆明市生态环境局盘龙分局相关数据辖区内纳入调查的工业源189家，其中178家已建立“一企一档”，其余11家无法入户的企业均有相关佐证材料。集中式10家及移动源38家也均已建立“一源一档”。2019年普查重复率约为2%，漏查率约为1%，错误率约为1%。普查数据严格按照第二次全国污染源普查有关技术规定要求进行采集，数据真实、客观、完整，对形成决策提供了重要依据。</w:t>
      </w:r>
    </w:p>
    <w:p w14:paraId="6CF457C0">
      <w:pPr>
        <w:topLinePunct/>
        <w:spacing w:line="440" w:lineRule="exact"/>
        <w:ind w:firstLine="750" w:firstLineChars="250"/>
        <w:rPr>
          <w:rFonts w:hint="eastAsia" w:ascii="仿宋_GB2312" w:hAnsi="楷体" w:eastAsia="仿宋_GB2312"/>
          <w:sz w:val="30"/>
          <w:szCs w:val="30"/>
        </w:rPr>
      </w:pPr>
      <w:r>
        <w:rPr>
          <w:rFonts w:hint="eastAsia" w:ascii="楷体" w:hAnsi="楷体" w:eastAsia="楷体"/>
          <w:sz w:val="30"/>
          <w:szCs w:val="30"/>
        </w:rPr>
        <w:t>（二）具体绩效分析</w:t>
      </w:r>
    </w:p>
    <w:p w14:paraId="620F01EE">
      <w:pPr>
        <w:spacing w:line="579" w:lineRule="exact"/>
        <w:ind w:firstLine="560" w:firstLineChars="200"/>
        <w:rPr>
          <w:rFonts w:hint="eastAsia" w:ascii="仿宋_GB2312" w:hAnsi="楷体" w:eastAsia="仿宋_GB2312"/>
          <w:sz w:val="28"/>
          <w:szCs w:val="28"/>
          <w:lang w:eastAsia="zh-CN"/>
        </w:rPr>
      </w:pPr>
      <w:r>
        <w:rPr>
          <w:rFonts w:hint="eastAsia" w:ascii="仿宋_GB2312" w:hAnsi="楷体" w:eastAsia="仿宋_GB2312"/>
          <w:sz w:val="28"/>
          <w:szCs w:val="28"/>
          <w:lang w:eastAsia="zh-CN"/>
        </w:rPr>
        <w:t>1.项目决策分析</w:t>
      </w:r>
    </w:p>
    <w:p w14:paraId="390E365D">
      <w:pPr>
        <w:spacing w:line="579" w:lineRule="exact"/>
        <w:ind w:firstLine="560" w:firstLineChars="200"/>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项目决策类指标包括项目立项和项目目标两方面内容，由5个三级指标构成，共细化分解为10个四级指标。权重分为</w:t>
      </w:r>
      <w:r>
        <w:rPr>
          <w:rFonts w:hint="eastAsia" w:ascii="仿宋_GB2312" w:hAnsi="楷体" w:eastAsia="仿宋_GB2312"/>
          <w:sz w:val="28"/>
          <w:szCs w:val="28"/>
          <w:lang w:eastAsia="zh-CN"/>
        </w:rPr>
        <w:t>2</w:t>
      </w:r>
      <w:r>
        <w:rPr>
          <w:rFonts w:hint="eastAsia" w:ascii="仿宋_GB2312" w:hAnsi="楷体" w:eastAsia="仿宋_GB2312"/>
          <w:sz w:val="28"/>
          <w:szCs w:val="28"/>
          <w:lang w:val="zh-CN" w:eastAsia="zh-CN"/>
        </w:rPr>
        <w:t>0分，实际得分</w:t>
      </w:r>
      <w:r>
        <w:rPr>
          <w:rFonts w:hint="eastAsia" w:ascii="仿宋_GB2312" w:hAnsi="楷体" w:eastAsia="仿宋_GB2312"/>
          <w:sz w:val="28"/>
          <w:szCs w:val="28"/>
          <w:lang w:val="en-US" w:eastAsia="zh-CN"/>
        </w:rPr>
        <w:t>20</w:t>
      </w:r>
      <w:r>
        <w:rPr>
          <w:rFonts w:hint="eastAsia" w:ascii="仿宋_GB2312" w:hAnsi="楷体" w:eastAsia="仿宋_GB2312"/>
          <w:sz w:val="28"/>
          <w:szCs w:val="28"/>
          <w:lang w:val="zh-CN" w:eastAsia="zh-CN"/>
        </w:rPr>
        <w:t>分，得分率</w:t>
      </w:r>
      <w:r>
        <w:rPr>
          <w:rFonts w:hint="eastAsia" w:ascii="仿宋_GB2312" w:hAnsi="楷体" w:eastAsia="仿宋_GB2312"/>
          <w:sz w:val="28"/>
          <w:szCs w:val="28"/>
          <w:lang w:val="en-US" w:eastAsia="zh-CN"/>
        </w:rPr>
        <w:t>100</w:t>
      </w:r>
      <w:r>
        <w:rPr>
          <w:rFonts w:hint="eastAsia" w:ascii="仿宋_GB2312" w:hAnsi="楷体" w:eastAsia="仿宋_GB2312"/>
          <w:sz w:val="28"/>
          <w:szCs w:val="28"/>
          <w:lang w:eastAsia="zh-CN"/>
        </w:rPr>
        <w:t>.00</w:t>
      </w:r>
      <w:r>
        <w:rPr>
          <w:rFonts w:hint="eastAsia" w:ascii="仿宋_GB2312" w:hAnsi="楷体" w:eastAsia="仿宋_GB2312"/>
          <w:sz w:val="28"/>
          <w:szCs w:val="28"/>
          <w:lang w:val="zh-CN" w:eastAsia="zh-CN"/>
        </w:rPr>
        <w:t>%。</w:t>
      </w:r>
    </w:p>
    <w:p w14:paraId="66455BDF">
      <w:pPr>
        <w:spacing w:line="590" w:lineRule="exact"/>
        <w:ind w:firstLine="560" w:firstLineChars="200"/>
        <w:contextualSpacing/>
        <w:rPr>
          <w:rFonts w:hint="eastAsia" w:ascii="仿宋_GB2312" w:hAnsi="楷体" w:eastAsia="仿宋_GB2312"/>
          <w:sz w:val="28"/>
          <w:szCs w:val="28"/>
          <w:lang w:val="zh-CN"/>
        </w:rPr>
      </w:pPr>
      <w:r>
        <w:rPr>
          <w:rFonts w:hint="eastAsia" w:ascii="仿宋_GB2312" w:hAnsi="楷体" w:eastAsia="仿宋_GB2312"/>
          <w:sz w:val="28"/>
          <w:szCs w:val="28"/>
          <w:lang w:val="zh-CN"/>
        </w:rPr>
        <w:t>（</w:t>
      </w:r>
      <w:r>
        <w:rPr>
          <w:rFonts w:hint="eastAsia" w:ascii="仿宋_GB2312" w:hAnsi="楷体" w:eastAsia="仿宋_GB2312"/>
          <w:sz w:val="28"/>
          <w:szCs w:val="28"/>
        </w:rPr>
        <w:t>1</w:t>
      </w:r>
      <w:r>
        <w:rPr>
          <w:rFonts w:hint="eastAsia" w:ascii="仿宋_GB2312" w:hAnsi="楷体" w:eastAsia="仿宋_GB2312"/>
          <w:sz w:val="28"/>
          <w:szCs w:val="28"/>
          <w:lang w:val="zh-CN"/>
        </w:rPr>
        <w:t>）项目立项</w:t>
      </w:r>
    </w:p>
    <w:p w14:paraId="70D1EDBC">
      <w:pPr>
        <w:spacing w:line="579" w:lineRule="exact"/>
        <w:ind w:firstLine="560" w:firstLineChars="200"/>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主要考察项目实施与部门战略目标的匹配性，项目立项是否符合云南省高原湖泊治理的相关规划要求，是否与部门职责相适应，以及项目的申请、设立过程是否符合相关规定。各指标业绩值和实际得分详见下表：</w:t>
      </w:r>
    </w:p>
    <w:p w14:paraId="1C22F20D">
      <w:pPr>
        <w:widowControl/>
        <w:jc w:val="center"/>
        <w:rPr>
          <w:rFonts w:hint="eastAsia" w:ascii="黑体" w:hAnsi="黑体" w:eastAsia="黑体" w:cs="黑体"/>
          <w:b w:val="0"/>
          <w:bCs w:val="0"/>
          <w:sz w:val="24"/>
          <w:szCs w:val="24"/>
          <w:lang w:val="zh-CN"/>
        </w:rPr>
      </w:pPr>
      <w:r>
        <w:rPr>
          <w:rFonts w:hint="eastAsia" w:ascii="黑体" w:hAnsi="黑体" w:eastAsia="黑体" w:cs="黑体"/>
          <w:b w:val="0"/>
          <w:bCs w:val="0"/>
          <w:sz w:val="24"/>
          <w:szCs w:val="24"/>
          <w:lang w:val="zh-CN"/>
        </w:rPr>
        <w:t>表</w:t>
      </w:r>
      <w:r>
        <w:rPr>
          <w:rFonts w:hint="eastAsia" w:ascii="黑体" w:hAnsi="黑体" w:eastAsia="黑体" w:cs="黑体"/>
          <w:b w:val="0"/>
          <w:bCs w:val="0"/>
          <w:sz w:val="24"/>
          <w:szCs w:val="24"/>
          <w:lang w:val="en-US" w:eastAsia="zh-CN"/>
        </w:rPr>
        <w:t>4</w:t>
      </w:r>
      <w:r>
        <w:rPr>
          <w:rFonts w:hint="eastAsia" w:ascii="黑体" w:hAnsi="黑体" w:eastAsia="黑体" w:cs="黑体"/>
          <w:b w:val="0"/>
          <w:bCs w:val="0"/>
          <w:sz w:val="24"/>
          <w:szCs w:val="24"/>
        </w:rPr>
        <w:t xml:space="preserve"> </w:t>
      </w:r>
      <w:r>
        <w:rPr>
          <w:rFonts w:hint="eastAsia" w:ascii="黑体" w:hAnsi="黑体" w:eastAsia="黑体" w:cs="黑体"/>
          <w:b w:val="0"/>
          <w:bCs w:val="0"/>
          <w:sz w:val="24"/>
          <w:szCs w:val="24"/>
          <w:lang w:val="zh-CN"/>
        </w:rPr>
        <w:t>项目立项类指标评分表</w:t>
      </w:r>
    </w:p>
    <w:tbl>
      <w:tblPr>
        <w:tblStyle w:val="8"/>
        <w:tblW w:w="4998" w:type="pct"/>
        <w:jc w:val="center"/>
        <w:tblLayout w:type="autofit"/>
        <w:tblCellMar>
          <w:top w:w="0" w:type="dxa"/>
          <w:left w:w="10" w:type="dxa"/>
          <w:bottom w:w="0" w:type="dxa"/>
          <w:right w:w="10" w:type="dxa"/>
        </w:tblCellMar>
      </w:tblPr>
      <w:tblGrid>
        <w:gridCol w:w="4243"/>
        <w:gridCol w:w="947"/>
        <w:gridCol w:w="1439"/>
        <w:gridCol w:w="1694"/>
      </w:tblGrid>
      <w:tr w14:paraId="17358D67">
        <w:tblPrEx>
          <w:tblCellMar>
            <w:top w:w="0" w:type="dxa"/>
            <w:left w:w="10" w:type="dxa"/>
            <w:bottom w:w="0" w:type="dxa"/>
            <w:right w:w="10" w:type="dxa"/>
          </w:tblCellMar>
        </w:tblPrEx>
        <w:trPr>
          <w:trHeight w:val="280" w:hRule="exact"/>
          <w:tblHeader/>
          <w:jc w:val="center"/>
        </w:trPr>
        <w:tc>
          <w:tcPr>
            <w:tcW w:w="2548" w:type="pct"/>
            <w:tcBorders>
              <w:top w:val="single" w:color="auto" w:sz="4" w:space="0"/>
              <w:left w:val="single" w:color="auto" w:sz="4" w:space="0"/>
              <w:bottom w:val="single" w:color="auto" w:sz="4" w:space="0"/>
              <w:right w:val="single" w:color="auto" w:sz="4" w:space="0"/>
            </w:tcBorders>
            <w:shd w:val="clear" w:color="auto" w:fill="FFFFFF"/>
            <w:noWrap w:val="0"/>
            <w:vAlign w:val="bottom"/>
          </w:tcPr>
          <w:p w14:paraId="1E7E86C0">
            <w:pPr>
              <w:pStyle w:val="15"/>
              <w:shd w:val="clear" w:color="auto" w:fill="auto"/>
              <w:spacing w:after="0" w:line="240" w:lineRule="auto"/>
              <w:rPr>
                <w:rFonts w:hint="eastAsia" w:ascii="宋体" w:hAnsi="宋体" w:eastAsia="宋体" w:cs="宋体"/>
                <w:b/>
                <w:bCs/>
                <w:sz w:val="21"/>
                <w:szCs w:val="21"/>
              </w:rPr>
            </w:pPr>
            <w:r>
              <w:rPr>
                <w:rFonts w:hint="eastAsia" w:ascii="宋体" w:hAnsi="宋体" w:eastAsia="宋体" w:cs="宋体"/>
                <w:b/>
                <w:bCs/>
                <w:spacing w:val="0"/>
                <w:sz w:val="21"/>
                <w:szCs w:val="21"/>
                <w:lang w:val="zh-CN"/>
              </w:rPr>
              <w:t>指标名称</w:t>
            </w:r>
          </w:p>
        </w:tc>
        <w:tc>
          <w:tcPr>
            <w:tcW w:w="569" w:type="pct"/>
            <w:tcBorders>
              <w:top w:val="single" w:color="auto" w:sz="4" w:space="0"/>
              <w:left w:val="single" w:color="auto" w:sz="4" w:space="0"/>
              <w:bottom w:val="single" w:color="auto" w:sz="4" w:space="0"/>
              <w:right w:val="single" w:color="auto" w:sz="4" w:space="0"/>
            </w:tcBorders>
            <w:shd w:val="clear" w:color="auto" w:fill="FFFFFF"/>
            <w:noWrap w:val="0"/>
            <w:vAlign w:val="bottom"/>
          </w:tcPr>
          <w:p w14:paraId="42CD4DB9">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指标权重</w:t>
            </w:r>
          </w:p>
        </w:tc>
        <w:tc>
          <w:tcPr>
            <w:tcW w:w="864" w:type="pct"/>
            <w:tcBorders>
              <w:top w:val="single" w:color="auto" w:sz="4" w:space="0"/>
              <w:left w:val="single" w:color="auto" w:sz="4" w:space="0"/>
              <w:bottom w:val="single" w:color="auto" w:sz="4" w:space="0"/>
              <w:right w:val="single" w:color="auto" w:sz="4" w:space="0"/>
            </w:tcBorders>
            <w:shd w:val="clear" w:color="auto" w:fill="FFFFFF"/>
            <w:noWrap w:val="0"/>
            <w:vAlign w:val="bottom"/>
          </w:tcPr>
          <w:p w14:paraId="12F96667">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业绩值</w:t>
            </w:r>
          </w:p>
        </w:tc>
        <w:tc>
          <w:tcPr>
            <w:tcW w:w="1017" w:type="pct"/>
            <w:tcBorders>
              <w:top w:val="single" w:color="auto" w:sz="4" w:space="0"/>
              <w:left w:val="single" w:color="auto" w:sz="4" w:space="0"/>
              <w:bottom w:val="single" w:color="auto" w:sz="4" w:space="0"/>
              <w:right w:val="single" w:color="auto" w:sz="4" w:space="0"/>
            </w:tcBorders>
            <w:shd w:val="clear" w:color="auto" w:fill="FFFFFF"/>
            <w:noWrap w:val="0"/>
            <w:vAlign w:val="bottom"/>
          </w:tcPr>
          <w:p w14:paraId="403BAE26">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实际得分</w:t>
            </w:r>
          </w:p>
        </w:tc>
      </w:tr>
      <w:tr w14:paraId="6DABBA62">
        <w:tblPrEx>
          <w:tblCellMar>
            <w:top w:w="0" w:type="dxa"/>
            <w:left w:w="10" w:type="dxa"/>
            <w:bottom w:w="0" w:type="dxa"/>
            <w:right w:w="10" w:type="dxa"/>
          </w:tblCellMar>
        </w:tblPrEx>
        <w:trPr>
          <w:trHeight w:val="91" w:hRule="atLeast"/>
          <w:jc w:val="center"/>
        </w:trPr>
        <w:tc>
          <w:tcPr>
            <w:tcW w:w="2548" w:type="pct"/>
            <w:tcBorders>
              <w:top w:val="single" w:color="auto" w:sz="4" w:space="0"/>
              <w:left w:val="single" w:color="auto" w:sz="4" w:space="0"/>
              <w:bottom w:val="single" w:color="auto" w:sz="4" w:space="0"/>
            </w:tcBorders>
            <w:shd w:val="clear" w:color="auto" w:fill="FFFFFF"/>
            <w:noWrap w:val="0"/>
            <w:vAlign w:val="top"/>
          </w:tcPr>
          <w:p w14:paraId="591476F2">
            <w:pPr>
              <w:pStyle w:val="15"/>
              <w:shd w:val="clear" w:color="auto" w:fill="auto"/>
              <w:spacing w:after="0" w:line="240" w:lineRule="auto"/>
              <w:jc w:val="both"/>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rPr>
              <w:t>11.</w:t>
            </w:r>
            <w:r>
              <w:rPr>
                <w:rFonts w:hint="eastAsia" w:ascii="宋体" w:hAnsi="宋体" w:eastAsia="宋体" w:cs="宋体"/>
                <w:spacing w:val="0"/>
                <w:sz w:val="21"/>
                <w:szCs w:val="21"/>
                <w:lang w:val="zh-CN"/>
              </w:rPr>
              <w:t>与部门中长期规划目标适应性</w:t>
            </w:r>
          </w:p>
        </w:tc>
        <w:tc>
          <w:tcPr>
            <w:tcW w:w="569" w:type="pct"/>
            <w:tcBorders>
              <w:top w:val="single" w:color="auto" w:sz="4" w:space="0"/>
              <w:left w:val="single" w:color="auto" w:sz="4" w:space="0"/>
              <w:bottom w:val="single" w:color="auto" w:sz="4" w:space="0"/>
            </w:tcBorders>
            <w:shd w:val="clear" w:color="auto" w:fill="FFFFFF"/>
            <w:noWrap w:val="0"/>
            <w:vAlign w:val="top"/>
          </w:tcPr>
          <w:p w14:paraId="4D589A95">
            <w:pPr>
              <w:pStyle w:val="15"/>
              <w:shd w:val="clear" w:color="auto" w:fill="auto"/>
              <w:spacing w:after="0" w:line="240" w:lineRule="auto"/>
              <w:rPr>
                <w:rFonts w:hint="eastAsia" w:ascii="宋体" w:hAnsi="宋体" w:eastAsia="宋体" w:cs="宋体"/>
                <w:spacing w:val="0"/>
                <w:sz w:val="21"/>
                <w:szCs w:val="21"/>
                <w:lang w:val="zh-CN"/>
              </w:rPr>
            </w:pPr>
          </w:p>
        </w:tc>
        <w:tc>
          <w:tcPr>
            <w:tcW w:w="864" w:type="pct"/>
            <w:tcBorders>
              <w:top w:val="single" w:color="auto" w:sz="4" w:space="0"/>
              <w:left w:val="single" w:color="auto" w:sz="4" w:space="0"/>
              <w:bottom w:val="single" w:color="auto" w:sz="4" w:space="0"/>
            </w:tcBorders>
            <w:shd w:val="clear" w:color="auto" w:fill="FFFFFF"/>
            <w:noWrap w:val="0"/>
            <w:vAlign w:val="top"/>
          </w:tcPr>
          <w:p w14:paraId="627BE662">
            <w:pPr>
              <w:pStyle w:val="15"/>
              <w:shd w:val="clear" w:color="auto" w:fill="auto"/>
              <w:spacing w:after="0" w:line="240" w:lineRule="auto"/>
              <w:rPr>
                <w:rFonts w:hint="eastAsia" w:ascii="宋体" w:hAnsi="宋体" w:eastAsia="宋体" w:cs="宋体"/>
                <w:spacing w:val="0"/>
                <w:sz w:val="21"/>
                <w:szCs w:val="21"/>
                <w:lang w:val="zh-CN"/>
              </w:rPr>
            </w:pPr>
          </w:p>
        </w:tc>
        <w:tc>
          <w:tcPr>
            <w:tcW w:w="1017" w:type="pct"/>
            <w:tcBorders>
              <w:top w:val="single" w:color="auto" w:sz="4" w:space="0"/>
              <w:left w:val="single" w:color="auto" w:sz="4" w:space="0"/>
              <w:bottom w:val="single" w:color="auto" w:sz="4" w:space="0"/>
              <w:right w:val="single" w:color="auto" w:sz="4" w:space="0"/>
            </w:tcBorders>
            <w:shd w:val="clear" w:color="auto" w:fill="FFFFFF"/>
            <w:noWrap w:val="0"/>
            <w:vAlign w:val="top"/>
          </w:tcPr>
          <w:p w14:paraId="36028662">
            <w:pPr>
              <w:pStyle w:val="15"/>
              <w:shd w:val="clear" w:color="auto" w:fill="auto"/>
              <w:spacing w:after="0" w:line="240" w:lineRule="auto"/>
              <w:rPr>
                <w:rFonts w:hint="eastAsia" w:ascii="宋体" w:hAnsi="宋体" w:eastAsia="宋体" w:cs="宋体"/>
                <w:spacing w:val="0"/>
                <w:sz w:val="21"/>
                <w:szCs w:val="21"/>
                <w:lang w:val="zh-CN"/>
              </w:rPr>
            </w:pPr>
          </w:p>
        </w:tc>
      </w:tr>
      <w:tr w14:paraId="276509AC">
        <w:tblPrEx>
          <w:tblCellMar>
            <w:top w:w="0" w:type="dxa"/>
            <w:left w:w="10" w:type="dxa"/>
            <w:bottom w:w="0" w:type="dxa"/>
            <w:right w:w="10" w:type="dxa"/>
          </w:tblCellMar>
        </w:tblPrEx>
        <w:trPr>
          <w:trHeight w:val="91" w:hRule="atLeast"/>
          <w:jc w:val="center"/>
        </w:trPr>
        <w:tc>
          <w:tcPr>
            <w:tcW w:w="2548" w:type="pct"/>
            <w:tcBorders>
              <w:top w:val="single" w:color="auto" w:sz="4" w:space="0"/>
              <w:left w:val="single" w:color="auto" w:sz="4" w:space="0"/>
              <w:bottom w:val="single" w:color="auto" w:sz="4" w:space="0"/>
            </w:tcBorders>
            <w:shd w:val="clear" w:color="auto" w:fill="FFFFFF"/>
            <w:noWrap w:val="0"/>
            <w:vAlign w:val="center"/>
          </w:tcPr>
          <w:p w14:paraId="1FD62A84">
            <w:pPr>
              <w:pStyle w:val="15"/>
              <w:shd w:val="clear" w:color="auto" w:fill="auto"/>
              <w:spacing w:after="0" w:line="240" w:lineRule="auto"/>
              <w:ind w:firstLine="630" w:firstLineChars="300"/>
              <w:jc w:val="both"/>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rPr>
              <w:t>111.</w:t>
            </w:r>
            <w:r>
              <w:rPr>
                <w:rFonts w:hint="eastAsia" w:ascii="宋体" w:hAnsi="宋体" w:eastAsia="宋体" w:cs="宋体"/>
                <w:spacing w:val="0"/>
                <w:sz w:val="21"/>
                <w:szCs w:val="21"/>
                <w:lang w:val="zh-CN"/>
              </w:rPr>
              <w:t>与部门中长期规划目标匹配性</w:t>
            </w:r>
          </w:p>
        </w:tc>
        <w:tc>
          <w:tcPr>
            <w:tcW w:w="569" w:type="pct"/>
            <w:tcBorders>
              <w:top w:val="single" w:color="auto" w:sz="4" w:space="0"/>
              <w:left w:val="single" w:color="auto" w:sz="4" w:space="0"/>
              <w:bottom w:val="single" w:color="auto" w:sz="4" w:space="0"/>
            </w:tcBorders>
            <w:shd w:val="clear" w:color="auto" w:fill="FFFFFF"/>
            <w:noWrap w:val="0"/>
            <w:vAlign w:val="bottom"/>
          </w:tcPr>
          <w:p w14:paraId="08CCED4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1</w:t>
            </w:r>
          </w:p>
        </w:tc>
        <w:tc>
          <w:tcPr>
            <w:tcW w:w="864" w:type="pct"/>
            <w:tcBorders>
              <w:top w:val="single" w:color="auto" w:sz="4" w:space="0"/>
              <w:left w:val="single" w:color="auto" w:sz="4" w:space="0"/>
              <w:bottom w:val="single" w:color="auto" w:sz="4" w:space="0"/>
            </w:tcBorders>
            <w:shd w:val="clear" w:color="auto" w:fill="FFFFFF"/>
            <w:noWrap w:val="0"/>
            <w:vAlign w:val="center"/>
          </w:tcPr>
          <w:p w14:paraId="44EB06AF">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匹配</w:t>
            </w:r>
          </w:p>
        </w:tc>
        <w:tc>
          <w:tcPr>
            <w:tcW w:w="1017" w:type="pct"/>
            <w:tcBorders>
              <w:top w:val="single" w:color="auto" w:sz="4" w:space="0"/>
              <w:left w:val="single" w:color="auto" w:sz="4" w:space="0"/>
              <w:bottom w:val="single" w:color="auto" w:sz="4" w:space="0"/>
              <w:right w:val="single" w:color="auto" w:sz="4" w:space="0"/>
            </w:tcBorders>
            <w:shd w:val="clear" w:color="auto" w:fill="FFFFFF"/>
            <w:noWrap w:val="0"/>
            <w:vAlign w:val="bottom"/>
          </w:tcPr>
          <w:p w14:paraId="62D9B0C4">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eastAsia="en-US"/>
              </w:rPr>
              <w:t>1.00</w:t>
            </w:r>
          </w:p>
        </w:tc>
      </w:tr>
      <w:tr w14:paraId="6DEE370B">
        <w:tblPrEx>
          <w:tblCellMar>
            <w:top w:w="0" w:type="dxa"/>
            <w:left w:w="10" w:type="dxa"/>
            <w:bottom w:w="0" w:type="dxa"/>
            <w:right w:w="10" w:type="dxa"/>
          </w:tblCellMar>
        </w:tblPrEx>
        <w:trPr>
          <w:trHeight w:val="91" w:hRule="atLeast"/>
          <w:jc w:val="center"/>
        </w:trPr>
        <w:tc>
          <w:tcPr>
            <w:tcW w:w="2548" w:type="pct"/>
            <w:tcBorders>
              <w:top w:val="single" w:color="auto" w:sz="4" w:space="0"/>
              <w:left w:val="single" w:color="auto" w:sz="4" w:space="0"/>
            </w:tcBorders>
            <w:shd w:val="clear" w:color="auto" w:fill="FFFFFF"/>
            <w:noWrap w:val="0"/>
            <w:vAlign w:val="top"/>
          </w:tcPr>
          <w:p w14:paraId="6DCB8AC9">
            <w:pPr>
              <w:pStyle w:val="15"/>
              <w:shd w:val="clear" w:color="auto" w:fill="auto"/>
              <w:spacing w:after="0" w:line="240" w:lineRule="auto"/>
              <w:jc w:val="both"/>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12.</w:t>
            </w:r>
            <w:r>
              <w:rPr>
                <w:rFonts w:hint="eastAsia" w:ascii="宋体" w:hAnsi="宋体" w:eastAsia="宋体" w:cs="宋体"/>
                <w:spacing w:val="0"/>
                <w:sz w:val="21"/>
                <w:szCs w:val="21"/>
                <w:lang w:val="zh-CN"/>
              </w:rPr>
              <w:t>立项依据充分性</w:t>
            </w:r>
          </w:p>
        </w:tc>
        <w:tc>
          <w:tcPr>
            <w:tcW w:w="569" w:type="pct"/>
            <w:tcBorders>
              <w:top w:val="single" w:color="auto" w:sz="4" w:space="0"/>
              <w:left w:val="single" w:color="auto" w:sz="4" w:space="0"/>
            </w:tcBorders>
            <w:shd w:val="clear" w:color="auto" w:fill="FFFFFF"/>
            <w:noWrap w:val="0"/>
            <w:vAlign w:val="top"/>
          </w:tcPr>
          <w:p w14:paraId="1AA19085">
            <w:pPr>
              <w:pStyle w:val="15"/>
              <w:shd w:val="clear" w:color="auto" w:fill="auto"/>
              <w:spacing w:after="0" w:line="240" w:lineRule="auto"/>
              <w:rPr>
                <w:rFonts w:hint="eastAsia" w:ascii="宋体" w:hAnsi="宋体" w:eastAsia="宋体" w:cs="宋体"/>
                <w:spacing w:val="0"/>
                <w:sz w:val="21"/>
                <w:szCs w:val="21"/>
                <w:lang w:val="zh-CN"/>
              </w:rPr>
            </w:pPr>
          </w:p>
        </w:tc>
        <w:tc>
          <w:tcPr>
            <w:tcW w:w="864" w:type="pct"/>
            <w:tcBorders>
              <w:top w:val="single" w:color="auto" w:sz="4" w:space="0"/>
              <w:left w:val="single" w:color="auto" w:sz="4" w:space="0"/>
            </w:tcBorders>
            <w:shd w:val="clear" w:color="auto" w:fill="FFFFFF"/>
            <w:noWrap w:val="0"/>
            <w:vAlign w:val="top"/>
          </w:tcPr>
          <w:p w14:paraId="0FDBF283">
            <w:pPr>
              <w:pStyle w:val="15"/>
              <w:shd w:val="clear" w:color="auto" w:fill="auto"/>
              <w:spacing w:after="0" w:line="240" w:lineRule="auto"/>
              <w:rPr>
                <w:rFonts w:hint="eastAsia" w:ascii="宋体" w:hAnsi="宋体" w:eastAsia="宋体" w:cs="宋体"/>
                <w:spacing w:val="0"/>
                <w:sz w:val="21"/>
                <w:szCs w:val="21"/>
                <w:lang w:val="zh-CN"/>
              </w:rPr>
            </w:pPr>
          </w:p>
        </w:tc>
        <w:tc>
          <w:tcPr>
            <w:tcW w:w="1017" w:type="pct"/>
            <w:tcBorders>
              <w:top w:val="single" w:color="auto" w:sz="4" w:space="0"/>
              <w:left w:val="single" w:color="auto" w:sz="4" w:space="0"/>
              <w:right w:val="single" w:color="auto" w:sz="4" w:space="0"/>
            </w:tcBorders>
            <w:shd w:val="clear" w:color="auto" w:fill="FFFFFF"/>
            <w:noWrap w:val="0"/>
            <w:vAlign w:val="top"/>
          </w:tcPr>
          <w:p w14:paraId="1E73CF3D">
            <w:pPr>
              <w:pStyle w:val="15"/>
              <w:shd w:val="clear" w:color="auto" w:fill="auto"/>
              <w:spacing w:after="0" w:line="240" w:lineRule="auto"/>
              <w:rPr>
                <w:rFonts w:hint="eastAsia" w:ascii="宋体" w:hAnsi="宋体" w:eastAsia="宋体" w:cs="宋体"/>
                <w:spacing w:val="0"/>
                <w:sz w:val="21"/>
                <w:szCs w:val="21"/>
                <w:lang w:val="zh-CN"/>
              </w:rPr>
            </w:pPr>
          </w:p>
        </w:tc>
      </w:tr>
      <w:tr w14:paraId="5BA04853">
        <w:tblPrEx>
          <w:tblCellMar>
            <w:top w:w="0" w:type="dxa"/>
            <w:left w:w="10" w:type="dxa"/>
            <w:bottom w:w="0" w:type="dxa"/>
            <w:right w:w="10" w:type="dxa"/>
          </w:tblCellMar>
        </w:tblPrEx>
        <w:trPr>
          <w:trHeight w:val="91" w:hRule="atLeast"/>
          <w:jc w:val="center"/>
        </w:trPr>
        <w:tc>
          <w:tcPr>
            <w:tcW w:w="2548" w:type="pct"/>
            <w:tcBorders>
              <w:top w:val="single" w:color="auto" w:sz="4" w:space="0"/>
              <w:left w:val="single" w:color="auto" w:sz="4" w:space="0"/>
              <w:bottom w:val="single" w:color="auto" w:sz="4" w:space="0"/>
            </w:tcBorders>
            <w:shd w:val="clear" w:color="auto" w:fill="FFFFFF"/>
            <w:noWrap w:val="0"/>
            <w:vAlign w:val="center"/>
          </w:tcPr>
          <w:p w14:paraId="5B8C7A21">
            <w:pPr>
              <w:pStyle w:val="15"/>
              <w:shd w:val="clear" w:color="auto" w:fill="auto"/>
              <w:spacing w:after="0" w:line="240" w:lineRule="auto"/>
              <w:ind w:firstLine="630" w:firstLineChars="300"/>
              <w:jc w:val="both"/>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121.</w:t>
            </w:r>
            <w:r>
              <w:rPr>
                <w:rFonts w:hint="eastAsia" w:ascii="宋体" w:hAnsi="宋体" w:eastAsia="宋体" w:cs="宋体"/>
                <w:spacing w:val="0"/>
                <w:sz w:val="21"/>
                <w:szCs w:val="21"/>
                <w:lang w:val="zh-CN"/>
              </w:rPr>
              <w:t>与市政府相关规划、决策匹配性</w:t>
            </w:r>
          </w:p>
        </w:tc>
        <w:tc>
          <w:tcPr>
            <w:tcW w:w="569" w:type="pct"/>
            <w:tcBorders>
              <w:top w:val="single" w:color="auto" w:sz="4" w:space="0"/>
              <w:left w:val="single" w:color="auto" w:sz="4" w:space="0"/>
              <w:bottom w:val="single" w:color="auto" w:sz="4" w:space="0"/>
            </w:tcBorders>
            <w:shd w:val="clear" w:color="auto" w:fill="FFFFFF"/>
            <w:noWrap w:val="0"/>
            <w:vAlign w:val="bottom"/>
          </w:tcPr>
          <w:p w14:paraId="3ED8746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p>
        </w:tc>
        <w:tc>
          <w:tcPr>
            <w:tcW w:w="864" w:type="pct"/>
            <w:tcBorders>
              <w:top w:val="single" w:color="auto" w:sz="4" w:space="0"/>
              <w:left w:val="single" w:color="auto" w:sz="4" w:space="0"/>
              <w:bottom w:val="single" w:color="auto" w:sz="4" w:space="0"/>
            </w:tcBorders>
            <w:shd w:val="clear" w:color="auto" w:fill="FFFFFF"/>
            <w:noWrap w:val="0"/>
            <w:vAlign w:val="center"/>
          </w:tcPr>
          <w:p w14:paraId="22AC2A23">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匹配</w:t>
            </w:r>
          </w:p>
        </w:tc>
        <w:tc>
          <w:tcPr>
            <w:tcW w:w="1017" w:type="pct"/>
            <w:tcBorders>
              <w:top w:val="single" w:color="auto" w:sz="4" w:space="0"/>
              <w:left w:val="single" w:color="auto" w:sz="4" w:space="0"/>
              <w:bottom w:val="single" w:color="auto" w:sz="4" w:space="0"/>
              <w:right w:val="single" w:color="auto" w:sz="4" w:space="0"/>
            </w:tcBorders>
            <w:shd w:val="clear" w:color="auto" w:fill="FFFFFF"/>
            <w:noWrap w:val="0"/>
            <w:vAlign w:val="bottom"/>
          </w:tcPr>
          <w:p w14:paraId="47EFC5AF">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r>
              <w:rPr>
                <w:rFonts w:hint="eastAsia" w:ascii="宋体" w:hAnsi="宋体" w:eastAsia="宋体" w:cs="宋体"/>
                <w:spacing w:val="0"/>
                <w:sz w:val="21"/>
                <w:szCs w:val="21"/>
                <w:lang w:eastAsia="en-US"/>
              </w:rPr>
              <w:t>.00</w:t>
            </w:r>
          </w:p>
        </w:tc>
      </w:tr>
      <w:tr w14:paraId="3E6F368A">
        <w:tblPrEx>
          <w:tblCellMar>
            <w:top w:w="0" w:type="dxa"/>
            <w:left w:w="10" w:type="dxa"/>
            <w:bottom w:w="0" w:type="dxa"/>
            <w:right w:w="10" w:type="dxa"/>
          </w:tblCellMar>
        </w:tblPrEx>
        <w:trPr>
          <w:trHeight w:val="91" w:hRule="atLeast"/>
          <w:jc w:val="center"/>
        </w:trPr>
        <w:tc>
          <w:tcPr>
            <w:tcW w:w="2548"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F193B0">
            <w:pPr>
              <w:pStyle w:val="15"/>
              <w:shd w:val="clear" w:color="auto" w:fill="auto"/>
              <w:spacing w:after="0" w:line="240" w:lineRule="auto"/>
              <w:ind w:firstLine="630" w:firstLineChars="300"/>
              <w:jc w:val="both"/>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122.</w:t>
            </w:r>
            <w:r>
              <w:rPr>
                <w:rFonts w:hint="eastAsia" w:ascii="宋体" w:hAnsi="宋体" w:eastAsia="宋体" w:cs="宋体"/>
                <w:spacing w:val="0"/>
                <w:sz w:val="21"/>
                <w:szCs w:val="21"/>
                <w:lang w:val="zh-CN"/>
              </w:rPr>
              <w:t>与部门职责适应性</w:t>
            </w:r>
          </w:p>
        </w:tc>
        <w:tc>
          <w:tcPr>
            <w:tcW w:w="569" w:type="pct"/>
            <w:tcBorders>
              <w:top w:val="single" w:color="auto" w:sz="4" w:space="0"/>
              <w:left w:val="single" w:color="auto" w:sz="4" w:space="0"/>
              <w:bottom w:val="single" w:color="auto" w:sz="4" w:space="0"/>
              <w:right w:val="single" w:color="auto" w:sz="4" w:space="0"/>
            </w:tcBorders>
            <w:shd w:val="clear" w:color="auto" w:fill="FFFFFF"/>
            <w:noWrap w:val="0"/>
            <w:vAlign w:val="bottom"/>
          </w:tcPr>
          <w:p w14:paraId="7D25505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1</w:t>
            </w:r>
          </w:p>
        </w:tc>
        <w:tc>
          <w:tcPr>
            <w:tcW w:w="864"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2632D9">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适应</w:t>
            </w:r>
          </w:p>
        </w:tc>
        <w:tc>
          <w:tcPr>
            <w:tcW w:w="1017" w:type="pct"/>
            <w:tcBorders>
              <w:top w:val="single" w:color="auto" w:sz="4" w:space="0"/>
              <w:left w:val="single" w:color="auto" w:sz="4" w:space="0"/>
              <w:bottom w:val="single" w:color="auto" w:sz="4" w:space="0"/>
              <w:right w:val="single" w:color="auto" w:sz="4" w:space="0"/>
            </w:tcBorders>
            <w:shd w:val="clear" w:color="auto" w:fill="FFFFFF"/>
            <w:noWrap w:val="0"/>
            <w:vAlign w:val="bottom"/>
          </w:tcPr>
          <w:p w14:paraId="4F9BC317">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eastAsia="en-US"/>
              </w:rPr>
              <w:t>1.00</w:t>
            </w:r>
          </w:p>
        </w:tc>
      </w:tr>
      <w:tr w14:paraId="40271CE1">
        <w:tblPrEx>
          <w:tblCellMar>
            <w:top w:w="0" w:type="dxa"/>
            <w:left w:w="10" w:type="dxa"/>
            <w:bottom w:w="0" w:type="dxa"/>
            <w:right w:w="10" w:type="dxa"/>
          </w:tblCellMar>
        </w:tblPrEx>
        <w:trPr>
          <w:trHeight w:val="91" w:hRule="atLeast"/>
          <w:jc w:val="center"/>
        </w:trPr>
        <w:tc>
          <w:tcPr>
            <w:tcW w:w="2548" w:type="pct"/>
            <w:tcBorders>
              <w:top w:val="single" w:color="auto" w:sz="4" w:space="0"/>
              <w:left w:val="single" w:color="auto" w:sz="4" w:space="0"/>
              <w:bottom w:val="single" w:color="auto" w:sz="4" w:space="0"/>
              <w:right w:val="single" w:color="auto" w:sz="4" w:space="0"/>
            </w:tcBorders>
            <w:shd w:val="clear" w:color="auto" w:fill="FFFFFF"/>
            <w:noWrap w:val="0"/>
            <w:vAlign w:val="top"/>
          </w:tcPr>
          <w:p w14:paraId="342F7FC0">
            <w:pPr>
              <w:pStyle w:val="15"/>
              <w:shd w:val="clear" w:color="auto" w:fill="auto"/>
              <w:spacing w:after="0" w:line="240" w:lineRule="auto"/>
              <w:jc w:val="both"/>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13.</w:t>
            </w:r>
            <w:r>
              <w:rPr>
                <w:rFonts w:hint="eastAsia" w:ascii="宋体" w:hAnsi="宋体" w:eastAsia="宋体" w:cs="宋体"/>
                <w:spacing w:val="0"/>
                <w:sz w:val="21"/>
                <w:szCs w:val="21"/>
                <w:lang w:val="zh-CN"/>
              </w:rPr>
              <w:t>项目立项规范性</w:t>
            </w:r>
          </w:p>
        </w:tc>
        <w:tc>
          <w:tcPr>
            <w:tcW w:w="569" w:type="pct"/>
            <w:tcBorders>
              <w:top w:val="single" w:color="auto" w:sz="4" w:space="0"/>
              <w:left w:val="single" w:color="auto" w:sz="4" w:space="0"/>
              <w:bottom w:val="single" w:color="auto" w:sz="4" w:space="0"/>
              <w:right w:val="single" w:color="auto" w:sz="4" w:space="0"/>
            </w:tcBorders>
            <w:shd w:val="clear" w:color="auto" w:fill="FFFFFF"/>
            <w:noWrap w:val="0"/>
            <w:vAlign w:val="top"/>
          </w:tcPr>
          <w:p w14:paraId="4B5769F1">
            <w:pPr>
              <w:pStyle w:val="15"/>
              <w:shd w:val="clear" w:color="auto" w:fill="auto"/>
              <w:spacing w:after="0" w:line="240" w:lineRule="auto"/>
              <w:rPr>
                <w:rFonts w:hint="eastAsia" w:ascii="宋体" w:hAnsi="宋体" w:eastAsia="宋体" w:cs="宋体"/>
                <w:spacing w:val="0"/>
                <w:sz w:val="21"/>
                <w:szCs w:val="21"/>
                <w:lang w:val="zh-CN"/>
              </w:rPr>
            </w:pPr>
          </w:p>
        </w:tc>
        <w:tc>
          <w:tcPr>
            <w:tcW w:w="864" w:type="pct"/>
            <w:tcBorders>
              <w:top w:val="single" w:color="auto" w:sz="4" w:space="0"/>
              <w:left w:val="single" w:color="auto" w:sz="4" w:space="0"/>
              <w:bottom w:val="single" w:color="auto" w:sz="4" w:space="0"/>
              <w:right w:val="single" w:color="auto" w:sz="4" w:space="0"/>
            </w:tcBorders>
            <w:shd w:val="clear" w:color="auto" w:fill="FFFFFF"/>
            <w:noWrap w:val="0"/>
            <w:vAlign w:val="top"/>
          </w:tcPr>
          <w:p w14:paraId="371A5A0C">
            <w:pPr>
              <w:pStyle w:val="15"/>
              <w:shd w:val="clear" w:color="auto" w:fill="auto"/>
              <w:spacing w:after="0" w:line="240" w:lineRule="auto"/>
              <w:rPr>
                <w:rFonts w:hint="eastAsia" w:ascii="宋体" w:hAnsi="宋体" w:eastAsia="宋体" w:cs="宋体"/>
                <w:spacing w:val="0"/>
                <w:sz w:val="21"/>
                <w:szCs w:val="21"/>
                <w:lang w:val="zh-CN"/>
              </w:rPr>
            </w:pPr>
          </w:p>
        </w:tc>
        <w:tc>
          <w:tcPr>
            <w:tcW w:w="1017" w:type="pct"/>
            <w:tcBorders>
              <w:top w:val="single" w:color="auto" w:sz="4" w:space="0"/>
              <w:left w:val="single" w:color="auto" w:sz="4" w:space="0"/>
              <w:bottom w:val="single" w:color="auto" w:sz="4" w:space="0"/>
              <w:right w:val="single" w:color="auto" w:sz="4" w:space="0"/>
            </w:tcBorders>
            <w:shd w:val="clear" w:color="auto" w:fill="FFFFFF"/>
            <w:noWrap w:val="0"/>
            <w:vAlign w:val="top"/>
          </w:tcPr>
          <w:p w14:paraId="08FD25BA">
            <w:pPr>
              <w:pStyle w:val="15"/>
              <w:shd w:val="clear" w:color="auto" w:fill="auto"/>
              <w:spacing w:after="0" w:line="240" w:lineRule="auto"/>
              <w:rPr>
                <w:rFonts w:hint="eastAsia" w:ascii="宋体" w:hAnsi="宋体" w:eastAsia="宋体" w:cs="宋体"/>
                <w:spacing w:val="0"/>
                <w:sz w:val="21"/>
                <w:szCs w:val="21"/>
                <w:lang w:val="zh-CN"/>
              </w:rPr>
            </w:pPr>
          </w:p>
        </w:tc>
      </w:tr>
      <w:tr w14:paraId="08F910CF">
        <w:tblPrEx>
          <w:tblCellMar>
            <w:top w:w="0" w:type="dxa"/>
            <w:left w:w="10" w:type="dxa"/>
            <w:bottom w:w="0" w:type="dxa"/>
            <w:right w:w="10" w:type="dxa"/>
          </w:tblCellMar>
        </w:tblPrEx>
        <w:trPr>
          <w:trHeight w:val="91" w:hRule="atLeast"/>
          <w:jc w:val="center"/>
        </w:trPr>
        <w:tc>
          <w:tcPr>
            <w:tcW w:w="2548" w:type="pct"/>
            <w:tcBorders>
              <w:top w:val="single" w:color="auto" w:sz="4" w:space="0"/>
              <w:left w:val="single" w:color="auto" w:sz="4" w:space="0"/>
            </w:tcBorders>
            <w:shd w:val="clear" w:color="auto" w:fill="FFFFFF"/>
            <w:noWrap w:val="0"/>
            <w:vAlign w:val="center"/>
          </w:tcPr>
          <w:p w14:paraId="5E449252">
            <w:pPr>
              <w:pStyle w:val="15"/>
              <w:shd w:val="clear" w:color="auto" w:fill="auto"/>
              <w:spacing w:after="0" w:line="240" w:lineRule="auto"/>
              <w:ind w:firstLine="630" w:firstLineChars="300"/>
              <w:jc w:val="both"/>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131.</w:t>
            </w:r>
            <w:r>
              <w:rPr>
                <w:rFonts w:hint="eastAsia" w:ascii="宋体" w:hAnsi="宋体" w:eastAsia="宋体" w:cs="宋体"/>
                <w:spacing w:val="0"/>
                <w:sz w:val="21"/>
                <w:szCs w:val="21"/>
                <w:lang w:val="zh-CN"/>
              </w:rPr>
              <w:t>前期调研情况</w:t>
            </w:r>
          </w:p>
        </w:tc>
        <w:tc>
          <w:tcPr>
            <w:tcW w:w="569" w:type="pct"/>
            <w:tcBorders>
              <w:top w:val="single" w:color="auto" w:sz="4" w:space="0"/>
              <w:left w:val="single" w:color="auto" w:sz="4" w:space="0"/>
            </w:tcBorders>
            <w:shd w:val="clear" w:color="auto" w:fill="FFFFFF"/>
            <w:noWrap w:val="0"/>
            <w:vAlign w:val="bottom"/>
          </w:tcPr>
          <w:p w14:paraId="2DF6EA28">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p>
        </w:tc>
        <w:tc>
          <w:tcPr>
            <w:tcW w:w="864" w:type="pct"/>
            <w:tcBorders>
              <w:top w:val="single" w:color="auto" w:sz="4" w:space="0"/>
              <w:left w:val="single" w:color="auto" w:sz="4" w:space="0"/>
            </w:tcBorders>
            <w:shd w:val="clear" w:color="auto" w:fill="FFFFFF"/>
            <w:noWrap w:val="0"/>
            <w:vAlign w:val="center"/>
          </w:tcPr>
          <w:p w14:paraId="155E4C3A">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充分调研</w:t>
            </w:r>
          </w:p>
        </w:tc>
        <w:tc>
          <w:tcPr>
            <w:tcW w:w="1017" w:type="pct"/>
            <w:tcBorders>
              <w:top w:val="single" w:color="auto" w:sz="4" w:space="0"/>
              <w:left w:val="single" w:color="auto" w:sz="4" w:space="0"/>
              <w:right w:val="single" w:color="auto" w:sz="4" w:space="0"/>
            </w:tcBorders>
            <w:shd w:val="clear" w:color="auto" w:fill="FFFFFF"/>
            <w:noWrap w:val="0"/>
            <w:vAlign w:val="bottom"/>
          </w:tcPr>
          <w:p w14:paraId="1A2EF41E">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r>
              <w:rPr>
                <w:rFonts w:hint="eastAsia" w:ascii="宋体" w:hAnsi="宋体" w:eastAsia="宋体" w:cs="宋体"/>
                <w:spacing w:val="0"/>
                <w:sz w:val="21"/>
                <w:szCs w:val="21"/>
                <w:lang w:eastAsia="en-US"/>
              </w:rPr>
              <w:t>.00</w:t>
            </w:r>
          </w:p>
        </w:tc>
      </w:tr>
      <w:tr w14:paraId="7E340227">
        <w:tblPrEx>
          <w:tblCellMar>
            <w:top w:w="0" w:type="dxa"/>
            <w:left w:w="10" w:type="dxa"/>
            <w:bottom w:w="0" w:type="dxa"/>
            <w:right w:w="10" w:type="dxa"/>
          </w:tblCellMar>
        </w:tblPrEx>
        <w:trPr>
          <w:trHeight w:val="91" w:hRule="atLeast"/>
          <w:jc w:val="center"/>
        </w:trPr>
        <w:tc>
          <w:tcPr>
            <w:tcW w:w="2548" w:type="pct"/>
            <w:tcBorders>
              <w:top w:val="single" w:color="auto" w:sz="4" w:space="0"/>
              <w:left w:val="single" w:color="auto" w:sz="4" w:space="0"/>
            </w:tcBorders>
            <w:shd w:val="clear" w:color="auto" w:fill="FFFFFF"/>
            <w:noWrap w:val="0"/>
            <w:vAlign w:val="center"/>
          </w:tcPr>
          <w:p w14:paraId="02E26692">
            <w:pPr>
              <w:pStyle w:val="15"/>
              <w:shd w:val="clear" w:color="auto" w:fill="auto"/>
              <w:spacing w:after="0" w:line="240" w:lineRule="auto"/>
              <w:ind w:firstLine="630" w:firstLineChars="300"/>
              <w:jc w:val="both"/>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132.</w:t>
            </w:r>
            <w:r>
              <w:rPr>
                <w:rFonts w:hint="eastAsia" w:ascii="宋体" w:hAnsi="宋体" w:eastAsia="宋体" w:cs="宋体"/>
                <w:spacing w:val="0"/>
                <w:sz w:val="21"/>
                <w:szCs w:val="21"/>
                <w:lang w:val="zh-CN"/>
              </w:rPr>
              <w:t>立项程序规范性</w:t>
            </w:r>
          </w:p>
        </w:tc>
        <w:tc>
          <w:tcPr>
            <w:tcW w:w="569" w:type="pct"/>
            <w:tcBorders>
              <w:top w:val="single" w:color="auto" w:sz="4" w:space="0"/>
              <w:left w:val="single" w:color="auto" w:sz="4" w:space="0"/>
            </w:tcBorders>
            <w:shd w:val="clear" w:color="auto" w:fill="FFFFFF"/>
            <w:noWrap w:val="0"/>
            <w:vAlign w:val="bottom"/>
          </w:tcPr>
          <w:p w14:paraId="74D69283">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p>
        </w:tc>
        <w:tc>
          <w:tcPr>
            <w:tcW w:w="864" w:type="pct"/>
            <w:tcBorders>
              <w:top w:val="single" w:color="auto" w:sz="4" w:space="0"/>
              <w:left w:val="single" w:color="auto" w:sz="4" w:space="0"/>
            </w:tcBorders>
            <w:shd w:val="clear" w:color="auto" w:fill="FFFFFF"/>
            <w:noWrap w:val="0"/>
            <w:vAlign w:val="center"/>
          </w:tcPr>
          <w:p w14:paraId="604E6FFE">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规范</w:t>
            </w:r>
          </w:p>
        </w:tc>
        <w:tc>
          <w:tcPr>
            <w:tcW w:w="1017" w:type="pct"/>
            <w:tcBorders>
              <w:top w:val="single" w:color="auto" w:sz="4" w:space="0"/>
              <w:left w:val="single" w:color="auto" w:sz="4" w:space="0"/>
              <w:right w:val="single" w:color="auto" w:sz="4" w:space="0"/>
            </w:tcBorders>
            <w:shd w:val="clear" w:color="auto" w:fill="FFFFFF"/>
            <w:noWrap w:val="0"/>
            <w:vAlign w:val="bottom"/>
          </w:tcPr>
          <w:p w14:paraId="76BCA92E">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r>
              <w:rPr>
                <w:rFonts w:hint="eastAsia" w:ascii="宋体" w:hAnsi="宋体" w:eastAsia="宋体" w:cs="宋体"/>
                <w:spacing w:val="0"/>
                <w:sz w:val="21"/>
                <w:szCs w:val="21"/>
                <w:lang w:eastAsia="en-US"/>
              </w:rPr>
              <w:t>.00</w:t>
            </w:r>
          </w:p>
        </w:tc>
      </w:tr>
      <w:tr w14:paraId="4090AD44">
        <w:tblPrEx>
          <w:tblCellMar>
            <w:top w:w="0" w:type="dxa"/>
            <w:left w:w="10" w:type="dxa"/>
            <w:bottom w:w="0" w:type="dxa"/>
            <w:right w:w="10" w:type="dxa"/>
          </w:tblCellMar>
        </w:tblPrEx>
        <w:trPr>
          <w:trHeight w:val="91" w:hRule="atLeast"/>
          <w:jc w:val="center"/>
        </w:trPr>
        <w:tc>
          <w:tcPr>
            <w:tcW w:w="2548" w:type="pct"/>
            <w:tcBorders>
              <w:top w:val="single" w:color="auto" w:sz="4" w:space="0"/>
              <w:left w:val="single" w:color="auto" w:sz="4" w:space="0"/>
              <w:bottom w:val="single" w:color="auto" w:sz="4" w:space="0"/>
            </w:tcBorders>
            <w:shd w:val="clear" w:color="auto" w:fill="FFFFFF"/>
            <w:noWrap w:val="0"/>
            <w:vAlign w:val="center"/>
          </w:tcPr>
          <w:p w14:paraId="72DB17E2">
            <w:pPr>
              <w:pStyle w:val="15"/>
              <w:shd w:val="clear" w:color="auto" w:fill="auto"/>
              <w:spacing w:after="0" w:line="240" w:lineRule="auto"/>
              <w:rPr>
                <w:rFonts w:hint="eastAsia" w:ascii="宋体" w:hAnsi="宋体" w:eastAsia="宋体" w:cs="宋体"/>
                <w:spacing w:val="0"/>
                <w:sz w:val="21"/>
                <w:szCs w:val="21"/>
                <w:lang w:val="zh-CN" w:eastAsia="zh-CN"/>
              </w:rPr>
            </w:pPr>
            <w:r>
              <w:rPr>
                <w:rFonts w:hint="eastAsia" w:cs="宋体"/>
                <w:spacing w:val="0"/>
                <w:sz w:val="21"/>
                <w:szCs w:val="21"/>
                <w:lang w:val="en-US" w:eastAsia="zh-CN"/>
              </w:rPr>
              <w:t>合计</w:t>
            </w:r>
          </w:p>
        </w:tc>
        <w:tc>
          <w:tcPr>
            <w:tcW w:w="569" w:type="pct"/>
            <w:tcBorders>
              <w:top w:val="single" w:color="auto" w:sz="4" w:space="0"/>
              <w:left w:val="single" w:color="auto" w:sz="4" w:space="0"/>
              <w:bottom w:val="single" w:color="auto" w:sz="4" w:space="0"/>
            </w:tcBorders>
            <w:shd w:val="clear" w:color="auto" w:fill="FFFFFF"/>
            <w:noWrap w:val="0"/>
            <w:vAlign w:val="center"/>
          </w:tcPr>
          <w:p w14:paraId="559CF28F">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8</w:t>
            </w:r>
          </w:p>
        </w:tc>
        <w:tc>
          <w:tcPr>
            <w:tcW w:w="864" w:type="pct"/>
            <w:tcBorders>
              <w:top w:val="single" w:color="auto" w:sz="4" w:space="0"/>
              <w:left w:val="single" w:color="auto" w:sz="4" w:space="0"/>
              <w:bottom w:val="single" w:color="auto" w:sz="4" w:space="0"/>
            </w:tcBorders>
            <w:shd w:val="clear" w:color="auto" w:fill="FFFFFF"/>
            <w:noWrap w:val="0"/>
            <w:vAlign w:val="top"/>
          </w:tcPr>
          <w:p w14:paraId="2DD1407B">
            <w:pPr>
              <w:pStyle w:val="15"/>
              <w:shd w:val="clear" w:color="auto" w:fill="auto"/>
              <w:spacing w:after="0" w:line="240" w:lineRule="auto"/>
              <w:rPr>
                <w:rFonts w:hint="eastAsia" w:ascii="宋体" w:hAnsi="宋体" w:eastAsia="宋体" w:cs="宋体"/>
                <w:spacing w:val="0"/>
                <w:sz w:val="21"/>
                <w:szCs w:val="21"/>
                <w:lang w:val="zh-CN"/>
              </w:rPr>
            </w:pPr>
          </w:p>
        </w:tc>
        <w:tc>
          <w:tcPr>
            <w:tcW w:w="101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CD23DF">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8</w:t>
            </w:r>
            <w:r>
              <w:rPr>
                <w:rFonts w:hint="eastAsia" w:ascii="宋体" w:hAnsi="宋体" w:eastAsia="宋体" w:cs="宋体"/>
                <w:spacing w:val="0"/>
                <w:sz w:val="21"/>
                <w:szCs w:val="21"/>
                <w:lang w:eastAsia="en-US"/>
              </w:rPr>
              <w:t>.00</w:t>
            </w:r>
          </w:p>
        </w:tc>
      </w:tr>
    </w:tbl>
    <w:p w14:paraId="4C57CB8E">
      <w:pPr>
        <w:spacing w:line="480" w:lineRule="auto"/>
        <w:ind w:firstLine="562" w:firstLineChars="200"/>
        <w:contextualSpacing/>
        <w:rPr>
          <w:rFonts w:hint="eastAsia" w:ascii="仿宋_GB2312" w:hAnsi="楷体" w:eastAsia="仿宋_GB2312"/>
          <w:b/>
          <w:bCs/>
          <w:sz w:val="28"/>
          <w:szCs w:val="28"/>
          <w:lang w:val="zh-CN"/>
        </w:rPr>
      </w:pPr>
      <w:r>
        <w:rPr>
          <w:rFonts w:hint="eastAsia" w:ascii="仿宋_GB2312" w:hAnsi="楷体" w:eastAsia="仿宋_GB2312"/>
          <w:b/>
          <w:bCs/>
          <w:sz w:val="28"/>
          <w:szCs w:val="28"/>
        </w:rPr>
        <w:t>A11.</w:t>
      </w:r>
      <w:r>
        <w:rPr>
          <w:rFonts w:hint="eastAsia" w:ascii="仿宋_GB2312" w:hAnsi="楷体" w:eastAsia="仿宋_GB2312"/>
          <w:b/>
          <w:bCs/>
          <w:sz w:val="28"/>
          <w:szCs w:val="28"/>
          <w:lang w:val="zh-CN"/>
        </w:rPr>
        <w:t>与部门中长期规划目标适应性</w:t>
      </w:r>
    </w:p>
    <w:p w14:paraId="673043E8">
      <w:pPr>
        <w:spacing w:line="579" w:lineRule="exact"/>
        <w:ind w:firstLine="560" w:firstLineChars="200"/>
        <w:rPr>
          <w:rFonts w:hint="eastAsia" w:ascii="仿宋_GB2312" w:hAnsi="楷体" w:eastAsia="仿宋_GB2312"/>
          <w:sz w:val="28"/>
          <w:szCs w:val="28"/>
          <w:lang w:val="zh-CN" w:eastAsia="zh-CN"/>
        </w:rPr>
      </w:pPr>
      <w:r>
        <w:rPr>
          <w:rFonts w:hint="eastAsia" w:ascii="仿宋_GB2312" w:hAnsi="楷体" w:eastAsia="仿宋_GB2312"/>
          <w:sz w:val="28"/>
          <w:szCs w:val="28"/>
          <w:u w:val="single"/>
          <w:lang w:val="zh-CN" w:eastAsia="zh-CN"/>
        </w:rPr>
        <w:t>A111.与部门中长期规划目标匹配性：</w:t>
      </w:r>
      <w:r>
        <w:rPr>
          <w:rFonts w:hint="eastAsia" w:ascii="仿宋_GB2312" w:hAnsi="仿宋" w:eastAsia="仿宋_GB2312" w:cs="MingLiU_HKSCS"/>
          <w:color w:val="000000"/>
          <w:spacing w:val="6"/>
          <w:kern w:val="0"/>
          <w:sz w:val="28"/>
          <w:szCs w:val="28"/>
          <w:highlight w:val="none"/>
          <w:u w:val="none"/>
          <w:lang w:val="zh-CN" w:eastAsia="zh-CN" w:bidi="ar-SA"/>
        </w:rPr>
        <w:t>该项目根据《云南省人民政府关于做好第二次全国污染源普查工作的通知》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云政发</w:t>
      </w:r>
      <w:r>
        <w:rPr>
          <w:rFonts w:hint="eastAsia" w:ascii="仿宋_GB2312" w:hAnsi="仿宋" w:eastAsia="仿宋_GB2312" w:cs="MingLiU_HKSCS"/>
          <w:color w:val="000000"/>
          <w:spacing w:val="6"/>
          <w:kern w:val="0"/>
          <w:sz w:val="28"/>
          <w:szCs w:val="28"/>
          <w:highlight w:val="none"/>
          <w:u w:val="none"/>
          <w:lang w:val="en-US" w:eastAsia="zh-CN" w:bidi="ar-SA"/>
        </w:rPr>
        <w:t>〔2017〕45</w:t>
      </w:r>
      <w:r>
        <w:rPr>
          <w:rFonts w:hint="eastAsia" w:ascii="仿宋_GB2312" w:hAnsi="仿宋" w:eastAsia="仿宋_GB2312" w:cs="MingLiU_HKSCS"/>
          <w:color w:val="000000"/>
          <w:spacing w:val="6"/>
          <w:kern w:val="0"/>
          <w:sz w:val="28"/>
          <w:szCs w:val="28"/>
          <w:highlight w:val="none"/>
          <w:u w:val="none"/>
          <w:lang w:val="zh-CN" w:eastAsia="zh-CN" w:bidi="ar-SA"/>
        </w:rPr>
        <w:t>号）和《昆明市关于做好第二次全国污染源普查工作的通知》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昆政发</w:t>
      </w:r>
      <w:r>
        <w:rPr>
          <w:rFonts w:hint="eastAsia" w:ascii="仿宋_GB2312" w:hAnsi="仿宋" w:eastAsia="仿宋_GB2312" w:cs="MingLiU_HKSCS"/>
          <w:color w:val="000000"/>
          <w:spacing w:val="6"/>
          <w:kern w:val="0"/>
          <w:sz w:val="28"/>
          <w:szCs w:val="28"/>
          <w:highlight w:val="none"/>
          <w:u w:val="none"/>
          <w:lang w:val="en-US" w:eastAsia="zh-CN" w:bidi="ar-SA"/>
        </w:rPr>
        <w:t>〔2017〕50</w:t>
      </w:r>
      <w:r>
        <w:rPr>
          <w:rFonts w:hint="eastAsia" w:ascii="仿宋_GB2312" w:hAnsi="仿宋" w:eastAsia="仿宋_GB2312" w:cs="MingLiU_HKSCS"/>
          <w:color w:val="000000"/>
          <w:spacing w:val="6"/>
          <w:kern w:val="0"/>
          <w:sz w:val="28"/>
          <w:szCs w:val="28"/>
          <w:highlight w:val="none"/>
          <w:u w:val="none"/>
          <w:lang w:val="zh-CN" w:eastAsia="zh-CN" w:bidi="ar-SA"/>
        </w:rPr>
        <w:t>号）立项，与</w:t>
      </w:r>
      <w:r>
        <w:rPr>
          <w:rFonts w:hint="eastAsia" w:ascii="仿宋_GB2312" w:hAnsi="仿宋" w:eastAsia="仿宋_GB2312" w:cs="Times New Roman"/>
          <w:color w:val="000000"/>
          <w:spacing w:val="6"/>
          <w:kern w:val="0"/>
          <w:sz w:val="28"/>
          <w:szCs w:val="28"/>
          <w:highlight w:val="none"/>
          <w:u w:val="none"/>
          <w:lang w:val="en-US" w:eastAsia="zh-CN" w:bidi="ar-SA"/>
        </w:rPr>
        <w:t>摸清盘龙区各类污染源基本情况，了解污染源数量、结构和分布状况，掌握辖区内各行业污染</w:t>
      </w:r>
      <w:r>
        <w:rPr>
          <w:rFonts w:hint="eastAsia" w:ascii="仿宋_GB2312" w:hAnsi="仿宋" w:eastAsia="仿宋_GB2312" w:cs="Times New Roman"/>
          <w:color w:val="000000"/>
          <w:spacing w:val="6"/>
          <w:kern w:val="0"/>
          <w:sz w:val="28"/>
          <w:szCs w:val="28"/>
          <w:highlight w:val="none"/>
          <w:u w:val="none"/>
          <w:lang w:val="zh-CN" w:eastAsia="zh-CN" w:bidi="ar-SA"/>
        </w:rPr>
        <w:t>物产生、排放和处理情况，建立健全盘龙区重点污染源档案、污染源信息数据库和环境统计平台的中长期规划目标相匹配。</w:t>
      </w:r>
    </w:p>
    <w:p w14:paraId="36EBF07B">
      <w:pPr>
        <w:spacing w:line="579" w:lineRule="exact"/>
        <w:ind w:firstLine="560" w:firstLineChars="200"/>
        <w:rPr>
          <w:rFonts w:hint="eastAsia" w:ascii="仿宋_GB2312" w:hAnsi="楷体" w:eastAsia="仿宋_GB2312"/>
          <w:sz w:val="28"/>
          <w:szCs w:val="28"/>
        </w:rPr>
      </w:pPr>
      <w:r>
        <w:rPr>
          <w:rFonts w:hint="eastAsia" w:ascii="仿宋_GB2312" w:hAnsi="楷体" w:eastAsia="仿宋_GB2312"/>
          <w:sz w:val="28"/>
          <w:szCs w:val="28"/>
          <w:lang w:val="zh-CN" w:eastAsia="zh-CN"/>
        </w:rPr>
        <w:t>该项指标满分为1分，根据评分标准得1分。</w:t>
      </w:r>
    </w:p>
    <w:p w14:paraId="4ECEE184">
      <w:pPr>
        <w:spacing w:line="480" w:lineRule="auto"/>
        <w:ind w:firstLine="562" w:firstLineChars="200"/>
        <w:contextualSpacing/>
        <w:rPr>
          <w:rFonts w:hint="eastAsia" w:ascii="仿宋_GB2312" w:hAnsi="楷体" w:eastAsia="仿宋_GB2312"/>
          <w:b/>
          <w:bCs/>
          <w:sz w:val="28"/>
          <w:szCs w:val="28"/>
          <w:lang w:val="zh-CN"/>
        </w:rPr>
      </w:pPr>
      <w:r>
        <w:rPr>
          <w:rFonts w:hint="eastAsia" w:ascii="仿宋_GB2312" w:hAnsi="楷体" w:eastAsia="仿宋_GB2312"/>
          <w:b/>
          <w:bCs/>
          <w:sz w:val="28"/>
          <w:szCs w:val="28"/>
        </w:rPr>
        <w:t>A12.</w:t>
      </w:r>
      <w:r>
        <w:rPr>
          <w:rFonts w:hint="eastAsia" w:ascii="仿宋_GB2312" w:hAnsi="楷体" w:eastAsia="仿宋_GB2312"/>
          <w:b/>
          <w:bCs/>
          <w:sz w:val="28"/>
          <w:szCs w:val="28"/>
          <w:lang w:val="zh-CN"/>
        </w:rPr>
        <w:t>立项依据充分性</w:t>
      </w:r>
    </w:p>
    <w:p w14:paraId="018F03F6">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u w:val="single"/>
        </w:rPr>
        <w:t>A121.</w:t>
      </w:r>
      <w:r>
        <w:rPr>
          <w:rFonts w:hint="eastAsia" w:ascii="仿宋_GB2312" w:hAnsi="楷体" w:eastAsia="仿宋_GB2312"/>
          <w:sz w:val="28"/>
          <w:szCs w:val="28"/>
          <w:u w:val="single"/>
          <w:lang w:val="zh-CN"/>
        </w:rPr>
        <w:t>与市政府相关规划、决策匹配性：</w:t>
      </w:r>
      <w:r>
        <w:rPr>
          <w:rFonts w:hint="eastAsia" w:ascii="仿宋_GB2312" w:hAnsi="仿宋" w:eastAsia="仿宋_GB2312" w:cs="MingLiU_HKSCS"/>
          <w:color w:val="000000"/>
          <w:spacing w:val="6"/>
          <w:kern w:val="0"/>
          <w:sz w:val="28"/>
          <w:szCs w:val="28"/>
          <w:highlight w:val="none"/>
          <w:u w:val="none"/>
          <w:lang w:val="zh-CN" w:eastAsia="zh-CN" w:bidi="ar-SA"/>
        </w:rPr>
        <w:t>为加强盘龙区污染源监管、改善环境质量、提升防控环境风险、促进服务环境与社会发展相结合，根据《云南省人民政府关于做好第二次全国污染源普查工作的通知》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云政发</w:t>
      </w:r>
      <w:r>
        <w:rPr>
          <w:rFonts w:hint="eastAsia" w:ascii="仿宋_GB2312" w:hAnsi="仿宋" w:eastAsia="仿宋_GB2312" w:cs="MingLiU_HKSCS"/>
          <w:color w:val="000000"/>
          <w:spacing w:val="6"/>
          <w:kern w:val="0"/>
          <w:sz w:val="28"/>
          <w:szCs w:val="28"/>
          <w:highlight w:val="none"/>
          <w:u w:val="none"/>
          <w:lang w:val="en-US" w:eastAsia="zh-CN" w:bidi="ar-SA"/>
        </w:rPr>
        <w:t>〔2017〕45</w:t>
      </w:r>
      <w:r>
        <w:rPr>
          <w:rFonts w:hint="eastAsia" w:ascii="仿宋_GB2312" w:hAnsi="仿宋" w:eastAsia="仿宋_GB2312" w:cs="MingLiU_HKSCS"/>
          <w:color w:val="000000"/>
          <w:spacing w:val="6"/>
          <w:kern w:val="0"/>
          <w:sz w:val="28"/>
          <w:szCs w:val="28"/>
          <w:highlight w:val="none"/>
          <w:u w:val="none"/>
          <w:lang w:val="zh-CN" w:eastAsia="zh-CN" w:bidi="ar-SA"/>
        </w:rPr>
        <w:t>号）和《昆明市关于做好第二次全国污染源普查工作的通知》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昆政发</w:t>
      </w:r>
      <w:r>
        <w:rPr>
          <w:rFonts w:hint="eastAsia" w:ascii="仿宋_GB2312" w:hAnsi="仿宋" w:eastAsia="仿宋_GB2312" w:cs="MingLiU_HKSCS"/>
          <w:color w:val="000000"/>
          <w:spacing w:val="6"/>
          <w:kern w:val="0"/>
          <w:sz w:val="28"/>
          <w:szCs w:val="28"/>
          <w:highlight w:val="none"/>
          <w:u w:val="none"/>
          <w:lang w:val="en-US" w:eastAsia="zh-CN" w:bidi="ar-SA"/>
        </w:rPr>
        <w:t>〔2017〕50</w:t>
      </w:r>
      <w:r>
        <w:rPr>
          <w:rFonts w:hint="eastAsia" w:ascii="仿宋_GB2312" w:hAnsi="仿宋" w:eastAsia="仿宋_GB2312" w:cs="MingLiU_HKSCS"/>
          <w:color w:val="000000"/>
          <w:spacing w:val="6"/>
          <w:kern w:val="0"/>
          <w:sz w:val="28"/>
          <w:szCs w:val="28"/>
          <w:highlight w:val="none"/>
          <w:u w:val="none"/>
          <w:lang w:val="zh-CN" w:eastAsia="zh-CN" w:bidi="ar-SA"/>
        </w:rPr>
        <w:t>号）的相关文件要求，</w:t>
      </w:r>
      <w:r>
        <w:rPr>
          <w:rFonts w:hint="eastAsia" w:ascii="仿宋_GB2312" w:hAnsi="仿宋" w:eastAsia="仿宋_GB2312" w:cs="MingLiU_HKSCS"/>
          <w:color w:val="000000"/>
          <w:spacing w:val="6"/>
          <w:kern w:val="0"/>
          <w:sz w:val="28"/>
          <w:szCs w:val="28"/>
          <w:highlight w:val="none"/>
          <w:u w:val="none"/>
          <w:lang w:val="en-US" w:eastAsia="zh-CN" w:bidi="ar-SA"/>
        </w:rPr>
        <w:t>2017</w:t>
      </w:r>
      <w:r>
        <w:rPr>
          <w:rFonts w:hint="eastAsia" w:ascii="仿宋_GB2312" w:hAnsi="仿宋" w:eastAsia="仿宋_GB2312" w:cs="MingLiU_HKSCS"/>
          <w:color w:val="000000"/>
          <w:spacing w:val="6"/>
          <w:kern w:val="0"/>
          <w:sz w:val="28"/>
          <w:szCs w:val="28"/>
          <w:highlight w:val="none"/>
          <w:u w:val="none"/>
          <w:lang w:val="zh-CN" w:eastAsia="zh-CN" w:bidi="ar-SA"/>
        </w:rPr>
        <w:t>年底昆明市生态环境局盘龙分局牵头拟定了《盘龙区人民政府关于做好第二次全国污染源普查工作的通知》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盘政发</w:t>
      </w:r>
      <w:r>
        <w:rPr>
          <w:rFonts w:hint="eastAsia" w:ascii="仿宋_GB2312" w:hAnsi="仿宋" w:eastAsia="仿宋_GB2312" w:cs="MingLiU_HKSCS"/>
          <w:color w:val="000000"/>
          <w:spacing w:val="6"/>
          <w:kern w:val="0"/>
          <w:sz w:val="28"/>
          <w:szCs w:val="28"/>
          <w:highlight w:val="none"/>
          <w:u w:val="none"/>
          <w:lang w:val="en-US" w:eastAsia="zh-CN" w:bidi="ar-SA"/>
        </w:rPr>
        <w:t>〔2017〕8</w:t>
      </w:r>
      <w:r>
        <w:rPr>
          <w:rFonts w:hint="eastAsia" w:ascii="仿宋_GB2312" w:hAnsi="仿宋" w:eastAsia="仿宋_GB2312" w:cs="MingLiU_HKSCS"/>
          <w:color w:val="000000"/>
          <w:spacing w:val="6"/>
          <w:kern w:val="0"/>
          <w:sz w:val="28"/>
          <w:szCs w:val="28"/>
          <w:highlight w:val="none"/>
          <w:u w:val="none"/>
          <w:lang w:val="zh-CN" w:eastAsia="zh-CN" w:bidi="ar-SA"/>
        </w:rPr>
        <w:t>号）和《盘龙区环境保护局关于成立第二次全国污染源普查领导小组的通知》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盘环保</w:t>
      </w:r>
      <w:r>
        <w:rPr>
          <w:rFonts w:hint="eastAsia" w:ascii="仿宋_GB2312" w:hAnsi="仿宋" w:eastAsia="仿宋_GB2312" w:cs="MingLiU_HKSCS"/>
          <w:color w:val="000000"/>
          <w:spacing w:val="6"/>
          <w:kern w:val="0"/>
          <w:sz w:val="28"/>
          <w:szCs w:val="28"/>
          <w:highlight w:val="none"/>
          <w:u w:val="none"/>
          <w:lang w:val="en-US" w:eastAsia="zh-CN" w:bidi="ar-SA"/>
        </w:rPr>
        <w:t>〔2017〕107</w:t>
      </w:r>
      <w:r>
        <w:rPr>
          <w:rFonts w:hint="eastAsia" w:ascii="仿宋_GB2312" w:hAnsi="仿宋" w:eastAsia="仿宋_GB2312" w:cs="MingLiU_HKSCS"/>
          <w:color w:val="000000"/>
          <w:spacing w:val="6"/>
          <w:kern w:val="0"/>
          <w:sz w:val="28"/>
          <w:szCs w:val="28"/>
          <w:highlight w:val="none"/>
          <w:u w:val="none"/>
          <w:lang w:val="zh-CN" w:eastAsia="zh-CN" w:bidi="ar-SA"/>
        </w:rPr>
        <w:t>号）。项目立项与市政府</w:t>
      </w:r>
      <w:r>
        <w:rPr>
          <w:rFonts w:hint="eastAsia" w:ascii="仿宋_GB2312" w:hAnsi="楷体" w:eastAsia="仿宋_GB2312"/>
          <w:sz w:val="28"/>
          <w:szCs w:val="28"/>
          <w:lang w:val="zh-CN" w:eastAsia="zh-CN"/>
        </w:rPr>
        <w:t>发展规划相匹配。</w:t>
      </w:r>
    </w:p>
    <w:p w14:paraId="3ADFBE40">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该项指标满分2分，根据评分标准得2分。</w:t>
      </w:r>
    </w:p>
    <w:p w14:paraId="73EC8D45">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u w:val="single"/>
        </w:rPr>
        <w:t>A122.</w:t>
      </w:r>
      <w:r>
        <w:rPr>
          <w:rFonts w:hint="eastAsia" w:ascii="仿宋_GB2312" w:hAnsi="楷体" w:eastAsia="仿宋_GB2312"/>
          <w:sz w:val="28"/>
          <w:szCs w:val="28"/>
          <w:u w:val="single"/>
          <w:lang w:val="zh-CN"/>
        </w:rPr>
        <w:t>与部门职责适应性：</w:t>
      </w:r>
      <w:r>
        <w:rPr>
          <w:rFonts w:hint="eastAsia" w:ascii="仿宋_GB2312" w:hAnsi="楷体" w:eastAsia="仿宋_GB2312"/>
          <w:sz w:val="28"/>
          <w:szCs w:val="28"/>
          <w:lang w:val="zh-CN" w:eastAsia="zh-CN"/>
        </w:rPr>
        <w:t>该项目符合昆明市生态环境局盘龙分局的部门职能职责要求。</w:t>
      </w:r>
    </w:p>
    <w:p w14:paraId="0D4C2C9A">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该项指标满分1分，根据评分标准得1分。</w:t>
      </w:r>
    </w:p>
    <w:p w14:paraId="7FE6CAF0">
      <w:pPr>
        <w:spacing w:line="480" w:lineRule="auto"/>
        <w:ind w:firstLine="562" w:firstLineChars="200"/>
        <w:contextualSpacing/>
        <w:rPr>
          <w:rFonts w:hint="eastAsia" w:ascii="仿宋_GB2312" w:hAnsi="楷体" w:eastAsia="仿宋_GB2312"/>
          <w:b/>
          <w:bCs/>
          <w:sz w:val="28"/>
          <w:szCs w:val="28"/>
          <w:lang w:val="zh-CN"/>
        </w:rPr>
      </w:pPr>
      <w:r>
        <w:rPr>
          <w:rFonts w:hint="eastAsia" w:ascii="仿宋_GB2312" w:hAnsi="楷体" w:eastAsia="仿宋_GB2312"/>
          <w:b/>
          <w:bCs/>
          <w:sz w:val="28"/>
          <w:szCs w:val="28"/>
        </w:rPr>
        <w:t>A13.</w:t>
      </w:r>
      <w:r>
        <w:rPr>
          <w:rFonts w:hint="eastAsia" w:ascii="仿宋_GB2312" w:hAnsi="楷体" w:eastAsia="仿宋_GB2312"/>
          <w:b/>
          <w:bCs/>
          <w:sz w:val="28"/>
          <w:szCs w:val="28"/>
          <w:lang w:val="zh-CN"/>
        </w:rPr>
        <w:t>立项依据充分性</w:t>
      </w:r>
    </w:p>
    <w:p w14:paraId="3A2D99E2">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u w:val="single"/>
        </w:rPr>
        <w:t>A131.</w:t>
      </w:r>
      <w:r>
        <w:rPr>
          <w:rFonts w:hint="eastAsia" w:ascii="仿宋_GB2312" w:hAnsi="楷体" w:eastAsia="仿宋_GB2312"/>
          <w:sz w:val="28"/>
          <w:szCs w:val="28"/>
          <w:u w:val="single"/>
          <w:lang w:val="zh-CN"/>
        </w:rPr>
        <w:t>前期调研情况：</w:t>
      </w:r>
      <w:r>
        <w:rPr>
          <w:rFonts w:hint="eastAsia" w:ascii="仿宋_GB2312" w:hAnsi="楷体" w:eastAsia="仿宋_GB2312"/>
          <w:sz w:val="28"/>
          <w:szCs w:val="28"/>
          <w:lang w:val="zh-CN" w:eastAsia="zh-CN"/>
        </w:rPr>
        <w:t>通过前期对昆明市生态环境局盘龙分局开展调研，初步了解项目立项背景及依据、组织及管理情况、实施内容、实施计划及完成情况等，并向项目相关单位索要相关文件，通过调研会议等工作的相继开展，进一步了解项目情况。</w:t>
      </w:r>
    </w:p>
    <w:p w14:paraId="117D6CEA">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该项指标满分2分，根据评分标准得2分。</w:t>
      </w:r>
    </w:p>
    <w:p w14:paraId="15E7A428">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u w:val="single"/>
        </w:rPr>
        <w:t>A132.</w:t>
      </w:r>
      <w:r>
        <w:rPr>
          <w:rFonts w:hint="eastAsia" w:ascii="仿宋_GB2312" w:hAnsi="楷体" w:eastAsia="仿宋_GB2312"/>
          <w:sz w:val="28"/>
          <w:szCs w:val="28"/>
          <w:u w:val="single"/>
          <w:lang w:val="zh-CN"/>
        </w:rPr>
        <w:t>立项程序规范性：</w:t>
      </w:r>
      <w:r>
        <w:rPr>
          <w:rFonts w:hint="eastAsia" w:ascii="仿宋_GB2312" w:hAnsi="楷体" w:eastAsia="仿宋_GB2312"/>
          <w:sz w:val="28"/>
          <w:szCs w:val="28"/>
          <w:lang w:val="zh-CN" w:eastAsia="zh-CN"/>
        </w:rPr>
        <w:t>该项目主要依据《</w:t>
      </w:r>
      <w:r>
        <w:rPr>
          <w:rFonts w:hint="eastAsia" w:ascii="仿宋_GB2312" w:hAnsi="仿宋" w:eastAsia="仿宋_GB2312" w:cs="MingLiU_HKSCS"/>
          <w:color w:val="000000"/>
          <w:spacing w:val="6"/>
          <w:kern w:val="0"/>
          <w:sz w:val="28"/>
          <w:szCs w:val="28"/>
          <w:highlight w:val="none"/>
          <w:u w:val="none"/>
          <w:lang w:val="zh-CN" w:eastAsia="zh-CN" w:bidi="ar-SA"/>
        </w:rPr>
        <w:t>云南省人民政府关于做好第二次全国污染源普查工作的通知》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云政发</w:t>
      </w:r>
      <w:r>
        <w:rPr>
          <w:rFonts w:hint="eastAsia" w:ascii="仿宋_GB2312" w:hAnsi="仿宋" w:eastAsia="仿宋_GB2312" w:cs="MingLiU_HKSCS"/>
          <w:color w:val="000000"/>
          <w:spacing w:val="6"/>
          <w:kern w:val="0"/>
          <w:sz w:val="28"/>
          <w:szCs w:val="28"/>
          <w:highlight w:val="none"/>
          <w:u w:val="none"/>
          <w:lang w:val="en-US" w:eastAsia="zh-CN" w:bidi="ar-SA"/>
        </w:rPr>
        <w:t>〔2017〕45</w:t>
      </w:r>
      <w:r>
        <w:rPr>
          <w:rFonts w:hint="eastAsia" w:ascii="仿宋_GB2312" w:hAnsi="仿宋" w:eastAsia="仿宋_GB2312" w:cs="MingLiU_HKSCS"/>
          <w:color w:val="000000"/>
          <w:spacing w:val="6"/>
          <w:kern w:val="0"/>
          <w:sz w:val="28"/>
          <w:szCs w:val="28"/>
          <w:highlight w:val="none"/>
          <w:u w:val="none"/>
          <w:lang w:val="zh-CN" w:eastAsia="zh-CN" w:bidi="ar-SA"/>
        </w:rPr>
        <w:t>号）、《昆明市关于做好第二次全国污染源普查工作的通知》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昆政发</w:t>
      </w:r>
      <w:r>
        <w:rPr>
          <w:rFonts w:hint="eastAsia" w:ascii="仿宋_GB2312" w:hAnsi="仿宋" w:eastAsia="仿宋_GB2312" w:cs="MingLiU_HKSCS"/>
          <w:color w:val="000000"/>
          <w:spacing w:val="6"/>
          <w:kern w:val="0"/>
          <w:sz w:val="28"/>
          <w:szCs w:val="28"/>
          <w:highlight w:val="none"/>
          <w:u w:val="none"/>
          <w:lang w:val="en-US" w:eastAsia="zh-CN" w:bidi="ar-SA"/>
        </w:rPr>
        <w:t>〔2017〕50</w:t>
      </w:r>
      <w:r>
        <w:rPr>
          <w:rFonts w:hint="eastAsia" w:ascii="仿宋_GB2312" w:hAnsi="仿宋" w:eastAsia="仿宋_GB2312" w:cs="MingLiU_HKSCS"/>
          <w:color w:val="000000"/>
          <w:spacing w:val="6"/>
          <w:kern w:val="0"/>
          <w:sz w:val="28"/>
          <w:szCs w:val="28"/>
          <w:highlight w:val="none"/>
          <w:u w:val="none"/>
          <w:lang w:val="zh-CN" w:eastAsia="zh-CN" w:bidi="ar-SA"/>
        </w:rPr>
        <w:t>号）、《盘龙区人民政府关于做好第二次全国污染源普查工作的通知》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盘政发</w:t>
      </w:r>
      <w:r>
        <w:rPr>
          <w:rFonts w:hint="eastAsia" w:ascii="仿宋_GB2312" w:hAnsi="仿宋" w:eastAsia="仿宋_GB2312" w:cs="MingLiU_HKSCS"/>
          <w:color w:val="000000"/>
          <w:spacing w:val="6"/>
          <w:kern w:val="0"/>
          <w:sz w:val="28"/>
          <w:szCs w:val="28"/>
          <w:highlight w:val="none"/>
          <w:u w:val="none"/>
          <w:lang w:val="en-US" w:eastAsia="zh-CN" w:bidi="ar-SA"/>
        </w:rPr>
        <w:t>〔2017〕8</w:t>
      </w:r>
      <w:r>
        <w:rPr>
          <w:rFonts w:hint="eastAsia" w:ascii="仿宋_GB2312" w:hAnsi="仿宋" w:eastAsia="仿宋_GB2312" w:cs="MingLiU_HKSCS"/>
          <w:color w:val="000000"/>
          <w:spacing w:val="6"/>
          <w:kern w:val="0"/>
          <w:sz w:val="28"/>
          <w:szCs w:val="28"/>
          <w:highlight w:val="none"/>
          <w:u w:val="none"/>
          <w:lang w:val="zh-CN" w:eastAsia="zh-CN" w:bidi="ar-SA"/>
        </w:rPr>
        <w:t>号）及《盘龙区环境保护局关于成立第二次全国污染源普查领导小组的通知》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盘环保</w:t>
      </w:r>
      <w:r>
        <w:rPr>
          <w:rFonts w:hint="eastAsia" w:ascii="仿宋_GB2312" w:hAnsi="仿宋" w:eastAsia="仿宋_GB2312" w:cs="MingLiU_HKSCS"/>
          <w:color w:val="000000"/>
          <w:spacing w:val="6"/>
          <w:kern w:val="0"/>
          <w:sz w:val="28"/>
          <w:szCs w:val="28"/>
          <w:highlight w:val="none"/>
          <w:u w:val="none"/>
          <w:lang w:val="en-US" w:eastAsia="zh-CN" w:bidi="ar-SA"/>
        </w:rPr>
        <w:t>〔2017〕107</w:t>
      </w:r>
      <w:r>
        <w:rPr>
          <w:rFonts w:hint="eastAsia" w:ascii="仿宋_GB2312" w:hAnsi="仿宋" w:eastAsia="仿宋_GB2312" w:cs="MingLiU_HKSCS"/>
          <w:color w:val="000000"/>
          <w:spacing w:val="6"/>
          <w:kern w:val="0"/>
          <w:sz w:val="28"/>
          <w:szCs w:val="28"/>
          <w:highlight w:val="none"/>
          <w:u w:val="none"/>
          <w:lang w:val="zh-CN" w:eastAsia="zh-CN" w:bidi="ar-SA"/>
        </w:rPr>
        <w:t>号）</w:t>
      </w:r>
      <w:r>
        <w:rPr>
          <w:rFonts w:hint="eastAsia" w:ascii="仿宋_GB2312" w:hAnsi="楷体" w:eastAsia="仿宋_GB2312"/>
          <w:sz w:val="28"/>
          <w:szCs w:val="28"/>
          <w:lang w:val="zh-CN" w:eastAsia="zh-CN"/>
        </w:rPr>
        <w:t>等相关文件立项，项目立项依据充分。</w:t>
      </w:r>
    </w:p>
    <w:p w14:paraId="69CD754D">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该项指标满分2分，根据评分标准得2分。</w:t>
      </w:r>
    </w:p>
    <w:p w14:paraId="5A3A5310">
      <w:pPr>
        <w:spacing w:line="590" w:lineRule="exact"/>
        <w:ind w:firstLine="560" w:firstLineChars="200"/>
        <w:contextualSpacing/>
        <w:rPr>
          <w:rFonts w:hint="eastAsia" w:ascii="仿宋_GB2312" w:hAnsi="楷体" w:eastAsia="仿宋_GB2312"/>
          <w:sz w:val="28"/>
          <w:szCs w:val="28"/>
          <w:lang w:val="zh-CN"/>
        </w:rPr>
      </w:pPr>
      <w:r>
        <w:rPr>
          <w:rFonts w:hint="eastAsia" w:ascii="仿宋_GB2312" w:hAnsi="楷体" w:eastAsia="仿宋_GB2312"/>
          <w:sz w:val="28"/>
          <w:szCs w:val="28"/>
          <w:lang w:val="zh-CN"/>
        </w:rPr>
        <w:t>（</w:t>
      </w:r>
      <w:r>
        <w:rPr>
          <w:rFonts w:hint="eastAsia" w:ascii="仿宋_GB2312" w:hAnsi="楷体" w:eastAsia="仿宋_GB2312"/>
          <w:sz w:val="28"/>
          <w:szCs w:val="28"/>
        </w:rPr>
        <w:t>2</w:t>
      </w:r>
      <w:r>
        <w:rPr>
          <w:rFonts w:hint="eastAsia" w:ascii="仿宋_GB2312" w:hAnsi="楷体" w:eastAsia="仿宋_GB2312"/>
          <w:sz w:val="28"/>
          <w:szCs w:val="28"/>
          <w:lang w:val="zh-CN"/>
        </w:rPr>
        <w:t>）项目目标</w:t>
      </w:r>
    </w:p>
    <w:p w14:paraId="60840400">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主要考察所设定的项目绩效目标是否依据充分、完整且与预算相匹配，细化分解的绩效指标是否与绩效目标相适应。各指标业绩值和实际得分详见下表：</w:t>
      </w:r>
    </w:p>
    <w:p w14:paraId="5B3B870B">
      <w:pPr>
        <w:widowControl/>
        <w:jc w:val="center"/>
        <w:rPr>
          <w:rFonts w:hint="eastAsia" w:ascii="黑体" w:hAnsi="黑体" w:eastAsia="黑体" w:cs="黑体"/>
          <w:b w:val="0"/>
          <w:bCs w:val="0"/>
          <w:sz w:val="24"/>
          <w:szCs w:val="24"/>
          <w:lang w:val="zh-CN"/>
        </w:rPr>
      </w:pPr>
      <w:r>
        <w:rPr>
          <w:rFonts w:hint="eastAsia" w:ascii="黑体" w:hAnsi="黑体" w:eastAsia="黑体" w:cs="黑体"/>
          <w:b w:val="0"/>
          <w:bCs w:val="0"/>
          <w:sz w:val="24"/>
          <w:szCs w:val="24"/>
          <w:lang w:val="zh-CN"/>
        </w:rPr>
        <w:t>表</w:t>
      </w:r>
      <w:r>
        <w:rPr>
          <w:rFonts w:hint="eastAsia" w:ascii="黑体" w:hAnsi="黑体" w:eastAsia="黑体" w:cs="黑体"/>
          <w:b w:val="0"/>
          <w:bCs w:val="0"/>
          <w:sz w:val="24"/>
          <w:szCs w:val="24"/>
          <w:lang w:val="en-US" w:eastAsia="zh-CN"/>
        </w:rPr>
        <w:t>5</w:t>
      </w:r>
      <w:r>
        <w:rPr>
          <w:rFonts w:hint="eastAsia" w:ascii="黑体" w:hAnsi="黑体" w:eastAsia="黑体" w:cs="黑体"/>
          <w:b w:val="0"/>
          <w:bCs w:val="0"/>
          <w:sz w:val="24"/>
          <w:szCs w:val="24"/>
          <w:lang w:val="zh-CN"/>
        </w:rPr>
        <w:t xml:space="preserve"> 项目目标类指标评分表</w:t>
      </w:r>
    </w:p>
    <w:tbl>
      <w:tblPr>
        <w:tblStyle w:val="8"/>
        <w:tblW w:w="8276" w:type="dxa"/>
        <w:jc w:val="center"/>
        <w:tblLayout w:type="fixed"/>
        <w:tblCellMar>
          <w:top w:w="0" w:type="dxa"/>
          <w:left w:w="10" w:type="dxa"/>
          <w:bottom w:w="0" w:type="dxa"/>
          <w:right w:w="10" w:type="dxa"/>
        </w:tblCellMar>
      </w:tblPr>
      <w:tblGrid>
        <w:gridCol w:w="3453"/>
        <w:gridCol w:w="1642"/>
        <w:gridCol w:w="1642"/>
        <w:gridCol w:w="1539"/>
      </w:tblGrid>
      <w:tr w14:paraId="0B87B40A">
        <w:tblPrEx>
          <w:tblCellMar>
            <w:top w:w="0" w:type="dxa"/>
            <w:left w:w="10" w:type="dxa"/>
            <w:bottom w:w="0" w:type="dxa"/>
            <w:right w:w="10" w:type="dxa"/>
          </w:tblCellMar>
        </w:tblPrEx>
        <w:trPr>
          <w:trHeight w:val="355" w:hRule="exact"/>
          <w:tblHeader/>
          <w:jc w:val="center"/>
        </w:trPr>
        <w:tc>
          <w:tcPr>
            <w:tcW w:w="3453" w:type="dxa"/>
            <w:tcBorders>
              <w:top w:val="single" w:color="auto" w:sz="4" w:space="0"/>
              <w:left w:val="single" w:color="auto" w:sz="4" w:space="0"/>
            </w:tcBorders>
            <w:shd w:val="clear" w:color="auto" w:fill="FFFFFF"/>
            <w:noWrap w:val="0"/>
            <w:vAlign w:val="bottom"/>
          </w:tcPr>
          <w:p w14:paraId="42E26DCD">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指标名称</w:t>
            </w:r>
          </w:p>
        </w:tc>
        <w:tc>
          <w:tcPr>
            <w:tcW w:w="1642" w:type="dxa"/>
            <w:tcBorders>
              <w:top w:val="single" w:color="auto" w:sz="4" w:space="0"/>
              <w:left w:val="single" w:color="auto" w:sz="4" w:space="0"/>
            </w:tcBorders>
            <w:shd w:val="clear" w:color="auto" w:fill="FFFFFF"/>
            <w:noWrap w:val="0"/>
            <w:vAlign w:val="bottom"/>
          </w:tcPr>
          <w:p w14:paraId="175F3B71">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指标权重</w:t>
            </w:r>
          </w:p>
        </w:tc>
        <w:tc>
          <w:tcPr>
            <w:tcW w:w="1642" w:type="dxa"/>
            <w:tcBorders>
              <w:top w:val="single" w:color="auto" w:sz="4" w:space="0"/>
              <w:left w:val="single" w:color="auto" w:sz="4" w:space="0"/>
            </w:tcBorders>
            <w:shd w:val="clear" w:color="auto" w:fill="FFFFFF"/>
            <w:noWrap w:val="0"/>
            <w:vAlign w:val="bottom"/>
          </w:tcPr>
          <w:p w14:paraId="0336E29E">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业绩值</w:t>
            </w:r>
          </w:p>
        </w:tc>
        <w:tc>
          <w:tcPr>
            <w:tcW w:w="1539" w:type="dxa"/>
            <w:tcBorders>
              <w:top w:val="single" w:color="auto" w:sz="4" w:space="0"/>
              <w:left w:val="single" w:color="auto" w:sz="4" w:space="0"/>
              <w:right w:val="single" w:color="auto" w:sz="4" w:space="0"/>
            </w:tcBorders>
            <w:shd w:val="clear" w:color="auto" w:fill="FFFFFF"/>
            <w:noWrap w:val="0"/>
            <w:vAlign w:val="bottom"/>
          </w:tcPr>
          <w:p w14:paraId="2FFE0541">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实际得分</w:t>
            </w:r>
          </w:p>
        </w:tc>
      </w:tr>
      <w:tr w14:paraId="19C659D0">
        <w:tblPrEx>
          <w:tblCellMar>
            <w:top w:w="0" w:type="dxa"/>
            <w:left w:w="10" w:type="dxa"/>
            <w:bottom w:w="0" w:type="dxa"/>
            <w:right w:w="10" w:type="dxa"/>
          </w:tblCellMar>
        </w:tblPrEx>
        <w:trPr>
          <w:trHeight w:val="286" w:hRule="exact"/>
          <w:jc w:val="center"/>
        </w:trPr>
        <w:tc>
          <w:tcPr>
            <w:tcW w:w="3453" w:type="dxa"/>
            <w:tcBorders>
              <w:top w:val="single" w:color="auto" w:sz="4" w:space="0"/>
              <w:left w:val="single" w:color="auto" w:sz="4" w:space="0"/>
              <w:bottom w:val="single" w:color="auto" w:sz="4" w:space="0"/>
            </w:tcBorders>
            <w:shd w:val="clear" w:color="auto" w:fill="FFFFFF"/>
            <w:noWrap w:val="0"/>
            <w:vAlign w:val="top"/>
          </w:tcPr>
          <w:p w14:paraId="10C1D880">
            <w:pPr>
              <w:pStyle w:val="15"/>
              <w:shd w:val="clear" w:color="auto" w:fill="auto"/>
              <w:spacing w:after="0" w:line="240" w:lineRule="auto"/>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21.</w:t>
            </w:r>
            <w:r>
              <w:rPr>
                <w:rFonts w:hint="eastAsia" w:ascii="宋体" w:hAnsi="宋体" w:eastAsia="宋体" w:cs="宋体"/>
                <w:spacing w:val="0"/>
                <w:sz w:val="21"/>
                <w:szCs w:val="21"/>
                <w:lang w:val="zh-CN"/>
              </w:rPr>
              <w:t>绩效目标设定的合理性</w:t>
            </w:r>
          </w:p>
        </w:tc>
        <w:tc>
          <w:tcPr>
            <w:tcW w:w="1642" w:type="dxa"/>
            <w:tcBorders>
              <w:top w:val="single" w:color="auto" w:sz="4" w:space="0"/>
              <w:left w:val="single" w:color="auto" w:sz="4" w:space="0"/>
              <w:bottom w:val="single" w:color="auto" w:sz="4" w:space="0"/>
            </w:tcBorders>
            <w:shd w:val="clear" w:color="auto" w:fill="FFFFFF"/>
            <w:noWrap w:val="0"/>
            <w:vAlign w:val="top"/>
          </w:tcPr>
          <w:p w14:paraId="359CD46B">
            <w:pPr>
              <w:rPr>
                <w:rFonts w:hint="eastAsia" w:ascii="宋体" w:hAnsi="宋体" w:eastAsia="宋体" w:cs="宋体"/>
                <w:szCs w:val="21"/>
                <w:lang w:val="zh-CN"/>
              </w:rPr>
            </w:pPr>
          </w:p>
        </w:tc>
        <w:tc>
          <w:tcPr>
            <w:tcW w:w="1642" w:type="dxa"/>
            <w:tcBorders>
              <w:top w:val="single" w:color="auto" w:sz="4" w:space="0"/>
              <w:left w:val="single" w:color="auto" w:sz="4" w:space="0"/>
              <w:bottom w:val="single" w:color="auto" w:sz="4" w:space="0"/>
            </w:tcBorders>
            <w:shd w:val="clear" w:color="auto" w:fill="FFFFFF"/>
            <w:noWrap w:val="0"/>
            <w:vAlign w:val="top"/>
          </w:tcPr>
          <w:p w14:paraId="0707A7B3">
            <w:pPr>
              <w:rPr>
                <w:rFonts w:hint="eastAsia" w:ascii="宋体" w:hAnsi="宋体" w:eastAsia="宋体" w:cs="宋体"/>
                <w:szCs w:val="21"/>
                <w:lang w:val="zh-CN"/>
              </w:rPr>
            </w:pPr>
          </w:p>
        </w:tc>
        <w:tc>
          <w:tcPr>
            <w:tcW w:w="1539"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53974407">
            <w:pPr>
              <w:rPr>
                <w:rFonts w:hint="eastAsia" w:ascii="宋体" w:hAnsi="宋体" w:eastAsia="宋体" w:cs="宋体"/>
                <w:szCs w:val="21"/>
                <w:lang w:val="zh-CN"/>
              </w:rPr>
            </w:pPr>
          </w:p>
        </w:tc>
      </w:tr>
      <w:tr w14:paraId="7235972B">
        <w:tblPrEx>
          <w:tblCellMar>
            <w:top w:w="0" w:type="dxa"/>
            <w:left w:w="10" w:type="dxa"/>
            <w:bottom w:w="0" w:type="dxa"/>
            <w:right w:w="10" w:type="dxa"/>
          </w:tblCellMar>
        </w:tblPrEx>
        <w:trPr>
          <w:trHeight w:val="289" w:hRule="exact"/>
          <w:jc w:val="center"/>
        </w:trPr>
        <w:tc>
          <w:tcPr>
            <w:tcW w:w="3453" w:type="dxa"/>
            <w:tcBorders>
              <w:top w:val="single" w:color="auto" w:sz="4" w:space="0"/>
              <w:left w:val="single" w:color="auto" w:sz="4" w:space="0"/>
              <w:bottom w:val="single" w:color="auto" w:sz="4" w:space="0"/>
            </w:tcBorders>
            <w:shd w:val="clear" w:color="auto" w:fill="FFFFFF"/>
            <w:noWrap w:val="0"/>
            <w:vAlign w:val="center"/>
          </w:tcPr>
          <w:p w14:paraId="7B06C04A">
            <w:pPr>
              <w:pStyle w:val="15"/>
              <w:shd w:val="clear" w:color="auto" w:fill="auto"/>
              <w:spacing w:after="0" w:line="240" w:lineRule="auto"/>
              <w:ind w:left="440"/>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211.</w:t>
            </w:r>
            <w:r>
              <w:rPr>
                <w:rFonts w:hint="eastAsia" w:ascii="宋体" w:hAnsi="宋体" w:eastAsia="宋体" w:cs="宋体"/>
                <w:spacing w:val="0"/>
                <w:sz w:val="21"/>
                <w:szCs w:val="21"/>
                <w:lang w:val="zh-CN"/>
              </w:rPr>
              <w:t>绩效目标相关性</w:t>
            </w:r>
          </w:p>
        </w:tc>
        <w:tc>
          <w:tcPr>
            <w:tcW w:w="1642" w:type="dxa"/>
            <w:tcBorders>
              <w:top w:val="single" w:color="auto" w:sz="4" w:space="0"/>
              <w:left w:val="single" w:color="auto" w:sz="4" w:space="0"/>
              <w:bottom w:val="single" w:color="auto" w:sz="4" w:space="0"/>
            </w:tcBorders>
            <w:shd w:val="clear" w:color="auto" w:fill="FFFFFF"/>
            <w:noWrap w:val="0"/>
            <w:vAlign w:val="bottom"/>
          </w:tcPr>
          <w:p w14:paraId="3C415545">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p>
        </w:tc>
        <w:tc>
          <w:tcPr>
            <w:tcW w:w="1642" w:type="dxa"/>
            <w:tcBorders>
              <w:top w:val="single" w:color="auto" w:sz="4" w:space="0"/>
              <w:left w:val="single" w:color="auto" w:sz="4" w:space="0"/>
              <w:bottom w:val="single" w:color="auto" w:sz="4" w:space="0"/>
            </w:tcBorders>
            <w:shd w:val="clear" w:color="auto" w:fill="FFFFFF"/>
            <w:noWrap w:val="0"/>
            <w:vAlign w:val="center"/>
          </w:tcPr>
          <w:p w14:paraId="67C8B495">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相关</w:t>
            </w:r>
          </w:p>
        </w:tc>
        <w:tc>
          <w:tcPr>
            <w:tcW w:w="1539"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2DC7B74D">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r>
              <w:rPr>
                <w:rFonts w:hint="eastAsia" w:ascii="宋体" w:hAnsi="宋体" w:eastAsia="宋体" w:cs="宋体"/>
                <w:spacing w:val="0"/>
                <w:sz w:val="21"/>
                <w:szCs w:val="21"/>
                <w:lang w:eastAsia="en-US"/>
              </w:rPr>
              <w:t>.00</w:t>
            </w:r>
          </w:p>
        </w:tc>
      </w:tr>
      <w:tr w14:paraId="3AD2479F">
        <w:tblPrEx>
          <w:tblCellMar>
            <w:top w:w="0" w:type="dxa"/>
            <w:left w:w="10" w:type="dxa"/>
            <w:bottom w:w="0" w:type="dxa"/>
            <w:right w:w="10" w:type="dxa"/>
          </w:tblCellMar>
        </w:tblPrEx>
        <w:trPr>
          <w:trHeight w:val="313" w:hRule="exact"/>
          <w:jc w:val="center"/>
        </w:trPr>
        <w:tc>
          <w:tcPr>
            <w:tcW w:w="3453" w:type="dxa"/>
            <w:tcBorders>
              <w:top w:val="single" w:color="auto" w:sz="4" w:space="0"/>
              <w:left w:val="single" w:color="auto" w:sz="4" w:space="0"/>
              <w:bottom w:val="single" w:color="auto" w:sz="4" w:space="0"/>
            </w:tcBorders>
            <w:shd w:val="clear" w:color="auto" w:fill="FFFFFF"/>
            <w:noWrap w:val="0"/>
            <w:vAlign w:val="center"/>
          </w:tcPr>
          <w:p w14:paraId="78902FCE">
            <w:pPr>
              <w:pStyle w:val="15"/>
              <w:shd w:val="clear" w:color="auto" w:fill="auto"/>
              <w:spacing w:after="0" w:line="240" w:lineRule="auto"/>
              <w:ind w:left="440"/>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212.</w:t>
            </w:r>
            <w:r>
              <w:rPr>
                <w:rFonts w:hint="eastAsia" w:ascii="宋体" w:hAnsi="宋体" w:eastAsia="宋体" w:cs="宋体"/>
                <w:spacing w:val="0"/>
                <w:sz w:val="21"/>
                <w:szCs w:val="21"/>
                <w:lang w:val="zh-CN"/>
              </w:rPr>
              <w:t>绩效目标完整性</w:t>
            </w:r>
          </w:p>
        </w:tc>
        <w:tc>
          <w:tcPr>
            <w:tcW w:w="1642" w:type="dxa"/>
            <w:tcBorders>
              <w:top w:val="single" w:color="auto" w:sz="4" w:space="0"/>
              <w:left w:val="single" w:color="auto" w:sz="4" w:space="0"/>
              <w:bottom w:val="single" w:color="auto" w:sz="4" w:space="0"/>
            </w:tcBorders>
            <w:shd w:val="clear" w:color="auto" w:fill="FFFFFF"/>
            <w:noWrap w:val="0"/>
            <w:vAlign w:val="bottom"/>
          </w:tcPr>
          <w:p w14:paraId="4C9D9575">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p>
        </w:tc>
        <w:tc>
          <w:tcPr>
            <w:tcW w:w="1642" w:type="dxa"/>
            <w:tcBorders>
              <w:top w:val="single" w:color="auto" w:sz="4" w:space="0"/>
              <w:left w:val="single" w:color="auto" w:sz="4" w:space="0"/>
              <w:bottom w:val="single" w:color="auto" w:sz="4" w:space="0"/>
            </w:tcBorders>
            <w:shd w:val="clear" w:color="auto" w:fill="FFFFFF"/>
            <w:noWrap w:val="0"/>
            <w:vAlign w:val="center"/>
          </w:tcPr>
          <w:p w14:paraId="31EC68E8">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完整</w:t>
            </w:r>
          </w:p>
        </w:tc>
        <w:tc>
          <w:tcPr>
            <w:tcW w:w="1539"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4924685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r>
              <w:rPr>
                <w:rFonts w:hint="eastAsia" w:ascii="宋体" w:hAnsi="宋体" w:eastAsia="宋体" w:cs="宋体"/>
                <w:spacing w:val="0"/>
                <w:sz w:val="21"/>
                <w:szCs w:val="21"/>
                <w:lang w:eastAsia="en-US"/>
              </w:rPr>
              <w:t>.00</w:t>
            </w:r>
          </w:p>
        </w:tc>
      </w:tr>
      <w:tr w14:paraId="3F1C5059">
        <w:tblPrEx>
          <w:tblCellMar>
            <w:top w:w="0" w:type="dxa"/>
            <w:left w:w="10" w:type="dxa"/>
            <w:bottom w:w="0" w:type="dxa"/>
            <w:right w:w="10" w:type="dxa"/>
          </w:tblCellMar>
        </w:tblPrEx>
        <w:trPr>
          <w:trHeight w:val="306" w:hRule="exact"/>
          <w:jc w:val="center"/>
        </w:trPr>
        <w:tc>
          <w:tcPr>
            <w:tcW w:w="34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D90D32">
            <w:pPr>
              <w:pStyle w:val="15"/>
              <w:shd w:val="clear" w:color="auto" w:fill="auto"/>
              <w:spacing w:after="0" w:line="240" w:lineRule="auto"/>
              <w:ind w:left="440"/>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213.</w:t>
            </w:r>
            <w:r>
              <w:rPr>
                <w:rFonts w:hint="eastAsia" w:ascii="宋体" w:hAnsi="宋体" w:eastAsia="宋体" w:cs="宋体"/>
                <w:spacing w:val="0"/>
                <w:sz w:val="21"/>
                <w:szCs w:val="21"/>
                <w:lang w:val="zh-CN"/>
              </w:rPr>
              <w:t>目标与预算的匹配性</w:t>
            </w:r>
          </w:p>
        </w:tc>
        <w:tc>
          <w:tcPr>
            <w:tcW w:w="1642"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3DCF514F">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p>
        </w:tc>
        <w:tc>
          <w:tcPr>
            <w:tcW w:w="164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F31D46">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匹配</w:t>
            </w:r>
          </w:p>
        </w:tc>
        <w:tc>
          <w:tcPr>
            <w:tcW w:w="1539"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3E584A6C">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2.0</w:t>
            </w:r>
            <w:r>
              <w:rPr>
                <w:rFonts w:hint="eastAsia" w:ascii="宋体" w:hAnsi="宋体" w:eastAsia="宋体" w:cs="宋体"/>
                <w:spacing w:val="0"/>
                <w:sz w:val="21"/>
                <w:szCs w:val="21"/>
                <w:lang w:val="zh-CN"/>
              </w:rPr>
              <w:t>0</w:t>
            </w:r>
          </w:p>
        </w:tc>
      </w:tr>
      <w:tr w14:paraId="08D45162">
        <w:tblPrEx>
          <w:tblCellMar>
            <w:top w:w="0" w:type="dxa"/>
            <w:left w:w="10" w:type="dxa"/>
            <w:bottom w:w="0" w:type="dxa"/>
            <w:right w:w="10" w:type="dxa"/>
          </w:tblCellMar>
        </w:tblPrEx>
        <w:trPr>
          <w:trHeight w:val="311" w:hRule="exact"/>
          <w:jc w:val="center"/>
        </w:trPr>
        <w:tc>
          <w:tcPr>
            <w:tcW w:w="3453" w:type="dxa"/>
            <w:tcBorders>
              <w:top w:val="single" w:color="auto" w:sz="4" w:space="0"/>
              <w:left w:val="single" w:color="auto" w:sz="4" w:space="0"/>
              <w:bottom w:val="single" w:color="auto" w:sz="4" w:space="0"/>
            </w:tcBorders>
            <w:shd w:val="clear" w:color="auto" w:fill="FFFFFF"/>
            <w:noWrap w:val="0"/>
            <w:vAlign w:val="top"/>
          </w:tcPr>
          <w:p w14:paraId="798439C9">
            <w:pPr>
              <w:pStyle w:val="15"/>
              <w:shd w:val="clear" w:color="auto" w:fill="auto"/>
              <w:spacing w:after="0" w:line="240" w:lineRule="auto"/>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22.</w:t>
            </w:r>
            <w:r>
              <w:rPr>
                <w:rFonts w:hint="eastAsia" w:ascii="宋体" w:hAnsi="宋体" w:eastAsia="宋体" w:cs="宋体"/>
                <w:spacing w:val="0"/>
                <w:sz w:val="21"/>
                <w:szCs w:val="21"/>
                <w:lang w:val="zh-CN"/>
              </w:rPr>
              <w:t>绩效指标设定的明确性</w:t>
            </w:r>
          </w:p>
        </w:tc>
        <w:tc>
          <w:tcPr>
            <w:tcW w:w="1642" w:type="dxa"/>
            <w:tcBorders>
              <w:top w:val="single" w:color="auto" w:sz="4" w:space="0"/>
              <w:left w:val="single" w:color="auto" w:sz="4" w:space="0"/>
              <w:bottom w:val="single" w:color="auto" w:sz="4" w:space="0"/>
            </w:tcBorders>
            <w:shd w:val="clear" w:color="auto" w:fill="FFFFFF"/>
            <w:noWrap w:val="0"/>
            <w:vAlign w:val="top"/>
          </w:tcPr>
          <w:p w14:paraId="414FF40F">
            <w:pPr>
              <w:rPr>
                <w:rFonts w:hint="eastAsia" w:ascii="宋体" w:hAnsi="宋体" w:eastAsia="宋体" w:cs="宋体"/>
                <w:szCs w:val="21"/>
                <w:lang w:val="zh-CN"/>
              </w:rPr>
            </w:pPr>
          </w:p>
        </w:tc>
        <w:tc>
          <w:tcPr>
            <w:tcW w:w="1642" w:type="dxa"/>
            <w:tcBorders>
              <w:top w:val="single" w:color="auto" w:sz="4" w:space="0"/>
              <w:left w:val="single" w:color="auto" w:sz="4" w:space="0"/>
              <w:bottom w:val="single" w:color="auto" w:sz="4" w:space="0"/>
            </w:tcBorders>
            <w:shd w:val="clear" w:color="auto" w:fill="FFFFFF"/>
            <w:noWrap w:val="0"/>
            <w:vAlign w:val="top"/>
          </w:tcPr>
          <w:p w14:paraId="5A3E9F8E">
            <w:pPr>
              <w:rPr>
                <w:rFonts w:hint="eastAsia" w:ascii="宋体" w:hAnsi="宋体" w:eastAsia="宋体" w:cs="宋体"/>
                <w:szCs w:val="21"/>
                <w:lang w:val="zh-CN"/>
              </w:rPr>
            </w:pPr>
          </w:p>
        </w:tc>
        <w:tc>
          <w:tcPr>
            <w:tcW w:w="1539"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08E4DC89">
            <w:pPr>
              <w:rPr>
                <w:rFonts w:hint="eastAsia" w:ascii="宋体" w:hAnsi="宋体" w:eastAsia="宋体" w:cs="宋体"/>
                <w:szCs w:val="21"/>
                <w:lang w:val="zh-CN"/>
              </w:rPr>
            </w:pPr>
          </w:p>
        </w:tc>
      </w:tr>
      <w:tr w14:paraId="04586A3D">
        <w:tblPrEx>
          <w:tblCellMar>
            <w:top w:w="0" w:type="dxa"/>
            <w:left w:w="10" w:type="dxa"/>
            <w:bottom w:w="0" w:type="dxa"/>
            <w:right w:w="10" w:type="dxa"/>
          </w:tblCellMar>
        </w:tblPrEx>
        <w:trPr>
          <w:trHeight w:val="276" w:hRule="exact"/>
          <w:jc w:val="center"/>
        </w:trPr>
        <w:tc>
          <w:tcPr>
            <w:tcW w:w="3453" w:type="dxa"/>
            <w:tcBorders>
              <w:top w:val="single" w:color="auto" w:sz="4" w:space="0"/>
              <w:left w:val="single" w:color="auto" w:sz="4" w:space="0"/>
              <w:bottom w:val="single" w:color="auto" w:sz="4" w:space="0"/>
            </w:tcBorders>
            <w:shd w:val="clear" w:color="auto" w:fill="FFFFFF"/>
            <w:noWrap w:val="0"/>
            <w:vAlign w:val="center"/>
          </w:tcPr>
          <w:p w14:paraId="2FEFDAD9">
            <w:pPr>
              <w:pStyle w:val="15"/>
              <w:shd w:val="clear" w:color="auto" w:fill="auto"/>
              <w:spacing w:after="0" w:line="240" w:lineRule="auto"/>
              <w:ind w:left="440"/>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221.</w:t>
            </w:r>
            <w:r>
              <w:rPr>
                <w:rFonts w:hint="eastAsia" w:ascii="宋体" w:hAnsi="宋体" w:eastAsia="宋体" w:cs="宋体"/>
                <w:spacing w:val="0"/>
                <w:sz w:val="21"/>
                <w:szCs w:val="21"/>
                <w:lang w:val="zh-CN"/>
              </w:rPr>
              <w:t>指标细化分解情况</w:t>
            </w:r>
          </w:p>
        </w:tc>
        <w:tc>
          <w:tcPr>
            <w:tcW w:w="1642" w:type="dxa"/>
            <w:tcBorders>
              <w:top w:val="single" w:color="auto" w:sz="4" w:space="0"/>
              <w:left w:val="single" w:color="auto" w:sz="4" w:space="0"/>
              <w:bottom w:val="single" w:color="auto" w:sz="4" w:space="0"/>
            </w:tcBorders>
            <w:shd w:val="clear" w:color="auto" w:fill="FFFFFF"/>
            <w:noWrap w:val="0"/>
            <w:vAlign w:val="bottom"/>
          </w:tcPr>
          <w:p w14:paraId="2687480B">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3</w:t>
            </w:r>
          </w:p>
        </w:tc>
        <w:tc>
          <w:tcPr>
            <w:tcW w:w="1642" w:type="dxa"/>
            <w:tcBorders>
              <w:top w:val="single" w:color="auto" w:sz="4" w:space="0"/>
              <w:left w:val="single" w:color="auto" w:sz="4" w:space="0"/>
              <w:bottom w:val="single" w:color="auto" w:sz="4" w:space="0"/>
            </w:tcBorders>
            <w:shd w:val="clear" w:color="auto" w:fill="FFFFFF"/>
            <w:noWrap w:val="0"/>
            <w:vAlign w:val="center"/>
          </w:tcPr>
          <w:p w14:paraId="33E35A0C">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细化分解</w:t>
            </w:r>
          </w:p>
        </w:tc>
        <w:tc>
          <w:tcPr>
            <w:tcW w:w="1539"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222412ED">
            <w:pPr>
              <w:pStyle w:val="15"/>
              <w:shd w:val="clear" w:color="auto" w:fill="auto"/>
              <w:spacing w:after="0" w:line="240" w:lineRule="auto"/>
              <w:rPr>
                <w:rFonts w:hint="eastAsia" w:ascii="宋体" w:hAnsi="宋体" w:eastAsia="宋体" w:cs="宋体"/>
                <w:spacing w:val="0"/>
                <w:sz w:val="21"/>
                <w:szCs w:val="21"/>
                <w:lang w:val="zh-CN"/>
              </w:rPr>
            </w:pPr>
            <w:r>
              <w:rPr>
                <w:rFonts w:hint="eastAsia" w:cs="宋体"/>
                <w:spacing w:val="0"/>
                <w:sz w:val="21"/>
                <w:szCs w:val="21"/>
                <w:lang w:val="en-US" w:eastAsia="zh-CN"/>
              </w:rPr>
              <w:t>3</w:t>
            </w:r>
            <w:r>
              <w:rPr>
                <w:rFonts w:hint="eastAsia" w:ascii="宋体" w:hAnsi="宋体" w:eastAsia="宋体" w:cs="宋体"/>
                <w:spacing w:val="0"/>
                <w:sz w:val="21"/>
                <w:szCs w:val="21"/>
                <w:lang w:eastAsia="en-US"/>
              </w:rPr>
              <w:t>.00</w:t>
            </w:r>
          </w:p>
        </w:tc>
      </w:tr>
      <w:tr w14:paraId="6B6FED2D">
        <w:tblPrEx>
          <w:tblCellMar>
            <w:top w:w="0" w:type="dxa"/>
            <w:left w:w="10" w:type="dxa"/>
            <w:bottom w:w="0" w:type="dxa"/>
            <w:right w:w="10" w:type="dxa"/>
          </w:tblCellMar>
        </w:tblPrEx>
        <w:trPr>
          <w:trHeight w:val="288" w:hRule="exact"/>
          <w:jc w:val="center"/>
        </w:trPr>
        <w:tc>
          <w:tcPr>
            <w:tcW w:w="3453" w:type="dxa"/>
            <w:tcBorders>
              <w:top w:val="single" w:color="auto" w:sz="4" w:space="0"/>
              <w:left w:val="single" w:color="auto" w:sz="4" w:space="0"/>
            </w:tcBorders>
            <w:shd w:val="clear" w:color="auto" w:fill="FFFFFF"/>
            <w:noWrap w:val="0"/>
            <w:vAlign w:val="center"/>
          </w:tcPr>
          <w:p w14:paraId="3828CD35">
            <w:pPr>
              <w:pStyle w:val="15"/>
              <w:shd w:val="clear" w:color="auto" w:fill="auto"/>
              <w:spacing w:after="0" w:line="240" w:lineRule="auto"/>
              <w:ind w:left="440"/>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A</w:t>
            </w:r>
            <w:r>
              <w:rPr>
                <w:rFonts w:hint="eastAsia" w:ascii="宋体" w:hAnsi="宋体" w:eastAsia="宋体" w:cs="宋体"/>
                <w:spacing w:val="0"/>
                <w:sz w:val="21"/>
                <w:szCs w:val="21"/>
                <w:lang w:eastAsia="en-US"/>
              </w:rPr>
              <w:t>222.</w:t>
            </w:r>
            <w:r>
              <w:rPr>
                <w:rFonts w:hint="eastAsia" w:ascii="宋体" w:hAnsi="宋体" w:eastAsia="宋体" w:cs="宋体"/>
                <w:spacing w:val="0"/>
                <w:sz w:val="21"/>
                <w:szCs w:val="21"/>
                <w:lang w:val="zh-CN"/>
              </w:rPr>
              <w:t>指标与目标的匹配性</w:t>
            </w:r>
          </w:p>
        </w:tc>
        <w:tc>
          <w:tcPr>
            <w:tcW w:w="1642" w:type="dxa"/>
            <w:tcBorders>
              <w:top w:val="single" w:color="auto" w:sz="4" w:space="0"/>
              <w:left w:val="single" w:color="auto" w:sz="4" w:space="0"/>
            </w:tcBorders>
            <w:shd w:val="clear" w:color="auto" w:fill="FFFFFF"/>
            <w:noWrap w:val="0"/>
            <w:vAlign w:val="bottom"/>
          </w:tcPr>
          <w:p w14:paraId="752E175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3</w:t>
            </w:r>
          </w:p>
        </w:tc>
        <w:tc>
          <w:tcPr>
            <w:tcW w:w="1642" w:type="dxa"/>
            <w:tcBorders>
              <w:top w:val="single" w:color="auto" w:sz="4" w:space="0"/>
              <w:left w:val="single" w:color="auto" w:sz="4" w:space="0"/>
            </w:tcBorders>
            <w:shd w:val="clear" w:color="auto" w:fill="FFFFFF"/>
            <w:noWrap w:val="0"/>
            <w:vAlign w:val="center"/>
          </w:tcPr>
          <w:p w14:paraId="4626F41E">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匹配</w:t>
            </w:r>
          </w:p>
        </w:tc>
        <w:tc>
          <w:tcPr>
            <w:tcW w:w="1539" w:type="dxa"/>
            <w:tcBorders>
              <w:top w:val="single" w:color="auto" w:sz="4" w:space="0"/>
              <w:left w:val="single" w:color="auto" w:sz="4" w:space="0"/>
              <w:right w:val="single" w:color="auto" w:sz="4" w:space="0"/>
            </w:tcBorders>
            <w:shd w:val="clear" w:color="auto" w:fill="FFFFFF"/>
            <w:noWrap w:val="0"/>
            <w:vAlign w:val="bottom"/>
          </w:tcPr>
          <w:p w14:paraId="044819A1">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3</w:t>
            </w:r>
            <w:r>
              <w:rPr>
                <w:rFonts w:hint="eastAsia" w:ascii="宋体" w:hAnsi="宋体" w:eastAsia="宋体" w:cs="宋体"/>
                <w:spacing w:val="0"/>
                <w:sz w:val="21"/>
                <w:szCs w:val="21"/>
              </w:rPr>
              <w:t>.00</w:t>
            </w:r>
          </w:p>
        </w:tc>
      </w:tr>
      <w:tr w14:paraId="37F2E533">
        <w:tblPrEx>
          <w:tblCellMar>
            <w:top w:w="0" w:type="dxa"/>
            <w:left w:w="10" w:type="dxa"/>
            <w:bottom w:w="0" w:type="dxa"/>
            <w:right w:w="10" w:type="dxa"/>
          </w:tblCellMar>
        </w:tblPrEx>
        <w:trPr>
          <w:trHeight w:val="271" w:hRule="exact"/>
          <w:jc w:val="center"/>
        </w:trPr>
        <w:tc>
          <w:tcPr>
            <w:tcW w:w="3453" w:type="dxa"/>
            <w:tcBorders>
              <w:top w:val="single" w:color="auto" w:sz="4" w:space="0"/>
              <w:left w:val="single" w:color="auto" w:sz="4" w:space="0"/>
              <w:bottom w:val="single" w:color="auto" w:sz="4" w:space="0"/>
            </w:tcBorders>
            <w:shd w:val="clear" w:color="auto" w:fill="FFFFFF"/>
            <w:noWrap w:val="0"/>
            <w:vAlign w:val="center"/>
          </w:tcPr>
          <w:p w14:paraId="28CBF092">
            <w:pPr>
              <w:pStyle w:val="15"/>
              <w:shd w:val="clear" w:color="auto" w:fill="auto"/>
              <w:spacing w:after="0" w:line="240" w:lineRule="auto"/>
              <w:rPr>
                <w:rFonts w:hint="eastAsia" w:ascii="宋体" w:hAnsi="宋体" w:eastAsia="宋体" w:cs="宋体"/>
                <w:spacing w:val="0"/>
                <w:sz w:val="21"/>
                <w:szCs w:val="21"/>
                <w:lang w:val="zh-CN" w:eastAsia="zh-CN"/>
              </w:rPr>
            </w:pPr>
            <w:r>
              <w:rPr>
                <w:rFonts w:hint="eastAsia" w:cs="宋体"/>
                <w:spacing w:val="0"/>
                <w:sz w:val="21"/>
                <w:szCs w:val="21"/>
                <w:lang w:val="en-US" w:eastAsia="zh-CN"/>
              </w:rPr>
              <w:t>合计</w:t>
            </w:r>
          </w:p>
        </w:tc>
        <w:tc>
          <w:tcPr>
            <w:tcW w:w="1642" w:type="dxa"/>
            <w:tcBorders>
              <w:top w:val="single" w:color="auto" w:sz="4" w:space="0"/>
              <w:left w:val="single" w:color="auto" w:sz="4" w:space="0"/>
              <w:bottom w:val="single" w:color="auto" w:sz="4" w:space="0"/>
            </w:tcBorders>
            <w:shd w:val="clear" w:color="auto" w:fill="FFFFFF"/>
            <w:noWrap w:val="0"/>
            <w:vAlign w:val="center"/>
          </w:tcPr>
          <w:p w14:paraId="7B2C58F8">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12</w:t>
            </w:r>
          </w:p>
        </w:tc>
        <w:tc>
          <w:tcPr>
            <w:tcW w:w="1642" w:type="dxa"/>
            <w:tcBorders>
              <w:top w:val="single" w:color="auto" w:sz="4" w:space="0"/>
              <w:left w:val="single" w:color="auto" w:sz="4" w:space="0"/>
              <w:bottom w:val="single" w:color="auto" w:sz="4" w:space="0"/>
            </w:tcBorders>
            <w:shd w:val="clear" w:color="auto" w:fill="FFFFFF"/>
            <w:noWrap w:val="0"/>
            <w:vAlign w:val="top"/>
          </w:tcPr>
          <w:p w14:paraId="3E70079A">
            <w:pPr>
              <w:rPr>
                <w:rFonts w:hint="eastAsia" w:ascii="宋体" w:hAnsi="宋体" w:eastAsia="宋体" w:cs="宋体"/>
                <w:szCs w:val="21"/>
                <w:lang w:val="zh-CN"/>
              </w:rPr>
            </w:pPr>
          </w:p>
        </w:tc>
        <w:tc>
          <w:tcPr>
            <w:tcW w:w="153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F8F4F6">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6</w:t>
            </w:r>
            <w:r>
              <w:rPr>
                <w:rFonts w:hint="eastAsia" w:ascii="宋体" w:hAnsi="宋体" w:eastAsia="宋体" w:cs="宋体"/>
                <w:spacing w:val="0"/>
                <w:sz w:val="21"/>
                <w:szCs w:val="21"/>
                <w:lang w:eastAsia="en-US"/>
              </w:rPr>
              <w:t>.00</w:t>
            </w:r>
          </w:p>
        </w:tc>
      </w:tr>
    </w:tbl>
    <w:p w14:paraId="3B9421AF">
      <w:pPr>
        <w:spacing w:line="480" w:lineRule="auto"/>
        <w:ind w:firstLine="562" w:firstLineChars="200"/>
        <w:contextualSpacing/>
        <w:rPr>
          <w:rFonts w:hint="eastAsia" w:ascii="仿宋_GB2312" w:hAnsi="楷体" w:eastAsia="仿宋_GB2312"/>
          <w:b/>
          <w:bCs/>
          <w:sz w:val="28"/>
          <w:szCs w:val="28"/>
          <w:lang w:val="zh-CN"/>
        </w:rPr>
      </w:pPr>
      <w:r>
        <w:rPr>
          <w:rFonts w:hint="eastAsia" w:ascii="仿宋_GB2312" w:hAnsi="楷体" w:eastAsia="仿宋_GB2312"/>
          <w:b/>
          <w:bCs/>
          <w:sz w:val="28"/>
          <w:szCs w:val="28"/>
        </w:rPr>
        <w:t>A21.</w:t>
      </w:r>
      <w:r>
        <w:rPr>
          <w:rFonts w:hint="eastAsia" w:ascii="仿宋_GB2312" w:hAnsi="楷体" w:eastAsia="仿宋_GB2312"/>
          <w:b/>
          <w:bCs/>
          <w:sz w:val="28"/>
          <w:szCs w:val="28"/>
          <w:lang w:val="zh-CN"/>
        </w:rPr>
        <w:t>绩效目标设定的合理性</w:t>
      </w:r>
    </w:p>
    <w:p w14:paraId="10118EB0">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u w:val="single"/>
        </w:rPr>
        <w:t>A121.绩效目标相关性：</w:t>
      </w:r>
      <w:r>
        <w:rPr>
          <w:rFonts w:hint="eastAsia" w:ascii="仿宋_GB2312" w:hAnsi="楷体" w:eastAsia="仿宋_GB2312"/>
          <w:sz w:val="28"/>
          <w:szCs w:val="28"/>
          <w:lang w:val="zh-CN" w:eastAsia="zh-CN"/>
        </w:rPr>
        <w:t>根据该项目年度实施内容主要是1.2019年摸清盘龙区各类污染源基本情况，了解污染源数量、结构和分布状况；2.2019年进一步掌握辖区内各行业污染物产生、排放和处理情况；3.2019年完成建立健全盘龙区重点污染源档案、污染源信息数据库和环境统计平台。与《</w:t>
      </w:r>
      <w:r>
        <w:rPr>
          <w:rFonts w:hint="eastAsia" w:ascii="仿宋_GB2312" w:hAnsi="仿宋" w:eastAsia="仿宋_GB2312" w:cs="MingLiU_HKSCS"/>
          <w:color w:val="000000"/>
          <w:spacing w:val="6"/>
          <w:kern w:val="0"/>
          <w:sz w:val="28"/>
          <w:szCs w:val="28"/>
          <w:highlight w:val="none"/>
          <w:u w:val="none"/>
          <w:lang w:val="zh-CN" w:eastAsia="zh-CN" w:bidi="ar-SA"/>
        </w:rPr>
        <w:t>云南省人民政府关于做好第二次全国污染源普查工作的通知》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云政发</w:t>
      </w:r>
      <w:r>
        <w:rPr>
          <w:rFonts w:hint="eastAsia" w:ascii="仿宋_GB2312" w:hAnsi="仿宋" w:eastAsia="仿宋_GB2312" w:cs="MingLiU_HKSCS"/>
          <w:color w:val="000000"/>
          <w:spacing w:val="6"/>
          <w:kern w:val="0"/>
          <w:sz w:val="28"/>
          <w:szCs w:val="28"/>
          <w:highlight w:val="none"/>
          <w:u w:val="none"/>
          <w:lang w:val="en-US" w:eastAsia="zh-CN" w:bidi="ar-SA"/>
        </w:rPr>
        <w:t>〔2017〕45</w:t>
      </w:r>
      <w:r>
        <w:rPr>
          <w:rFonts w:hint="eastAsia" w:ascii="仿宋_GB2312" w:hAnsi="仿宋" w:eastAsia="仿宋_GB2312" w:cs="MingLiU_HKSCS"/>
          <w:color w:val="000000"/>
          <w:spacing w:val="6"/>
          <w:kern w:val="0"/>
          <w:sz w:val="28"/>
          <w:szCs w:val="28"/>
          <w:highlight w:val="none"/>
          <w:u w:val="none"/>
          <w:lang w:val="zh-CN" w:eastAsia="zh-CN" w:bidi="ar-SA"/>
        </w:rPr>
        <w:t>号）、《昆明市关于做好第二次全国污染源普查工作的通知》</w:t>
      </w:r>
      <w:r>
        <w:rPr>
          <w:rFonts w:hint="eastAsia" w:ascii="仿宋_GB2312" w:hAnsi="仿宋" w:eastAsia="仿宋_GB2312" w:cs="MingLiU_HKSCS"/>
          <w:color w:val="000000"/>
          <w:spacing w:val="6"/>
          <w:kern w:val="0"/>
          <w:sz w:val="28"/>
          <w:szCs w:val="28"/>
          <w:highlight w:val="none"/>
          <w:u w:val="none"/>
          <w:lang w:val="en-US" w:eastAsia="en-US" w:bidi="ar-SA"/>
        </w:rPr>
        <w:t>（</w:t>
      </w:r>
      <w:r>
        <w:rPr>
          <w:rFonts w:hint="eastAsia" w:ascii="仿宋_GB2312" w:hAnsi="仿宋" w:eastAsia="仿宋_GB2312" w:cs="MingLiU_HKSCS"/>
          <w:color w:val="000000"/>
          <w:spacing w:val="6"/>
          <w:kern w:val="0"/>
          <w:sz w:val="28"/>
          <w:szCs w:val="28"/>
          <w:highlight w:val="none"/>
          <w:u w:val="none"/>
          <w:lang w:val="zh-CN" w:eastAsia="zh-CN" w:bidi="ar-SA"/>
        </w:rPr>
        <w:t>昆政发</w:t>
      </w:r>
      <w:r>
        <w:rPr>
          <w:rFonts w:hint="eastAsia" w:ascii="仿宋_GB2312" w:hAnsi="仿宋" w:eastAsia="仿宋_GB2312" w:cs="MingLiU_HKSCS"/>
          <w:color w:val="000000"/>
          <w:spacing w:val="6"/>
          <w:kern w:val="0"/>
          <w:sz w:val="28"/>
          <w:szCs w:val="28"/>
          <w:highlight w:val="none"/>
          <w:u w:val="none"/>
          <w:lang w:val="en-US" w:eastAsia="zh-CN" w:bidi="ar-SA"/>
        </w:rPr>
        <w:t>〔2017〕50</w:t>
      </w:r>
      <w:r>
        <w:rPr>
          <w:rFonts w:hint="eastAsia" w:ascii="仿宋_GB2312" w:hAnsi="仿宋" w:eastAsia="仿宋_GB2312" w:cs="MingLiU_HKSCS"/>
          <w:color w:val="000000"/>
          <w:spacing w:val="6"/>
          <w:kern w:val="0"/>
          <w:sz w:val="28"/>
          <w:szCs w:val="28"/>
          <w:highlight w:val="none"/>
          <w:u w:val="none"/>
          <w:lang w:val="zh-CN" w:eastAsia="zh-CN" w:bidi="ar-SA"/>
        </w:rPr>
        <w:t>号）等文件中</w:t>
      </w:r>
      <w:r>
        <w:rPr>
          <w:rFonts w:hint="eastAsia" w:ascii="仿宋_GB2312" w:hAnsi="楷体" w:eastAsia="仿宋_GB2312"/>
          <w:sz w:val="28"/>
          <w:szCs w:val="28"/>
          <w:lang w:val="zh-CN" w:eastAsia="zh-CN"/>
        </w:rPr>
        <w:t>的发展规划相匹配。</w:t>
      </w:r>
    </w:p>
    <w:p w14:paraId="7F61C213">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该项指标满分2分，根据评分标准得2分。</w:t>
      </w:r>
    </w:p>
    <w:p w14:paraId="320B457D">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cs="Times New Roman"/>
          <w:spacing w:val="0"/>
          <w:sz w:val="28"/>
          <w:szCs w:val="28"/>
          <w:u w:val="single"/>
        </w:rPr>
        <w:t>A212.绩效目标完整性：</w:t>
      </w:r>
      <w:r>
        <w:rPr>
          <w:rFonts w:hint="eastAsia" w:ascii="仿宋_GB2312" w:hAnsi="楷体" w:eastAsia="仿宋_GB2312"/>
          <w:sz w:val="28"/>
          <w:szCs w:val="28"/>
          <w:lang w:val="zh-CN" w:eastAsia="zh-CN"/>
        </w:rPr>
        <w:t>根据项目相关的中长期规划， 本项目实际实施内容基本能够完整地反映预期的产出和效果，符合相关要求。详见附件</w:t>
      </w:r>
      <w:r>
        <w:rPr>
          <w:rFonts w:hint="eastAsia" w:ascii="仿宋_GB2312" w:hAnsi="楷体" w:eastAsia="仿宋_GB2312"/>
          <w:sz w:val="28"/>
          <w:szCs w:val="28"/>
          <w:lang w:val="en-US" w:eastAsia="zh-CN"/>
        </w:rPr>
        <w:t>2：基础数据表中的</w:t>
      </w:r>
      <w:r>
        <w:rPr>
          <w:rFonts w:hint="eastAsia" w:ascii="仿宋_GB2312" w:hAnsi="楷体" w:eastAsia="仿宋_GB2312"/>
          <w:sz w:val="28"/>
          <w:szCs w:val="28"/>
          <w:lang w:val="zh-CN" w:eastAsia="zh-CN"/>
        </w:rPr>
        <w:t>该项目绩效目标申报表。</w:t>
      </w:r>
    </w:p>
    <w:p w14:paraId="72919203">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该项指标满分2分，根据评分标准得2分。</w:t>
      </w:r>
    </w:p>
    <w:p w14:paraId="519D579A">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u w:val="single"/>
        </w:rPr>
        <w:t>A212.目标与预算的匹配性：</w:t>
      </w:r>
      <w:r>
        <w:rPr>
          <w:rFonts w:hint="eastAsia" w:ascii="仿宋_GB2312" w:hAnsi="楷体" w:eastAsia="仿宋_GB2312"/>
          <w:sz w:val="28"/>
          <w:szCs w:val="28"/>
          <w:lang w:val="zh-CN" w:eastAsia="zh-CN"/>
        </w:rPr>
        <w:t>本项目2016年-2018年的实际支出内容与资金下达文件的支持方向一致，总目标与预算相匹配。</w:t>
      </w:r>
    </w:p>
    <w:p w14:paraId="3C6C193F">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该项指标满分2分，根据评分标准得2分。</w:t>
      </w:r>
    </w:p>
    <w:p w14:paraId="2F103B7A">
      <w:pPr>
        <w:spacing w:line="480" w:lineRule="auto"/>
        <w:ind w:firstLine="562" w:firstLineChars="200"/>
        <w:contextualSpacing/>
        <w:rPr>
          <w:rFonts w:hint="eastAsia" w:ascii="仿宋_GB2312" w:hAnsi="楷体" w:eastAsia="仿宋_GB2312"/>
          <w:b/>
          <w:bCs/>
          <w:sz w:val="28"/>
          <w:szCs w:val="28"/>
          <w:lang w:val="zh-CN"/>
        </w:rPr>
      </w:pPr>
      <w:r>
        <w:rPr>
          <w:rFonts w:hint="eastAsia" w:ascii="仿宋_GB2312" w:hAnsi="楷体" w:eastAsia="仿宋_GB2312"/>
          <w:b/>
          <w:bCs/>
          <w:sz w:val="28"/>
          <w:szCs w:val="28"/>
        </w:rPr>
        <w:t>A22.</w:t>
      </w:r>
      <w:r>
        <w:rPr>
          <w:rFonts w:hint="eastAsia" w:ascii="仿宋_GB2312" w:hAnsi="楷体" w:eastAsia="仿宋_GB2312"/>
          <w:b/>
          <w:bCs/>
          <w:sz w:val="28"/>
          <w:szCs w:val="28"/>
          <w:lang w:val="zh-CN"/>
        </w:rPr>
        <w:t>绩效目标设定的明确性</w:t>
      </w:r>
    </w:p>
    <w:p w14:paraId="47965595">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cs="Times New Roman"/>
          <w:spacing w:val="0"/>
          <w:sz w:val="28"/>
          <w:szCs w:val="28"/>
          <w:u w:val="single"/>
        </w:rPr>
        <w:t>A221.指标细化分解情况：</w:t>
      </w:r>
      <w:r>
        <w:rPr>
          <w:rFonts w:hint="eastAsia" w:ascii="仿宋_GB2312" w:hAnsi="楷体" w:eastAsia="仿宋_GB2312"/>
          <w:sz w:val="28"/>
          <w:szCs w:val="28"/>
          <w:lang w:val="zh-CN" w:eastAsia="zh-CN"/>
        </w:rPr>
        <w:t>昆明市生态环境局盘龙分局针对项目年度实施内容细化分解了具体的投入和管理目标、产出目标、效果目标和影响力目标。详见附件</w:t>
      </w:r>
      <w:r>
        <w:rPr>
          <w:rFonts w:hint="eastAsia" w:ascii="仿宋_GB2312" w:hAnsi="楷体" w:eastAsia="仿宋_GB2312"/>
          <w:sz w:val="28"/>
          <w:szCs w:val="28"/>
          <w:lang w:val="en-US" w:eastAsia="zh-CN"/>
        </w:rPr>
        <w:t>2：基础数据表中的</w:t>
      </w:r>
      <w:r>
        <w:rPr>
          <w:rFonts w:hint="eastAsia" w:ascii="仿宋_GB2312" w:hAnsi="楷体" w:eastAsia="仿宋_GB2312"/>
          <w:sz w:val="28"/>
          <w:szCs w:val="28"/>
          <w:lang w:val="zh-CN" w:eastAsia="zh-CN"/>
        </w:rPr>
        <w:t>该项目绩效目标申报表。</w:t>
      </w:r>
    </w:p>
    <w:p w14:paraId="5907F68F">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该项指标满分3分，根据评分标准得</w:t>
      </w:r>
      <w:r>
        <w:rPr>
          <w:rFonts w:hint="eastAsia" w:ascii="仿宋_GB2312" w:hAnsi="楷体" w:eastAsia="仿宋_GB2312"/>
          <w:sz w:val="28"/>
          <w:szCs w:val="28"/>
          <w:lang w:val="en-US" w:eastAsia="zh-CN"/>
        </w:rPr>
        <w:t>3</w:t>
      </w:r>
      <w:r>
        <w:rPr>
          <w:rFonts w:hint="eastAsia" w:ascii="仿宋_GB2312" w:hAnsi="楷体" w:eastAsia="仿宋_GB2312"/>
          <w:sz w:val="28"/>
          <w:szCs w:val="28"/>
          <w:lang w:val="zh-CN" w:eastAsia="zh-CN"/>
        </w:rPr>
        <w:t>分。</w:t>
      </w:r>
    </w:p>
    <w:p w14:paraId="7B610AF7">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u w:val="single"/>
        </w:rPr>
        <w:t>A222.指标与目标的匹配性：</w:t>
      </w:r>
      <w:r>
        <w:rPr>
          <w:rFonts w:hint="eastAsia" w:ascii="仿宋_GB2312" w:hAnsi="楷体" w:eastAsia="仿宋_GB2312"/>
          <w:sz w:val="28"/>
          <w:szCs w:val="28"/>
          <w:lang w:val="zh-CN" w:eastAsia="zh-CN"/>
        </w:rPr>
        <w:t>昆明市生态环境局盘龙分局针对本项目编制项目绩效目标和绩效指标，详见附件</w:t>
      </w:r>
      <w:r>
        <w:rPr>
          <w:rFonts w:hint="eastAsia" w:ascii="仿宋_GB2312" w:hAnsi="楷体" w:eastAsia="仿宋_GB2312"/>
          <w:sz w:val="28"/>
          <w:szCs w:val="28"/>
          <w:lang w:val="en-US" w:eastAsia="zh-CN"/>
        </w:rPr>
        <w:t>2：基础数据表中的</w:t>
      </w:r>
      <w:r>
        <w:rPr>
          <w:rFonts w:hint="eastAsia" w:ascii="仿宋_GB2312" w:hAnsi="楷体" w:eastAsia="仿宋_GB2312"/>
          <w:sz w:val="28"/>
          <w:szCs w:val="28"/>
          <w:lang w:val="zh-CN" w:eastAsia="zh-CN"/>
        </w:rPr>
        <w:t>该项目绩效目标申报表。</w:t>
      </w:r>
    </w:p>
    <w:p w14:paraId="454D3240">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该项指标满分3分，根据评分标准得</w:t>
      </w:r>
      <w:r>
        <w:rPr>
          <w:rFonts w:hint="eastAsia" w:ascii="仿宋_GB2312" w:hAnsi="楷体" w:eastAsia="仿宋_GB2312"/>
          <w:sz w:val="28"/>
          <w:szCs w:val="28"/>
          <w:lang w:val="en-US" w:eastAsia="zh-CN"/>
        </w:rPr>
        <w:t>3</w:t>
      </w:r>
      <w:r>
        <w:rPr>
          <w:rFonts w:hint="eastAsia" w:ascii="仿宋_GB2312" w:hAnsi="楷体" w:eastAsia="仿宋_GB2312"/>
          <w:sz w:val="28"/>
          <w:szCs w:val="28"/>
          <w:lang w:val="zh-CN" w:eastAsia="zh-CN"/>
        </w:rPr>
        <w:t>分。</w:t>
      </w:r>
    </w:p>
    <w:p w14:paraId="5BEE18E3">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2.项目管理分析</w:t>
      </w:r>
    </w:p>
    <w:p w14:paraId="6B2BF481">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项目管理类指标包括投入管理、财务管理和项目实施三方面内容，由8个三级指标构成，对部分指标细化分解为9个四级指标。权重分为20分，实际得分1</w:t>
      </w:r>
      <w:r>
        <w:rPr>
          <w:rFonts w:hint="eastAsia" w:ascii="仿宋_GB2312" w:hAnsi="楷体" w:eastAsia="仿宋_GB2312"/>
          <w:sz w:val="28"/>
          <w:szCs w:val="28"/>
          <w:lang w:val="en-US" w:eastAsia="zh-CN"/>
        </w:rPr>
        <w:t>9.94</w:t>
      </w:r>
      <w:r>
        <w:rPr>
          <w:rFonts w:hint="eastAsia" w:ascii="仿宋_GB2312" w:hAnsi="楷体" w:eastAsia="仿宋_GB2312"/>
          <w:sz w:val="28"/>
          <w:szCs w:val="28"/>
          <w:lang w:val="zh-CN" w:eastAsia="zh-CN"/>
        </w:rPr>
        <w:t>分，得分率</w:t>
      </w:r>
      <w:r>
        <w:rPr>
          <w:rFonts w:hint="eastAsia" w:ascii="仿宋_GB2312" w:hAnsi="楷体" w:eastAsia="仿宋_GB2312"/>
          <w:sz w:val="28"/>
          <w:szCs w:val="28"/>
          <w:lang w:val="en-US" w:eastAsia="zh-CN"/>
        </w:rPr>
        <w:t>99</w:t>
      </w:r>
      <w:r>
        <w:rPr>
          <w:rFonts w:hint="eastAsia" w:ascii="仿宋_GB2312" w:hAnsi="楷体" w:eastAsia="仿宋_GB2312"/>
          <w:sz w:val="28"/>
          <w:szCs w:val="28"/>
          <w:lang w:val="zh-CN" w:eastAsia="zh-CN"/>
        </w:rPr>
        <w:t>.</w:t>
      </w:r>
      <w:r>
        <w:rPr>
          <w:rFonts w:hint="eastAsia" w:ascii="仿宋_GB2312" w:hAnsi="楷体" w:eastAsia="仿宋_GB2312"/>
          <w:sz w:val="28"/>
          <w:szCs w:val="28"/>
          <w:lang w:val="en-US" w:eastAsia="zh-CN"/>
        </w:rPr>
        <w:t>7</w:t>
      </w:r>
      <w:r>
        <w:rPr>
          <w:rFonts w:hint="eastAsia" w:ascii="仿宋_GB2312" w:hAnsi="楷体" w:eastAsia="仿宋_GB2312"/>
          <w:sz w:val="28"/>
          <w:szCs w:val="28"/>
          <w:lang w:val="zh-CN" w:eastAsia="zh-CN"/>
        </w:rPr>
        <w:t>0%。</w:t>
      </w:r>
    </w:p>
    <w:p w14:paraId="2BC8D9DB">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（1）投入管理</w:t>
      </w:r>
    </w:p>
    <w:p w14:paraId="1C372583">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主要考察项目预算编制是否合理，预算调整是否符合规定，以及预算执行情况。各指标的业绩值和实际得分详见下表：</w:t>
      </w:r>
    </w:p>
    <w:p w14:paraId="755D4D48">
      <w:pPr>
        <w:widowControl/>
        <w:jc w:val="center"/>
        <w:rPr>
          <w:rFonts w:hint="eastAsia" w:ascii="黑体" w:hAnsi="黑体" w:eastAsia="黑体" w:cs="黑体"/>
          <w:b w:val="0"/>
          <w:bCs w:val="0"/>
          <w:sz w:val="24"/>
          <w:szCs w:val="24"/>
          <w:lang w:val="zh-CN"/>
        </w:rPr>
      </w:pPr>
      <w:r>
        <w:rPr>
          <w:rFonts w:hint="eastAsia" w:ascii="黑体" w:hAnsi="黑体" w:eastAsia="黑体" w:cs="黑体"/>
          <w:b w:val="0"/>
          <w:bCs w:val="0"/>
          <w:sz w:val="24"/>
          <w:szCs w:val="24"/>
          <w:lang w:val="zh-CN"/>
        </w:rPr>
        <w:t>表</w:t>
      </w:r>
      <w:r>
        <w:rPr>
          <w:rFonts w:hint="eastAsia" w:ascii="黑体" w:hAnsi="黑体" w:eastAsia="黑体" w:cs="黑体"/>
          <w:b w:val="0"/>
          <w:bCs w:val="0"/>
          <w:sz w:val="24"/>
          <w:szCs w:val="24"/>
          <w:lang w:val="en-US" w:eastAsia="zh-CN"/>
        </w:rPr>
        <w:t>6</w:t>
      </w:r>
      <w:r>
        <w:rPr>
          <w:rFonts w:hint="eastAsia" w:ascii="黑体" w:hAnsi="黑体" w:eastAsia="黑体" w:cs="黑体"/>
          <w:b w:val="0"/>
          <w:bCs w:val="0"/>
          <w:sz w:val="24"/>
          <w:szCs w:val="24"/>
          <w:lang w:val="zh-CN"/>
        </w:rPr>
        <w:t xml:space="preserve">  投入管理类指标评分表</w:t>
      </w:r>
    </w:p>
    <w:tbl>
      <w:tblPr>
        <w:tblStyle w:val="8"/>
        <w:tblW w:w="8156" w:type="dxa"/>
        <w:jc w:val="center"/>
        <w:tblLayout w:type="fixed"/>
        <w:tblCellMar>
          <w:top w:w="0" w:type="dxa"/>
          <w:left w:w="10" w:type="dxa"/>
          <w:bottom w:w="0" w:type="dxa"/>
          <w:right w:w="10" w:type="dxa"/>
        </w:tblCellMar>
      </w:tblPr>
      <w:tblGrid>
        <w:gridCol w:w="3768"/>
        <w:gridCol w:w="1478"/>
        <w:gridCol w:w="1427"/>
        <w:gridCol w:w="1483"/>
      </w:tblGrid>
      <w:tr w14:paraId="40349E46">
        <w:tblPrEx>
          <w:tblCellMar>
            <w:top w:w="0" w:type="dxa"/>
            <w:left w:w="10" w:type="dxa"/>
            <w:bottom w:w="0" w:type="dxa"/>
            <w:right w:w="10" w:type="dxa"/>
          </w:tblCellMar>
        </w:tblPrEx>
        <w:trPr>
          <w:trHeight w:val="340" w:hRule="exact"/>
          <w:tblHeader/>
          <w:jc w:val="center"/>
        </w:trPr>
        <w:tc>
          <w:tcPr>
            <w:tcW w:w="3768" w:type="dxa"/>
            <w:tcBorders>
              <w:top w:val="single" w:color="auto" w:sz="4" w:space="0"/>
              <w:left w:val="single" w:color="auto" w:sz="4" w:space="0"/>
              <w:bottom w:val="single" w:color="auto" w:sz="4" w:space="0"/>
            </w:tcBorders>
            <w:shd w:val="clear" w:color="auto" w:fill="FFFFFF"/>
            <w:noWrap w:val="0"/>
            <w:vAlign w:val="bottom"/>
          </w:tcPr>
          <w:p w14:paraId="26D2C1CF">
            <w:pPr>
              <w:pStyle w:val="15"/>
              <w:shd w:val="clear" w:color="auto" w:fill="auto"/>
              <w:spacing w:after="0" w:line="240" w:lineRule="auto"/>
              <w:rPr>
                <w:rFonts w:hint="eastAsia" w:ascii="宋体" w:hAnsi="宋体" w:eastAsia="宋体" w:cs="宋体"/>
                <w:b/>
                <w:bCs/>
                <w:sz w:val="21"/>
                <w:szCs w:val="21"/>
              </w:rPr>
            </w:pPr>
            <w:r>
              <w:rPr>
                <w:rFonts w:hint="eastAsia" w:ascii="宋体" w:hAnsi="宋体" w:eastAsia="宋体" w:cs="宋体"/>
                <w:b/>
                <w:bCs/>
                <w:spacing w:val="0"/>
                <w:sz w:val="21"/>
                <w:szCs w:val="21"/>
                <w:lang w:val="zh-CN"/>
              </w:rPr>
              <w:t>指标名称</w:t>
            </w:r>
          </w:p>
        </w:tc>
        <w:tc>
          <w:tcPr>
            <w:tcW w:w="1478" w:type="dxa"/>
            <w:tcBorders>
              <w:top w:val="single" w:color="auto" w:sz="4" w:space="0"/>
              <w:left w:val="single" w:color="auto" w:sz="4" w:space="0"/>
              <w:bottom w:val="single" w:color="auto" w:sz="4" w:space="0"/>
            </w:tcBorders>
            <w:shd w:val="clear" w:color="auto" w:fill="FFFFFF"/>
            <w:noWrap w:val="0"/>
            <w:vAlign w:val="bottom"/>
          </w:tcPr>
          <w:p w14:paraId="30E842AD">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指标权重</w:t>
            </w:r>
          </w:p>
        </w:tc>
        <w:tc>
          <w:tcPr>
            <w:tcW w:w="1427" w:type="dxa"/>
            <w:tcBorders>
              <w:top w:val="single" w:color="auto" w:sz="4" w:space="0"/>
              <w:left w:val="single" w:color="auto" w:sz="4" w:space="0"/>
              <w:bottom w:val="single" w:color="auto" w:sz="4" w:space="0"/>
            </w:tcBorders>
            <w:shd w:val="clear" w:color="auto" w:fill="FFFFFF"/>
            <w:noWrap w:val="0"/>
            <w:vAlign w:val="bottom"/>
          </w:tcPr>
          <w:p w14:paraId="2EA398FB">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业绩值</w:t>
            </w:r>
          </w:p>
        </w:tc>
        <w:tc>
          <w:tcPr>
            <w:tcW w:w="1483"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261E46E8">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实际得分</w:t>
            </w:r>
          </w:p>
        </w:tc>
      </w:tr>
      <w:tr w14:paraId="27988834">
        <w:tblPrEx>
          <w:tblCellMar>
            <w:top w:w="0" w:type="dxa"/>
            <w:left w:w="10" w:type="dxa"/>
            <w:bottom w:w="0" w:type="dxa"/>
            <w:right w:w="10" w:type="dxa"/>
          </w:tblCellMar>
        </w:tblPrEx>
        <w:trPr>
          <w:trHeight w:val="335" w:hRule="exact"/>
          <w:jc w:val="center"/>
        </w:trPr>
        <w:tc>
          <w:tcPr>
            <w:tcW w:w="376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84DAE1">
            <w:pPr>
              <w:pStyle w:val="15"/>
              <w:shd w:val="clear" w:color="auto" w:fill="auto"/>
              <w:spacing w:after="0" w:line="240" w:lineRule="auto"/>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B</w:t>
            </w:r>
            <w:r>
              <w:rPr>
                <w:rFonts w:hint="eastAsia" w:ascii="宋体" w:hAnsi="宋体" w:eastAsia="宋体" w:cs="宋体"/>
                <w:spacing w:val="0"/>
                <w:sz w:val="21"/>
                <w:szCs w:val="21"/>
                <w:lang w:eastAsia="en-US"/>
              </w:rPr>
              <w:t>11.</w:t>
            </w:r>
            <w:r>
              <w:rPr>
                <w:rFonts w:hint="eastAsia" w:cs="宋体"/>
                <w:spacing w:val="0"/>
                <w:sz w:val="21"/>
                <w:szCs w:val="21"/>
                <w:lang w:val="zh-CN"/>
              </w:rPr>
              <w:t>预算编制合理性</w:t>
            </w:r>
          </w:p>
        </w:tc>
        <w:tc>
          <w:tcPr>
            <w:tcW w:w="14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13165D">
            <w:pPr>
              <w:pStyle w:val="15"/>
              <w:shd w:val="clear" w:color="auto" w:fill="auto"/>
              <w:spacing w:after="0" w:line="240" w:lineRule="auto"/>
              <w:rPr>
                <w:rFonts w:hint="eastAsia" w:ascii="宋体" w:hAnsi="宋体" w:eastAsia="宋体" w:cs="宋体"/>
                <w:spacing w:val="0"/>
                <w:sz w:val="21"/>
                <w:szCs w:val="21"/>
                <w:lang w:val="zh-CN" w:eastAsia="zh-CN"/>
              </w:rPr>
            </w:pPr>
            <w:r>
              <w:rPr>
                <w:rFonts w:hint="eastAsia" w:cs="宋体"/>
                <w:spacing w:val="0"/>
                <w:sz w:val="21"/>
                <w:szCs w:val="21"/>
                <w:lang w:val="en-US" w:eastAsia="zh-CN"/>
              </w:rPr>
              <w:t>1</w:t>
            </w:r>
          </w:p>
        </w:tc>
        <w:tc>
          <w:tcPr>
            <w:tcW w:w="142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6AC28F">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eastAsia="zh-CN"/>
              </w:rPr>
              <w:t>合理</w:t>
            </w:r>
          </w:p>
        </w:tc>
        <w:tc>
          <w:tcPr>
            <w:tcW w:w="148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1E49AE">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en-US" w:eastAsia="zh-CN"/>
              </w:rPr>
              <w:t>1</w:t>
            </w:r>
            <w:r>
              <w:rPr>
                <w:rFonts w:hint="eastAsia" w:ascii="宋体" w:hAnsi="宋体" w:eastAsia="宋体" w:cs="宋体"/>
                <w:spacing w:val="0"/>
                <w:sz w:val="21"/>
                <w:szCs w:val="21"/>
                <w:lang w:eastAsia="en-US"/>
              </w:rPr>
              <w:t>.00</w:t>
            </w:r>
          </w:p>
        </w:tc>
      </w:tr>
      <w:tr w14:paraId="7D0908B1">
        <w:tblPrEx>
          <w:tblCellMar>
            <w:top w:w="0" w:type="dxa"/>
            <w:left w:w="10" w:type="dxa"/>
            <w:bottom w:w="0" w:type="dxa"/>
            <w:right w:w="10" w:type="dxa"/>
          </w:tblCellMar>
        </w:tblPrEx>
        <w:trPr>
          <w:trHeight w:val="335" w:hRule="exact"/>
          <w:jc w:val="center"/>
        </w:trPr>
        <w:tc>
          <w:tcPr>
            <w:tcW w:w="376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789F01">
            <w:pPr>
              <w:pStyle w:val="15"/>
              <w:shd w:val="clear" w:color="auto" w:fill="auto"/>
              <w:spacing w:after="0" w:line="240" w:lineRule="auto"/>
              <w:jc w:val="left"/>
              <w:rPr>
                <w:rFonts w:hint="default" w:ascii="宋体" w:hAnsi="宋体" w:eastAsia="宋体" w:cs="宋体"/>
                <w:spacing w:val="0"/>
                <w:sz w:val="21"/>
                <w:szCs w:val="21"/>
                <w:lang w:val="en-US" w:eastAsia="zh-CN"/>
              </w:rPr>
            </w:pPr>
            <w:r>
              <w:rPr>
                <w:rFonts w:hint="eastAsia" w:cs="宋体"/>
                <w:spacing w:val="0"/>
                <w:sz w:val="21"/>
                <w:szCs w:val="21"/>
                <w:lang w:val="en-US" w:eastAsia="zh-CN"/>
              </w:rPr>
              <w:t>B12预算调整规范性</w:t>
            </w:r>
          </w:p>
        </w:tc>
        <w:tc>
          <w:tcPr>
            <w:tcW w:w="14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9FF3A0">
            <w:pPr>
              <w:pStyle w:val="15"/>
              <w:shd w:val="clear" w:color="auto" w:fill="auto"/>
              <w:spacing w:after="0" w:line="240" w:lineRule="auto"/>
              <w:rPr>
                <w:rFonts w:hint="eastAsia" w:ascii="宋体" w:hAnsi="宋体" w:eastAsia="宋体" w:cs="宋体"/>
                <w:spacing w:val="0"/>
                <w:sz w:val="21"/>
                <w:szCs w:val="21"/>
                <w:lang w:val="en-US" w:eastAsia="zh-CN"/>
              </w:rPr>
            </w:pPr>
            <w:r>
              <w:rPr>
                <w:rFonts w:hint="eastAsia" w:cs="宋体"/>
                <w:spacing w:val="0"/>
                <w:sz w:val="21"/>
                <w:szCs w:val="21"/>
                <w:lang w:val="en-US" w:eastAsia="zh-CN"/>
              </w:rPr>
              <w:t>1</w:t>
            </w:r>
          </w:p>
        </w:tc>
        <w:tc>
          <w:tcPr>
            <w:tcW w:w="142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53DF67">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eastAsia="zh-CN"/>
              </w:rPr>
              <w:t>规范</w:t>
            </w:r>
          </w:p>
        </w:tc>
        <w:tc>
          <w:tcPr>
            <w:tcW w:w="148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B00CA1">
            <w:pPr>
              <w:pStyle w:val="15"/>
              <w:shd w:val="clear" w:color="auto" w:fill="auto"/>
              <w:spacing w:after="0" w:line="240" w:lineRule="auto"/>
              <w:rPr>
                <w:rFonts w:hint="eastAsia"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1</w:t>
            </w:r>
            <w:r>
              <w:rPr>
                <w:rFonts w:hint="eastAsia" w:ascii="宋体" w:hAnsi="宋体" w:eastAsia="宋体" w:cs="宋体"/>
                <w:spacing w:val="0"/>
                <w:sz w:val="21"/>
                <w:szCs w:val="21"/>
                <w:lang w:eastAsia="en-US"/>
              </w:rPr>
              <w:t>.00</w:t>
            </w:r>
          </w:p>
        </w:tc>
      </w:tr>
      <w:tr w14:paraId="51897A80">
        <w:tblPrEx>
          <w:tblCellMar>
            <w:top w:w="0" w:type="dxa"/>
            <w:left w:w="10" w:type="dxa"/>
            <w:bottom w:w="0" w:type="dxa"/>
            <w:right w:w="10" w:type="dxa"/>
          </w:tblCellMar>
        </w:tblPrEx>
        <w:trPr>
          <w:trHeight w:val="295" w:hRule="exact"/>
          <w:jc w:val="center"/>
        </w:trPr>
        <w:tc>
          <w:tcPr>
            <w:tcW w:w="3768" w:type="dxa"/>
            <w:tcBorders>
              <w:top w:val="single" w:color="auto" w:sz="4" w:space="0"/>
              <w:left w:val="single" w:color="auto" w:sz="4" w:space="0"/>
              <w:bottom w:val="single" w:color="auto" w:sz="4" w:space="0"/>
            </w:tcBorders>
            <w:shd w:val="clear" w:color="auto" w:fill="FFFFFF"/>
            <w:noWrap w:val="0"/>
            <w:vAlign w:val="center"/>
          </w:tcPr>
          <w:p w14:paraId="0935DA8D">
            <w:pPr>
              <w:pStyle w:val="15"/>
              <w:shd w:val="clear" w:color="auto" w:fill="auto"/>
              <w:spacing w:after="0" w:line="240" w:lineRule="auto"/>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B</w:t>
            </w:r>
            <w:r>
              <w:rPr>
                <w:rFonts w:hint="eastAsia" w:ascii="宋体" w:hAnsi="宋体" w:eastAsia="宋体" w:cs="宋体"/>
                <w:spacing w:val="0"/>
                <w:sz w:val="21"/>
                <w:szCs w:val="21"/>
                <w:lang w:eastAsia="en-US"/>
              </w:rPr>
              <w:t>1</w:t>
            </w:r>
            <w:r>
              <w:rPr>
                <w:rFonts w:hint="eastAsia" w:ascii="宋体" w:hAnsi="宋体" w:eastAsia="宋体" w:cs="宋体"/>
                <w:spacing w:val="0"/>
                <w:sz w:val="21"/>
                <w:szCs w:val="21"/>
              </w:rPr>
              <w:t>2</w:t>
            </w:r>
            <w:r>
              <w:rPr>
                <w:rFonts w:hint="eastAsia" w:ascii="宋体" w:hAnsi="宋体" w:eastAsia="宋体" w:cs="宋体"/>
                <w:spacing w:val="0"/>
                <w:sz w:val="21"/>
                <w:szCs w:val="21"/>
                <w:lang w:eastAsia="en-US"/>
              </w:rPr>
              <w:t>.</w:t>
            </w:r>
            <w:r>
              <w:rPr>
                <w:rFonts w:hint="eastAsia" w:ascii="宋体" w:hAnsi="宋体" w:eastAsia="宋体" w:cs="宋体"/>
                <w:spacing w:val="0"/>
                <w:sz w:val="21"/>
                <w:szCs w:val="21"/>
                <w:lang w:val="zh-CN"/>
              </w:rPr>
              <w:t>预算执行率</w:t>
            </w:r>
          </w:p>
        </w:tc>
        <w:tc>
          <w:tcPr>
            <w:tcW w:w="1478" w:type="dxa"/>
            <w:tcBorders>
              <w:top w:val="single" w:color="auto" w:sz="4" w:space="0"/>
              <w:left w:val="single" w:color="auto" w:sz="4" w:space="0"/>
              <w:bottom w:val="single" w:color="auto" w:sz="4" w:space="0"/>
            </w:tcBorders>
            <w:shd w:val="clear" w:color="auto" w:fill="FFFFFF"/>
            <w:noWrap w:val="0"/>
            <w:vAlign w:val="bottom"/>
          </w:tcPr>
          <w:p w14:paraId="6390AA12">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2</w:t>
            </w:r>
          </w:p>
        </w:tc>
        <w:tc>
          <w:tcPr>
            <w:tcW w:w="1427" w:type="dxa"/>
            <w:tcBorders>
              <w:top w:val="single" w:color="auto" w:sz="4" w:space="0"/>
              <w:left w:val="single" w:color="auto" w:sz="4" w:space="0"/>
              <w:bottom w:val="single" w:color="auto" w:sz="4" w:space="0"/>
            </w:tcBorders>
            <w:shd w:val="clear" w:color="auto" w:fill="FFFFFF"/>
            <w:noWrap w:val="0"/>
            <w:vAlign w:val="center"/>
          </w:tcPr>
          <w:p w14:paraId="3674211E">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≥95.00</w:t>
            </w:r>
            <w:r>
              <w:rPr>
                <w:rFonts w:hint="eastAsia" w:ascii="宋体" w:hAnsi="宋体" w:eastAsia="宋体" w:cs="宋体"/>
                <w:spacing w:val="0"/>
                <w:sz w:val="21"/>
                <w:szCs w:val="21"/>
                <w:lang w:val="zh-CN"/>
              </w:rPr>
              <w:t>%</w:t>
            </w:r>
          </w:p>
        </w:tc>
        <w:tc>
          <w:tcPr>
            <w:tcW w:w="1483"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41F3AABD">
            <w:pPr>
              <w:pStyle w:val="15"/>
              <w:shd w:val="clear" w:color="auto" w:fill="auto"/>
              <w:spacing w:after="0" w:line="240" w:lineRule="auto"/>
              <w:rPr>
                <w:rFonts w:hint="default" w:ascii="宋体" w:hAnsi="宋体" w:eastAsia="宋体" w:cs="宋体"/>
                <w:spacing w:val="0"/>
                <w:sz w:val="21"/>
                <w:szCs w:val="21"/>
                <w:lang w:val="en-US" w:eastAsia="zh-CN"/>
              </w:rPr>
            </w:pPr>
            <w:r>
              <w:rPr>
                <w:rFonts w:hint="eastAsia" w:cs="宋体"/>
                <w:spacing w:val="0"/>
                <w:sz w:val="21"/>
                <w:szCs w:val="21"/>
                <w:lang w:val="en-US" w:eastAsia="zh-CN"/>
              </w:rPr>
              <w:t>1</w:t>
            </w:r>
            <w:r>
              <w:rPr>
                <w:rFonts w:hint="eastAsia" w:ascii="宋体" w:hAnsi="宋体" w:eastAsia="宋体" w:cs="宋体"/>
                <w:spacing w:val="0"/>
                <w:sz w:val="21"/>
                <w:szCs w:val="21"/>
                <w:lang w:eastAsia="en-US"/>
              </w:rPr>
              <w:t>.</w:t>
            </w:r>
            <w:r>
              <w:rPr>
                <w:rFonts w:hint="eastAsia" w:cs="宋体"/>
                <w:spacing w:val="0"/>
                <w:sz w:val="21"/>
                <w:szCs w:val="21"/>
                <w:lang w:val="en-US" w:eastAsia="zh-CN"/>
              </w:rPr>
              <w:t>94</w:t>
            </w:r>
          </w:p>
        </w:tc>
      </w:tr>
      <w:tr w14:paraId="1E0FEB2F">
        <w:tblPrEx>
          <w:tblCellMar>
            <w:top w:w="0" w:type="dxa"/>
            <w:left w:w="10" w:type="dxa"/>
            <w:bottom w:w="0" w:type="dxa"/>
            <w:right w:w="10" w:type="dxa"/>
          </w:tblCellMar>
        </w:tblPrEx>
        <w:trPr>
          <w:trHeight w:val="298" w:hRule="exact"/>
          <w:jc w:val="center"/>
        </w:trPr>
        <w:tc>
          <w:tcPr>
            <w:tcW w:w="3768" w:type="dxa"/>
            <w:tcBorders>
              <w:top w:val="single" w:color="auto" w:sz="4" w:space="0"/>
              <w:left w:val="single" w:color="auto" w:sz="4" w:space="0"/>
              <w:bottom w:val="single" w:color="auto" w:sz="4" w:space="0"/>
            </w:tcBorders>
            <w:shd w:val="clear" w:color="auto" w:fill="FFFFFF"/>
            <w:noWrap w:val="0"/>
            <w:vAlign w:val="center"/>
          </w:tcPr>
          <w:p w14:paraId="496A47F2">
            <w:pPr>
              <w:pStyle w:val="15"/>
              <w:shd w:val="clear" w:color="auto" w:fill="auto"/>
              <w:spacing w:after="0" w:line="240" w:lineRule="auto"/>
              <w:rPr>
                <w:rFonts w:hint="eastAsia" w:ascii="宋体" w:hAnsi="宋体" w:eastAsia="宋体" w:cs="宋体"/>
                <w:spacing w:val="0"/>
                <w:sz w:val="21"/>
                <w:szCs w:val="21"/>
                <w:lang w:val="zh-CN" w:eastAsia="zh-CN"/>
              </w:rPr>
            </w:pPr>
            <w:r>
              <w:rPr>
                <w:rFonts w:hint="eastAsia" w:cs="宋体"/>
                <w:spacing w:val="0"/>
                <w:sz w:val="21"/>
                <w:szCs w:val="21"/>
                <w:lang w:val="en-US" w:eastAsia="zh-CN"/>
              </w:rPr>
              <w:t>合计</w:t>
            </w:r>
          </w:p>
        </w:tc>
        <w:tc>
          <w:tcPr>
            <w:tcW w:w="1478" w:type="dxa"/>
            <w:tcBorders>
              <w:top w:val="single" w:color="auto" w:sz="4" w:space="0"/>
              <w:left w:val="single" w:color="auto" w:sz="4" w:space="0"/>
              <w:bottom w:val="single" w:color="auto" w:sz="4" w:space="0"/>
            </w:tcBorders>
            <w:shd w:val="clear" w:color="auto" w:fill="FFFFFF"/>
            <w:noWrap w:val="0"/>
            <w:vAlign w:val="center"/>
          </w:tcPr>
          <w:p w14:paraId="101E64F8">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4</w:t>
            </w:r>
          </w:p>
        </w:tc>
        <w:tc>
          <w:tcPr>
            <w:tcW w:w="1427" w:type="dxa"/>
            <w:tcBorders>
              <w:top w:val="single" w:color="auto" w:sz="4" w:space="0"/>
              <w:left w:val="single" w:color="auto" w:sz="4" w:space="0"/>
              <w:bottom w:val="single" w:color="auto" w:sz="4" w:space="0"/>
            </w:tcBorders>
            <w:shd w:val="clear" w:color="auto" w:fill="FFFFFF"/>
            <w:noWrap w:val="0"/>
            <w:vAlign w:val="top"/>
          </w:tcPr>
          <w:p w14:paraId="1E86CD98">
            <w:pPr>
              <w:pStyle w:val="15"/>
              <w:shd w:val="clear" w:color="auto" w:fill="auto"/>
              <w:spacing w:after="0" w:line="240" w:lineRule="auto"/>
              <w:rPr>
                <w:rFonts w:hint="eastAsia" w:ascii="宋体" w:hAnsi="宋体" w:eastAsia="宋体" w:cs="宋体"/>
                <w:spacing w:val="0"/>
                <w:sz w:val="21"/>
                <w:szCs w:val="21"/>
                <w:lang w:val="zh-CN"/>
              </w:rPr>
            </w:pPr>
          </w:p>
        </w:tc>
        <w:tc>
          <w:tcPr>
            <w:tcW w:w="148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F6EDF8">
            <w:pPr>
              <w:pStyle w:val="15"/>
              <w:shd w:val="clear" w:color="auto" w:fill="auto"/>
              <w:spacing w:after="0" w:line="240" w:lineRule="auto"/>
              <w:rPr>
                <w:rFonts w:hint="default" w:ascii="宋体" w:hAnsi="宋体" w:eastAsia="宋体" w:cs="宋体"/>
                <w:spacing w:val="0"/>
                <w:sz w:val="21"/>
                <w:szCs w:val="21"/>
                <w:lang w:val="en-US" w:eastAsia="zh-CN"/>
              </w:rPr>
            </w:pPr>
            <w:r>
              <w:rPr>
                <w:rFonts w:hint="eastAsia" w:ascii="宋体" w:hAnsi="宋体" w:eastAsia="宋体" w:cs="宋体"/>
                <w:spacing w:val="0"/>
                <w:sz w:val="21"/>
                <w:szCs w:val="21"/>
                <w:lang w:val="en-US" w:eastAsia="zh-CN"/>
              </w:rPr>
              <w:t>3</w:t>
            </w:r>
            <w:r>
              <w:rPr>
                <w:rFonts w:hint="eastAsia" w:ascii="宋体" w:hAnsi="宋体" w:eastAsia="宋体" w:cs="宋体"/>
                <w:spacing w:val="0"/>
                <w:sz w:val="21"/>
                <w:szCs w:val="21"/>
                <w:lang w:eastAsia="en-US"/>
              </w:rPr>
              <w:t>.</w:t>
            </w:r>
            <w:r>
              <w:rPr>
                <w:rFonts w:hint="eastAsia" w:cs="宋体"/>
                <w:spacing w:val="0"/>
                <w:sz w:val="21"/>
                <w:szCs w:val="21"/>
                <w:lang w:val="en-US" w:eastAsia="zh-CN"/>
              </w:rPr>
              <w:t>94</w:t>
            </w:r>
          </w:p>
        </w:tc>
      </w:tr>
    </w:tbl>
    <w:p w14:paraId="2A5ABABB">
      <w:pPr>
        <w:numPr>
          <w:ilvl w:val="0"/>
          <w:numId w:val="0"/>
        </w:numPr>
        <w:spacing w:line="579" w:lineRule="exact"/>
        <w:ind w:firstLine="586" w:firstLineChars="2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B11.预算编制合理性</w:t>
      </w:r>
    </w:p>
    <w:p w14:paraId="170F5A94">
      <w:pPr>
        <w:numPr>
          <w:ilvl w:val="0"/>
          <w:numId w:val="0"/>
        </w:numPr>
        <w:spacing w:line="579" w:lineRule="exact"/>
        <w:ind w:firstLine="584" w:firstLineChars="200"/>
        <w:outlineLvl w:val="0"/>
        <w:rPr>
          <w:rFonts w:hint="eastAsia" w:ascii="仿宋_GB2312" w:hAnsi="仿宋" w:eastAsia="仿宋_GB2312"/>
          <w:color w:val="00B0F0"/>
          <w:spacing w:val="6"/>
          <w:kern w:val="0"/>
          <w:sz w:val="28"/>
          <w:szCs w:val="28"/>
          <w:highlight w:val="none"/>
          <w:lang w:val="en-US" w:eastAsia="zh-CN"/>
        </w:rPr>
      </w:pPr>
      <w:r>
        <w:rPr>
          <w:rFonts w:hint="default" w:ascii="仿宋_GB2312" w:hAnsi="仿宋" w:eastAsia="仿宋_GB2312"/>
          <w:color w:val="000000"/>
          <w:spacing w:val="6"/>
          <w:kern w:val="0"/>
          <w:sz w:val="28"/>
          <w:szCs w:val="28"/>
          <w:highlight w:val="none"/>
          <w:u w:val="single"/>
          <w:lang w:val="en-US" w:eastAsia="zh-CN"/>
        </w:rPr>
        <w:t>B11.预算编制合理性</w:t>
      </w:r>
      <w:r>
        <w:rPr>
          <w:rFonts w:hint="eastAsia" w:ascii="仿宋_GB2312" w:hAnsi="仿宋" w:eastAsia="仿宋_GB2312"/>
          <w:color w:val="000000"/>
          <w:spacing w:val="6"/>
          <w:kern w:val="0"/>
          <w:sz w:val="28"/>
          <w:szCs w:val="28"/>
          <w:highlight w:val="none"/>
          <w:lang w:val="en-US" w:eastAsia="zh-CN"/>
        </w:rPr>
        <w:t>：</w:t>
      </w:r>
      <w:r>
        <w:rPr>
          <w:rFonts w:hint="eastAsia" w:ascii="仿宋_GB2312" w:hAnsi="仿宋" w:eastAsia="仿宋_GB2312"/>
          <w:spacing w:val="6"/>
          <w:kern w:val="0"/>
          <w:sz w:val="28"/>
          <w:szCs w:val="28"/>
          <w:highlight w:val="none"/>
          <w:lang w:val="en-US" w:eastAsia="zh-CN"/>
        </w:rPr>
        <w:t>根据项目经费开支明细表测算，共需63.52万元完成此项目，年初预算安排财政资金63.52万元，实际支出58.81万元，未出现缺口资金，故预算编制合理。</w:t>
      </w:r>
    </w:p>
    <w:p w14:paraId="00206EFF">
      <w:pPr>
        <w:numPr>
          <w:ilvl w:val="0"/>
          <w:numId w:val="0"/>
        </w:numPr>
        <w:spacing w:line="579" w:lineRule="exact"/>
        <w:ind w:firstLine="584" w:firstLineChars="200"/>
        <w:outlineLvl w:val="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cs="Times New Roman"/>
          <w:color w:val="000000"/>
          <w:spacing w:val="6"/>
          <w:kern w:val="0"/>
          <w:sz w:val="28"/>
          <w:szCs w:val="28"/>
          <w:highlight w:val="none"/>
          <w:lang w:val="en-US" w:eastAsia="zh-CN"/>
        </w:rPr>
        <w:t>该项指标满分1分，根据评分标准得1分。</w:t>
      </w:r>
    </w:p>
    <w:p w14:paraId="0C7F9EF7">
      <w:pPr>
        <w:numPr>
          <w:ilvl w:val="0"/>
          <w:numId w:val="0"/>
        </w:numPr>
        <w:spacing w:line="579" w:lineRule="exact"/>
        <w:ind w:firstLine="586" w:firstLineChars="2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B12.预算调整规范性</w:t>
      </w:r>
    </w:p>
    <w:p w14:paraId="5BB9215E">
      <w:pPr>
        <w:numPr>
          <w:ilvl w:val="0"/>
          <w:numId w:val="0"/>
        </w:numPr>
        <w:spacing w:line="590" w:lineRule="exact"/>
        <w:ind w:firstLine="584" w:firstLineChars="200"/>
        <w:rPr>
          <w:rFonts w:hint="default" w:ascii="仿宋_GB2312" w:hAnsi="仿宋" w:eastAsia="仿宋_GB2312"/>
          <w:spacing w:val="6"/>
          <w:kern w:val="0"/>
          <w:sz w:val="28"/>
          <w:szCs w:val="28"/>
          <w:highlight w:val="none"/>
          <w:u w:val="none"/>
          <w:lang w:val="en-US" w:eastAsia="zh-CN"/>
        </w:rPr>
      </w:pPr>
      <w:r>
        <w:rPr>
          <w:rFonts w:hint="default" w:ascii="仿宋_GB2312" w:hAnsi="仿宋" w:eastAsia="仿宋_GB2312"/>
          <w:spacing w:val="6"/>
          <w:kern w:val="0"/>
          <w:sz w:val="28"/>
          <w:szCs w:val="28"/>
          <w:highlight w:val="none"/>
          <w:u w:val="single"/>
          <w:lang w:val="en-US" w:eastAsia="zh-CN"/>
        </w:rPr>
        <w:t>B12.预算调整规范性</w:t>
      </w:r>
      <w:r>
        <w:rPr>
          <w:rFonts w:hint="eastAsia" w:ascii="仿宋_GB2312" w:hAnsi="仿宋" w:eastAsia="仿宋_GB2312"/>
          <w:spacing w:val="6"/>
          <w:kern w:val="0"/>
          <w:sz w:val="28"/>
          <w:szCs w:val="28"/>
          <w:highlight w:val="none"/>
          <w:u w:val="none"/>
          <w:lang w:val="en-US" w:eastAsia="zh-CN"/>
        </w:rPr>
        <w:t>：本项目未进行预算调整。</w:t>
      </w:r>
    </w:p>
    <w:p w14:paraId="5AE3DD28">
      <w:pPr>
        <w:numPr>
          <w:ilvl w:val="0"/>
          <w:numId w:val="0"/>
        </w:numPr>
        <w:spacing w:line="590" w:lineRule="exact"/>
        <w:ind w:firstLine="584" w:firstLineChars="200"/>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52FF84E6">
      <w:pPr>
        <w:spacing w:line="480" w:lineRule="auto"/>
        <w:ind w:firstLine="562" w:firstLineChars="200"/>
        <w:contextualSpacing/>
        <w:rPr>
          <w:rFonts w:hint="eastAsia" w:ascii="仿宋_GB2312" w:hAnsi="楷体" w:eastAsia="仿宋_GB2312"/>
          <w:b/>
          <w:bCs/>
          <w:sz w:val="28"/>
          <w:szCs w:val="28"/>
        </w:rPr>
      </w:pPr>
      <w:r>
        <w:rPr>
          <w:rFonts w:hint="eastAsia" w:ascii="仿宋_GB2312" w:hAnsi="楷体" w:eastAsia="仿宋_GB2312"/>
          <w:b/>
          <w:bCs/>
          <w:sz w:val="28"/>
          <w:szCs w:val="28"/>
        </w:rPr>
        <w:t>B1</w:t>
      </w:r>
      <w:r>
        <w:rPr>
          <w:rFonts w:hint="eastAsia" w:ascii="仿宋_GB2312" w:hAnsi="楷体" w:eastAsia="仿宋_GB2312"/>
          <w:b/>
          <w:bCs/>
          <w:sz w:val="28"/>
          <w:szCs w:val="28"/>
          <w:lang w:val="en-US" w:eastAsia="zh-CN"/>
        </w:rPr>
        <w:t>3</w:t>
      </w:r>
      <w:r>
        <w:rPr>
          <w:rFonts w:hint="eastAsia" w:ascii="仿宋_GB2312" w:hAnsi="楷体" w:eastAsia="仿宋_GB2312"/>
          <w:b/>
          <w:bCs/>
          <w:sz w:val="28"/>
          <w:szCs w:val="28"/>
        </w:rPr>
        <w:t>.预算执行率</w:t>
      </w:r>
    </w:p>
    <w:p w14:paraId="5560D5E2">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u w:val="single"/>
        </w:rPr>
        <w:t>B1</w:t>
      </w:r>
      <w:r>
        <w:rPr>
          <w:rFonts w:hint="eastAsia" w:ascii="仿宋_GB2312" w:hAnsi="楷体" w:eastAsia="仿宋_GB2312"/>
          <w:sz w:val="28"/>
          <w:szCs w:val="28"/>
          <w:u w:val="single"/>
          <w:lang w:val="en-US" w:eastAsia="zh-CN"/>
        </w:rPr>
        <w:t>3</w:t>
      </w:r>
      <w:r>
        <w:rPr>
          <w:rFonts w:hint="eastAsia" w:ascii="仿宋_GB2312" w:hAnsi="楷体" w:eastAsia="仿宋_GB2312"/>
          <w:sz w:val="28"/>
          <w:szCs w:val="28"/>
          <w:u w:val="single"/>
        </w:rPr>
        <w:t>.预算执行率：</w:t>
      </w:r>
      <w:r>
        <w:rPr>
          <w:rFonts w:hint="eastAsia" w:ascii="仿宋_GB2312" w:hAnsi="楷体" w:eastAsia="仿宋_GB2312"/>
          <w:sz w:val="28"/>
          <w:szCs w:val="28"/>
          <w:lang w:val="zh-CN" w:eastAsia="zh-CN"/>
        </w:rPr>
        <w:t>根据预算批复、支出明细账、支付指令、原始凭证等资料，</w:t>
      </w:r>
      <w:r>
        <w:rPr>
          <w:rFonts w:hint="eastAsia" w:ascii="仿宋_GB2312" w:hAnsi="楷体" w:eastAsia="仿宋_GB2312"/>
          <w:sz w:val="28"/>
          <w:szCs w:val="28"/>
          <w:lang w:val="en-US" w:eastAsia="zh-CN"/>
        </w:rPr>
        <w:t>截至2019年12月31日第二次全国污染源普查工作经费项目资金实际支出共计58.81万元，结余资金4.71万元，预算执行率达92.59</w:t>
      </w:r>
      <w:r>
        <w:rPr>
          <w:rFonts w:hint="eastAsia" w:ascii="仿宋_GB2312" w:hAnsi="楷体" w:eastAsia="仿宋_GB2312"/>
          <w:sz w:val="28"/>
          <w:szCs w:val="28"/>
          <w:lang w:val="zh-CN" w:eastAsia="zh-CN"/>
        </w:rPr>
        <w:t>%。</w:t>
      </w:r>
      <w:r>
        <w:rPr>
          <w:rFonts w:hint="eastAsia" w:ascii="仿宋_GB2312" w:hAnsi="楷体" w:eastAsia="仿宋_GB2312"/>
          <w:sz w:val="28"/>
          <w:szCs w:val="28"/>
          <w:lang w:val="en-US" w:eastAsia="zh-CN"/>
        </w:rPr>
        <w:t>由于现场监测合同尾款未达到合同约定付款条件，因此未支出4.71万元的合同尾款，该部分经费已通过退额度的方式退回财政。</w:t>
      </w:r>
      <w:r>
        <w:rPr>
          <w:rFonts w:hint="eastAsia" w:ascii="仿宋_GB2312" w:hAnsi="楷体" w:eastAsia="仿宋_GB2312"/>
          <w:sz w:val="28"/>
          <w:szCs w:val="28"/>
          <w:lang w:val="zh-CN" w:eastAsia="zh-CN"/>
        </w:rPr>
        <w:t>该项指标满分2分，根据评分标准得</w:t>
      </w:r>
      <w:r>
        <w:rPr>
          <w:rFonts w:hint="eastAsia" w:ascii="仿宋_GB2312" w:hAnsi="楷体" w:eastAsia="仿宋_GB2312"/>
          <w:sz w:val="28"/>
          <w:szCs w:val="28"/>
          <w:lang w:val="en-US" w:eastAsia="zh-CN"/>
        </w:rPr>
        <w:t>1.94</w:t>
      </w:r>
      <w:r>
        <w:rPr>
          <w:rFonts w:hint="eastAsia" w:ascii="仿宋_GB2312" w:hAnsi="楷体" w:eastAsia="仿宋_GB2312"/>
          <w:sz w:val="28"/>
          <w:szCs w:val="28"/>
          <w:lang w:val="zh-CN" w:eastAsia="zh-CN"/>
        </w:rPr>
        <w:t>分。</w:t>
      </w:r>
    </w:p>
    <w:p w14:paraId="7D727796">
      <w:pPr>
        <w:spacing w:line="590" w:lineRule="exact"/>
        <w:ind w:firstLine="560" w:firstLineChars="200"/>
        <w:contextualSpacing/>
        <w:rPr>
          <w:rFonts w:hint="eastAsia" w:ascii="仿宋_GB2312" w:hAnsi="楷体" w:eastAsia="仿宋_GB2312"/>
          <w:sz w:val="28"/>
          <w:szCs w:val="28"/>
          <w:lang w:val="zh-CN"/>
        </w:rPr>
      </w:pPr>
      <w:r>
        <w:rPr>
          <w:rFonts w:hint="eastAsia" w:ascii="仿宋_GB2312" w:hAnsi="楷体" w:eastAsia="仿宋_GB2312"/>
          <w:sz w:val="28"/>
          <w:szCs w:val="28"/>
          <w:lang w:val="zh-CN"/>
        </w:rPr>
        <w:t>（</w:t>
      </w:r>
      <w:r>
        <w:rPr>
          <w:rFonts w:hint="eastAsia" w:ascii="仿宋_GB2312" w:hAnsi="楷体" w:eastAsia="仿宋_GB2312"/>
          <w:sz w:val="28"/>
          <w:szCs w:val="28"/>
        </w:rPr>
        <w:t>2</w:t>
      </w:r>
      <w:r>
        <w:rPr>
          <w:rFonts w:hint="eastAsia" w:ascii="仿宋_GB2312" w:hAnsi="楷体" w:eastAsia="仿宋_GB2312"/>
          <w:sz w:val="28"/>
          <w:szCs w:val="28"/>
          <w:lang w:val="zh-CN"/>
        </w:rPr>
        <w:t>）财务管理</w:t>
      </w:r>
    </w:p>
    <w:p w14:paraId="55051F43">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主要考察项目资金使用是否符合预算批复的用途，是否存在截留、挤占、挪用、虚列支出等情况，用以反映和考核项目资金使用的规范性和安全性；项目的财务制度是否健全、完善、有效，用以反映和考核财务管理制度对资金规范、安全运行的保障情况；资金拨付程序是否完整，财务制度是否有效执行，用以反映和考核财务监控的有效性。各指标的业绩值和实际得分详见下表：</w:t>
      </w:r>
    </w:p>
    <w:p w14:paraId="33825539">
      <w:pPr>
        <w:spacing w:line="579" w:lineRule="exact"/>
        <w:ind w:firstLine="482" w:firstLineChars="200"/>
        <w:jc w:val="center"/>
        <w:rPr>
          <w:rFonts w:hint="eastAsia" w:ascii="宋体" w:hAnsi="宋体" w:eastAsia="宋体" w:cs="宋体"/>
          <w:b/>
          <w:bCs/>
          <w:sz w:val="24"/>
          <w:szCs w:val="24"/>
        </w:rPr>
      </w:pPr>
      <w:r>
        <w:rPr>
          <w:rFonts w:hint="eastAsia" w:ascii="宋体" w:hAnsi="宋体" w:eastAsia="宋体" w:cs="宋体"/>
          <w:b/>
          <w:bCs/>
          <w:sz w:val="24"/>
          <w:szCs w:val="24"/>
          <w:lang w:val="zh-CN"/>
        </w:rPr>
        <w:t>表</w:t>
      </w:r>
      <w:r>
        <w:rPr>
          <w:rFonts w:hint="eastAsia" w:ascii="宋体" w:hAnsi="宋体" w:eastAsia="宋体" w:cs="宋体"/>
          <w:b/>
          <w:bCs/>
          <w:sz w:val="24"/>
          <w:szCs w:val="24"/>
          <w:lang w:val="en-US" w:eastAsia="zh-CN"/>
        </w:rPr>
        <w:t>7</w:t>
      </w:r>
      <w:r>
        <w:rPr>
          <w:rFonts w:hint="eastAsia" w:ascii="宋体" w:hAnsi="宋体" w:eastAsia="宋体" w:cs="宋体"/>
          <w:b/>
          <w:bCs/>
          <w:sz w:val="24"/>
          <w:szCs w:val="24"/>
        </w:rPr>
        <w:t xml:space="preserve">  财务</w:t>
      </w:r>
      <w:r>
        <w:rPr>
          <w:rFonts w:hint="eastAsia" w:ascii="宋体" w:hAnsi="宋体" w:eastAsia="宋体" w:cs="宋体"/>
          <w:b/>
          <w:bCs/>
          <w:sz w:val="24"/>
          <w:szCs w:val="24"/>
          <w:lang w:val="zh-CN"/>
        </w:rPr>
        <w:t>管理类指标评分表</w:t>
      </w:r>
    </w:p>
    <w:tbl>
      <w:tblPr>
        <w:tblStyle w:val="8"/>
        <w:tblW w:w="8157" w:type="dxa"/>
        <w:jc w:val="center"/>
        <w:tblLayout w:type="fixed"/>
        <w:tblCellMar>
          <w:top w:w="0" w:type="dxa"/>
          <w:left w:w="10" w:type="dxa"/>
          <w:bottom w:w="0" w:type="dxa"/>
          <w:right w:w="10" w:type="dxa"/>
        </w:tblCellMar>
      </w:tblPr>
      <w:tblGrid>
        <w:gridCol w:w="3769"/>
        <w:gridCol w:w="1255"/>
        <w:gridCol w:w="1706"/>
        <w:gridCol w:w="1427"/>
      </w:tblGrid>
      <w:tr w14:paraId="4D61D934">
        <w:tblPrEx>
          <w:tblCellMar>
            <w:top w:w="0" w:type="dxa"/>
            <w:left w:w="10" w:type="dxa"/>
            <w:bottom w:w="0" w:type="dxa"/>
            <w:right w:w="10" w:type="dxa"/>
          </w:tblCellMar>
        </w:tblPrEx>
        <w:trPr>
          <w:trHeight w:val="343" w:hRule="exact"/>
          <w:tblHeader/>
          <w:jc w:val="center"/>
        </w:trPr>
        <w:tc>
          <w:tcPr>
            <w:tcW w:w="3769" w:type="dxa"/>
            <w:tcBorders>
              <w:top w:val="single" w:color="auto" w:sz="4" w:space="0"/>
              <w:left w:val="single" w:color="auto" w:sz="4" w:space="0"/>
            </w:tcBorders>
            <w:shd w:val="clear" w:color="auto" w:fill="FFFFFF"/>
            <w:noWrap w:val="0"/>
            <w:vAlign w:val="bottom"/>
          </w:tcPr>
          <w:p w14:paraId="553442F6">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指标名称</w:t>
            </w:r>
          </w:p>
        </w:tc>
        <w:tc>
          <w:tcPr>
            <w:tcW w:w="1255" w:type="dxa"/>
            <w:tcBorders>
              <w:top w:val="single" w:color="auto" w:sz="4" w:space="0"/>
              <w:left w:val="single" w:color="auto" w:sz="4" w:space="0"/>
            </w:tcBorders>
            <w:shd w:val="clear" w:color="auto" w:fill="FFFFFF"/>
            <w:noWrap w:val="0"/>
            <w:vAlign w:val="bottom"/>
          </w:tcPr>
          <w:p w14:paraId="0F933C59">
            <w:pPr>
              <w:pStyle w:val="15"/>
              <w:shd w:val="clear" w:color="auto" w:fill="auto"/>
              <w:spacing w:after="0" w:line="240" w:lineRule="auto"/>
              <w:ind w:left="320"/>
              <w:jc w:val="left"/>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指标权重</w:t>
            </w:r>
          </w:p>
        </w:tc>
        <w:tc>
          <w:tcPr>
            <w:tcW w:w="1706" w:type="dxa"/>
            <w:tcBorders>
              <w:top w:val="single" w:color="auto" w:sz="4" w:space="0"/>
              <w:left w:val="single" w:color="auto" w:sz="4" w:space="0"/>
            </w:tcBorders>
            <w:shd w:val="clear" w:color="auto" w:fill="FFFFFF"/>
            <w:noWrap w:val="0"/>
            <w:vAlign w:val="bottom"/>
          </w:tcPr>
          <w:p w14:paraId="4763EEDE">
            <w:pPr>
              <w:pStyle w:val="15"/>
              <w:shd w:val="clear" w:color="auto" w:fill="auto"/>
              <w:spacing w:after="0" w:line="240" w:lineRule="auto"/>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业绩值</w:t>
            </w:r>
          </w:p>
        </w:tc>
        <w:tc>
          <w:tcPr>
            <w:tcW w:w="1427" w:type="dxa"/>
            <w:tcBorders>
              <w:top w:val="single" w:color="auto" w:sz="4" w:space="0"/>
              <w:left w:val="single" w:color="auto" w:sz="4" w:space="0"/>
              <w:right w:val="single" w:color="auto" w:sz="4" w:space="0"/>
            </w:tcBorders>
            <w:shd w:val="clear" w:color="auto" w:fill="FFFFFF"/>
            <w:noWrap w:val="0"/>
            <w:vAlign w:val="bottom"/>
          </w:tcPr>
          <w:p w14:paraId="665244BE">
            <w:pPr>
              <w:pStyle w:val="15"/>
              <w:shd w:val="clear" w:color="auto" w:fill="auto"/>
              <w:spacing w:after="0" w:line="240" w:lineRule="auto"/>
              <w:ind w:left="340"/>
              <w:jc w:val="left"/>
              <w:rPr>
                <w:rFonts w:hint="eastAsia" w:ascii="宋体" w:hAnsi="宋体" w:eastAsia="宋体" w:cs="宋体"/>
                <w:b/>
                <w:bCs/>
                <w:spacing w:val="0"/>
                <w:sz w:val="21"/>
                <w:szCs w:val="21"/>
                <w:lang w:val="zh-CN"/>
              </w:rPr>
            </w:pPr>
            <w:r>
              <w:rPr>
                <w:rFonts w:hint="eastAsia" w:ascii="宋体" w:hAnsi="宋体" w:eastAsia="宋体" w:cs="宋体"/>
                <w:b/>
                <w:bCs/>
                <w:spacing w:val="0"/>
                <w:sz w:val="21"/>
                <w:szCs w:val="21"/>
                <w:lang w:val="zh-CN"/>
              </w:rPr>
              <w:t>实际得分</w:t>
            </w:r>
          </w:p>
        </w:tc>
      </w:tr>
      <w:tr w14:paraId="05F5394C">
        <w:tblPrEx>
          <w:tblCellMar>
            <w:top w:w="0" w:type="dxa"/>
            <w:left w:w="10" w:type="dxa"/>
            <w:bottom w:w="0" w:type="dxa"/>
            <w:right w:w="10" w:type="dxa"/>
          </w:tblCellMar>
        </w:tblPrEx>
        <w:trPr>
          <w:trHeight w:val="291" w:hRule="exact"/>
          <w:jc w:val="center"/>
        </w:trPr>
        <w:tc>
          <w:tcPr>
            <w:tcW w:w="3769" w:type="dxa"/>
            <w:tcBorders>
              <w:top w:val="single" w:color="auto" w:sz="4" w:space="0"/>
              <w:left w:val="single" w:color="auto" w:sz="4" w:space="0"/>
              <w:bottom w:val="single" w:color="auto" w:sz="4" w:space="0"/>
            </w:tcBorders>
            <w:shd w:val="clear" w:color="auto" w:fill="FFFFFF"/>
            <w:noWrap w:val="0"/>
            <w:vAlign w:val="center"/>
          </w:tcPr>
          <w:p w14:paraId="1831BC1C">
            <w:pPr>
              <w:pStyle w:val="15"/>
              <w:shd w:val="clear" w:color="auto" w:fill="auto"/>
              <w:spacing w:after="0" w:line="240" w:lineRule="auto"/>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B</w:t>
            </w:r>
            <w:r>
              <w:rPr>
                <w:rFonts w:hint="eastAsia" w:ascii="宋体" w:hAnsi="宋体" w:eastAsia="宋体" w:cs="宋体"/>
                <w:spacing w:val="0"/>
                <w:sz w:val="21"/>
                <w:szCs w:val="21"/>
                <w:lang w:eastAsia="en-US"/>
              </w:rPr>
              <w:t>21.</w:t>
            </w:r>
            <w:r>
              <w:rPr>
                <w:rFonts w:hint="eastAsia" w:ascii="宋体" w:hAnsi="宋体" w:eastAsia="宋体" w:cs="宋体"/>
                <w:spacing w:val="0"/>
                <w:sz w:val="21"/>
                <w:szCs w:val="21"/>
                <w:lang w:val="zh-CN"/>
              </w:rPr>
              <w:t>资金使用情况</w:t>
            </w:r>
          </w:p>
        </w:tc>
        <w:tc>
          <w:tcPr>
            <w:tcW w:w="1255" w:type="dxa"/>
            <w:tcBorders>
              <w:top w:val="single" w:color="auto" w:sz="4" w:space="0"/>
              <w:left w:val="single" w:color="auto" w:sz="4" w:space="0"/>
              <w:bottom w:val="single" w:color="auto" w:sz="4" w:space="0"/>
            </w:tcBorders>
            <w:shd w:val="clear" w:color="auto" w:fill="FFFFFF"/>
            <w:noWrap w:val="0"/>
            <w:vAlign w:val="center"/>
          </w:tcPr>
          <w:p w14:paraId="21A1CE49">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2</w:t>
            </w:r>
          </w:p>
        </w:tc>
        <w:tc>
          <w:tcPr>
            <w:tcW w:w="1706" w:type="dxa"/>
            <w:tcBorders>
              <w:top w:val="single" w:color="auto" w:sz="4" w:space="0"/>
              <w:left w:val="single" w:color="auto" w:sz="4" w:space="0"/>
              <w:bottom w:val="single" w:color="auto" w:sz="4" w:space="0"/>
            </w:tcBorders>
            <w:shd w:val="clear" w:color="auto" w:fill="FFFFFF"/>
            <w:noWrap w:val="0"/>
            <w:vAlign w:val="bottom"/>
          </w:tcPr>
          <w:p w14:paraId="47636C3C">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合规</w:t>
            </w:r>
          </w:p>
        </w:tc>
        <w:tc>
          <w:tcPr>
            <w:tcW w:w="142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83BDDC">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eastAsia="en-US"/>
              </w:rPr>
              <w:t>2.00</w:t>
            </w:r>
          </w:p>
        </w:tc>
      </w:tr>
      <w:tr w14:paraId="67326018">
        <w:tblPrEx>
          <w:tblCellMar>
            <w:top w:w="0" w:type="dxa"/>
            <w:left w:w="10" w:type="dxa"/>
            <w:bottom w:w="0" w:type="dxa"/>
            <w:right w:w="10" w:type="dxa"/>
          </w:tblCellMar>
        </w:tblPrEx>
        <w:trPr>
          <w:trHeight w:val="336" w:hRule="exact"/>
          <w:jc w:val="center"/>
        </w:trPr>
        <w:tc>
          <w:tcPr>
            <w:tcW w:w="376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F1485A">
            <w:pPr>
              <w:pStyle w:val="15"/>
              <w:shd w:val="clear" w:color="auto" w:fill="auto"/>
              <w:spacing w:after="0" w:line="240" w:lineRule="auto"/>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B</w:t>
            </w:r>
            <w:r>
              <w:rPr>
                <w:rFonts w:hint="eastAsia" w:ascii="宋体" w:hAnsi="宋体" w:eastAsia="宋体" w:cs="宋体"/>
                <w:spacing w:val="0"/>
                <w:sz w:val="21"/>
                <w:szCs w:val="21"/>
              </w:rPr>
              <w:t>22.</w:t>
            </w:r>
            <w:r>
              <w:rPr>
                <w:rFonts w:hint="eastAsia" w:ascii="宋体" w:hAnsi="宋体" w:eastAsia="宋体" w:cs="宋体"/>
                <w:spacing w:val="0"/>
                <w:sz w:val="21"/>
                <w:szCs w:val="21"/>
                <w:lang w:val="zh-CN"/>
              </w:rPr>
              <w:t>财务管理制度健全性</w:t>
            </w:r>
          </w:p>
        </w:tc>
        <w:tc>
          <w:tcPr>
            <w:tcW w:w="125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36BC929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1</w:t>
            </w:r>
          </w:p>
        </w:tc>
        <w:tc>
          <w:tcPr>
            <w:tcW w:w="170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4D0639">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健全</w:t>
            </w:r>
          </w:p>
        </w:tc>
        <w:tc>
          <w:tcPr>
            <w:tcW w:w="1427"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2FFDEF1F">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1</w:t>
            </w:r>
            <w:r>
              <w:rPr>
                <w:rFonts w:hint="eastAsia" w:ascii="宋体" w:hAnsi="宋体" w:eastAsia="宋体" w:cs="宋体"/>
                <w:spacing w:val="0"/>
                <w:sz w:val="21"/>
                <w:szCs w:val="21"/>
                <w:lang w:eastAsia="en-US"/>
              </w:rPr>
              <w:t>.00</w:t>
            </w:r>
          </w:p>
        </w:tc>
      </w:tr>
      <w:tr w14:paraId="1D7B34C2">
        <w:tblPrEx>
          <w:tblCellMar>
            <w:top w:w="0" w:type="dxa"/>
            <w:left w:w="10" w:type="dxa"/>
            <w:bottom w:w="0" w:type="dxa"/>
            <w:right w:w="10" w:type="dxa"/>
          </w:tblCellMar>
        </w:tblPrEx>
        <w:trPr>
          <w:trHeight w:val="310" w:hRule="exact"/>
          <w:jc w:val="center"/>
        </w:trPr>
        <w:tc>
          <w:tcPr>
            <w:tcW w:w="3769" w:type="dxa"/>
            <w:tcBorders>
              <w:top w:val="single" w:color="auto" w:sz="4" w:space="0"/>
              <w:left w:val="single" w:color="auto" w:sz="4" w:space="0"/>
            </w:tcBorders>
            <w:shd w:val="clear" w:color="auto" w:fill="FFFFFF"/>
            <w:noWrap w:val="0"/>
            <w:vAlign w:val="top"/>
          </w:tcPr>
          <w:p w14:paraId="1F9F9CD0">
            <w:pPr>
              <w:pStyle w:val="15"/>
              <w:shd w:val="clear" w:color="auto" w:fill="auto"/>
              <w:spacing w:after="0" w:line="240" w:lineRule="auto"/>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B</w:t>
            </w:r>
            <w:r>
              <w:rPr>
                <w:rFonts w:hint="eastAsia" w:ascii="宋体" w:hAnsi="宋体" w:eastAsia="宋体" w:cs="宋体"/>
                <w:spacing w:val="0"/>
                <w:sz w:val="21"/>
                <w:szCs w:val="21"/>
                <w:lang w:eastAsia="en-US"/>
              </w:rPr>
              <w:t>23.</w:t>
            </w:r>
            <w:r>
              <w:rPr>
                <w:rFonts w:hint="eastAsia" w:ascii="宋体" w:hAnsi="宋体" w:eastAsia="宋体" w:cs="宋体"/>
                <w:spacing w:val="0"/>
                <w:sz w:val="21"/>
                <w:szCs w:val="21"/>
                <w:lang w:val="zh-CN"/>
              </w:rPr>
              <w:t>财务监控有效性</w:t>
            </w:r>
          </w:p>
        </w:tc>
        <w:tc>
          <w:tcPr>
            <w:tcW w:w="1255" w:type="dxa"/>
            <w:tcBorders>
              <w:top w:val="single" w:color="auto" w:sz="4" w:space="0"/>
              <w:left w:val="single" w:color="auto" w:sz="4" w:space="0"/>
            </w:tcBorders>
            <w:shd w:val="clear" w:color="auto" w:fill="FFFFFF"/>
            <w:noWrap w:val="0"/>
            <w:vAlign w:val="top"/>
          </w:tcPr>
          <w:p w14:paraId="137326F4">
            <w:pPr>
              <w:rPr>
                <w:rFonts w:hint="eastAsia" w:ascii="宋体" w:hAnsi="宋体" w:eastAsia="宋体" w:cs="宋体"/>
                <w:sz w:val="21"/>
                <w:szCs w:val="21"/>
                <w:lang w:val="zh-CN"/>
              </w:rPr>
            </w:pPr>
          </w:p>
        </w:tc>
        <w:tc>
          <w:tcPr>
            <w:tcW w:w="1706" w:type="dxa"/>
            <w:tcBorders>
              <w:top w:val="single" w:color="auto" w:sz="4" w:space="0"/>
              <w:left w:val="single" w:color="auto" w:sz="4" w:space="0"/>
            </w:tcBorders>
            <w:shd w:val="clear" w:color="auto" w:fill="FFFFFF"/>
            <w:noWrap w:val="0"/>
            <w:vAlign w:val="top"/>
          </w:tcPr>
          <w:p w14:paraId="043BA4FA">
            <w:pPr>
              <w:rPr>
                <w:rFonts w:hint="eastAsia" w:ascii="宋体" w:hAnsi="宋体" w:eastAsia="宋体" w:cs="宋体"/>
                <w:sz w:val="21"/>
                <w:szCs w:val="21"/>
                <w:lang w:val="zh-CN"/>
              </w:rPr>
            </w:pPr>
          </w:p>
        </w:tc>
        <w:tc>
          <w:tcPr>
            <w:tcW w:w="1427" w:type="dxa"/>
            <w:tcBorders>
              <w:top w:val="single" w:color="auto" w:sz="4" w:space="0"/>
              <w:left w:val="single" w:color="auto" w:sz="4" w:space="0"/>
              <w:right w:val="single" w:color="auto" w:sz="4" w:space="0"/>
            </w:tcBorders>
            <w:shd w:val="clear" w:color="auto" w:fill="FFFFFF"/>
            <w:noWrap w:val="0"/>
            <w:vAlign w:val="top"/>
          </w:tcPr>
          <w:p w14:paraId="0870079B">
            <w:pPr>
              <w:rPr>
                <w:rFonts w:hint="eastAsia" w:ascii="宋体" w:hAnsi="宋体" w:eastAsia="宋体" w:cs="宋体"/>
                <w:sz w:val="21"/>
                <w:szCs w:val="21"/>
                <w:lang w:val="zh-CN"/>
              </w:rPr>
            </w:pPr>
          </w:p>
        </w:tc>
      </w:tr>
      <w:tr w14:paraId="7335EF67">
        <w:tblPrEx>
          <w:tblCellMar>
            <w:top w:w="0" w:type="dxa"/>
            <w:left w:w="10" w:type="dxa"/>
            <w:bottom w:w="0" w:type="dxa"/>
            <w:right w:w="10" w:type="dxa"/>
          </w:tblCellMar>
        </w:tblPrEx>
        <w:trPr>
          <w:trHeight w:val="330" w:hRule="exact"/>
          <w:jc w:val="center"/>
        </w:trPr>
        <w:tc>
          <w:tcPr>
            <w:tcW w:w="3769" w:type="dxa"/>
            <w:tcBorders>
              <w:top w:val="single" w:color="auto" w:sz="4" w:space="0"/>
              <w:left w:val="single" w:color="auto" w:sz="4" w:space="0"/>
            </w:tcBorders>
            <w:shd w:val="clear" w:color="auto" w:fill="FFFFFF"/>
            <w:noWrap w:val="0"/>
            <w:vAlign w:val="center"/>
          </w:tcPr>
          <w:p w14:paraId="2445FE26">
            <w:pPr>
              <w:pStyle w:val="15"/>
              <w:shd w:val="clear" w:color="auto" w:fill="auto"/>
              <w:spacing w:after="0" w:line="240" w:lineRule="auto"/>
              <w:ind w:left="440"/>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B</w:t>
            </w:r>
            <w:r>
              <w:rPr>
                <w:rFonts w:hint="eastAsia" w:ascii="宋体" w:hAnsi="宋体" w:eastAsia="宋体" w:cs="宋体"/>
                <w:spacing w:val="0"/>
                <w:sz w:val="21"/>
                <w:szCs w:val="21"/>
              </w:rPr>
              <w:t>231.</w:t>
            </w:r>
            <w:r>
              <w:rPr>
                <w:rFonts w:hint="eastAsia" w:ascii="宋体" w:hAnsi="宋体" w:eastAsia="宋体" w:cs="宋体"/>
                <w:spacing w:val="0"/>
                <w:sz w:val="21"/>
                <w:szCs w:val="21"/>
                <w:lang w:val="zh-CN"/>
              </w:rPr>
              <w:t>资金拨付程序完整性</w:t>
            </w:r>
          </w:p>
        </w:tc>
        <w:tc>
          <w:tcPr>
            <w:tcW w:w="1255" w:type="dxa"/>
            <w:tcBorders>
              <w:top w:val="single" w:color="auto" w:sz="4" w:space="0"/>
              <w:left w:val="single" w:color="auto" w:sz="4" w:space="0"/>
            </w:tcBorders>
            <w:shd w:val="clear" w:color="auto" w:fill="FFFFFF"/>
            <w:noWrap w:val="0"/>
            <w:vAlign w:val="bottom"/>
          </w:tcPr>
          <w:p w14:paraId="3A8E4C0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1</w:t>
            </w:r>
          </w:p>
        </w:tc>
        <w:tc>
          <w:tcPr>
            <w:tcW w:w="1706" w:type="dxa"/>
            <w:tcBorders>
              <w:top w:val="single" w:color="auto" w:sz="4" w:space="0"/>
              <w:left w:val="single" w:color="auto" w:sz="4" w:space="0"/>
            </w:tcBorders>
            <w:shd w:val="clear" w:color="auto" w:fill="FFFFFF"/>
            <w:noWrap w:val="0"/>
            <w:vAlign w:val="center"/>
          </w:tcPr>
          <w:p w14:paraId="2A297670">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完整</w:t>
            </w:r>
          </w:p>
        </w:tc>
        <w:tc>
          <w:tcPr>
            <w:tcW w:w="1427" w:type="dxa"/>
            <w:tcBorders>
              <w:top w:val="single" w:color="auto" w:sz="4" w:space="0"/>
              <w:left w:val="single" w:color="auto" w:sz="4" w:space="0"/>
              <w:right w:val="single" w:color="auto" w:sz="4" w:space="0"/>
            </w:tcBorders>
            <w:shd w:val="clear" w:color="auto" w:fill="FFFFFF"/>
            <w:noWrap w:val="0"/>
            <w:vAlign w:val="bottom"/>
          </w:tcPr>
          <w:p w14:paraId="3F4238C0">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eastAsia="en-US"/>
              </w:rPr>
              <w:t>1.00</w:t>
            </w:r>
          </w:p>
        </w:tc>
      </w:tr>
      <w:tr w14:paraId="0EB7C75E">
        <w:tblPrEx>
          <w:tblCellMar>
            <w:top w:w="0" w:type="dxa"/>
            <w:left w:w="10" w:type="dxa"/>
            <w:bottom w:w="0" w:type="dxa"/>
            <w:right w:w="10" w:type="dxa"/>
          </w:tblCellMar>
        </w:tblPrEx>
        <w:trPr>
          <w:trHeight w:val="305" w:hRule="exact"/>
          <w:jc w:val="center"/>
        </w:trPr>
        <w:tc>
          <w:tcPr>
            <w:tcW w:w="3769" w:type="dxa"/>
            <w:tcBorders>
              <w:top w:val="single" w:color="auto" w:sz="4" w:space="0"/>
              <w:left w:val="single" w:color="auto" w:sz="4" w:space="0"/>
            </w:tcBorders>
            <w:shd w:val="clear" w:color="auto" w:fill="FFFFFF"/>
            <w:noWrap w:val="0"/>
            <w:vAlign w:val="center"/>
          </w:tcPr>
          <w:p w14:paraId="0471AD3D">
            <w:pPr>
              <w:pStyle w:val="15"/>
              <w:shd w:val="clear" w:color="auto" w:fill="auto"/>
              <w:spacing w:after="0" w:line="240" w:lineRule="auto"/>
              <w:ind w:left="440"/>
              <w:jc w:val="left"/>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B</w:t>
            </w:r>
            <w:r>
              <w:rPr>
                <w:rFonts w:hint="eastAsia" w:ascii="宋体" w:hAnsi="宋体" w:eastAsia="宋体" w:cs="宋体"/>
                <w:spacing w:val="0"/>
                <w:sz w:val="21"/>
                <w:szCs w:val="21"/>
              </w:rPr>
              <w:t>232.</w:t>
            </w:r>
            <w:r>
              <w:rPr>
                <w:rFonts w:hint="eastAsia" w:ascii="宋体" w:hAnsi="宋体" w:eastAsia="宋体" w:cs="宋体"/>
                <w:spacing w:val="0"/>
                <w:sz w:val="21"/>
                <w:szCs w:val="21"/>
                <w:lang w:val="zh-CN"/>
              </w:rPr>
              <w:t>财务制度执行有效性</w:t>
            </w:r>
          </w:p>
        </w:tc>
        <w:tc>
          <w:tcPr>
            <w:tcW w:w="1255" w:type="dxa"/>
            <w:tcBorders>
              <w:top w:val="single" w:color="auto" w:sz="4" w:space="0"/>
              <w:left w:val="single" w:color="auto" w:sz="4" w:space="0"/>
            </w:tcBorders>
            <w:shd w:val="clear" w:color="auto" w:fill="FFFFFF"/>
            <w:noWrap w:val="0"/>
            <w:vAlign w:val="center"/>
          </w:tcPr>
          <w:p w14:paraId="2020384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2</w:t>
            </w:r>
          </w:p>
        </w:tc>
        <w:tc>
          <w:tcPr>
            <w:tcW w:w="1706" w:type="dxa"/>
            <w:tcBorders>
              <w:top w:val="single" w:color="auto" w:sz="4" w:space="0"/>
              <w:left w:val="single" w:color="auto" w:sz="4" w:space="0"/>
            </w:tcBorders>
            <w:shd w:val="clear" w:color="auto" w:fill="FFFFFF"/>
            <w:noWrap w:val="0"/>
            <w:vAlign w:val="bottom"/>
          </w:tcPr>
          <w:p w14:paraId="10064CCD">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val="zh-CN"/>
              </w:rPr>
              <w:t>有效执行</w:t>
            </w:r>
          </w:p>
        </w:tc>
        <w:tc>
          <w:tcPr>
            <w:tcW w:w="1427" w:type="dxa"/>
            <w:tcBorders>
              <w:top w:val="single" w:color="auto" w:sz="4" w:space="0"/>
              <w:left w:val="single" w:color="auto" w:sz="4" w:space="0"/>
              <w:right w:val="single" w:color="auto" w:sz="4" w:space="0"/>
            </w:tcBorders>
            <w:shd w:val="clear" w:color="auto" w:fill="FFFFFF"/>
            <w:noWrap w:val="0"/>
            <w:vAlign w:val="center"/>
          </w:tcPr>
          <w:p w14:paraId="249CB2E0">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2</w:t>
            </w:r>
            <w:r>
              <w:rPr>
                <w:rFonts w:hint="eastAsia" w:ascii="宋体" w:hAnsi="宋体" w:eastAsia="宋体" w:cs="宋体"/>
                <w:spacing w:val="0"/>
                <w:sz w:val="21"/>
                <w:szCs w:val="21"/>
                <w:lang w:eastAsia="en-US"/>
              </w:rPr>
              <w:t>.00</w:t>
            </w:r>
          </w:p>
        </w:tc>
      </w:tr>
      <w:tr w14:paraId="09F308FA">
        <w:tblPrEx>
          <w:tblCellMar>
            <w:top w:w="0" w:type="dxa"/>
            <w:left w:w="10" w:type="dxa"/>
            <w:bottom w:w="0" w:type="dxa"/>
            <w:right w:w="10" w:type="dxa"/>
          </w:tblCellMar>
        </w:tblPrEx>
        <w:trPr>
          <w:trHeight w:val="268" w:hRule="exact"/>
          <w:jc w:val="center"/>
        </w:trPr>
        <w:tc>
          <w:tcPr>
            <w:tcW w:w="3769" w:type="dxa"/>
            <w:tcBorders>
              <w:top w:val="single" w:color="auto" w:sz="4" w:space="0"/>
              <w:left w:val="single" w:color="auto" w:sz="4" w:space="0"/>
              <w:bottom w:val="single" w:color="auto" w:sz="4" w:space="0"/>
            </w:tcBorders>
            <w:shd w:val="clear" w:color="auto" w:fill="FFFFFF"/>
            <w:noWrap w:val="0"/>
            <w:vAlign w:val="center"/>
          </w:tcPr>
          <w:p w14:paraId="6AB07BC6">
            <w:pPr>
              <w:pStyle w:val="15"/>
              <w:shd w:val="clear" w:color="auto" w:fill="auto"/>
              <w:spacing w:after="0" w:line="240" w:lineRule="auto"/>
              <w:rPr>
                <w:rFonts w:hint="eastAsia" w:ascii="宋体" w:hAnsi="宋体" w:eastAsia="宋体" w:cs="宋体"/>
                <w:spacing w:val="0"/>
                <w:sz w:val="21"/>
                <w:szCs w:val="21"/>
                <w:lang w:val="zh-CN" w:eastAsia="zh-CN"/>
              </w:rPr>
            </w:pPr>
            <w:r>
              <w:rPr>
                <w:rFonts w:hint="eastAsia" w:cs="宋体"/>
                <w:spacing w:val="0"/>
                <w:sz w:val="21"/>
                <w:szCs w:val="21"/>
                <w:lang w:val="en-US" w:eastAsia="zh-CN"/>
              </w:rPr>
              <w:t>合计</w:t>
            </w:r>
          </w:p>
        </w:tc>
        <w:tc>
          <w:tcPr>
            <w:tcW w:w="1255" w:type="dxa"/>
            <w:tcBorders>
              <w:top w:val="single" w:color="auto" w:sz="4" w:space="0"/>
              <w:left w:val="single" w:color="auto" w:sz="4" w:space="0"/>
              <w:bottom w:val="single" w:color="auto" w:sz="4" w:space="0"/>
            </w:tcBorders>
            <w:shd w:val="clear" w:color="auto" w:fill="FFFFFF"/>
            <w:noWrap w:val="0"/>
            <w:vAlign w:val="bottom"/>
          </w:tcPr>
          <w:p w14:paraId="4DC848A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rPr>
              <w:t>6</w:t>
            </w:r>
          </w:p>
        </w:tc>
        <w:tc>
          <w:tcPr>
            <w:tcW w:w="1706" w:type="dxa"/>
            <w:tcBorders>
              <w:top w:val="single" w:color="auto" w:sz="4" w:space="0"/>
              <w:left w:val="single" w:color="auto" w:sz="4" w:space="0"/>
              <w:bottom w:val="single" w:color="auto" w:sz="4" w:space="0"/>
            </w:tcBorders>
            <w:shd w:val="clear" w:color="auto" w:fill="FFFFFF"/>
            <w:noWrap w:val="0"/>
            <w:vAlign w:val="top"/>
          </w:tcPr>
          <w:p w14:paraId="06AC4E33">
            <w:pPr>
              <w:rPr>
                <w:rFonts w:hint="eastAsia" w:ascii="宋体" w:hAnsi="宋体" w:eastAsia="宋体" w:cs="宋体"/>
                <w:sz w:val="21"/>
                <w:szCs w:val="21"/>
                <w:lang w:val="zh-CN"/>
              </w:rPr>
            </w:pPr>
          </w:p>
        </w:tc>
        <w:tc>
          <w:tcPr>
            <w:tcW w:w="1427"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7EEFFAE1">
            <w:pPr>
              <w:pStyle w:val="15"/>
              <w:shd w:val="clear" w:color="auto" w:fill="auto"/>
              <w:spacing w:after="0" w:line="240" w:lineRule="auto"/>
              <w:rPr>
                <w:rFonts w:hint="eastAsia" w:ascii="宋体" w:hAnsi="宋体" w:eastAsia="宋体" w:cs="宋体"/>
                <w:spacing w:val="0"/>
                <w:sz w:val="21"/>
                <w:szCs w:val="21"/>
                <w:lang w:val="zh-CN"/>
              </w:rPr>
            </w:pPr>
            <w:r>
              <w:rPr>
                <w:rFonts w:hint="eastAsia" w:ascii="宋体" w:hAnsi="宋体" w:eastAsia="宋体" w:cs="宋体"/>
                <w:spacing w:val="0"/>
                <w:sz w:val="21"/>
                <w:szCs w:val="21"/>
                <w:lang w:eastAsia="en-US"/>
              </w:rPr>
              <w:t>6.00</w:t>
            </w:r>
          </w:p>
        </w:tc>
      </w:tr>
    </w:tbl>
    <w:p w14:paraId="7DA17328">
      <w:pPr>
        <w:spacing w:line="480" w:lineRule="auto"/>
        <w:ind w:firstLine="562" w:firstLineChars="200"/>
        <w:contextualSpacing/>
        <w:rPr>
          <w:rFonts w:hint="eastAsia" w:ascii="仿宋_GB2312" w:hAnsi="楷体" w:eastAsia="仿宋_GB2312"/>
          <w:b/>
          <w:bCs/>
          <w:sz w:val="28"/>
          <w:szCs w:val="28"/>
        </w:rPr>
      </w:pPr>
      <w:r>
        <w:rPr>
          <w:rFonts w:hint="eastAsia" w:ascii="仿宋_GB2312" w:hAnsi="楷体" w:eastAsia="仿宋_GB2312"/>
          <w:b/>
          <w:bCs/>
          <w:sz w:val="28"/>
          <w:szCs w:val="28"/>
        </w:rPr>
        <w:t>B21</w:t>
      </w:r>
      <w:r>
        <w:rPr>
          <w:rFonts w:hint="eastAsia" w:ascii="仿宋_GB2312" w:hAnsi="楷体" w:eastAsia="仿宋_GB2312"/>
          <w:b/>
          <w:bCs/>
          <w:sz w:val="28"/>
          <w:szCs w:val="28"/>
          <w:lang w:eastAsia="en-US"/>
        </w:rPr>
        <w:t>.</w:t>
      </w:r>
      <w:r>
        <w:rPr>
          <w:rFonts w:hint="eastAsia" w:ascii="仿宋_GB2312" w:hAnsi="楷体" w:eastAsia="仿宋_GB2312"/>
          <w:b/>
          <w:bCs/>
          <w:sz w:val="28"/>
          <w:szCs w:val="28"/>
        </w:rPr>
        <w:t>资金使用情况</w:t>
      </w:r>
    </w:p>
    <w:p w14:paraId="667AF49D">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u w:val="single"/>
        </w:rPr>
        <w:t>B21.资金使用情况：</w:t>
      </w:r>
      <w:r>
        <w:rPr>
          <w:rFonts w:hint="eastAsia" w:ascii="仿宋_GB2312" w:hAnsi="楷体" w:eastAsia="仿宋_GB2312"/>
          <w:sz w:val="28"/>
          <w:szCs w:val="28"/>
          <w:lang w:val="zh-CN" w:eastAsia="zh-CN"/>
        </w:rPr>
        <w:t>通过查阅项目预算批复、支付指令、原始凭证、合同等资料，本项目资金使用不存在截留、挤占、挪用、虚列支出等情况。</w:t>
      </w:r>
    </w:p>
    <w:p w14:paraId="17184043">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该项指标满分2分，根据评分标准得2分。</w:t>
      </w:r>
    </w:p>
    <w:p w14:paraId="64B57A1D">
      <w:pPr>
        <w:spacing w:line="480" w:lineRule="auto"/>
        <w:ind w:firstLine="562" w:firstLineChars="200"/>
        <w:contextualSpacing/>
        <w:rPr>
          <w:rFonts w:hint="eastAsia" w:ascii="仿宋_GB2312" w:hAnsi="楷体" w:eastAsia="仿宋_GB2312"/>
          <w:b/>
          <w:bCs/>
          <w:sz w:val="28"/>
          <w:szCs w:val="28"/>
          <w:lang w:val="zh-CN"/>
        </w:rPr>
      </w:pPr>
      <w:r>
        <w:rPr>
          <w:rFonts w:hint="eastAsia" w:ascii="仿宋_GB2312" w:hAnsi="楷体" w:eastAsia="仿宋_GB2312"/>
          <w:b/>
          <w:bCs/>
          <w:sz w:val="28"/>
          <w:szCs w:val="28"/>
        </w:rPr>
        <w:t>B22.</w:t>
      </w:r>
      <w:r>
        <w:rPr>
          <w:rFonts w:hint="eastAsia" w:ascii="仿宋_GB2312" w:hAnsi="楷体" w:eastAsia="仿宋_GB2312"/>
          <w:b/>
          <w:bCs/>
          <w:sz w:val="28"/>
          <w:szCs w:val="28"/>
          <w:lang w:val="zh-CN"/>
        </w:rPr>
        <w:t>财务管理制度健全性</w:t>
      </w:r>
    </w:p>
    <w:p w14:paraId="468E2E62">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cs="Times New Roman"/>
          <w:spacing w:val="0"/>
          <w:sz w:val="28"/>
          <w:szCs w:val="28"/>
          <w:u w:val="single"/>
        </w:rPr>
        <w:t>B22.</w:t>
      </w:r>
      <w:r>
        <w:rPr>
          <w:rFonts w:hint="eastAsia" w:ascii="仿宋_GB2312" w:hAnsi="楷体" w:eastAsia="仿宋_GB2312" w:cs="Times New Roman"/>
          <w:spacing w:val="0"/>
          <w:sz w:val="28"/>
          <w:szCs w:val="28"/>
          <w:u w:val="single"/>
          <w:lang w:val="zh-CN"/>
        </w:rPr>
        <w:t>财务管理制度健全性</w:t>
      </w:r>
      <w:r>
        <w:rPr>
          <w:rFonts w:hint="eastAsia" w:ascii="仿宋_GB2312" w:hAnsi="楷体" w:eastAsia="仿宋_GB2312" w:cs="Times New Roman"/>
          <w:spacing w:val="0"/>
          <w:sz w:val="28"/>
          <w:szCs w:val="28"/>
          <w:u w:val="single"/>
        </w:rPr>
        <w:t>：</w:t>
      </w:r>
      <w:r>
        <w:rPr>
          <w:rFonts w:hint="eastAsia" w:ascii="仿宋_GB2312" w:hAnsi="仿宋" w:eastAsia="仿宋_GB2312"/>
          <w:b w:val="0"/>
          <w:bCs w:val="0"/>
          <w:spacing w:val="6"/>
          <w:kern w:val="0"/>
          <w:sz w:val="28"/>
          <w:szCs w:val="28"/>
          <w:highlight w:val="none"/>
          <w:u w:val="none"/>
          <w:lang w:val="en-US" w:eastAsia="zh-CN"/>
        </w:rPr>
        <w:t>昆明市盘龙区环境保护局</w:t>
      </w:r>
      <w:r>
        <w:rPr>
          <w:rFonts w:hint="eastAsia" w:ascii="仿宋_GB2312" w:hAnsi="仿宋" w:eastAsia="仿宋_GB2312"/>
          <w:spacing w:val="6"/>
          <w:kern w:val="0"/>
          <w:sz w:val="28"/>
          <w:szCs w:val="28"/>
          <w:highlight w:val="none"/>
          <w:lang w:val="en-US" w:eastAsia="zh-CN"/>
        </w:rPr>
        <w:t>在资金管理上，严格按照《大额资金使用管理制度》、《经费支出管理办法》、《昆明市盘龙区环境保护局收支管理内部控制流程》对该项目资金进行全过程跟踪管理，项目财务管理办法符合相关财务会计制度的规定，未发现需要完善的风险控制环节。</w:t>
      </w:r>
    </w:p>
    <w:p w14:paraId="02CB01F3">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该项指标满分1分，根据评分标准得1分。</w:t>
      </w:r>
    </w:p>
    <w:p w14:paraId="174711B7">
      <w:pPr>
        <w:spacing w:line="480" w:lineRule="auto"/>
        <w:ind w:firstLine="562" w:firstLineChars="200"/>
        <w:contextualSpacing/>
        <w:rPr>
          <w:rFonts w:hint="eastAsia" w:ascii="仿宋_GB2312" w:hAnsi="楷体" w:eastAsia="仿宋_GB2312"/>
          <w:b/>
          <w:bCs/>
          <w:sz w:val="28"/>
          <w:szCs w:val="28"/>
          <w:lang w:val="zh-CN"/>
        </w:rPr>
      </w:pPr>
      <w:r>
        <w:rPr>
          <w:rFonts w:hint="eastAsia" w:ascii="仿宋_GB2312" w:hAnsi="楷体" w:eastAsia="仿宋_GB2312"/>
          <w:b/>
          <w:bCs/>
          <w:sz w:val="28"/>
          <w:szCs w:val="28"/>
        </w:rPr>
        <w:t>B23.</w:t>
      </w:r>
      <w:r>
        <w:rPr>
          <w:rFonts w:hint="eastAsia" w:ascii="仿宋_GB2312" w:hAnsi="楷体" w:eastAsia="仿宋_GB2312"/>
          <w:b/>
          <w:bCs/>
          <w:sz w:val="28"/>
          <w:szCs w:val="28"/>
          <w:lang w:val="zh-CN"/>
        </w:rPr>
        <w:t>财务监控有效性</w:t>
      </w:r>
    </w:p>
    <w:p w14:paraId="5B521AB2">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cs="Times New Roman"/>
          <w:spacing w:val="0"/>
          <w:sz w:val="28"/>
          <w:szCs w:val="28"/>
          <w:u w:val="single"/>
        </w:rPr>
        <w:t>B231.资金拨付程序完整性：</w:t>
      </w:r>
      <w:r>
        <w:rPr>
          <w:rFonts w:hint="eastAsia" w:ascii="仿宋_GB2312" w:hAnsi="楷体" w:eastAsia="仿宋_GB2312"/>
          <w:sz w:val="28"/>
          <w:szCs w:val="28"/>
          <w:lang w:val="zh-CN" w:eastAsia="zh-CN"/>
        </w:rPr>
        <w:t>本项目的资金拨付程序为相关业务科室填写付款申请书，经分管领导复核签字后，交单位负责人审批，财务科支付资金，通过查阅相关的申请审批材料,资金拨付各环节程序完整。</w:t>
      </w:r>
    </w:p>
    <w:p w14:paraId="7EE68E1C">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该项指标满分1分，根据评分标准得1分。</w:t>
      </w:r>
    </w:p>
    <w:p w14:paraId="0B722C96">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cs="Times New Roman"/>
          <w:spacing w:val="0"/>
          <w:sz w:val="28"/>
          <w:szCs w:val="28"/>
          <w:u w:val="single"/>
        </w:rPr>
        <w:t>B232.财备制度执行有效性：</w:t>
      </w:r>
      <w:r>
        <w:rPr>
          <w:rFonts w:hint="eastAsia" w:ascii="仿宋_GB2312" w:hAnsi="楷体" w:eastAsia="仿宋_GB2312"/>
          <w:sz w:val="28"/>
          <w:szCs w:val="28"/>
          <w:lang w:val="zh-CN" w:eastAsia="zh-CN"/>
        </w:rPr>
        <w:t>根据财务制度中的规定,评价小组查阅了相关的资料，相关制度规定基本得到有效执行。</w:t>
      </w:r>
    </w:p>
    <w:p w14:paraId="53FF0179">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该项指标满分2分，根据评分标准得2分。</w:t>
      </w:r>
    </w:p>
    <w:p w14:paraId="490B1159">
      <w:pPr>
        <w:spacing w:line="480" w:lineRule="auto"/>
        <w:ind w:firstLine="560" w:firstLineChars="200"/>
        <w:contextualSpacing/>
        <w:rPr>
          <w:rFonts w:hint="eastAsia" w:ascii="仿宋_GB2312" w:hAnsi="楷体" w:eastAsia="仿宋_GB2312"/>
          <w:sz w:val="28"/>
          <w:szCs w:val="28"/>
          <w:lang w:val="zh-CN" w:eastAsia="zh-CN"/>
        </w:rPr>
      </w:pPr>
      <w:r>
        <w:rPr>
          <w:rFonts w:hint="eastAsia" w:ascii="仿宋_GB2312" w:hAnsi="楷体" w:eastAsia="仿宋_GB2312"/>
          <w:sz w:val="28"/>
          <w:szCs w:val="28"/>
          <w:lang w:val="zh-CN" w:eastAsia="zh-CN"/>
        </w:rPr>
        <w:t>（3）项目实施</w:t>
      </w:r>
    </w:p>
    <w:p w14:paraId="4C976ED9">
      <w:pPr>
        <w:pStyle w:val="15"/>
        <w:shd w:val="clear" w:color="auto" w:fill="auto"/>
        <w:spacing w:after="0" w:line="619" w:lineRule="exact"/>
        <w:ind w:right="140" w:firstLine="680"/>
        <w:rPr>
          <w:rFonts w:hint="eastAsia" w:ascii="宋体" w:hAnsi="宋体" w:eastAsia="宋体" w:cs="宋体"/>
          <w:b/>
          <w:bCs/>
          <w:sz w:val="24"/>
          <w:szCs w:val="24"/>
          <w:lang w:val="zh-CN"/>
        </w:rPr>
      </w:pPr>
      <w:r>
        <w:rPr>
          <w:rFonts w:hint="eastAsia" w:ascii="仿宋_GB2312" w:hAnsi="仿宋" w:eastAsia="仿宋_GB2312"/>
          <w:spacing w:val="6"/>
          <w:kern w:val="0"/>
          <w:sz w:val="28"/>
          <w:szCs w:val="28"/>
          <w:highlight w:val="none"/>
          <w:lang w:val="en-US" w:eastAsia="zh-CN"/>
        </w:rPr>
        <w:t>主要考核项目实施单位为保障项目顺利实施制订的与项目直接相关的业务管理制度是否健全、完善和有效，主管部门为保障项目顺利实施采取的监管措施是否明确，是否存在需要完善的风险控制环节，项目实施单位制订的管理制度是否有效执行，主管部门所制订的监管措施是否有效执行，与项目相关的合同是否有效执行，项目实施过程中的相关台账记录是否完整，并符合要求，政府采购是否符合中央、省、市的相关要求，采购流程是否符合相关规定。各指标权重分值、业绩值及得分情况详见下表。</w:t>
      </w:r>
      <w:r>
        <w:rPr>
          <w:rFonts w:hint="eastAsia" w:ascii="宋体" w:hAnsi="宋体" w:eastAsia="宋体" w:cs="宋体"/>
          <w:b/>
          <w:bCs/>
          <w:sz w:val="24"/>
          <w:szCs w:val="24"/>
          <w:lang w:val="zh-CN"/>
        </w:rPr>
        <w:t>表</w:t>
      </w:r>
      <w:r>
        <w:rPr>
          <w:rFonts w:hint="eastAsia" w:cs="宋体"/>
          <w:b/>
          <w:bCs/>
          <w:sz w:val="24"/>
          <w:szCs w:val="24"/>
          <w:lang w:val="en-US" w:eastAsia="zh-CN"/>
        </w:rPr>
        <w:t>8</w:t>
      </w:r>
      <w:r>
        <w:rPr>
          <w:rFonts w:hint="eastAsia" w:ascii="宋体" w:hAnsi="宋体" w:eastAsia="宋体" w:cs="宋体"/>
          <w:b/>
          <w:bCs/>
          <w:sz w:val="24"/>
          <w:szCs w:val="24"/>
        </w:rPr>
        <w:t xml:space="preserve"> 项目实施</w:t>
      </w:r>
      <w:r>
        <w:rPr>
          <w:rFonts w:hint="eastAsia" w:ascii="宋体" w:hAnsi="宋体" w:eastAsia="宋体" w:cs="宋体"/>
          <w:b/>
          <w:bCs/>
          <w:sz w:val="24"/>
          <w:szCs w:val="24"/>
          <w:lang w:val="zh-CN"/>
        </w:rPr>
        <w:t>类指标评分表</w:t>
      </w:r>
    </w:p>
    <w:tbl>
      <w:tblPr>
        <w:tblStyle w:val="8"/>
        <w:tblW w:w="8041" w:type="dxa"/>
        <w:jc w:val="center"/>
        <w:tblLayout w:type="fixed"/>
        <w:tblCellMar>
          <w:top w:w="0" w:type="dxa"/>
          <w:left w:w="10" w:type="dxa"/>
          <w:bottom w:w="0" w:type="dxa"/>
          <w:right w:w="10" w:type="dxa"/>
        </w:tblCellMar>
      </w:tblPr>
      <w:tblGrid>
        <w:gridCol w:w="4491"/>
        <w:gridCol w:w="1075"/>
        <w:gridCol w:w="1150"/>
        <w:gridCol w:w="1325"/>
      </w:tblGrid>
      <w:tr w14:paraId="4ED1615A">
        <w:tblPrEx>
          <w:tblCellMar>
            <w:top w:w="0" w:type="dxa"/>
            <w:left w:w="10" w:type="dxa"/>
            <w:bottom w:w="0" w:type="dxa"/>
            <w:right w:w="10" w:type="dxa"/>
          </w:tblCellMar>
        </w:tblPrEx>
        <w:trPr>
          <w:trHeight w:val="413" w:hRule="exact"/>
          <w:tblHeader/>
          <w:jc w:val="center"/>
        </w:trPr>
        <w:tc>
          <w:tcPr>
            <w:tcW w:w="4491"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4958BD46">
            <w:pPr>
              <w:pStyle w:val="15"/>
              <w:shd w:val="clear" w:color="auto" w:fill="auto"/>
              <w:spacing w:after="0" w:line="240" w:lineRule="auto"/>
              <w:rPr>
                <w:rFonts w:hint="eastAsia" w:ascii="宋体" w:hAnsi="宋体" w:eastAsia="宋体" w:cs="宋体"/>
                <w:b/>
                <w:bCs/>
                <w:spacing w:val="0"/>
                <w:sz w:val="21"/>
                <w:szCs w:val="21"/>
              </w:rPr>
            </w:pPr>
            <w:r>
              <w:rPr>
                <w:rFonts w:hint="eastAsia" w:ascii="宋体" w:hAnsi="宋体" w:eastAsia="宋体" w:cs="宋体"/>
                <w:b/>
                <w:bCs/>
                <w:spacing w:val="0"/>
                <w:sz w:val="21"/>
                <w:szCs w:val="21"/>
              </w:rPr>
              <w:t>指标名称</w:t>
            </w:r>
          </w:p>
        </w:tc>
        <w:tc>
          <w:tcPr>
            <w:tcW w:w="107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1CF7D18E">
            <w:pPr>
              <w:pStyle w:val="15"/>
              <w:shd w:val="clear" w:color="auto" w:fill="auto"/>
              <w:spacing w:after="0" w:line="240" w:lineRule="auto"/>
              <w:rPr>
                <w:rFonts w:hint="eastAsia" w:ascii="宋体" w:hAnsi="宋体" w:eastAsia="宋体" w:cs="宋体"/>
                <w:b/>
                <w:bCs/>
                <w:spacing w:val="0"/>
                <w:sz w:val="21"/>
                <w:szCs w:val="21"/>
              </w:rPr>
            </w:pPr>
            <w:r>
              <w:rPr>
                <w:rFonts w:hint="eastAsia" w:ascii="宋体" w:hAnsi="宋体" w:eastAsia="宋体" w:cs="宋体"/>
                <w:b/>
                <w:bCs/>
                <w:spacing w:val="0"/>
                <w:sz w:val="21"/>
                <w:szCs w:val="21"/>
              </w:rPr>
              <w:t>指标权重</w:t>
            </w:r>
          </w:p>
        </w:tc>
        <w:tc>
          <w:tcPr>
            <w:tcW w:w="1150"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66780CCF">
            <w:pPr>
              <w:pStyle w:val="15"/>
              <w:shd w:val="clear" w:color="auto" w:fill="auto"/>
              <w:spacing w:after="0" w:line="240" w:lineRule="auto"/>
              <w:rPr>
                <w:rFonts w:hint="eastAsia" w:ascii="宋体" w:hAnsi="宋体" w:eastAsia="宋体" w:cs="宋体"/>
                <w:b/>
                <w:bCs/>
                <w:spacing w:val="0"/>
                <w:sz w:val="21"/>
                <w:szCs w:val="21"/>
              </w:rPr>
            </w:pPr>
            <w:r>
              <w:rPr>
                <w:rFonts w:hint="eastAsia" w:ascii="宋体" w:hAnsi="宋体" w:eastAsia="宋体" w:cs="宋体"/>
                <w:b/>
                <w:bCs/>
                <w:spacing w:val="0"/>
                <w:sz w:val="21"/>
                <w:szCs w:val="21"/>
              </w:rPr>
              <w:t>业绩值</w:t>
            </w:r>
          </w:p>
        </w:tc>
        <w:tc>
          <w:tcPr>
            <w:tcW w:w="132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56EE17D4">
            <w:pPr>
              <w:pStyle w:val="15"/>
              <w:shd w:val="clear" w:color="auto" w:fill="auto"/>
              <w:spacing w:after="0" w:line="240" w:lineRule="auto"/>
              <w:rPr>
                <w:rFonts w:hint="eastAsia" w:ascii="宋体" w:hAnsi="宋体" w:eastAsia="宋体" w:cs="宋体"/>
                <w:b/>
                <w:bCs/>
                <w:spacing w:val="0"/>
                <w:sz w:val="21"/>
                <w:szCs w:val="21"/>
              </w:rPr>
            </w:pPr>
            <w:r>
              <w:rPr>
                <w:rFonts w:hint="eastAsia" w:ascii="宋体" w:hAnsi="宋体" w:eastAsia="宋体" w:cs="宋体"/>
                <w:b/>
                <w:bCs/>
                <w:spacing w:val="0"/>
                <w:sz w:val="21"/>
                <w:szCs w:val="21"/>
              </w:rPr>
              <w:t>实际得分</w:t>
            </w:r>
          </w:p>
        </w:tc>
      </w:tr>
      <w:tr w14:paraId="49E47BAB">
        <w:tblPrEx>
          <w:tblCellMar>
            <w:top w:w="0" w:type="dxa"/>
            <w:left w:w="10" w:type="dxa"/>
            <w:bottom w:w="0" w:type="dxa"/>
            <w:right w:w="10" w:type="dxa"/>
          </w:tblCellMar>
        </w:tblPrEx>
        <w:trPr>
          <w:trHeight w:val="348" w:hRule="exact"/>
          <w:jc w:val="center"/>
        </w:trPr>
        <w:tc>
          <w:tcPr>
            <w:tcW w:w="4491"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6EE0B142">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B31.项目管理制度健全性</w:t>
            </w:r>
          </w:p>
        </w:tc>
        <w:tc>
          <w:tcPr>
            <w:tcW w:w="107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346F6094">
            <w:pPr>
              <w:pStyle w:val="15"/>
              <w:shd w:val="clear" w:color="auto" w:fill="auto"/>
              <w:spacing w:after="0" w:line="240" w:lineRule="auto"/>
              <w:rPr>
                <w:rFonts w:hint="eastAsia" w:ascii="宋体" w:hAnsi="宋体" w:eastAsia="宋体" w:cs="宋体"/>
                <w:spacing w:val="0"/>
                <w:sz w:val="21"/>
                <w:szCs w:val="21"/>
              </w:rPr>
            </w:pPr>
          </w:p>
        </w:tc>
        <w:tc>
          <w:tcPr>
            <w:tcW w:w="1150"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4D75F157">
            <w:pPr>
              <w:pStyle w:val="15"/>
              <w:shd w:val="clear" w:color="auto" w:fill="auto"/>
              <w:spacing w:after="0" w:line="240" w:lineRule="auto"/>
              <w:rPr>
                <w:rFonts w:hint="eastAsia" w:ascii="宋体" w:hAnsi="宋体" w:eastAsia="宋体" w:cs="宋体"/>
                <w:spacing w:val="0"/>
                <w:sz w:val="21"/>
                <w:szCs w:val="21"/>
              </w:rPr>
            </w:pPr>
          </w:p>
        </w:tc>
        <w:tc>
          <w:tcPr>
            <w:tcW w:w="1325"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6B1F264B">
            <w:pPr>
              <w:pStyle w:val="15"/>
              <w:shd w:val="clear" w:color="auto" w:fill="auto"/>
              <w:spacing w:after="0" w:line="240" w:lineRule="auto"/>
              <w:rPr>
                <w:rFonts w:hint="eastAsia" w:ascii="宋体" w:hAnsi="宋体" w:eastAsia="宋体" w:cs="宋体"/>
                <w:spacing w:val="0"/>
                <w:sz w:val="21"/>
                <w:szCs w:val="21"/>
              </w:rPr>
            </w:pPr>
          </w:p>
        </w:tc>
      </w:tr>
      <w:tr w14:paraId="13586EC5">
        <w:tblPrEx>
          <w:tblCellMar>
            <w:top w:w="0" w:type="dxa"/>
            <w:left w:w="10" w:type="dxa"/>
            <w:bottom w:w="0" w:type="dxa"/>
            <w:right w:w="10" w:type="dxa"/>
          </w:tblCellMar>
        </w:tblPrEx>
        <w:trPr>
          <w:trHeight w:val="348" w:hRule="exact"/>
          <w:jc w:val="center"/>
        </w:trPr>
        <w:tc>
          <w:tcPr>
            <w:tcW w:w="4491" w:type="dxa"/>
            <w:tcBorders>
              <w:top w:val="single" w:color="auto" w:sz="4" w:space="0"/>
              <w:left w:val="single" w:color="auto" w:sz="4" w:space="0"/>
              <w:bottom w:val="single" w:color="auto" w:sz="4" w:space="0"/>
            </w:tcBorders>
            <w:shd w:val="clear" w:color="auto" w:fill="FFFFFF"/>
            <w:noWrap w:val="0"/>
            <w:vAlign w:val="center"/>
          </w:tcPr>
          <w:p w14:paraId="3E32172F">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B311.项目实施单位管理制度健全性</w:t>
            </w:r>
          </w:p>
        </w:tc>
        <w:tc>
          <w:tcPr>
            <w:tcW w:w="1075" w:type="dxa"/>
            <w:tcBorders>
              <w:top w:val="single" w:color="auto" w:sz="4" w:space="0"/>
              <w:left w:val="single" w:color="auto" w:sz="4" w:space="0"/>
              <w:bottom w:val="single" w:color="auto" w:sz="4" w:space="0"/>
            </w:tcBorders>
            <w:shd w:val="clear" w:color="auto" w:fill="FFFFFF"/>
            <w:noWrap w:val="0"/>
            <w:vAlign w:val="bottom"/>
          </w:tcPr>
          <w:p w14:paraId="6628DC67">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w:t>
            </w:r>
          </w:p>
        </w:tc>
        <w:tc>
          <w:tcPr>
            <w:tcW w:w="1150" w:type="dxa"/>
            <w:tcBorders>
              <w:top w:val="single" w:color="auto" w:sz="4" w:space="0"/>
              <w:left w:val="single" w:color="auto" w:sz="4" w:space="0"/>
              <w:bottom w:val="single" w:color="auto" w:sz="4" w:space="0"/>
            </w:tcBorders>
            <w:shd w:val="clear" w:color="auto" w:fill="FFFFFF"/>
            <w:noWrap w:val="0"/>
            <w:vAlign w:val="center"/>
          </w:tcPr>
          <w:p w14:paraId="34344227">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健全</w:t>
            </w:r>
          </w:p>
        </w:tc>
        <w:tc>
          <w:tcPr>
            <w:tcW w:w="132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5DADA5D1">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w:t>
            </w:r>
            <w:r>
              <w:rPr>
                <w:rFonts w:hint="eastAsia" w:ascii="宋体" w:hAnsi="宋体" w:eastAsia="宋体" w:cs="宋体"/>
                <w:spacing w:val="0"/>
                <w:sz w:val="21"/>
                <w:szCs w:val="21"/>
                <w:lang w:eastAsia="en-US"/>
              </w:rPr>
              <w:t>.00</w:t>
            </w:r>
          </w:p>
        </w:tc>
      </w:tr>
      <w:tr w14:paraId="1ED9016B">
        <w:tblPrEx>
          <w:tblCellMar>
            <w:top w:w="0" w:type="dxa"/>
            <w:left w:w="10" w:type="dxa"/>
            <w:bottom w:w="0" w:type="dxa"/>
            <w:right w:w="10" w:type="dxa"/>
          </w:tblCellMar>
        </w:tblPrEx>
        <w:trPr>
          <w:trHeight w:val="403" w:hRule="exact"/>
          <w:jc w:val="center"/>
        </w:trPr>
        <w:tc>
          <w:tcPr>
            <w:tcW w:w="4491" w:type="dxa"/>
            <w:tcBorders>
              <w:top w:val="single" w:color="auto" w:sz="4" w:space="0"/>
              <w:left w:val="single" w:color="auto" w:sz="4" w:space="0"/>
              <w:bottom w:val="single" w:color="auto" w:sz="4" w:space="0"/>
            </w:tcBorders>
            <w:shd w:val="clear" w:color="auto" w:fill="FFFFFF"/>
            <w:noWrap w:val="0"/>
            <w:vAlign w:val="center"/>
          </w:tcPr>
          <w:p w14:paraId="359BE2CB">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B312.管理方监管措施健全性</w:t>
            </w:r>
          </w:p>
        </w:tc>
        <w:tc>
          <w:tcPr>
            <w:tcW w:w="1075" w:type="dxa"/>
            <w:tcBorders>
              <w:top w:val="single" w:color="auto" w:sz="4" w:space="0"/>
              <w:left w:val="single" w:color="auto" w:sz="4" w:space="0"/>
              <w:bottom w:val="single" w:color="auto" w:sz="4" w:space="0"/>
            </w:tcBorders>
            <w:shd w:val="clear" w:color="auto" w:fill="FFFFFF"/>
            <w:noWrap w:val="0"/>
            <w:vAlign w:val="bottom"/>
          </w:tcPr>
          <w:p w14:paraId="0468DDD0">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w:t>
            </w:r>
          </w:p>
        </w:tc>
        <w:tc>
          <w:tcPr>
            <w:tcW w:w="1150" w:type="dxa"/>
            <w:tcBorders>
              <w:top w:val="single" w:color="auto" w:sz="4" w:space="0"/>
              <w:left w:val="single" w:color="auto" w:sz="4" w:space="0"/>
              <w:bottom w:val="single" w:color="auto" w:sz="4" w:space="0"/>
            </w:tcBorders>
            <w:shd w:val="clear" w:color="auto" w:fill="FFFFFF"/>
            <w:noWrap w:val="0"/>
            <w:vAlign w:val="center"/>
          </w:tcPr>
          <w:p w14:paraId="58077955">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健全</w:t>
            </w:r>
          </w:p>
        </w:tc>
        <w:tc>
          <w:tcPr>
            <w:tcW w:w="132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51970226">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w:t>
            </w:r>
            <w:r>
              <w:rPr>
                <w:rFonts w:hint="eastAsia" w:ascii="宋体" w:hAnsi="宋体" w:eastAsia="宋体" w:cs="宋体"/>
                <w:spacing w:val="0"/>
                <w:sz w:val="21"/>
                <w:szCs w:val="21"/>
                <w:lang w:eastAsia="en-US"/>
              </w:rPr>
              <w:t>.00</w:t>
            </w:r>
          </w:p>
        </w:tc>
      </w:tr>
      <w:tr w14:paraId="45EA2FF2">
        <w:tblPrEx>
          <w:tblCellMar>
            <w:top w:w="0" w:type="dxa"/>
            <w:left w:w="10" w:type="dxa"/>
            <w:bottom w:w="0" w:type="dxa"/>
            <w:right w:w="10" w:type="dxa"/>
          </w:tblCellMar>
        </w:tblPrEx>
        <w:trPr>
          <w:trHeight w:val="348" w:hRule="exact"/>
          <w:jc w:val="center"/>
        </w:trPr>
        <w:tc>
          <w:tcPr>
            <w:tcW w:w="4491" w:type="dxa"/>
            <w:tcBorders>
              <w:top w:val="single" w:color="auto" w:sz="4" w:space="0"/>
              <w:left w:val="single" w:color="auto" w:sz="4" w:space="0"/>
            </w:tcBorders>
            <w:shd w:val="clear" w:color="auto" w:fill="FFFFFF"/>
            <w:noWrap w:val="0"/>
            <w:vAlign w:val="top"/>
          </w:tcPr>
          <w:p w14:paraId="312687B4">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B32.项目管理制度执行有效性</w:t>
            </w:r>
          </w:p>
        </w:tc>
        <w:tc>
          <w:tcPr>
            <w:tcW w:w="1075" w:type="dxa"/>
            <w:tcBorders>
              <w:top w:val="single" w:color="auto" w:sz="4" w:space="0"/>
              <w:left w:val="single" w:color="auto" w:sz="4" w:space="0"/>
            </w:tcBorders>
            <w:shd w:val="clear" w:color="auto" w:fill="FFFFFF"/>
            <w:noWrap w:val="0"/>
            <w:vAlign w:val="top"/>
          </w:tcPr>
          <w:p w14:paraId="21B6B088">
            <w:pPr>
              <w:pStyle w:val="15"/>
              <w:shd w:val="clear" w:color="auto" w:fill="auto"/>
              <w:spacing w:after="0" w:line="240" w:lineRule="auto"/>
              <w:rPr>
                <w:rFonts w:hint="eastAsia" w:ascii="宋体" w:hAnsi="宋体" w:eastAsia="宋体" w:cs="宋体"/>
                <w:spacing w:val="0"/>
                <w:sz w:val="21"/>
                <w:szCs w:val="21"/>
              </w:rPr>
            </w:pPr>
          </w:p>
        </w:tc>
        <w:tc>
          <w:tcPr>
            <w:tcW w:w="1150" w:type="dxa"/>
            <w:tcBorders>
              <w:top w:val="single" w:color="auto" w:sz="4" w:space="0"/>
              <w:left w:val="single" w:color="auto" w:sz="4" w:space="0"/>
            </w:tcBorders>
            <w:shd w:val="clear" w:color="auto" w:fill="FFFFFF"/>
            <w:noWrap w:val="0"/>
            <w:vAlign w:val="top"/>
          </w:tcPr>
          <w:p w14:paraId="5AD28969">
            <w:pPr>
              <w:pStyle w:val="15"/>
              <w:shd w:val="clear" w:color="auto" w:fill="auto"/>
              <w:spacing w:after="0" w:line="240" w:lineRule="auto"/>
              <w:rPr>
                <w:rFonts w:hint="eastAsia" w:ascii="宋体" w:hAnsi="宋体" w:eastAsia="宋体" w:cs="宋体"/>
                <w:spacing w:val="0"/>
                <w:sz w:val="21"/>
                <w:szCs w:val="21"/>
              </w:rPr>
            </w:pPr>
          </w:p>
        </w:tc>
        <w:tc>
          <w:tcPr>
            <w:tcW w:w="1325" w:type="dxa"/>
            <w:tcBorders>
              <w:top w:val="single" w:color="auto" w:sz="4" w:space="0"/>
              <w:left w:val="single" w:color="auto" w:sz="4" w:space="0"/>
              <w:right w:val="single" w:color="auto" w:sz="4" w:space="0"/>
            </w:tcBorders>
            <w:shd w:val="clear" w:color="auto" w:fill="FFFFFF"/>
            <w:noWrap w:val="0"/>
            <w:vAlign w:val="top"/>
          </w:tcPr>
          <w:p w14:paraId="3D51995C">
            <w:pPr>
              <w:pStyle w:val="15"/>
              <w:shd w:val="clear" w:color="auto" w:fill="auto"/>
              <w:spacing w:after="0" w:line="240" w:lineRule="auto"/>
              <w:rPr>
                <w:rFonts w:hint="eastAsia" w:ascii="宋体" w:hAnsi="宋体" w:eastAsia="宋体" w:cs="宋体"/>
                <w:spacing w:val="0"/>
                <w:sz w:val="21"/>
                <w:szCs w:val="21"/>
              </w:rPr>
            </w:pPr>
          </w:p>
        </w:tc>
      </w:tr>
      <w:tr w14:paraId="587B3F01">
        <w:tblPrEx>
          <w:tblCellMar>
            <w:top w:w="0" w:type="dxa"/>
            <w:left w:w="10" w:type="dxa"/>
            <w:bottom w:w="0" w:type="dxa"/>
            <w:right w:w="10" w:type="dxa"/>
          </w:tblCellMar>
        </w:tblPrEx>
        <w:trPr>
          <w:trHeight w:val="408" w:hRule="exact"/>
          <w:jc w:val="center"/>
        </w:trPr>
        <w:tc>
          <w:tcPr>
            <w:tcW w:w="4491" w:type="dxa"/>
            <w:tcBorders>
              <w:top w:val="single" w:color="auto" w:sz="4" w:space="0"/>
              <w:left w:val="single" w:color="auto" w:sz="4" w:space="0"/>
              <w:bottom w:val="single" w:color="auto" w:sz="4" w:space="0"/>
            </w:tcBorders>
            <w:shd w:val="clear" w:color="auto" w:fill="FFFFFF"/>
            <w:noWrap w:val="0"/>
            <w:vAlign w:val="center"/>
          </w:tcPr>
          <w:p w14:paraId="474FEC2A">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B321.项目实施单位管理制度执行情况</w:t>
            </w:r>
          </w:p>
        </w:tc>
        <w:tc>
          <w:tcPr>
            <w:tcW w:w="1075" w:type="dxa"/>
            <w:tcBorders>
              <w:top w:val="single" w:color="auto" w:sz="4" w:space="0"/>
              <w:left w:val="single" w:color="auto" w:sz="4" w:space="0"/>
              <w:bottom w:val="single" w:color="auto" w:sz="4" w:space="0"/>
            </w:tcBorders>
            <w:shd w:val="clear" w:color="auto" w:fill="FFFFFF"/>
            <w:noWrap w:val="0"/>
            <w:vAlign w:val="bottom"/>
          </w:tcPr>
          <w:p w14:paraId="02A38511">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w:t>
            </w:r>
          </w:p>
        </w:tc>
        <w:tc>
          <w:tcPr>
            <w:tcW w:w="1150" w:type="dxa"/>
            <w:tcBorders>
              <w:top w:val="single" w:color="auto" w:sz="4" w:space="0"/>
              <w:left w:val="single" w:color="auto" w:sz="4" w:space="0"/>
              <w:bottom w:val="single" w:color="auto" w:sz="4" w:space="0"/>
            </w:tcBorders>
            <w:shd w:val="clear" w:color="auto" w:fill="FFFFFF"/>
            <w:noWrap w:val="0"/>
            <w:vAlign w:val="center"/>
          </w:tcPr>
          <w:p w14:paraId="0B9C64D3">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执行</w:t>
            </w:r>
          </w:p>
        </w:tc>
        <w:tc>
          <w:tcPr>
            <w:tcW w:w="132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26D5EFE2">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w:t>
            </w:r>
            <w:r>
              <w:rPr>
                <w:rFonts w:hint="eastAsia" w:ascii="宋体" w:hAnsi="宋体" w:eastAsia="宋体" w:cs="宋体"/>
                <w:spacing w:val="0"/>
                <w:sz w:val="21"/>
                <w:szCs w:val="21"/>
                <w:lang w:eastAsia="en-US"/>
              </w:rPr>
              <w:t>.00</w:t>
            </w:r>
          </w:p>
        </w:tc>
      </w:tr>
      <w:tr w14:paraId="05F9326B">
        <w:tblPrEx>
          <w:tblCellMar>
            <w:top w:w="0" w:type="dxa"/>
            <w:left w:w="10" w:type="dxa"/>
            <w:bottom w:w="0" w:type="dxa"/>
            <w:right w:w="10" w:type="dxa"/>
          </w:tblCellMar>
        </w:tblPrEx>
        <w:trPr>
          <w:trHeight w:val="408" w:hRule="exact"/>
          <w:jc w:val="center"/>
        </w:trPr>
        <w:tc>
          <w:tcPr>
            <w:tcW w:w="4491" w:type="dxa"/>
            <w:tcBorders>
              <w:top w:val="single" w:color="auto" w:sz="4" w:space="0"/>
              <w:left w:val="single" w:color="auto" w:sz="4" w:space="0"/>
              <w:bottom w:val="single" w:color="auto" w:sz="4" w:space="0"/>
            </w:tcBorders>
            <w:shd w:val="clear" w:color="auto" w:fill="FFFFFF"/>
            <w:noWrap w:val="0"/>
            <w:vAlign w:val="center"/>
          </w:tcPr>
          <w:p w14:paraId="42140F0F">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B</w:t>
            </w:r>
            <w:r>
              <w:rPr>
                <w:rFonts w:hint="eastAsia" w:ascii="宋体" w:hAnsi="宋体" w:eastAsia="宋体" w:cs="宋体"/>
                <w:spacing w:val="0"/>
                <w:sz w:val="21"/>
                <w:szCs w:val="21"/>
                <w:lang w:eastAsia="en-US"/>
              </w:rPr>
              <w:t>322.</w:t>
            </w:r>
            <w:r>
              <w:rPr>
                <w:rFonts w:hint="eastAsia" w:ascii="宋体" w:hAnsi="宋体" w:eastAsia="宋体" w:cs="宋体"/>
                <w:spacing w:val="0"/>
                <w:sz w:val="21"/>
                <w:szCs w:val="21"/>
              </w:rPr>
              <w:t>监管措施执行情况</w:t>
            </w:r>
          </w:p>
        </w:tc>
        <w:tc>
          <w:tcPr>
            <w:tcW w:w="1075" w:type="dxa"/>
            <w:tcBorders>
              <w:top w:val="single" w:color="auto" w:sz="4" w:space="0"/>
              <w:left w:val="single" w:color="auto" w:sz="4" w:space="0"/>
              <w:bottom w:val="single" w:color="auto" w:sz="4" w:space="0"/>
            </w:tcBorders>
            <w:shd w:val="clear" w:color="auto" w:fill="FFFFFF"/>
            <w:noWrap w:val="0"/>
            <w:vAlign w:val="bottom"/>
          </w:tcPr>
          <w:p w14:paraId="7EA491E6">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w:t>
            </w:r>
          </w:p>
        </w:tc>
        <w:tc>
          <w:tcPr>
            <w:tcW w:w="1150" w:type="dxa"/>
            <w:tcBorders>
              <w:top w:val="single" w:color="auto" w:sz="4" w:space="0"/>
              <w:left w:val="single" w:color="auto" w:sz="4" w:space="0"/>
              <w:bottom w:val="single" w:color="auto" w:sz="4" w:space="0"/>
            </w:tcBorders>
            <w:shd w:val="clear" w:color="auto" w:fill="FFFFFF"/>
            <w:noWrap w:val="0"/>
            <w:vAlign w:val="center"/>
          </w:tcPr>
          <w:p w14:paraId="352A519C">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执行</w:t>
            </w:r>
          </w:p>
        </w:tc>
        <w:tc>
          <w:tcPr>
            <w:tcW w:w="132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6692111D">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w:t>
            </w:r>
            <w:r>
              <w:rPr>
                <w:rFonts w:hint="eastAsia" w:ascii="宋体" w:hAnsi="宋体" w:eastAsia="宋体" w:cs="宋体"/>
                <w:spacing w:val="0"/>
                <w:sz w:val="21"/>
                <w:szCs w:val="21"/>
                <w:lang w:eastAsia="en-US"/>
              </w:rPr>
              <w:t>.00</w:t>
            </w:r>
          </w:p>
        </w:tc>
      </w:tr>
      <w:tr w14:paraId="69F74FD0">
        <w:tblPrEx>
          <w:tblCellMar>
            <w:top w:w="0" w:type="dxa"/>
            <w:left w:w="10" w:type="dxa"/>
            <w:bottom w:w="0" w:type="dxa"/>
            <w:right w:w="10" w:type="dxa"/>
          </w:tblCellMar>
        </w:tblPrEx>
        <w:trPr>
          <w:trHeight w:val="408" w:hRule="exact"/>
          <w:jc w:val="center"/>
        </w:trPr>
        <w:tc>
          <w:tcPr>
            <w:tcW w:w="4491" w:type="dxa"/>
            <w:tcBorders>
              <w:top w:val="single" w:color="auto" w:sz="4" w:space="0"/>
              <w:left w:val="single" w:color="auto" w:sz="4" w:space="0"/>
              <w:bottom w:val="single" w:color="auto" w:sz="4" w:space="0"/>
            </w:tcBorders>
            <w:shd w:val="clear" w:color="auto" w:fill="FFFFFF"/>
            <w:noWrap w:val="0"/>
            <w:vAlign w:val="center"/>
          </w:tcPr>
          <w:p w14:paraId="50EF50A1">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B</w:t>
            </w:r>
            <w:r>
              <w:rPr>
                <w:rFonts w:hint="eastAsia" w:ascii="宋体" w:hAnsi="宋体" w:eastAsia="宋体" w:cs="宋体"/>
                <w:spacing w:val="0"/>
                <w:sz w:val="21"/>
                <w:szCs w:val="21"/>
                <w:lang w:eastAsia="en-US"/>
              </w:rPr>
              <w:t>323.</w:t>
            </w:r>
            <w:r>
              <w:rPr>
                <w:rFonts w:hint="eastAsia" w:ascii="宋体" w:hAnsi="宋体" w:eastAsia="宋体" w:cs="宋体"/>
                <w:spacing w:val="0"/>
                <w:sz w:val="21"/>
                <w:szCs w:val="21"/>
              </w:rPr>
              <w:t>合同执行情况</w:t>
            </w:r>
          </w:p>
        </w:tc>
        <w:tc>
          <w:tcPr>
            <w:tcW w:w="1075" w:type="dxa"/>
            <w:tcBorders>
              <w:top w:val="single" w:color="auto" w:sz="4" w:space="0"/>
              <w:left w:val="single" w:color="auto" w:sz="4" w:space="0"/>
              <w:bottom w:val="single" w:color="auto" w:sz="4" w:space="0"/>
            </w:tcBorders>
            <w:shd w:val="clear" w:color="auto" w:fill="FFFFFF"/>
            <w:noWrap w:val="0"/>
            <w:vAlign w:val="center"/>
          </w:tcPr>
          <w:p w14:paraId="1C17034A">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2</w:t>
            </w:r>
          </w:p>
        </w:tc>
        <w:tc>
          <w:tcPr>
            <w:tcW w:w="1150" w:type="dxa"/>
            <w:tcBorders>
              <w:top w:val="single" w:color="auto" w:sz="4" w:space="0"/>
              <w:left w:val="single" w:color="auto" w:sz="4" w:space="0"/>
              <w:bottom w:val="single" w:color="auto" w:sz="4" w:space="0"/>
            </w:tcBorders>
            <w:shd w:val="clear" w:color="auto" w:fill="FFFFFF"/>
            <w:noWrap w:val="0"/>
            <w:vAlign w:val="center"/>
          </w:tcPr>
          <w:p w14:paraId="4F17E141">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执行</w:t>
            </w:r>
          </w:p>
        </w:tc>
        <w:tc>
          <w:tcPr>
            <w:tcW w:w="132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674D95">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2</w:t>
            </w:r>
            <w:r>
              <w:rPr>
                <w:rFonts w:hint="eastAsia" w:ascii="宋体" w:hAnsi="宋体" w:eastAsia="宋体" w:cs="宋体"/>
                <w:spacing w:val="0"/>
                <w:sz w:val="21"/>
                <w:szCs w:val="21"/>
                <w:lang w:eastAsia="en-US"/>
              </w:rPr>
              <w:t>.00</w:t>
            </w:r>
          </w:p>
        </w:tc>
      </w:tr>
      <w:tr w14:paraId="4318D94B">
        <w:tblPrEx>
          <w:tblCellMar>
            <w:top w:w="0" w:type="dxa"/>
            <w:left w:w="10" w:type="dxa"/>
            <w:bottom w:w="0" w:type="dxa"/>
            <w:right w:w="10" w:type="dxa"/>
          </w:tblCellMar>
        </w:tblPrEx>
        <w:trPr>
          <w:trHeight w:val="403" w:hRule="exact"/>
          <w:jc w:val="center"/>
        </w:trPr>
        <w:tc>
          <w:tcPr>
            <w:tcW w:w="4491"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339EC70F">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B</w:t>
            </w:r>
            <w:r>
              <w:rPr>
                <w:rFonts w:hint="eastAsia" w:ascii="宋体" w:hAnsi="宋体" w:eastAsia="宋体" w:cs="宋体"/>
                <w:spacing w:val="0"/>
                <w:sz w:val="21"/>
                <w:szCs w:val="21"/>
                <w:lang w:eastAsia="en-US"/>
              </w:rPr>
              <w:t>324.</w:t>
            </w:r>
            <w:r>
              <w:rPr>
                <w:rFonts w:hint="eastAsia" w:ascii="宋体" w:hAnsi="宋体" w:eastAsia="宋体" w:cs="宋体"/>
                <w:spacing w:val="0"/>
                <w:sz w:val="21"/>
                <w:szCs w:val="21"/>
              </w:rPr>
              <w:t>台账记录规范性</w:t>
            </w:r>
          </w:p>
        </w:tc>
        <w:tc>
          <w:tcPr>
            <w:tcW w:w="107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747BDBDA">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2</w:t>
            </w:r>
          </w:p>
        </w:tc>
        <w:tc>
          <w:tcPr>
            <w:tcW w:w="1150"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047E8037">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规范</w:t>
            </w:r>
          </w:p>
        </w:tc>
        <w:tc>
          <w:tcPr>
            <w:tcW w:w="132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7241602E">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2</w:t>
            </w:r>
            <w:r>
              <w:rPr>
                <w:rFonts w:hint="eastAsia" w:ascii="宋体" w:hAnsi="宋体" w:eastAsia="宋体" w:cs="宋体"/>
                <w:spacing w:val="0"/>
                <w:sz w:val="21"/>
                <w:szCs w:val="21"/>
                <w:lang w:eastAsia="en-US"/>
              </w:rPr>
              <w:t>.00</w:t>
            </w:r>
          </w:p>
        </w:tc>
      </w:tr>
      <w:tr w14:paraId="2C32479E">
        <w:tblPrEx>
          <w:tblCellMar>
            <w:top w:w="0" w:type="dxa"/>
            <w:left w:w="10" w:type="dxa"/>
            <w:bottom w:w="0" w:type="dxa"/>
            <w:right w:w="10" w:type="dxa"/>
          </w:tblCellMar>
        </w:tblPrEx>
        <w:trPr>
          <w:trHeight w:val="361" w:hRule="exact"/>
          <w:jc w:val="center"/>
        </w:trPr>
        <w:tc>
          <w:tcPr>
            <w:tcW w:w="4491" w:type="dxa"/>
            <w:tcBorders>
              <w:top w:val="single" w:color="auto" w:sz="4" w:space="0"/>
              <w:left w:val="single" w:color="auto" w:sz="4" w:space="0"/>
            </w:tcBorders>
            <w:shd w:val="clear" w:color="auto" w:fill="FFFFFF"/>
            <w:noWrap w:val="0"/>
            <w:vAlign w:val="center"/>
          </w:tcPr>
          <w:p w14:paraId="60C7C32E">
            <w:pPr>
              <w:widowControl/>
              <w:spacing w:line="300" w:lineRule="exact"/>
              <w:jc w:val="left"/>
              <w:rPr>
                <w:rFonts w:hint="eastAsia" w:ascii="宋体" w:hAnsi="宋体" w:eastAsia="宋体" w:cs="宋体"/>
                <w:spacing w:val="0"/>
                <w:sz w:val="21"/>
                <w:szCs w:val="21"/>
              </w:rPr>
            </w:pPr>
            <w:r>
              <w:rPr>
                <w:rFonts w:hint="default" w:ascii="Calibri" w:hAnsi="仿宋" w:eastAsia="宋体" w:cs="宋体"/>
                <w:color w:val="000000"/>
                <w:kern w:val="2"/>
                <w:sz w:val="21"/>
                <w:szCs w:val="22"/>
                <w:lang w:val="en-US" w:eastAsia="zh-CN" w:bidi="ar-SA"/>
              </w:rPr>
              <w:t>B33</w:t>
            </w:r>
            <w:r>
              <w:rPr>
                <w:rFonts w:hint="eastAsia" w:hAnsi="仿宋" w:cs="宋体"/>
                <w:color w:val="000000"/>
                <w:kern w:val="2"/>
                <w:sz w:val="21"/>
                <w:szCs w:val="22"/>
                <w:lang w:val="en-US" w:eastAsia="zh-CN" w:bidi="ar-SA"/>
              </w:rPr>
              <w:t>.</w:t>
            </w:r>
            <w:r>
              <w:rPr>
                <w:rFonts w:hint="default" w:ascii="Calibri" w:hAnsi="仿宋" w:eastAsia="宋体" w:cs="宋体"/>
                <w:color w:val="000000"/>
                <w:kern w:val="2"/>
                <w:sz w:val="21"/>
                <w:szCs w:val="22"/>
                <w:lang w:val="en-US" w:eastAsia="zh-CN" w:bidi="ar-SA"/>
              </w:rPr>
              <w:t>政府采购规范性</w:t>
            </w:r>
          </w:p>
        </w:tc>
        <w:tc>
          <w:tcPr>
            <w:tcW w:w="1075" w:type="dxa"/>
            <w:tcBorders>
              <w:top w:val="single" w:color="auto" w:sz="4" w:space="0"/>
              <w:left w:val="single" w:color="auto" w:sz="4" w:space="0"/>
            </w:tcBorders>
            <w:shd w:val="clear" w:color="auto" w:fill="FFFFFF"/>
            <w:noWrap w:val="0"/>
            <w:vAlign w:val="center"/>
          </w:tcPr>
          <w:p w14:paraId="45A9CDFA">
            <w:pPr>
              <w:widowControl/>
              <w:spacing w:line="300" w:lineRule="exact"/>
              <w:jc w:val="center"/>
              <w:rPr>
                <w:rFonts w:hint="eastAsia" w:ascii="宋体" w:hAnsi="宋体" w:eastAsia="宋体" w:cs="宋体"/>
                <w:spacing w:val="0"/>
                <w:sz w:val="21"/>
                <w:szCs w:val="21"/>
              </w:rPr>
            </w:pPr>
          </w:p>
        </w:tc>
        <w:tc>
          <w:tcPr>
            <w:tcW w:w="1150" w:type="dxa"/>
            <w:tcBorders>
              <w:top w:val="single" w:color="auto" w:sz="4" w:space="0"/>
              <w:left w:val="single" w:color="auto" w:sz="4" w:space="0"/>
            </w:tcBorders>
            <w:shd w:val="clear" w:color="auto" w:fill="FFFFFF"/>
            <w:noWrap w:val="0"/>
            <w:vAlign w:val="center"/>
          </w:tcPr>
          <w:p w14:paraId="74CC145F">
            <w:pPr>
              <w:widowControl/>
              <w:spacing w:line="300" w:lineRule="exact"/>
              <w:jc w:val="center"/>
              <w:rPr>
                <w:rFonts w:hint="eastAsia" w:ascii="宋体" w:hAnsi="宋体" w:eastAsia="宋体" w:cs="宋体"/>
                <w:spacing w:val="0"/>
                <w:sz w:val="21"/>
                <w:szCs w:val="21"/>
              </w:rPr>
            </w:pPr>
          </w:p>
        </w:tc>
        <w:tc>
          <w:tcPr>
            <w:tcW w:w="1325" w:type="dxa"/>
            <w:tcBorders>
              <w:top w:val="single" w:color="auto" w:sz="4" w:space="0"/>
              <w:left w:val="single" w:color="auto" w:sz="4" w:space="0"/>
              <w:right w:val="single" w:color="auto" w:sz="4" w:space="0"/>
            </w:tcBorders>
            <w:shd w:val="clear" w:color="auto" w:fill="FFFFFF"/>
            <w:noWrap w:val="0"/>
            <w:vAlign w:val="center"/>
          </w:tcPr>
          <w:p w14:paraId="0ABE2987">
            <w:pPr>
              <w:widowControl/>
              <w:spacing w:line="300" w:lineRule="exact"/>
              <w:jc w:val="center"/>
              <w:rPr>
                <w:rFonts w:hint="eastAsia" w:ascii="宋体" w:hAnsi="宋体" w:eastAsia="宋体" w:cs="宋体"/>
                <w:spacing w:val="0"/>
                <w:sz w:val="21"/>
                <w:szCs w:val="21"/>
              </w:rPr>
            </w:pPr>
          </w:p>
        </w:tc>
      </w:tr>
      <w:tr w14:paraId="4BEA04F8">
        <w:tblPrEx>
          <w:tblCellMar>
            <w:top w:w="0" w:type="dxa"/>
            <w:left w:w="10" w:type="dxa"/>
            <w:bottom w:w="0" w:type="dxa"/>
            <w:right w:w="10" w:type="dxa"/>
          </w:tblCellMar>
        </w:tblPrEx>
        <w:trPr>
          <w:trHeight w:val="361" w:hRule="exact"/>
          <w:jc w:val="center"/>
        </w:trPr>
        <w:tc>
          <w:tcPr>
            <w:tcW w:w="4491" w:type="dxa"/>
            <w:tcBorders>
              <w:top w:val="single" w:color="auto" w:sz="4" w:space="0"/>
              <w:left w:val="single" w:color="auto" w:sz="4" w:space="0"/>
            </w:tcBorders>
            <w:shd w:val="clear" w:color="auto" w:fill="FFFFFF"/>
            <w:noWrap w:val="0"/>
            <w:vAlign w:val="center"/>
          </w:tcPr>
          <w:p w14:paraId="4FCA5B78">
            <w:pPr>
              <w:widowControl/>
              <w:spacing w:line="300" w:lineRule="exact"/>
              <w:ind w:firstLine="420" w:firstLineChars="200"/>
              <w:jc w:val="left"/>
              <w:rPr>
                <w:rFonts w:hint="eastAsia" w:ascii="宋体" w:hAnsi="宋体" w:eastAsia="宋体" w:cs="宋体"/>
                <w:spacing w:val="0"/>
                <w:sz w:val="21"/>
                <w:szCs w:val="21"/>
              </w:rPr>
            </w:pPr>
            <w:r>
              <w:rPr>
                <w:rFonts w:hint="default" w:ascii="Calibri" w:hAnsi="仿宋" w:eastAsia="宋体" w:cs="宋体"/>
                <w:color w:val="000000"/>
                <w:kern w:val="2"/>
                <w:sz w:val="21"/>
                <w:szCs w:val="22"/>
                <w:lang w:val="en-US" w:eastAsia="zh-CN" w:bidi="ar-SA"/>
              </w:rPr>
              <w:t>B331.采购方式合规性</w:t>
            </w:r>
          </w:p>
        </w:tc>
        <w:tc>
          <w:tcPr>
            <w:tcW w:w="1075" w:type="dxa"/>
            <w:tcBorders>
              <w:top w:val="single" w:color="auto" w:sz="4" w:space="0"/>
              <w:left w:val="single" w:color="auto" w:sz="4" w:space="0"/>
            </w:tcBorders>
            <w:shd w:val="clear" w:color="auto" w:fill="FFFFFF"/>
            <w:noWrap w:val="0"/>
            <w:vAlign w:val="center"/>
          </w:tcPr>
          <w:p w14:paraId="75FF2F22">
            <w:pPr>
              <w:widowControl/>
              <w:spacing w:line="300" w:lineRule="exact"/>
              <w:jc w:val="center"/>
              <w:rPr>
                <w:rFonts w:hint="eastAsia" w:ascii="宋体" w:hAnsi="宋体" w:eastAsia="宋体" w:cs="宋体"/>
                <w:spacing w:val="0"/>
                <w:kern w:val="2"/>
                <w:sz w:val="21"/>
                <w:szCs w:val="21"/>
                <w:u w:val="none"/>
                <w:lang w:val="en-US" w:eastAsia="zh-CN" w:bidi="ar-SA"/>
              </w:rPr>
            </w:pPr>
            <w:r>
              <w:rPr>
                <w:rFonts w:hint="eastAsia" w:ascii="宋体" w:hAnsi="宋体" w:eastAsia="宋体" w:cs="宋体"/>
                <w:spacing w:val="0"/>
                <w:kern w:val="2"/>
                <w:sz w:val="21"/>
                <w:szCs w:val="21"/>
                <w:u w:val="none"/>
                <w:lang w:val="en-US" w:eastAsia="zh-CN" w:bidi="ar-SA"/>
              </w:rPr>
              <w:t>1</w:t>
            </w:r>
          </w:p>
        </w:tc>
        <w:tc>
          <w:tcPr>
            <w:tcW w:w="1150" w:type="dxa"/>
            <w:tcBorders>
              <w:top w:val="single" w:color="auto" w:sz="4" w:space="0"/>
              <w:left w:val="single" w:color="auto" w:sz="4" w:space="0"/>
            </w:tcBorders>
            <w:shd w:val="clear" w:color="auto" w:fill="FFFFFF"/>
            <w:noWrap w:val="0"/>
            <w:vAlign w:val="center"/>
          </w:tcPr>
          <w:p w14:paraId="11183183">
            <w:pPr>
              <w:widowControl/>
              <w:spacing w:line="300" w:lineRule="exact"/>
              <w:jc w:val="center"/>
              <w:rPr>
                <w:rFonts w:hint="eastAsia" w:ascii="宋体" w:hAnsi="宋体" w:eastAsia="宋体" w:cs="宋体"/>
                <w:spacing w:val="0"/>
                <w:sz w:val="21"/>
                <w:szCs w:val="21"/>
              </w:rPr>
            </w:pPr>
            <w:r>
              <w:rPr>
                <w:rFonts w:hint="eastAsia" w:hAnsi="仿宋" w:cs="宋体"/>
                <w:color w:val="000000"/>
                <w:kern w:val="2"/>
                <w:sz w:val="21"/>
                <w:szCs w:val="22"/>
                <w:lang w:val="en-US" w:eastAsia="zh-CN" w:bidi="ar-SA"/>
              </w:rPr>
              <w:t>合规</w:t>
            </w:r>
          </w:p>
        </w:tc>
        <w:tc>
          <w:tcPr>
            <w:tcW w:w="1325" w:type="dxa"/>
            <w:tcBorders>
              <w:top w:val="single" w:color="auto" w:sz="4" w:space="0"/>
              <w:left w:val="single" w:color="auto" w:sz="4" w:space="0"/>
              <w:right w:val="single" w:color="auto" w:sz="4" w:space="0"/>
            </w:tcBorders>
            <w:shd w:val="clear" w:color="auto" w:fill="FFFFFF"/>
            <w:noWrap w:val="0"/>
            <w:vAlign w:val="center"/>
          </w:tcPr>
          <w:p w14:paraId="2602D92F">
            <w:pPr>
              <w:widowControl/>
              <w:spacing w:line="300" w:lineRule="exact"/>
              <w:jc w:val="center"/>
              <w:rPr>
                <w:rFonts w:hint="default" w:ascii="宋体" w:hAnsi="宋体" w:eastAsia="宋体" w:cs="宋体"/>
                <w:spacing w:val="0"/>
                <w:sz w:val="21"/>
                <w:szCs w:val="21"/>
                <w:lang w:val="en-US"/>
              </w:rPr>
            </w:pPr>
            <w:r>
              <w:rPr>
                <w:rFonts w:hint="eastAsia" w:ascii="宋体" w:hAnsi="宋体" w:eastAsia="宋体" w:cs="宋体"/>
                <w:spacing w:val="0"/>
                <w:kern w:val="2"/>
                <w:sz w:val="21"/>
                <w:szCs w:val="21"/>
                <w:u w:val="none"/>
                <w:lang w:val="en-US" w:eastAsia="zh-CN" w:bidi="ar-SA"/>
              </w:rPr>
              <w:t>1.00</w:t>
            </w:r>
          </w:p>
        </w:tc>
      </w:tr>
      <w:tr w14:paraId="10F9E727">
        <w:tblPrEx>
          <w:tblCellMar>
            <w:top w:w="0" w:type="dxa"/>
            <w:left w:w="10" w:type="dxa"/>
            <w:bottom w:w="0" w:type="dxa"/>
            <w:right w:w="10" w:type="dxa"/>
          </w:tblCellMar>
        </w:tblPrEx>
        <w:trPr>
          <w:trHeight w:val="361" w:hRule="exact"/>
          <w:jc w:val="center"/>
        </w:trPr>
        <w:tc>
          <w:tcPr>
            <w:tcW w:w="4491" w:type="dxa"/>
            <w:tcBorders>
              <w:top w:val="single" w:color="auto" w:sz="4" w:space="0"/>
              <w:left w:val="single" w:color="auto" w:sz="4" w:space="0"/>
            </w:tcBorders>
            <w:shd w:val="clear" w:color="auto" w:fill="FFFFFF"/>
            <w:noWrap w:val="0"/>
            <w:vAlign w:val="center"/>
          </w:tcPr>
          <w:p w14:paraId="517F3617">
            <w:pPr>
              <w:widowControl/>
              <w:spacing w:line="300" w:lineRule="exact"/>
              <w:ind w:firstLine="420" w:firstLineChars="200"/>
              <w:jc w:val="both"/>
              <w:rPr>
                <w:rFonts w:hint="eastAsia" w:ascii="宋体" w:hAnsi="宋体" w:eastAsia="宋体" w:cs="宋体"/>
                <w:spacing w:val="0"/>
                <w:sz w:val="21"/>
                <w:szCs w:val="21"/>
              </w:rPr>
            </w:pPr>
            <w:r>
              <w:rPr>
                <w:rFonts w:hint="default" w:ascii="Calibri" w:hAnsi="仿宋" w:eastAsia="宋体" w:cs="宋体"/>
                <w:color w:val="000000"/>
                <w:kern w:val="2"/>
                <w:sz w:val="21"/>
                <w:szCs w:val="22"/>
                <w:lang w:val="en-US" w:eastAsia="zh-CN" w:bidi="ar-SA"/>
              </w:rPr>
              <w:t>B332.采购流程规范性</w:t>
            </w:r>
          </w:p>
        </w:tc>
        <w:tc>
          <w:tcPr>
            <w:tcW w:w="1075" w:type="dxa"/>
            <w:tcBorders>
              <w:top w:val="single" w:color="auto" w:sz="4" w:space="0"/>
              <w:left w:val="single" w:color="auto" w:sz="4" w:space="0"/>
            </w:tcBorders>
            <w:shd w:val="clear" w:color="auto" w:fill="FFFFFF"/>
            <w:noWrap w:val="0"/>
            <w:vAlign w:val="center"/>
          </w:tcPr>
          <w:p w14:paraId="2B6EA843">
            <w:pPr>
              <w:widowControl/>
              <w:spacing w:line="300" w:lineRule="exact"/>
              <w:jc w:val="center"/>
              <w:rPr>
                <w:rFonts w:hint="eastAsia" w:ascii="宋体" w:hAnsi="宋体" w:eastAsia="宋体" w:cs="宋体"/>
                <w:spacing w:val="0"/>
                <w:kern w:val="2"/>
                <w:sz w:val="21"/>
                <w:szCs w:val="21"/>
                <w:u w:val="none"/>
                <w:lang w:val="en-US" w:eastAsia="zh-CN" w:bidi="ar-SA"/>
              </w:rPr>
            </w:pPr>
            <w:r>
              <w:rPr>
                <w:rFonts w:hint="eastAsia" w:ascii="宋体" w:hAnsi="宋体" w:eastAsia="宋体" w:cs="宋体"/>
                <w:spacing w:val="0"/>
                <w:kern w:val="2"/>
                <w:sz w:val="21"/>
                <w:szCs w:val="21"/>
                <w:u w:val="none"/>
                <w:lang w:val="en-US" w:eastAsia="zh-CN" w:bidi="ar-SA"/>
              </w:rPr>
              <w:t>1</w:t>
            </w:r>
          </w:p>
        </w:tc>
        <w:tc>
          <w:tcPr>
            <w:tcW w:w="1150" w:type="dxa"/>
            <w:tcBorders>
              <w:top w:val="single" w:color="auto" w:sz="4" w:space="0"/>
              <w:left w:val="single" w:color="auto" w:sz="4" w:space="0"/>
            </w:tcBorders>
            <w:shd w:val="clear" w:color="auto" w:fill="FFFFFF"/>
            <w:noWrap w:val="0"/>
            <w:vAlign w:val="center"/>
          </w:tcPr>
          <w:p w14:paraId="3F85DB7D">
            <w:pPr>
              <w:widowControl/>
              <w:spacing w:line="300" w:lineRule="exact"/>
              <w:jc w:val="center"/>
              <w:rPr>
                <w:rFonts w:hint="eastAsia" w:ascii="宋体" w:hAnsi="宋体" w:eastAsia="宋体" w:cs="宋体"/>
                <w:spacing w:val="0"/>
                <w:sz w:val="21"/>
                <w:szCs w:val="21"/>
              </w:rPr>
            </w:pPr>
            <w:r>
              <w:rPr>
                <w:rFonts w:hint="eastAsia" w:hAnsi="仿宋" w:cs="宋体"/>
                <w:color w:val="000000"/>
                <w:kern w:val="2"/>
                <w:sz w:val="21"/>
                <w:szCs w:val="22"/>
                <w:lang w:val="en-US" w:eastAsia="zh-CN" w:bidi="ar-SA"/>
              </w:rPr>
              <w:t>规范</w:t>
            </w:r>
          </w:p>
        </w:tc>
        <w:tc>
          <w:tcPr>
            <w:tcW w:w="1325" w:type="dxa"/>
            <w:tcBorders>
              <w:top w:val="single" w:color="auto" w:sz="4" w:space="0"/>
              <w:left w:val="single" w:color="auto" w:sz="4" w:space="0"/>
              <w:right w:val="single" w:color="auto" w:sz="4" w:space="0"/>
            </w:tcBorders>
            <w:shd w:val="clear" w:color="auto" w:fill="FFFFFF"/>
            <w:noWrap w:val="0"/>
            <w:vAlign w:val="center"/>
          </w:tcPr>
          <w:p w14:paraId="610C81AB">
            <w:pPr>
              <w:widowControl/>
              <w:spacing w:line="300" w:lineRule="exact"/>
              <w:jc w:val="center"/>
              <w:rPr>
                <w:rFonts w:hint="default" w:ascii="宋体" w:hAnsi="宋体" w:eastAsia="宋体" w:cs="宋体"/>
                <w:spacing w:val="0"/>
                <w:sz w:val="21"/>
                <w:szCs w:val="21"/>
                <w:lang w:val="en-US"/>
              </w:rPr>
            </w:pPr>
            <w:r>
              <w:rPr>
                <w:rFonts w:hint="eastAsia" w:ascii="宋体" w:hAnsi="宋体" w:eastAsia="宋体" w:cs="宋体"/>
                <w:spacing w:val="0"/>
                <w:kern w:val="2"/>
                <w:sz w:val="21"/>
                <w:szCs w:val="21"/>
                <w:u w:val="none"/>
                <w:lang w:val="en-US" w:eastAsia="zh-CN" w:bidi="ar-SA"/>
              </w:rPr>
              <w:t>1.00</w:t>
            </w:r>
          </w:p>
        </w:tc>
      </w:tr>
      <w:tr w14:paraId="3AB6D624">
        <w:tblPrEx>
          <w:tblCellMar>
            <w:top w:w="0" w:type="dxa"/>
            <w:left w:w="10" w:type="dxa"/>
            <w:bottom w:w="0" w:type="dxa"/>
            <w:right w:w="10" w:type="dxa"/>
          </w:tblCellMar>
        </w:tblPrEx>
        <w:trPr>
          <w:trHeight w:val="418" w:hRule="exact"/>
          <w:jc w:val="center"/>
        </w:trPr>
        <w:tc>
          <w:tcPr>
            <w:tcW w:w="4491" w:type="dxa"/>
            <w:tcBorders>
              <w:top w:val="single" w:color="auto" w:sz="4" w:space="0"/>
              <w:left w:val="single" w:color="auto" w:sz="4" w:space="0"/>
              <w:bottom w:val="single" w:color="auto" w:sz="4" w:space="0"/>
            </w:tcBorders>
            <w:shd w:val="clear" w:color="auto" w:fill="FFFFFF"/>
            <w:noWrap w:val="0"/>
            <w:vAlign w:val="center"/>
          </w:tcPr>
          <w:p w14:paraId="6A9C0F01">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val="en-US" w:eastAsia="zh-CN"/>
              </w:rPr>
              <w:t>合计</w:t>
            </w:r>
          </w:p>
        </w:tc>
        <w:tc>
          <w:tcPr>
            <w:tcW w:w="1075" w:type="dxa"/>
            <w:tcBorders>
              <w:top w:val="single" w:color="auto" w:sz="4" w:space="0"/>
              <w:left w:val="single" w:color="auto" w:sz="4" w:space="0"/>
              <w:bottom w:val="single" w:color="auto" w:sz="4" w:space="0"/>
            </w:tcBorders>
            <w:shd w:val="clear" w:color="auto" w:fill="FFFFFF"/>
            <w:noWrap w:val="0"/>
            <w:vAlign w:val="center"/>
          </w:tcPr>
          <w:p w14:paraId="2A3821F0">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10</w:t>
            </w:r>
          </w:p>
        </w:tc>
        <w:tc>
          <w:tcPr>
            <w:tcW w:w="1150" w:type="dxa"/>
            <w:tcBorders>
              <w:top w:val="single" w:color="auto" w:sz="4" w:space="0"/>
              <w:left w:val="single" w:color="auto" w:sz="4" w:space="0"/>
              <w:bottom w:val="single" w:color="auto" w:sz="4" w:space="0"/>
            </w:tcBorders>
            <w:shd w:val="clear" w:color="auto" w:fill="FFFFFF"/>
            <w:noWrap w:val="0"/>
            <w:vAlign w:val="top"/>
          </w:tcPr>
          <w:p w14:paraId="54D35EC9">
            <w:pPr>
              <w:pStyle w:val="15"/>
              <w:shd w:val="clear" w:color="auto" w:fill="auto"/>
              <w:spacing w:after="0" w:line="240" w:lineRule="auto"/>
              <w:rPr>
                <w:rFonts w:hint="eastAsia" w:ascii="宋体" w:hAnsi="宋体" w:eastAsia="宋体" w:cs="宋体"/>
                <w:spacing w:val="0"/>
                <w:sz w:val="21"/>
                <w:szCs w:val="21"/>
              </w:rPr>
            </w:pPr>
          </w:p>
        </w:tc>
        <w:tc>
          <w:tcPr>
            <w:tcW w:w="132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E961A2">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10</w:t>
            </w:r>
            <w:r>
              <w:rPr>
                <w:rFonts w:hint="eastAsia" w:ascii="宋体" w:hAnsi="宋体" w:eastAsia="宋体" w:cs="宋体"/>
                <w:spacing w:val="0"/>
                <w:sz w:val="21"/>
                <w:szCs w:val="21"/>
              </w:rPr>
              <w:t>.00</w:t>
            </w:r>
          </w:p>
        </w:tc>
      </w:tr>
    </w:tbl>
    <w:p w14:paraId="099498A9">
      <w:pPr>
        <w:spacing w:line="480" w:lineRule="auto"/>
        <w:ind w:firstLine="562" w:firstLineChars="200"/>
        <w:contextualSpacing/>
        <w:rPr>
          <w:rFonts w:hint="eastAsia" w:ascii="仿宋_GB2312" w:hAnsi="楷体" w:eastAsia="仿宋_GB2312"/>
          <w:b/>
          <w:bCs/>
          <w:sz w:val="28"/>
          <w:szCs w:val="28"/>
        </w:rPr>
      </w:pPr>
      <w:r>
        <w:rPr>
          <w:rFonts w:hint="eastAsia" w:ascii="仿宋_GB2312" w:hAnsi="楷体" w:eastAsia="仿宋_GB2312"/>
          <w:b/>
          <w:bCs/>
          <w:sz w:val="28"/>
          <w:szCs w:val="28"/>
        </w:rPr>
        <w:t>B31</w:t>
      </w:r>
      <w:r>
        <w:rPr>
          <w:rFonts w:hint="eastAsia" w:ascii="仿宋_GB2312" w:hAnsi="楷体" w:eastAsia="仿宋_GB2312"/>
          <w:b/>
          <w:bCs/>
          <w:sz w:val="28"/>
          <w:szCs w:val="28"/>
          <w:lang w:eastAsia="en-US"/>
        </w:rPr>
        <w:t>.</w:t>
      </w:r>
      <w:r>
        <w:rPr>
          <w:rFonts w:hint="eastAsia" w:ascii="仿宋_GB2312" w:hAnsi="楷体" w:eastAsia="仿宋_GB2312"/>
          <w:b/>
          <w:bCs/>
          <w:sz w:val="28"/>
          <w:szCs w:val="28"/>
        </w:rPr>
        <w:t>项目管理制度健全性</w:t>
      </w:r>
    </w:p>
    <w:p w14:paraId="6A703F09">
      <w:pPr>
        <w:pStyle w:val="15"/>
        <w:shd w:val="clear" w:color="auto" w:fill="auto"/>
        <w:spacing w:after="0" w:line="619" w:lineRule="exact"/>
        <w:ind w:firstLine="560" w:firstLineChars="200"/>
        <w:jc w:val="both"/>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sz w:val="28"/>
          <w:szCs w:val="28"/>
          <w:u w:val="single"/>
        </w:rPr>
        <w:t>B311.项目实施单位管理制度健全性</w:t>
      </w:r>
      <w:r>
        <w:rPr>
          <w:rFonts w:hint="eastAsia" w:ascii="仿宋_GB2312" w:hAnsi="楷体" w:eastAsia="仿宋_GB2312" w:cs="Times New Roman"/>
          <w:spacing w:val="0"/>
          <w:sz w:val="28"/>
          <w:szCs w:val="28"/>
          <w:u w:val="single"/>
          <w:lang w:eastAsia="zh-CN"/>
        </w:rPr>
        <w:t>：</w:t>
      </w:r>
      <w:r>
        <w:rPr>
          <w:rFonts w:hint="eastAsia" w:ascii="仿宋_GB2312" w:hAnsi="楷体" w:eastAsia="仿宋_GB2312" w:cs="Times New Roman"/>
          <w:spacing w:val="0"/>
          <w:kern w:val="2"/>
          <w:sz w:val="28"/>
          <w:szCs w:val="28"/>
          <w:u w:val="none"/>
          <w:lang w:val="zh-CN" w:eastAsia="zh-CN" w:bidi="ar-SA"/>
        </w:rPr>
        <w:t>该项目的项目管理主要参照</w:t>
      </w:r>
      <w:r>
        <w:rPr>
          <w:rFonts w:hint="eastAsia" w:ascii="仿宋_GB2312" w:hAnsi="楷体" w:eastAsia="仿宋_GB2312"/>
          <w:sz w:val="28"/>
          <w:szCs w:val="28"/>
          <w:lang w:val="en-US" w:eastAsia="zh-CN"/>
        </w:rPr>
        <w:t>《第二次全国污染源普查技术规定》、《第二次全国污染源普查制度》、《昆明市第二次全国污染源普查试点工作方案》、《昆明市盘龙区第二次全国污染源普查实施方案》、《昆明市盘龙区第二次全国污染源普查办公室保密规定》、“两员”职责及权利和《盘龙区第二次全国污染源普查宣传工作方案》等相关指导方法</w:t>
      </w:r>
      <w:r>
        <w:rPr>
          <w:rFonts w:hint="eastAsia" w:ascii="仿宋_GB2312" w:hAnsi="楷体" w:eastAsia="仿宋_GB2312" w:cs="Times New Roman"/>
          <w:spacing w:val="0"/>
          <w:kern w:val="2"/>
          <w:sz w:val="28"/>
          <w:szCs w:val="28"/>
          <w:u w:val="none"/>
          <w:lang w:val="zh-CN" w:eastAsia="zh-CN" w:bidi="ar-SA"/>
        </w:rPr>
        <w:t>及其他相关工程项目管理制度执行。</w:t>
      </w:r>
    </w:p>
    <w:p w14:paraId="70227C36">
      <w:pPr>
        <w:pStyle w:val="15"/>
        <w:shd w:val="clear" w:color="auto" w:fill="auto"/>
        <w:spacing w:after="0" w:line="619" w:lineRule="exact"/>
        <w:ind w:firstLine="560" w:firstLineChars="200"/>
        <w:jc w:val="both"/>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该项指标满分1分，根据评分标准得1分。</w:t>
      </w:r>
    </w:p>
    <w:p w14:paraId="3DDD7E12">
      <w:pPr>
        <w:pStyle w:val="15"/>
        <w:shd w:val="clear" w:color="auto" w:fill="auto"/>
        <w:spacing w:after="0" w:line="619" w:lineRule="exact"/>
        <w:ind w:firstLine="560" w:firstLineChars="200"/>
        <w:jc w:val="both"/>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sz w:val="28"/>
          <w:szCs w:val="28"/>
          <w:u w:val="single"/>
        </w:rPr>
        <w:t>B312.管理方监管措施健全性：</w:t>
      </w:r>
      <w:r>
        <w:rPr>
          <w:rFonts w:hint="eastAsia" w:ascii="仿宋_GB2312" w:hAnsi="楷体" w:eastAsia="仿宋_GB2312" w:cs="Times New Roman"/>
          <w:spacing w:val="0"/>
          <w:kern w:val="2"/>
          <w:sz w:val="28"/>
          <w:szCs w:val="28"/>
          <w:u w:val="none"/>
          <w:lang w:val="zh-CN" w:eastAsia="zh-CN" w:bidi="ar-SA"/>
        </w:rPr>
        <w:t>昆明市生态环境局盘龙分局对项目的具体实施进行监管，主要是针对漏查、错查、复查的企业相关数据进行再复核，保障信息的真实完整，定期对项目实施进度进行跟踪管理。</w:t>
      </w:r>
    </w:p>
    <w:p w14:paraId="2D132A5E">
      <w:pPr>
        <w:pStyle w:val="15"/>
        <w:shd w:val="clear" w:color="auto" w:fill="auto"/>
        <w:spacing w:after="0" w:line="619" w:lineRule="exact"/>
        <w:ind w:firstLine="560" w:firstLineChars="200"/>
        <w:jc w:val="both"/>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该项指标满分1分，根据评分标准得1分。</w:t>
      </w:r>
    </w:p>
    <w:p w14:paraId="1D105D96">
      <w:pPr>
        <w:spacing w:line="590" w:lineRule="exact"/>
        <w:ind w:firstLine="562" w:firstLineChars="200"/>
        <w:contextualSpacing/>
        <w:rPr>
          <w:rFonts w:hint="eastAsia" w:ascii="仿宋_GB2312" w:hAnsi="楷体" w:eastAsia="仿宋_GB2312"/>
          <w:b/>
          <w:bCs/>
          <w:sz w:val="28"/>
          <w:szCs w:val="28"/>
        </w:rPr>
      </w:pPr>
      <w:r>
        <w:rPr>
          <w:rFonts w:hint="eastAsia" w:ascii="仿宋_GB2312" w:hAnsi="楷体" w:eastAsia="仿宋_GB2312"/>
          <w:b/>
          <w:bCs/>
          <w:sz w:val="28"/>
          <w:szCs w:val="28"/>
        </w:rPr>
        <w:t>B32.</w:t>
      </w:r>
      <w:r>
        <w:rPr>
          <w:rFonts w:hint="eastAsia" w:ascii="仿宋_GB2312" w:hAnsi="楷体" w:eastAsia="仿宋_GB2312"/>
          <w:b/>
          <w:bCs/>
          <w:sz w:val="28"/>
          <w:szCs w:val="28"/>
          <w:lang w:val="zh-CN"/>
        </w:rPr>
        <w:t>项目管理制度执行有效性</w:t>
      </w:r>
    </w:p>
    <w:p w14:paraId="452F5776">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sz w:val="28"/>
          <w:szCs w:val="28"/>
          <w:u w:val="single"/>
        </w:rPr>
        <w:t>B321.项目实施单位管理制度执行情况：</w:t>
      </w:r>
      <w:r>
        <w:rPr>
          <w:rFonts w:hint="eastAsia" w:ascii="仿宋_GB2312" w:hAnsi="楷体" w:eastAsia="仿宋_GB2312" w:cs="Times New Roman"/>
          <w:spacing w:val="0"/>
          <w:kern w:val="2"/>
          <w:sz w:val="28"/>
          <w:szCs w:val="28"/>
          <w:u w:val="none"/>
          <w:lang w:val="zh-CN" w:eastAsia="zh-CN" w:bidi="ar-SA"/>
        </w:rPr>
        <w:t>通过实地调查、现场查阅资料，服务单位制订的管理制度均已得到有效执行，相关记录较为规范，考核办法已得到有效应用。</w:t>
      </w:r>
    </w:p>
    <w:p w14:paraId="391EB39D">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该项指标满分1分，根据评分标准得1分。</w:t>
      </w:r>
    </w:p>
    <w:p w14:paraId="49233D29">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sz w:val="28"/>
          <w:szCs w:val="28"/>
          <w:u w:val="single"/>
        </w:rPr>
        <w:t>B322.监管措施执行情况：</w:t>
      </w:r>
      <w:r>
        <w:rPr>
          <w:rFonts w:hint="eastAsia" w:ascii="仿宋_GB2312" w:hAnsi="楷体" w:eastAsia="仿宋_GB2312" w:cs="Times New Roman"/>
          <w:spacing w:val="0"/>
          <w:kern w:val="2"/>
          <w:sz w:val="28"/>
          <w:szCs w:val="28"/>
          <w:u w:val="none"/>
          <w:lang w:val="zh-CN" w:eastAsia="zh-CN" w:bidi="ar-SA"/>
        </w:rPr>
        <w:t>通过实地调查、现场查阅资料，各服务单位均已及时提交相关台账、日报表、月报表等材料，昆明市生态环境局盘龙分局安排的工作人员也有效执行各项日常管理和监管工作。</w:t>
      </w:r>
    </w:p>
    <w:p w14:paraId="730B9A3E">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该项指标满分1分，根据评分标准得1分。</w:t>
      </w:r>
    </w:p>
    <w:p w14:paraId="379AD58D">
      <w:pPr>
        <w:pStyle w:val="15"/>
        <w:shd w:val="clear" w:color="auto" w:fill="auto"/>
        <w:spacing w:after="0" w:line="624" w:lineRule="exact"/>
        <w:ind w:firstLine="580"/>
        <w:jc w:val="both"/>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sz w:val="28"/>
          <w:szCs w:val="28"/>
          <w:u w:val="single"/>
        </w:rPr>
        <w:t>B323.合同执行情况：</w:t>
      </w:r>
      <w:r>
        <w:rPr>
          <w:rFonts w:hint="eastAsia" w:ascii="仿宋_GB2312" w:hAnsi="楷体" w:eastAsia="仿宋_GB2312" w:cs="Times New Roman"/>
          <w:spacing w:val="0"/>
          <w:kern w:val="2"/>
          <w:sz w:val="28"/>
          <w:szCs w:val="28"/>
          <w:u w:val="none"/>
          <w:lang w:val="zh-CN" w:eastAsia="zh-CN" w:bidi="ar-SA"/>
        </w:rPr>
        <w:t>通过项目涉及的相关合同约定内容和实际实施情况，本项目各项合同中规定的工作职责、服务内容、质量要求等内容均已有效执行。</w:t>
      </w:r>
    </w:p>
    <w:p w14:paraId="0D4319BA">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该项指标满分2分，根据评分标准得2分。</w:t>
      </w:r>
    </w:p>
    <w:p w14:paraId="279628CF">
      <w:pPr>
        <w:pStyle w:val="15"/>
        <w:shd w:val="clear" w:color="auto" w:fill="auto"/>
        <w:spacing w:after="0" w:line="624" w:lineRule="exact"/>
        <w:ind w:firstLine="580"/>
        <w:jc w:val="both"/>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sz w:val="28"/>
          <w:szCs w:val="28"/>
          <w:u w:val="single"/>
        </w:rPr>
        <w:t>B324.台账记录规范性：</w:t>
      </w:r>
      <w:r>
        <w:rPr>
          <w:rFonts w:hint="eastAsia" w:ascii="仿宋_GB2312" w:hAnsi="楷体" w:eastAsia="仿宋_GB2312" w:cs="Times New Roman"/>
          <w:spacing w:val="0"/>
          <w:kern w:val="2"/>
          <w:sz w:val="28"/>
          <w:szCs w:val="28"/>
          <w:u w:val="none"/>
          <w:lang w:val="zh-CN" w:eastAsia="zh-CN" w:bidi="ar-SA"/>
        </w:rPr>
        <w:t>通过查阅昆明市生态环境局盘龙分局有关第二次全国污染源普查工作台账记录，本项目各环节均已做了详细的台账记录，记录内容符合相关法律法规和主管部门的要求，昆明市生态环境局盘龙分局有日报表、月报表，可真实反映该项目的实际运行情况。</w:t>
      </w:r>
    </w:p>
    <w:p w14:paraId="5997D45C">
      <w:pPr>
        <w:pStyle w:val="15"/>
        <w:shd w:val="clear" w:color="auto" w:fill="auto"/>
        <w:spacing w:after="0" w:line="624" w:lineRule="exact"/>
        <w:ind w:firstLine="580"/>
        <w:jc w:val="both"/>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该项指标满分2分，根据评分标准得2分。</w:t>
      </w:r>
    </w:p>
    <w:p w14:paraId="6D7CA646">
      <w:pPr>
        <w:numPr>
          <w:ilvl w:val="0"/>
          <w:numId w:val="0"/>
        </w:numPr>
        <w:spacing w:line="579" w:lineRule="exact"/>
        <w:ind w:firstLine="586" w:firstLineChars="2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B33.政府采购规范性</w:t>
      </w:r>
    </w:p>
    <w:p w14:paraId="7F46290A">
      <w:pPr>
        <w:spacing w:line="579" w:lineRule="exact"/>
        <w:ind w:firstLine="584" w:firstLineChars="200"/>
        <w:rPr>
          <w:rFonts w:hint="eastAsia" w:ascii="仿宋_GB2312" w:hAnsi="仿宋" w:eastAsia="仿宋_GB2312"/>
          <w:color w:val="000000"/>
          <w:spacing w:val="6"/>
          <w:kern w:val="0"/>
          <w:sz w:val="28"/>
          <w:szCs w:val="28"/>
          <w:highlight w:val="none"/>
          <w:lang w:val="en-US" w:eastAsia="zh-CN"/>
        </w:rPr>
      </w:pPr>
      <w:r>
        <w:rPr>
          <w:rFonts w:hint="default" w:ascii="仿宋_GB2312" w:hAnsi="仿宋" w:eastAsia="仿宋_GB2312"/>
          <w:color w:val="000000"/>
          <w:spacing w:val="6"/>
          <w:kern w:val="0"/>
          <w:sz w:val="28"/>
          <w:szCs w:val="28"/>
          <w:highlight w:val="none"/>
          <w:u w:val="single"/>
          <w:lang w:val="en-US" w:eastAsia="zh-CN"/>
        </w:rPr>
        <w:t>B331.采购方式合规性</w:t>
      </w:r>
      <w:r>
        <w:rPr>
          <w:rFonts w:hint="eastAsia" w:ascii="仿宋_GB2312" w:hAnsi="仿宋" w:eastAsia="仿宋_GB2312"/>
          <w:color w:val="000000"/>
          <w:spacing w:val="6"/>
          <w:kern w:val="0"/>
          <w:sz w:val="28"/>
          <w:szCs w:val="28"/>
          <w:highlight w:val="none"/>
          <w:u w:val="none"/>
          <w:lang w:val="en-US" w:eastAsia="zh-CN"/>
        </w:rPr>
        <w:t>：</w:t>
      </w:r>
      <w:r>
        <w:rPr>
          <w:rFonts w:hint="eastAsia" w:ascii="仿宋_GB2312" w:hAnsi="仿宋" w:eastAsia="仿宋_GB2312"/>
          <w:color w:val="000000"/>
          <w:spacing w:val="6"/>
          <w:kern w:val="0"/>
          <w:sz w:val="28"/>
          <w:szCs w:val="28"/>
          <w:highlight w:val="none"/>
          <w:lang w:val="en-US" w:eastAsia="zh-CN"/>
        </w:rPr>
        <w:t>盘龙区环境保护局通过公开招投标、邀标、询价比选等方式开展本项目政府采购。采购方式符合中央、省、市的相关要求。</w:t>
      </w:r>
    </w:p>
    <w:p w14:paraId="5F3620B4">
      <w:pPr>
        <w:spacing w:line="579" w:lineRule="exact"/>
        <w:ind w:firstLine="292" w:firstLineChars="100"/>
        <w:rPr>
          <w:rFonts w:hint="default" w:ascii="仿宋_GB2312" w:hAnsi="仿宋" w:eastAsia="仿宋_GB2312"/>
          <w:color w:val="000000"/>
          <w:spacing w:val="6"/>
          <w:kern w:val="0"/>
          <w:sz w:val="28"/>
          <w:szCs w:val="28"/>
          <w:highlight w:val="none"/>
          <w:lang w:val="en-US" w:eastAsia="zh-CN"/>
        </w:rPr>
      </w:pPr>
      <w:r>
        <w:rPr>
          <w:rFonts w:hint="eastAsia" w:ascii="仿宋_GB2312" w:hAnsi="仿宋" w:eastAsia="仿宋_GB2312"/>
          <w:color w:val="000000"/>
          <w:spacing w:val="6"/>
          <w:kern w:val="0"/>
          <w:sz w:val="28"/>
          <w:szCs w:val="28"/>
          <w:highlight w:val="none"/>
          <w:lang w:val="en-US" w:eastAsia="zh-CN"/>
        </w:rPr>
        <w:t>该项指标满分1分，根据评分标准得1分。</w:t>
      </w:r>
    </w:p>
    <w:p w14:paraId="0AE5D1DD">
      <w:pPr>
        <w:spacing w:line="579" w:lineRule="exact"/>
        <w:ind w:firstLine="584" w:firstLineChars="200"/>
        <w:rPr>
          <w:rFonts w:hint="eastAsia" w:ascii="仿宋_GB2312" w:hAnsi="仿宋" w:eastAsia="仿宋_GB2312" w:cs="Times New Roman"/>
          <w:spacing w:val="6"/>
          <w:kern w:val="0"/>
          <w:sz w:val="28"/>
          <w:szCs w:val="28"/>
          <w:highlight w:val="none"/>
          <w:u w:val="none"/>
          <w:lang w:val="en-US" w:eastAsia="zh-CN" w:bidi="ar-SA"/>
        </w:rPr>
      </w:pPr>
      <w:r>
        <w:rPr>
          <w:rFonts w:hint="default" w:ascii="仿宋_GB2312" w:hAnsi="仿宋" w:eastAsia="仿宋_GB2312"/>
          <w:color w:val="000000"/>
          <w:spacing w:val="6"/>
          <w:kern w:val="0"/>
          <w:sz w:val="28"/>
          <w:szCs w:val="28"/>
          <w:highlight w:val="none"/>
          <w:u w:val="single"/>
          <w:lang w:val="en-US" w:eastAsia="zh-CN"/>
        </w:rPr>
        <w:t>B332.采购流程规范性</w:t>
      </w:r>
      <w:r>
        <w:rPr>
          <w:rFonts w:hint="eastAsia" w:ascii="仿宋_GB2312" w:hAnsi="仿宋" w:eastAsia="仿宋_GB2312"/>
          <w:color w:val="000000"/>
          <w:spacing w:val="6"/>
          <w:kern w:val="0"/>
          <w:sz w:val="28"/>
          <w:szCs w:val="28"/>
          <w:highlight w:val="none"/>
          <w:u w:val="none"/>
          <w:lang w:val="en-US" w:eastAsia="zh-CN"/>
        </w:rPr>
        <w:t>：</w:t>
      </w:r>
      <w:r>
        <w:rPr>
          <w:rFonts w:hint="eastAsia" w:ascii="仿宋_GB2312" w:hAnsi="仿宋" w:eastAsia="仿宋_GB2312"/>
          <w:color w:val="000000"/>
          <w:spacing w:val="6"/>
          <w:kern w:val="0"/>
          <w:sz w:val="28"/>
          <w:szCs w:val="28"/>
          <w:highlight w:val="none"/>
          <w:lang w:val="en-US" w:eastAsia="zh-CN"/>
        </w:rPr>
        <w:t>盘龙区环境保护局针对政府采购，严格按照</w:t>
      </w:r>
      <w:r>
        <w:rPr>
          <w:rFonts w:hint="eastAsia" w:ascii="仿宋_GB2312" w:hAnsi="仿宋" w:eastAsia="仿宋_GB2312"/>
          <w:color w:val="000000"/>
          <w:spacing w:val="6"/>
          <w:kern w:val="0"/>
          <w:sz w:val="28"/>
          <w:szCs w:val="28"/>
          <w:highlight w:val="none"/>
          <w:u w:val="none"/>
          <w:lang w:val="en-US" w:eastAsia="zh-CN"/>
        </w:rPr>
        <w:t>《</w:t>
      </w:r>
      <w:r>
        <w:rPr>
          <w:rFonts w:hint="eastAsia" w:ascii="仿宋_GB2312" w:hAnsi="仿宋" w:eastAsia="仿宋_GB2312" w:cs="Times New Roman"/>
          <w:spacing w:val="6"/>
          <w:kern w:val="0"/>
          <w:sz w:val="28"/>
          <w:szCs w:val="28"/>
          <w:highlight w:val="none"/>
          <w:u w:val="none"/>
          <w:lang w:val="en-US" w:eastAsia="zh-CN" w:bidi="ar-SA"/>
        </w:rPr>
        <w:t>昆明市盘龙区环境保护局采购管理内部控制流程（修订稿）》执行，采购流程符合相关规定。</w:t>
      </w:r>
    </w:p>
    <w:p w14:paraId="46C3B08C">
      <w:pPr>
        <w:spacing w:line="590" w:lineRule="exact"/>
        <w:ind w:firstLine="584" w:firstLineChars="200"/>
        <w:contextualSpacing/>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079DA03F">
      <w:pPr>
        <w:spacing w:line="590" w:lineRule="exact"/>
        <w:ind w:firstLine="560" w:firstLineChars="200"/>
        <w:contextualSpacing/>
        <w:rPr>
          <w:rFonts w:hint="eastAsia" w:ascii="仿宋_GB2312" w:hAnsi="楷体" w:eastAsia="仿宋_GB2312"/>
          <w:sz w:val="28"/>
          <w:szCs w:val="28"/>
        </w:rPr>
      </w:pPr>
      <w:r>
        <w:rPr>
          <w:rFonts w:hint="eastAsia" w:ascii="仿宋_GB2312" w:hAnsi="楷体" w:eastAsia="仿宋_GB2312"/>
          <w:sz w:val="28"/>
          <w:szCs w:val="28"/>
        </w:rPr>
        <w:t>3.项目绩效分析</w:t>
      </w:r>
    </w:p>
    <w:p w14:paraId="62FF7972">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项目绩效类指标包括项目产出和项目效益两方面内容，由8个三级指标构成，共细化分解为15个四级指标。权重分60分，实际得分5</w:t>
      </w:r>
      <w:r>
        <w:rPr>
          <w:rFonts w:hint="eastAsia" w:ascii="仿宋_GB2312" w:hAnsi="楷体" w:eastAsia="仿宋_GB2312" w:cs="Times New Roman"/>
          <w:spacing w:val="0"/>
          <w:kern w:val="2"/>
          <w:sz w:val="28"/>
          <w:szCs w:val="28"/>
          <w:u w:val="none"/>
          <w:lang w:val="en-US" w:eastAsia="zh-CN" w:bidi="ar-SA"/>
        </w:rPr>
        <w:t>7</w:t>
      </w:r>
      <w:r>
        <w:rPr>
          <w:rFonts w:hint="eastAsia" w:ascii="仿宋_GB2312" w:hAnsi="楷体" w:eastAsia="仿宋_GB2312" w:cs="Times New Roman"/>
          <w:spacing w:val="0"/>
          <w:kern w:val="2"/>
          <w:sz w:val="28"/>
          <w:szCs w:val="28"/>
          <w:u w:val="none"/>
          <w:lang w:val="zh-CN" w:eastAsia="zh-CN" w:bidi="ar-SA"/>
        </w:rPr>
        <w:t>分，得分率9</w:t>
      </w:r>
      <w:r>
        <w:rPr>
          <w:rFonts w:hint="eastAsia" w:ascii="仿宋_GB2312" w:hAnsi="楷体" w:eastAsia="仿宋_GB2312" w:cs="Times New Roman"/>
          <w:spacing w:val="0"/>
          <w:kern w:val="2"/>
          <w:sz w:val="28"/>
          <w:szCs w:val="28"/>
          <w:u w:val="none"/>
          <w:lang w:val="en-US" w:eastAsia="zh-CN" w:bidi="ar-SA"/>
        </w:rPr>
        <w:t>5</w:t>
      </w:r>
      <w:r>
        <w:rPr>
          <w:rFonts w:hint="eastAsia" w:ascii="仿宋_GB2312" w:hAnsi="楷体" w:eastAsia="仿宋_GB2312" w:cs="Times New Roman"/>
          <w:spacing w:val="0"/>
          <w:kern w:val="2"/>
          <w:sz w:val="28"/>
          <w:szCs w:val="28"/>
          <w:u w:val="none"/>
          <w:lang w:val="zh-CN" w:eastAsia="zh-CN" w:bidi="ar-SA"/>
        </w:rPr>
        <w:t>.00%。</w:t>
      </w:r>
    </w:p>
    <w:p w14:paraId="29C8521B">
      <w:pPr>
        <w:spacing w:line="590" w:lineRule="exact"/>
        <w:ind w:firstLine="560" w:firstLineChars="200"/>
        <w:contextualSpacing/>
        <w:rPr>
          <w:rFonts w:hint="eastAsia" w:ascii="仿宋_GB2312" w:hAnsi="楷体" w:eastAsia="仿宋_GB2312"/>
          <w:sz w:val="28"/>
          <w:szCs w:val="28"/>
        </w:rPr>
      </w:pPr>
      <w:r>
        <w:rPr>
          <w:rFonts w:hint="eastAsia" w:ascii="仿宋_GB2312" w:hAnsi="楷体" w:eastAsia="仿宋_GB2312"/>
          <w:sz w:val="28"/>
          <w:szCs w:val="28"/>
        </w:rPr>
        <w:t>（1）项目产出</w:t>
      </w:r>
    </w:p>
    <w:p w14:paraId="11B3903F">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主要用于考核普查专员投入情况，普查人员资格确认率，入户调查污染源情况，普查建档情况，清查质量，验收合格率，完成及时率和成本控制情况。各指标的业绩值和实际得分详见下表：</w:t>
      </w:r>
    </w:p>
    <w:p w14:paraId="5F02CF93">
      <w:pPr>
        <w:pStyle w:val="15"/>
        <w:shd w:val="clear" w:color="auto" w:fill="auto"/>
        <w:spacing w:after="0" w:line="619" w:lineRule="exact"/>
        <w:ind w:firstLine="680"/>
        <w:rPr>
          <w:rFonts w:hint="eastAsia" w:ascii="宋体" w:hAnsi="宋体" w:eastAsia="宋体" w:cs="宋体"/>
          <w:b/>
          <w:bCs/>
          <w:spacing w:val="0"/>
          <w:sz w:val="24"/>
          <w:szCs w:val="24"/>
          <w:lang w:val="zh-CN"/>
        </w:rPr>
      </w:pPr>
      <w:r>
        <w:rPr>
          <w:rFonts w:hint="eastAsia" w:ascii="黑体" w:hAnsi="黑体" w:eastAsia="黑体" w:cs="黑体"/>
          <w:b w:val="0"/>
          <w:bCs w:val="0"/>
          <w:sz w:val="24"/>
          <w:szCs w:val="24"/>
          <w:lang w:val="zh-CN"/>
        </w:rPr>
        <w:t>表</w:t>
      </w:r>
      <w:r>
        <w:rPr>
          <w:rFonts w:hint="eastAsia" w:ascii="黑体" w:hAnsi="黑体" w:eastAsia="黑体" w:cs="黑体"/>
          <w:b w:val="0"/>
          <w:bCs w:val="0"/>
          <w:sz w:val="24"/>
          <w:szCs w:val="24"/>
          <w:lang w:val="en-US" w:eastAsia="zh-CN"/>
        </w:rPr>
        <w:t>9</w:t>
      </w:r>
      <w:r>
        <w:rPr>
          <w:rFonts w:hint="eastAsia" w:ascii="黑体" w:hAnsi="黑体" w:eastAsia="黑体" w:cs="黑体"/>
          <w:b w:val="0"/>
          <w:bCs w:val="0"/>
          <w:sz w:val="24"/>
          <w:szCs w:val="24"/>
        </w:rPr>
        <w:t xml:space="preserve"> 项目产出</w:t>
      </w:r>
      <w:r>
        <w:rPr>
          <w:rFonts w:hint="eastAsia" w:ascii="黑体" w:hAnsi="黑体" w:eastAsia="黑体" w:cs="黑体"/>
          <w:b w:val="0"/>
          <w:bCs w:val="0"/>
          <w:sz w:val="24"/>
          <w:szCs w:val="24"/>
          <w:lang w:val="zh-CN"/>
        </w:rPr>
        <w:t>类指标评分表</w:t>
      </w:r>
    </w:p>
    <w:tbl>
      <w:tblPr>
        <w:tblStyle w:val="8"/>
        <w:tblW w:w="8539" w:type="dxa"/>
        <w:tblInd w:w="0" w:type="dxa"/>
        <w:tblLayout w:type="fixed"/>
        <w:tblCellMar>
          <w:top w:w="0" w:type="dxa"/>
          <w:left w:w="10" w:type="dxa"/>
          <w:bottom w:w="0" w:type="dxa"/>
          <w:right w:w="10" w:type="dxa"/>
        </w:tblCellMar>
      </w:tblPr>
      <w:tblGrid>
        <w:gridCol w:w="4795"/>
        <w:gridCol w:w="1243"/>
        <w:gridCol w:w="1248"/>
        <w:gridCol w:w="1253"/>
      </w:tblGrid>
      <w:tr w14:paraId="7C3016D1">
        <w:tblPrEx>
          <w:tblCellMar>
            <w:top w:w="0" w:type="dxa"/>
            <w:left w:w="10" w:type="dxa"/>
            <w:bottom w:w="0" w:type="dxa"/>
            <w:right w:w="10" w:type="dxa"/>
          </w:tblCellMar>
        </w:tblPrEx>
        <w:trPr>
          <w:trHeight w:val="413" w:hRule="exact"/>
          <w:tblHeader/>
        </w:trPr>
        <w:tc>
          <w:tcPr>
            <w:tcW w:w="4795" w:type="dxa"/>
            <w:tcBorders>
              <w:top w:val="single" w:color="auto" w:sz="4" w:space="0"/>
              <w:left w:val="single" w:color="auto" w:sz="4" w:space="0"/>
              <w:bottom w:val="single" w:color="auto" w:sz="4" w:space="0"/>
            </w:tcBorders>
            <w:shd w:val="clear" w:color="auto" w:fill="FFFFFF"/>
            <w:noWrap w:val="0"/>
            <w:vAlign w:val="bottom"/>
          </w:tcPr>
          <w:p w14:paraId="38200CE2">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指标名称</w:t>
            </w:r>
          </w:p>
        </w:tc>
        <w:tc>
          <w:tcPr>
            <w:tcW w:w="1243" w:type="dxa"/>
            <w:tcBorders>
              <w:top w:val="single" w:color="auto" w:sz="4" w:space="0"/>
              <w:left w:val="single" w:color="auto" w:sz="4" w:space="0"/>
              <w:bottom w:val="single" w:color="auto" w:sz="4" w:space="0"/>
            </w:tcBorders>
            <w:shd w:val="clear" w:color="auto" w:fill="FFFFFF"/>
            <w:noWrap w:val="0"/>
            <w:vAlign w:val="bottom"/>
          </w:tcPr>
          <w:p w14:paraId="793EBAB1">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指标权重</w:t>
            </w:r>
          </w:p>
        </w:tc>
        <w:tc>
          <w:tcPr>
            <w:tcW w:w="1248" w:type="dxa"/>
            <w:tcBorders>
              <w:top w:val="single" w:color="auto" w:sz="4" w:space="0"/>
              <w:left w:val="single" w:color="auto" w:sz="4" w:space="0"/>
              <w:bottom w:val="single" w:color="auto" w:sz="4" w:space="0"/>
            </w:tcBorders>
            <w:shd w:val="clear" w:color="auto" w:fill="FFFFFF"/>
            <w:noWrap w:val="0"/>
            <w:vAlign w:val="bottom"/>
          </w:tcPr>
          <w:p w14:paraId="75BD2A56">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业绩值</w:t>
            </w: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531B7259">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实际得分</w:t>
            </w:r>
          </w:p>
        </w:tc>
      </w:tr>
      <w:tr w14:paraId="76538CAE">
        <w:tblPrEx>
          <w:tblCellMar>
            <w:top w:w="0" w:type="dxa"/>
            <w:left w:w="10" w:type="dxa"/>
            <w:bottom w:w="0" w:type="dxa"/>
            <w:right w:w="10" w:type="dxa"/>
          </w:tblCellMar>
        </w:tblPrEx>
        <w:trPr>
          <w:trHeight w:val="403" w:hRule="exact"/>
        </w:trPr>
        <w:tc>
          <w:tcPr>
            <w:tcW w:w="4795" w:type="dxa"/>
            <w:tcBorders>
              <w:top w:val="single" w:color="auto" w:sz="4" w:space="0"/>
              <w:left w:val="single" w:color="auto" w:sz="4" w:space="0"/>
            </w:tcBorders>
            <w:shd w:val="clear" w:color="auto" w:fill="FFFFFF"/>
            <w:noWrap w:val="0"/>
            <w:vAlign w:val="center"/>
          </w:tcPr>
          <w:p w14:paraId="61385DE8">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C11.普查员和普查指导员使用、管理工作完成情况</w:t>
            </w:r>
          </w:p>
        </w:tc>
        <w:tc>
          <w:tcPr>
            <w:tcW w:w="1243" w:type="dxa"/>
            <w:tcBorders>
              <w:top w:val="single" w:color="auto" w:sz="4" w:space="0"/>
              <w:left w:val="single" w:color="auto" w:sz="4" w:space="0"/>
            </w:tcBorders>
            <w:shd w:val="clear" w:color="auto" w:fill="FFFFFF"/>
            <w:noWrap w:val="0"/>
            <w:vAlign w:val="center"/>
          </w:tcPr>
          <w:p w14:paraId="6300147B">
            <w:pPr>
              <w:pStyle w:val="15"/>
              <w:shd w:val="clear" w:color="auto" w:fill="auto"/>
              <w:spacing w:after="0" w:line="240" w:lineRule="auto"/>
              <w:rPr>
                <w:rFonts w:hint="eastAsia" w:ascii="宋体" w:hAnsi="宋体" w:eastAsia="宋体" w:cs="宋体"/>
                <w:spacing w:val="0"/>
                <w:sz w:val="21"/>
                <w:szCs w:val="21"/>
              </w:rPr>
            </w:pPr>
          </w:p>
        </w:tc>
        <w:tc>
          <w:tcPr>
            <w:tcW w:w="1248" w:type="dxa"/>
            <w:tcBorders>
              <w:top w:val="single" w:color="auto" w:sz="4" w:space="0"/>
              <w:left w:val="single" w:color="auto" w:sz="4" w:space="0"/>
            </w:tcBorders>
            <w:shd w:val="clear" w:color="auto" w:fill="FFFFFF"/>
            <w:noWrap w:val="0"/>
            <w:vAlign w:val="center"/>
          </w:tcPr>
          <w:p w14:paraId="53D265B0">
            <w:pPr>
              <w:pStyle w:val="15"/>
              <w:shd w:val="clear" w:color="auto" w:fill="auto"/>
              <w:spacing w:after="0" w:line="240" w:lineRule="auto"/>
              <w:rPr>
                <w:rFonts w:hint="eastAsia" w:ascii="宋体" w:hAnsi="宋体" w:eastAsia="宋体" w:cs="宋体"/>
                <w:spacing w:val="0"/>
                <w:sz w:val="21"/>
                <w:szCs w:val="21"/>
              </w:rPr>
            </w:pPr>
          </w:p>
        </w:tc>
        <w:tc>
          <w:tcPr>
            <w:tcW w:w="1253" w:type="dxa"/>
            <w:tcBorders>
              <w:top w:val="single" w:color="auto" w:sz="4" w:space="0"/>
              <w:left w:val="single" w:color="auto" w:sz="4" w:space="0"/>
              <w:right w:val="single" w:color="auto" w:sz="4" w:space="0"/>
            </w:tcBorders>
            <w:shd w:val="clear" w:color="auto" w:fill="FFFFFF"/>
            <w:noWrap w:val="0"/>
            <w:vAlign w:val="center"/>
          </w:tcPr>
          <w:p w14:paraId="5534055E">
            <w:pPr>
              <w:pStyle w:val="15"/>
              <w:shd w:val="clear" w:color="auto" w:fill="auto"/>
              <w:spacing w:after="0" w:line="240" w:lineRule="auto"/>
              <w:rPr>
                <w:rFonts w:hint="eastAsia" w:ascii="宋体" w:hAnsi="宋体" w:eastAsia="宋体" w:cs="宋体"/>
                <w:spacing w:val="0"/>
                <w:sz w:val="21"/>
                <w:szCs w:val="21"/>
              </w:rPr>
            </w:pPr>
          </w:p>
        </w:tc>
      </w:tr>
      <w:tr w14:paraId="70034C55">
        <w:tblPrEx>
          <w:tblCellMar>
            <w:top w:w="0" w:type="dxa"/>
            <w:left w:w="10" w:type="dxa"/>
            <w:bottom w:w="0" w:type="dxa"/>
            <w:right w:w="10" w:type="dxa"/>
          </w:tblCellMar>
        </w:tblPrEx>
        <w:trPr>
          <w:trHeight w:val="408" w:hRule="exact"/>
        </w:trPr>
        <w:tc>
          <w:tcPr>
            <w:tcW w:w="4795" w:type="dxa"/>
            <w:tcBorders>
              <w:top w:val="single" w:color="auto" w:sz="4" w:space="0"/>
              <w:left w:val="single" w:color="auto" w:sz="4" w:space="0"/>
              <w:bottom w:val="single" w:color="auto" w:sz="4" w:space="0"/>
            </w:tcBorders>
            <w:shd w:val="clear" w:color="auto" w:fill="FFFFFF"/>
            <w:noWrap w:val="0"/>
            <w:vAlign w:val="center"/>
          </w:tcPr>
          <w:p w14:paraId="43C141FF">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C111.普查专员投入情况</w:t>
            </w:r>
          </w:p>
        </w:tc>
        <w:tc>
          <w:tcPr>
            <w:tcW w:w="1243" w:type="dxa"/>
            <w:tcBorders>
              <w:top w:val="single" w:color="auto" w:sz="4" w:space="0"/>
              <w:left w:val="single" w:color="auto" w:sz="4" w:space="0"/>
              <w:bottom w:val="single" w:color="auto" w:sz="4" w:space="0"/>
            </w:tcBorders>
            <w:shd w:val="clear" w:color="auto" w:fill="FFFFFF"/>
            <w:noWrap w:val="0"/>
            <w:vAlign w:val="center"/>
          </w:tcPr>
          <w:p w14:paraId="79AAA801">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val="en-US" w:eastAsia="zh-CN"/>
              </w:rPr>
              <w:t>2</w:t>
            </w:r>
          </w:p>
        </w:tc>
        <w:tc>
          <w:tcPr>
            <w:tcW w:w="1248" w:type="dxa"/>
            <w:tcBorders>
              <w:top w:val="single" w:color="auto" w:sz="4" w:space="0"/>
              <w:left w:val="single" w:color="auto" w:sz="4" w:space="0"/>
              <w:bottom w:val="single" w:color="auto" w:sz="4" w:space="0"/>
            </w:tcBorders>
            <w:shd w:val="clear" w:color="auto" w:fill="FFFFFF"/>
            <w:noWrap w:val="0"/>
            <w:vAlign w:val="center"/>
          </w:tcPr>
          <w:p w14:paraId="6DED4B2D">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完成</w:t>
            </w: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07B009">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2</w:t>
            </w:r>
            <w:r>
              <w:rPr>
                <w:rFonts w:hint="eastAsia" w:ascii="宋体" w:hAnsi="宋体" w:eastAsia="宋体" w:cs="宋体"/>
                <w:spacing w:val="0"/>
                <w:sz w:val="21"/>
                <w:szCs w:val="21"/>
              </w:rPr>
              <w:t>.00</w:t>
            </w:r>
          </w:p>
        </w:tc>
      </w:tr>
      <w:tr w14:paraId="203DA2B8">
        <w:tblPrEx>
          <w:tblCellMar>
            <w:top w:w="0" w:type="dxa"/>
            <w:left w:w="10" w:type="dxa"/>
            <w:bottom w:w="0" w:type="dxa"/>
            <w:right w:w="10" w:type="dxa"/>
          </w:tblCellMar>
        </w:tblPrEx>
        <w:trPr>
          <w:trHeight w:val="408" w:hRule="exact"/>
        </w:trPr>
        <w:tc>
          <w:tcPr>
            <w:tcW w:w="4795" w:type="dxa"/>
            <w:tcBorders>
              <w:top w:val="single" w:color="auto" w:sz="4" w:space="0"/>
              <w:left w:val="single" w:color="auto" w:sz="4" w:space="0"/>
              <w:bottom w:val="single" w:color="auto" w:sz="4" w:space="0"/>
            </w:tcBorders>
            <w:shd w:val="clear" w:color="auto" w:fill="FFFFFF"/>
            <w:noWrap w:val="0"/>
            <w:vAlign w:val="center"/>
          </w:tcPr>
          <w:p w14:paraId="36A9A9B5">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cs="宋体"/>
                <w:spacing w:val="0"/>
                <w:sz w:val="21"/>
                <w:szCs w:val="21"/>
                <w:lang w:val="en-US" w:eastAsia="zh-CN"/>
              </w:rPr>
              <w:t>C112.</w:t>
            </w:r>
            <w:r>
              <w:rPr>
                <w:rFonts w:hint="eastAsia" w:ascii="宋体" w:hAnsi="宋体" w:eastAsia="宋体" w:cs="宋体"/>
                <w:spacing w:val="0"/>
                <w:sz w:val="21"/>
                <w:szCs w:val="21"/>
              </w:rPr>
              <w:t>普查人员资格确认率</w:t>
            </w:r>
          </w:p>
        </w:tc>
        <w:tc>
          <w:tcPr>
            <w:tcW w:w="1243" w:type="dxa"/>
            <w:tcBorders>
              <w:top w:val="single" w:color="auto" w:sz="4" w:space="0"/>
              <w:left w:val="single" w:color="auto" w:sz="4" w:space="0"/>
              <w:bottom w:val="single" w:color="auto" w:sz="4" w:space="0"/>
            </w:tcBorders>
            <w:shd w:val="clear" w:color="auto" w:fill="FFFFFF"/>
            <w:noWrap w:val="0"/>
            <w:vAlign w:val="center"/>
          </w:tcPr>
          <w:p w14:paraId="721E694C">
            <w:pPr>
              <w:pStyle w:val="15"/>
              <w:shd w:val="clear" w:color="auto" w:fill="auto"/>
              <w:spacing w:after="0" w:line="240" w:lineRule="auto"/>
              <w:rPr>
                <w:rFonts w:hint="eastAsia" w:ascii="宋体" w:hAnsi="宋体" w:eastAsia="宋体" w:cs="宋体"/>
                <w:spacing w:val="0"/>
                <w:sz w:val="21"/>
                <w:szCs w:val="21"/>
                <w:lang w:val="en-US" w:eastAsia="zh-CN"/>
              </w:rPr>
            </w:pPr>
            <w:r>
              <w:rPr>
                <w:rFonts w:hint="eastAsia" w:cs="宋体"/>
                <w:spacing w:val="0"/>
                <w:sz w:val="21"/>
                <w:szCs w:val="21"/>
                <w:lang w:val="en-US" w:eastAsia="zh-CN"/>
              </w:rPr>
              <w:t>3</w:t>
            </w:r>
          </w:p>
        </w:tc>
        <w:tc>
          <w:tcPr>
            <w:tcW w:w="1248" w:type="dxa"/>
            <w:tcBorders>
              <w:top w:val="single" w:color="auto" w:sz="4" w:space="0"/>
              <w:left w:val="single" w:color="auto" w:sz="4" w:space="0"/>
              <w:bottom w:val="single" w:color="auto" w:sz="4" w:space="0"/>
            </w:tcBorders>
            <w:shd w:val="clear" w:color="auto" w:fill="FFFFFF"/>
            <w:noWrap w:val="0"/>
            <w:vAlign w:val="center"/>
          </w:tcPr>
          <w:p w14:paraId="3B655DDA">
            <w:pPr>
              <w:pStyle w:val="15"/>
              <w:shd w:val="clear" w:color="auto" w:fill="auto"/>
              <w:spacing w:after="0" w:line="240" w:lineRule="auto"/>
              <w:rPr>
                <w:rFonts w:hint="default" w:ascii="宋体" w:hAnsi="宋体" w:eastAsia="宋体" w:cs="宋体"/>
                <w:spacing w:val="0"/>
                <w:sz w:val="21"/>
                <w:szCs w:val="21"/>
                <w:lang w:val="en-US" w:eastAsia="zh-CN"/>
              </w:rPr>
            </w:pPr>
            <w:r>
              <w:rPr>
                <w:rFonts w:hint="eastAsia" w:cs="宋体"/>
                <w:spacing w:val="0"/>
                <w:sz w:val="21"/>
                <w:szCs w:val="21"/>
                <w:lang w:val="en-US" w:eastAsia="zh-CN"/>
              </w:rPr>
              <w:t>100%</w:t>
            </w: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D8A949">
            <w:pPr>
              <w:pStyle w:val="15"/>
              <w:shd w:val="clear" w:color="auto" w:fill="auto"/>
              <w:spacing w:after="0" w:line="240" w:lineRule="auto"/>
              <w:rPr>
                <w:rFonts w:hint="default" w:ascii="宋体" w:hAnsi="宋体" w:eastAsia="宋体" w:cs="宋体"/>
                <w:spacing w:val="0"/>
                <w:sz w:val="21"/>
                <w:szCs w:val="21"/>
                <w:lang w:val="en-US" w:eastAsia="zh-CN"/>
              </w:rPr>
            </w:pPr>
            <w:r>
              <w:rPr>
                <w:rFonts w:hint="eastAsia" w:cs="宋体"/>
                <w:spacing w:val="0"/>
                <w:sz w:val="21"/>
                <w:szCs w:val="21"/>
                <w:lang w:val="en-US" w:eastAsia="zh-CN"/>
              </w:rPr>
              <w:t>3.00</w:t>
            </w:r>
          </w:p>
        </w:tc>
      </w:tr>
      <w:tr w14:paraId="79A66E9D">
        <w:tblPrEx>
          <w:tblCellMar>
            <w:top w:w="0" w:type="dxa"/>
            <w:left w:w="10" w:type="dxa"/>
            <w:bottom w:w="0" w:type="dxa"/>
            <w:right w:w="10" w:type="dxa"/>
          </w:tblCellMar>
        </w:tblPrEx>
        <w:trPr>
          <w:trHeight w:val="408" w:hRule="exact"/>
        </w:trPr>
        <w:tc>
          <w:tcPr>
            <w:tcW w:w="4795"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40849875">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C12.入户调查工作完成情况</w:t>
            </w:r>
          </w:p>
        </w:tc>
        <w:tc>
          <w:tcPr>
            <w:tcW w:w="1243"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48AE36E1">
            <w:pPr>
              <w:pStyle w:val="15"/>
              <w:shd w:val="clear" w:color="auto" w:fill="auto"/>
              <w:spacing w:after="0" w:line="240" w:lineRule="auto"/>
              <w:rPr>
                <w:rFonts w:hint="eastAsia" w:ascii="宋体" w:hAnsi="宋体" w:eastAsia="宋体" w:cs="宋体"/>
                <w:spacing w:val="0"/>
                <w:sz w:val="21"/>
                <w:szCs w:val="21"/>
              </w:rPr>
            </w:pPr>
          </w:p>
        </w:tc>
        <w:tc>
          <w:tcPr>
            <w:tcW w:w="1248"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0259DF2E">
            <w:pPr>
              <w:pStyle w:val="15"/>
              <w:shd w:val="clear" w:color="auto" w:fill="auto"/>
              <w:spacing w:after="0" w:line="240" w:lineRule="auto"/>
              <w:rPr>
                <w:rFonts w:hint="eastAsia" w:ascii="宋体" w:hAnsi="宋体" w:eastAsia="宋体" w:cs="宋体"/>
                <w:spacing w:val="0"/>
                <w:sz w:val="21"/>
                <w:szCs w:val="21"/>
              </w:rPr>
            </w:pP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124CD91C">
            <w:pPr>
              <w:pStyle w:val="15"/>
              <w:shd w:val="clear" w:color="auto" w:fill="auto"/>
              <w:spacing w:after="0" w:line="240" w:lineRule="auto"/>
              <w:rPr>
                <w:rFonts w:hint="eastAsia" w:ascii="宋体" w:hAnsi="宋体" w:eastAsia="宋体" w:cs="宋体"/>
                <w:spacing w:val="0"/>
                <w:sz w:val="21"/>
                <w:szCs w:val="21"/>
              </w:rPr>
            </w:pPr>
          </w:p>
        </w:tc>
      </w:tr>
      <w:tr w14:paraId="4D1B5FF5">
        <w:tblPrEx>
          <w:tblCellMar>
            <w:top w:w="0" w:type="dxa"/>
            <w:left w:w="10" w:type="dxa"/>
            <w:bottom w:w="0" w:type="dxa"/>
            <w:right w:w="10" w:type="dxa"/>
          </w:tblCellMar>
        </w:tblPrEx>
        <w:trPr>
          <w:trHeight w:val="408" w:hRule="exact"/>
        </w:trPr>
        <w:tc>
          <w:tcPr>
            <w:tcW w:w="4795" w:type="dxa"/>
            <w:tcBorders>
              <w:top w:val="single" w:color="auto" w:sz="4" w:space="0"/>
              <w:left w:val="single" w:color="auto" w:sz="4" w:space="0"/>
            </w:tcBorders>
            <w:shd w:val="clear" w:color="auto" w:fill="FFFFFF"/>
            <w:noWrap w:val="0"/>
            <w:vAlign w:val="center"/>
          </w:tcPr>
          <w:p w14:paraId="2253B606">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C121.入户调查污染源情况</w:t>
            </w:r>
          </w:p>
        </w:tc>
        <w:tc>
          <w:tcPr>
            <w:tcW w:w="1243" w:type="dxa"/>
            <w:tcBorders>
              <w:top w:val="single" w:color="auto" w:sz="4" w:space="0"/>
              <w:left w:val="single" w:color="auto" w:sz="4" w:space="0"/>
            </w:tcBorders>
            <w:shd w:val="clear" w:color="auto" w:fill="FFFFFF"/>
            <w:noWrap w:val="0"/>
            <w:vAlign w:val="center"/>
          </w:tcPr>
          <w:p w14:paraId="77FC85B9">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4</w:t>
            </w:r>
          </w:p>
        </w:tc>
        <w:tc>
          <w:tcPr>
            <w:tcW w:w="1248" w:type="dxa"/>
            <w:tcBorders>
              <w:top w:val="single" w:color="auto" w:sz="4" w:space="0"/>
              <w:left w:val="single" w:color="auto" w:sz="4" w:space="0"/>
            </w:tcBorders>
            <w:shd w:val="clear" w:color="auto" w:fill="FFFFFF"/>
            <w:noWrap w:val="0"/>
            <w:vAlign w:val="center"/>
          </w:tcPr>
          <w:p w14:paraId="520D6161">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eastAsia="zh-CN"/>
              </w:rPr>
              <w:t>完成</w:t>
            </w:r>
          </w:p>
        </w:tc>
        <w:tc>
          <w:tcPr>
            <w:tcW w:w="1253" w:type="dxa"/>
            <w:tcBorders>
              <w:top w:val="single" w:color="auto" w:sz="4" w:space="0"/>
              <w:left w:val="single" w:color="auto" w:sz="4" w:space="0"/>
              <w:right w:val="single" w:color="auto" w:sz="4" w:space="0"/>
            </w:tcBorders>
            <w:shd w:val="clear" w:color="auto" w:fill="FFFFFF"/>
            <w:noWrap w:val="0"/>
            <w:vAlign w:val="center"/>
          </w:tcPr>
          <w:p w14:paraId="6B92122F">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4.00</w:t>
            </w:r>
          </w:p>
        </w:tc>
      </w:tr>
      <w:tr w14:paraId="6105A292">
        <w:tblPrEx>
          <w:tblCellMar>
            <w:top w:w="0" w:type="dxa"/>
            <w:left w:w="10" w:type="dxa"/>
            <w:bottom w:w="0" w:type="dxa"/>
            <w:right w:w="10" w:type="dxa"/>
          </w:tblCellMar>
        </w:tblPrEx>
        <w:trPr>
          <w:trHeight w:val="385" w:hRule="exact"/>
        </w:trPr>
        <w:tc>
          <w:tcPr>
            <w:tcW w:w="4795" w:type="dxa"/>
            <w:tcBorders>
              <w:top w:val="single" w:color="auto" w:sz="4" w:space="0"/>
              <w:left w:val="single" w:color="auto" w:sz="4" w:space="0"/>
            </w:tcBorders>
            <w:shd w:val="clear" w:color="auto" w:fill="FFFFFF"/>
            <w:noWrap w:val="0"/>
            <w:vAlign w:val="top"/>
          </w:tcPr>
          <w:p w14:paraId="3A649376">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C122.普查建档情况</w:t>
            </w:r>
          </w:p>
        </w:tc>
        <w:tc>
          <w:tcPr>
            <w:tcW w:w="1243" w:type="dxa"/>
            <w:tcBorders>
              <w:top w:val="single" w:color="auto" w:sz="4" w:space="0"/>
              <w:left w:val="single" w:color="auto" w:sz="4" w:space="0"/>
            </w:tcBorders>
            <w:shd w:val="clear" w:color="auto" w:fill="FFFFFF"/>
            <w:noWrap w:val="0"/>
            <w:vAlign w:val="top"/>
          </w:tcPr>
          <w:p w14:paraId="3A9CB14A">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3</w:t>
            </w:r>
          </w:p>
        </w:tc>
        <w:tc>
          <w:tcPr>
            <w:tcW w:w="1248" w:type="dxa"/>
            <w:tcBorders>
              <w:top w:val="single" w:color="auto" w:sz="4" w:space="0"/>
              <w:left w:val="single" w:color="auto" w:sz="4" w:space="0"/>
            </w:tcBorders>
            <w:shd w:val="clear" w:color="auto" w:fill="FFFFFF"/>
            <w:noWrap w:val="0"/>
            <w:vAlign w:val="top"/>
          </w:tcPr>
          <w:p w14:paraId="356AEEDF">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完成</w:t>
            </w:r>
          </w:p>
        </w:tc>
        <w:tc>
          <w:tcPr>
            <w:tcW w:w="1253" w:type="dxa"/>
            <w:tcBorders>
              <w:top w:val="single" w:color="auto" w:sz="4" w:space="0"/>
              <w:left w:val="single" w:color="auto" w:sz="4" w:space="0"/>
              <w:right w:val="single" w:color="auto" w:sz="4" w:space="0"/>
            </w:tcBorders>
            <w:shd w:val="clear" w:color="auto" w:fill="FFFFFF"/>
            <w:noWrap w:val="0"/>
            <w:vAlign w:val="top"/>
          </w:tcPr>
          <w:p w14:paraId="68EC5C81">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3.00</w:t>
            </w:r>
          </w:p>
        </w:tc>
      </w:tr>
      <w:tr w14:paraId="7D9DE577">
        <w:tblPrEx>
          <w:tblCellMar>
            <w:top w:w="0" w:type="dxa"/>
            <w:left w:w="10" w:type="dxa"/>
            <w:bottom w:w="0" w:type="dxa"/>
            <w:right w:w="10" w:type="dxa"/>
          </w:tblCellMar>
        </w:tblPrEx>
        <w:trPr>
          <w:trHeight w:val="360" w:hRule="exact"/>
        </w:trPr>
        <w:tc>
          <w:tcPr>
            <w:tcW w:w="4795" w:type="dxa"/>
            <w:tcBorders>
              <w:top w:val="single" w:color="auto" w:sz="4" w:space="0"/>
              <w:left w:val="single" w:color="auto" w:sz="4" w:space="0"/>
            </w:tcBorders>
            <w:shd w:val="clear" w:color="auto" w:fill="FFFFFF"/>
            <w:noWrap w:val="0"/>
            <w:vAlign w:val="center"/>
          </w:tcPr>
          <w:p w14:paraId="07F9A87B">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C13.普查工作质量达标情况</w:t>
            </w:r>
          </w:p>
        </w:tc>
        <w:tc>
          <w:tcPr>
            <w:tcW w:w="1243" w:type="dxa"/>
            <w:tcBorders>
              <w:top w:val="single" w:color="auto" w:sz="4" w:space="0"/>
              <w:left w:val="single" w:color="auto" w:sz="4" w:space="0"/>
            </w:tcBorders>
            <w:shd w:val="clear" w:color="auto" w:fill="FFFFFF"/>
            <w:noWrap w:val="0"/>
            <w:vAlign w:val="bottom"/>
          </w:tcPr>
          <w:p w14:paraId="69F1147E">
            <w:pPr>
              <w:pStyle w:val="15"/>
              <w:shd w:val="clear" w:color="auto" w:fill="auto"/>
              <w:spacing w:after="0" w:line="240" w:lineRule="auto"/>
              <w:rPr>
                <w:rFonts w:hint="eastAsia" w:ascii="宋体" w:hAnsi="宋体" w:eastAsia="宋体" w:cs="宋体"/>
                <w:spacing w:val="0"/>
                <w:sz w:val="21"/>
                <w:szCs w:val="21"/>
              </w:rPr>
            </w:pPr>
          </w:p>
        </w:tc>
        <w:tc>
          <w:tcPr>
            <w:tcW w:w="1248" w:type="dxa"/>
            <w:tcBorders>
              <w:top w:val="single" w:color="auto" w:sz="4" w:space="0"/>
              <w:left w:val="single" w:color="auto" w:sz="4" w:space="0"/>
            </w:tcBorders>
            <w:shd w:val="clear" w:color="auto" w:fill="FFFFFF"/>
            <w:noWrap w:val="0"/>
            <w:vAlign w:val="center"/>
          </w:tcPr>
          <w:p w14:paraId="537EE15F">
            <w:pPr>
              <w:pStyle w:val="15"/>
              <w:shd w:val="clear" w:color="auto" w:fill="auto"/>
              <w:spacing w:after="0" w:line="240" w:lineRule="auto"/>
              <w:rPr>
                <w:rFonts w:hint="eastAsia" w:ascii="宋体" w:hAnsi="宋体" w:eastAsia="宋体" w:cs="宋体"/>
                <w:spacing w:val="0"/>
                <w:sz w:val="21"/>
                <w:szCs w:val="21"/>
              </w:rPr>
            </w:pPr>
          </w:p>
        </w:tc>
        <w:tc>
          <w:tcPr>
            <w:tcW w:w="1253" w:type="dxa"/>
            <w:tcBorders>
              <w:top w:val="single" w:color="auto" w:sz="4" w:space="0"/>
              <w:left w:val="single" w:color="auto" w:sz="4" w:space="0"/>
              <w:right w:val="single" w:color="auto" w:sz="4" w:space="0"/>
            </w:tcBorders>
            <w:shd w:val="clear" w:color="auto" w:fill="FFFFFF"/>
            <w:noWrap w:val="0"/>
            <w:vAlign w:val="bottom"/>
          </w:tcPr>
          <w:p w14:paraId="7585073E">
            <w:pPr>
              <w:pStyle w:val="15"/>
              <w:shd w:val="clear" w:color="auto" w:fill="auto"/>
              <w:spacing w:after="0" w:line="240" w:lineRule="auto"/>
              <w:rPr>
                <w:rFonts w:hint="eastAsia" w:ascii="宋体" w:hAnsi="宋体" w:eastAsia="宋体" w:cs="宋体"/>
                <w:spacing w:val="0"/>
                <w:sz w:val="21"/>
                <w:szCs w:val="21"/>
              </w:rPr>
            </w:pPr>
          </w:p>
        </w:tc>
      </w:tr>
      <w:tr w14:paraId="10556F56">
        <w:tblPrEx>
          <w:tblCellMar>
            <w:top w:w="0" w:type="dxa"/>
            <w:left w:w="10" w:type="dxa"/>
            <w:bottom w:w="0" w:type="dxa"/>
            <w:right w:w="10" w:type="dxa"/>
          </w:tblCellMar>
        </w:tblPrEx>
        <w:trPr>
          <w:trHeight w:val="361" w:hRule="exact"/>
        </w:trPr>
        <w:tc>
          <w:tcPr>
            <w:tcW w:w="4795" w:type="dxa"/>
            <w:tcBorders>
              <w:top w:val="single" w:color="auto" w:sz="4" w:space="0"/>
              <w:left w:val="single" w:color="auto" w:sz="4" w:space="0"/>
            </w:tcBorders>
            <w:shd w:val="clear" w:color="auto" w:fill="FFFFFF"/>
            <w:noWrap w:val="0"/>
            <w:vAlign w:val="top"/>
          </w:tcPr>
          <w:p w14:paraId="26C0D3F5">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C131.清查质量</w:t>
            </w:r>
          </w:p>
        </w:tc>
        <w:tc>
          <w:tcPr>
            <w:tcW w:w="1243" w:type="dxa"/>
            <w:tcBorders>
              <w:top w:val="single" w:color="auto" w:sz="4" w:space="0"/>
              <w:left w:val="single" w:color="auto" w:sz="4" w:space="0"/>
            </w:tcBorders>
            <w:shd w:val="clear" w:color="auto" w:fill="FFFFFF"/>
            <w:noWrap w:val="0"/>
            <w:vAlign w:val="top"/>
          </w:tcPr>
          <w:p w14:paraId="735ED20C">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val="en-US" w:eastAsia="zh-CN"/>
              </w:rPr>
              <w:t>6</w:t>
            </w:r>
          </w:p>
        </w:tc>
        <w:tc>
          <w:tcPr>
            <w:tcW w:w="1248" w:type="dxa"/>
            <w:tcBorders>
              <w:top w:val="single" w:color="auto" w:sz="4" w:space="0"/>
              <w:left w:val="single" w:color="auto" w:sz="4" w:space="0"/>
            </w:tcBorders>
            <w:shd w:val="clear" w:color="auto" w:fill="FFFFFF"/>
            <w:noWrap w:val="0"/>
            <w:vAlign w:val="top"/>
          </w:tcPr>
          <w:p w14:paraId="3D2C30D6">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eastAsia="zh-CN"/>
              </w:rPr>
              <w:t>达标</w:t>
            </w:r>
          </w:p>
        </w:tc>
        <w:tc>
          <w:tcPr>
            <w:tcW w:w="1253" w:type="dxa"/>
            <w:tcBorders>
              <w:top w:val="single" w:color="auto" w:sz="4" w:space="0"/>
              <w:left w:val="single" w:color="auto" w:sz="4" w:space="0"/>
              <w:right w:val="single" w:color="auto" w:sz="4" w:space="0"/>
            </w:tcBorders>
            <w:shd w:val="clear" w:color="auto" w:fill="FFFFFF"/>
            <w:noWrap w:val="0"/>
            <w:vAlign w:val="top"/>
          </w:tcPr>
          <w:p w14:paraId="4F938E58">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6</w:t>
            </w:r>
            <w:r>
              <w:rPr>
                <w:rFonts w:hint="eastAsia" w:ascii="宋体" w:hAnsi="宋体" w:eastAsia="宋体" w:cs="宋体"/>
                <w:spacing w:val="0"/>
                <w:sz w:val="21"/>
                <w:szCs w:val="21"/>
              </w:rPr>
              <w:t>.00</w:t>
            </w:r>
          </w:p>
        </w:tc>
      </w:tr>
      <w:tr w14:paraId="74ADE3FF">
        <w:tblPrEx>
          <w:tblCellMar>
            <w:top w:w="0" w:type="dxa"/>
            <w:left w:w="10" w:type="dxa"/>
            <w:bottom w:w="0" w:type="dxa"/>
            <w:right w:w="10" w:type="dxa"/>
          </w:tblCellMar>
        </w:tblPrEx>
        <w:trPr>
          <w:trHeight w:val="343" w:hRule="exact"/>
        </w:trPr>
        <w:tc>
          <w:tcPr>
            <w:tcW w:w="4795" w:type="dxa"/>
            <w:tcBorders>
              <w:top w:val="single" w:color="auto" w:sz="4" w:space="0"/>
              <w:left w:val="single" w:color="auto" w:sz="4" w:space="0"/>
            </w:tcBorders>
            <w:shd w:val="clear" w:color="auto" w:fill="FFFFFF"/>
            <w:noWrap w:val="0"/>
            <w:vAlign w:val="center"/>
          </w:tcPr>
          <w:p w14:paraId="5F075265">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C132.验收合格率</w:t>
            </w:r>
          </w:p>
        </w:tc>
        <w:tc>
          <w:tcPr>
            <w:tcW w:w="1243" w:type="dxa"/>
            <w:tcBorders>
              <w:top w:val="single" w:color="auto" w:sz="4" w:space="0"/>
              <w:left w:val="single" w:color="auto" w:sz="4" w:space="0"/>
            </w:tcBorders>
            <w:shd w:val="clear" w:color="auto" w:fill="FFFFFF"/>
            <w:noWrap w:val="0"/>
            <w:vAlign w:val="center"/>
          </w:tcPr>
          <w:p w14:paraId="42BC6C00">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val="en-US" w:eastAsia="zh-CN"/>
              </w:rPr>
              <w:t>4</w:t>
            </w:r>
          </w:p>
        </w:tc>
        <w:tc>
          <w:tcPr>
            <w:tcW w:w="1248" w:type="dxa"/>
            <w:tcBorders>
              <w:top w:val="single" w:color="auto" w:sz="4" w:space="0"/>
              <w:left w:val="single" w:color="auto" w:sz="4" w:space="0"/>
            </w:tcBorders>
            <w:shd w:val="clear" w:color="auto" w:fill="FFFFFF"/>
            <w:noWrap w:val="0"/>
            <w:vAlign w:val="center"/>
          </w:tcPr>
          <w:p w14:paraId="1373F272">
            <w:pPr>
              <w:pStyle w:val="15"/>
              <w:shd w:val="clear" w:color="auto" w:fill="auto"/>
              <w:spacing w:after="0" w:line="240" w:lineRule="auto"/>
              <w:rPr>
                <w:rFonts w:hint="default" w:ascii="宋体" w:hAnsi="宋体" w:eastAsia="宋体" w:cs="宋体"/>
                <w:spacing w:val="0"/>
                <w:sz w:val="21"/>
                <w:szCs w:val="21"/>
                <w:lang w:val="en-US" w:eastAsia="zh-CN"/>
              </w:rPr>
            </w:pPr>
            <w:r>
              <w:rPr>
                <w:rFonts w:hint="eastAsia" w:cs="宋体"/>
                <w:spacing w:val="0"/>
                <w:sz w:val="21"/>
                <w:szCs w:val="21"/>
                <w:lang w:val="en-US" w:eastAsia="zh-CN"/>
              </w:rPr>
              <w:t>100%</w:t>
            </w:r>
          </w:p>
        </w:tc>
        <w:tc>
          <w:tcPr>
            <w:tcW w:w="1253" w:type="dxa"/>
            <w:tcBorders>
              <w:top w:val="single" w:color="auto" w:sz="4" w:space="0"/>
              <w:left w:val="single" w:color="auto" w:sz="4" w:space="0"/>
              <w:right w:val="single" w:color="auto" w:sz="4" w:space="0"/>
            </w:tcBorders>
            <w:shd w:val="clear" w:color="auto" w:fill="FFFFFF"/>
            <w:noWrap w:val="0"/>
            <w:vAlign w:val="center"/>
          </w:tcPr>
          <w:p w14:paraId="706B5652">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4</w:t>
            </w:r>
            <w:r>
              <w:rPr>
                <w:rFonts w:hint="eastAsia" w:ascii="宋体" w:hAnsi="宋体" w:eastAsia="宋体" w:cs="宋体"/>
                <w:spacing w:val="0"/>
                <w:sz w:val="21"/>
                <w:szCs w:val="21"/>
              </w:rPr>
              <w:t>.00</w:t>
            </w:r>
          </w:p>
        </w:tc>
      </w:tr>
      <w:tr w14:paraId="37161CF4">
        <w:tblPrEx>
          <w:tblCellMar>
            <w:top w:w="0" w:type="dxa"/>
            <w:left w:w="10" w:type="dxa"/>
            <w:bottom w:w="0" w:type="dxa"/>
            <w:right w:w="10" w:type="dxa"/>
          </w:tblCellMar>
        </w:tblPrEx>
        <w:trPr>
          <w:trHeight w:val="403" w:hRule="exact"/>
        </w:trPr>
        <w:tc>
          <w:tcPr>
            <w:tcW w:w="4795" w:type="dxa"/>
            <w:tcBorders>
              <w:top w:val="single" w:color="auto" w:sz="4" w:space="0"/>
              <w:left w:val="single" w:color="auto" w:sz="4" w:space="0"/>
            </w:tcBorders>
            <w:shd w:val="clear" w:color="auto" w:fill="FFFFFF"/>
            <w:noWrap w:val="0"/>
            <w:vAlign w:val="center"/>
          </w:tcPr>
          <w:p w14:paraId="3BC570C3">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C14.项目完成及时率</w:t>
            </w:r>
          </w:p>
        </w:tc>
        <w:tc>
          <w:tcPr>
            <w:tcW w:w="1243" w:type="dxa"/>
            <w:tcBorders>
              <w:top w:val="single" w:color="auto" w:sz="4" w:space="0"/>
              <w:left w:val="single" w:color="auto" w:sz="4" w:space="0"/>
            </w:tcBorders>
            <w:shd w:val="clear" w:color="auto" w:fill="FFFFFF"/>
            <w:noWrap w:val="0"/>
            <w:vAlign w:val="center"/>
          </w:tcPr>
          <w:p w14:paraId="03C62D79">
            <w:pPr>
              <w:pStyle w:val="15"/>
              <w:shd w:val="clear" w:color="auto" w:fill="auto"/>
              <w:spacing w:after="0" w:line="240" w:lineRule="auto"/>
              <w:rPr>
                <w:rFonts w:hint="eastAsia" w:ascii="宋体" w:hAnsi="宋体" w:eastAsia="宋体" w:cs="宋体"/>
                <w:spacing w:val="0"/>
                <w:sz w:val="21"/>
                <w:szCs w:val="21"/>
              </w:rPr>
            </w:pPr>
          </w:p>
        </w:tc>
        <w:tc>
          <w:tcPr>
            <w:tcW w:w="1248" w:type="dxa"/>
            <w:tcBorders>
              <w:top w:val="single" w:color="auto" w:sz="4" w:space="0"/>
              <w:left w:val="single" w:color="auto" w:sz="4" w:space="0"/>
            </w:tcBorders>
            <w:shd w:val="clear" w:color="auto" w:fill="FFFFFF"/>
            <w:noWrap w:val="0"/>
            <w:vAlign w:val="center"/>
          </w:tcPr>
          <w:p w14:paraId="385F21D8">
            <w:pPr>
              <w:pStyle w:val="15"/>
              <w:shd w:val="clear" w:color="auto" w:fill="auto"/>
              <w:spacing w:after="0" w:line="240" w:lineRule="auto"/>
              <w:rPr>
                <w:rFonts w:hint="eastAsia" w:ascii="宋体" w:hAnsi="宋体" w:eastAsia="宋体" w:cs="宋体"/>
                <w:spacing w:val="0"/>
                <w:sz w:val="21"/>
                <w:szCs w:val="21"/>
              </w:rPr>
            </w:pPr>
          </w:p>
        </w:tc>
        <w:tc>
          <w:tcPr>
            <w:tcW w:w="1253" w:type="dxa"/>
            <w:tcBorders>
              <w:top w:val="single" w:color="auto" w:sz="4" w:space="0"/>
              <w:left w:val="single" w:color="auto" w:sz="4" w:space="0"/>
              <w:right w:val="single" w:color="auto" w:sz="4" w:space="0"/>
            </w:tcBorders>
            <w:shd w:val="clear" w:color="auto" w:fill="FFFFFF"/>
            <w:noWrap w:val="0"/>
            <w:vAlign w:val="center"/>
          </w:tcPr>
          <w:p w14:paraId="40049025">
            <w:pPr>
              <w:pStyle w:val="15"/>
              <w:shd w:val="clear" w:color="auto" w:fill="auto"/>
              <w:spacing w:after="0" w:line="240" w:lineRule="auto"/>
              <w:rPr>
                <w:rFonts w:hint="eastAsia" w:ascii="宋体" w:hAnsi="宋体" w:eastAsia="宋体" w:cs="宋体"/>
                <w:spacing w:val="0"/>
                <w:sz w:val="21"/>
                <w:szCs w:val="21"/>
              </w:rPr>
            </w:pPr>
          </w:p>
        </w:tc>
      </w:tr>
      <w:tr w14:paraId="080FD6A3">
        <w:tblPrEx>
          <w:tblCellMar>
            <w:top w:w="0" w:type="dxa"/>
            <w:left w:w="10" w:type="dxa"/>
            <w:bottom w:w="0" w:type="dxa"/>
            <w:right w:w="10" w:type="dxa"/>
          </w:tblCellMar>
        </w:tblPrEx>
        <w:trPr>
          <w:trHeight w:val="356" w:hRule="exact"/>
        </w:trPr>
        <w:tc>
          <w:tcPr>
            <w:tcW w:w="4795" w:type="dxa"/>
            <w:tcBorders>
              <w:top w:val="single" w:color="auto" w:sz="4" w:space="0"/>
              <w:left w:val="single" w:color="auto" w:sz="4" w:space="0"/>
            </w:tcBorders>
            <w:shd w:val="clear" w:color="auto" w:fill="FFFFFF"/>
            <w:noWrap w:val="0"/>
            <w:vAlign w:val="center"/>
          </w:tcPr>
          <w:p w14:paraId="466EB085">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C141.完成及时率</w:t>
            </w:r>
          </w:p>
        </w:tc>
        <w:tc>
          <w:tcPr>
            <w:tcW w:w="1243" w:type="dxa"/>
            <w:tcBorders>
              <w:top w:val="single" w:color="auto" w:sz="4" w:space="0"/>
              <w:left w:val="single" w:color="auto" w:sz="4" w:space="0"/>
            </w:tcBorders>
            <w:shd w:val="clear" w:color="auto" w:fill="FFFFFF"/>
            <w:noWrap w:val="0"/>
            <w:vAlign w:val="center"/>
          </w:tcPr>
          <w:p w14:paraId="2A0A023F">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4</w:t>
            </w:r>
          </w:p>
        </w:tc>
        <w:tc>
          <w:tcPr>
            <w:tcW w:w="1248" w:type="dxa"/>
            <w:tcBorders>
              <w:top w:val="single" w:color="auto" w:sz="4" w:space="0"/>
              <w:left w:val="single" w:color="auto" w:sz="4" w:space="0"/>
            </w:tcBorders>
            <w:shd w:val="clear" w:color="auto" w:fill="FFFFFF"/>
            <w:noWrap w:val="0"/>
            <w:vAlign w:val="center"/>
          </w:tcPr>
          <w:p w14:paraId="7508A890">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及时</w:t>
            </w:r>
          </w:p>
        </w:tc>
        <w:tc>
          <w:tcPr>
            <w:tcW w:w="1253" w:type="dxa"/>
            <w:tcBorders>
              <w:top w:val="single" w:color="auto" w:sz="4" w:space="0"/>
              <w:left w:val="single" w:color="auto" w:sz="4" w:space="0"/>
              <w:right w:val="single" w:color="auto" w:sz="4" w:space="0"/>
            </w:tcBorders>
            <w:shd w:val="clear" w:color="auto" w:fill="FFFFFF"/>
            <w:noWrap w:val="0"/>
            <w:vAlign w:val="center"/>
          </w:tcPr>
          <w:p w14:paraId="69AC48D0">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4.00</w:t>
            </w:r>
          </w:p>
        </w:tc>
      </w:tr>
      <w:tr w14:paraId="65D46A2B">
        <w:tblPrEx>
          <w:tblCellMar>
            <w:top w:w="0" w:type="dxa"/>
            <w:left w:w="10" w:type="dxa"/>
            <w:bottom w:w="0" w:type="dxa"/>
            <w:right w:w="10" w:type="dxa"/>
          </w:tblCellMar>
        </w:tblPrEx>
        <w:trPr>
          <w:trHeight w:val="318" w:hRule="exact"/>
        </w:trPr>
        <w:tc>
          <w:tcPr>
            <w:tcW w:w="4795" w:type="dxa"/>
            <w:tcBorders>
              <w:top w:val="single" w:color="auto" w:sz="4" w:space="0"/>
              <w:left w:val="single" w:color="auto" w:sz="4" w:space="0"/>
            </w:tcBorders>
            <w:shd w:val="clear" w:color="auto" w:fill="FFFFFF"/>
            <w:noWrap w:val="0"/>
            <w:vAlign w:val="center"/>
          </w:tcPr>
          <w:p w14:paraId="01950CE0">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C15.项目成本控制情况</w:t>
            </w:r>
          </w:p>
        </w:tc>
        <w:tc>
          <w:tcPr>
            <w:tcW w:w="1243" w:type="dxa"/>
            <w:tcBorders>
              <w:top w:val="single" w:color="auto" w:sz="4" w:space="0"/>
              <w:left w:val="single" w:color="auto" w:sz="4" w:space="0"/>
            </w:tcBorders>
            <w:shd w:val="clear" w:color="auto" w:fill="FFFFFF"/>
            <w:noWrap w:val="0"/>
            <w:vAlign w:val="center"/>
          </w:tcPr>
          <w:p w14:paraId="6882781B">
            <w:pPr>
              <w:pStyle w:val="15"/>
              <w:shd w:val="clear" w:color="auto" w:fill="auto"/>
              <w:spacing w:after="0" w:line="240" w:lineRule="auto"/>
              <w:rPr>
                <w:rFonts w:hint="eastAsia" w:ascii="宋体" w:hAnsi="宋体" w:eastAsia="宋体" w:cs="宋体"/>
                <w:spacing w:val="0"/>
                <w:sz w:val="21"/>
                <w:szCs w:val="21"/>
              </w:rPr>
            </w:pPr>
          </w:p>
        </w:tc>
        <w:tc>
          <w:tcPr>
            <w:tcW w:w="1248" w:type="dxa"/>
            <w:tcBorders>
              <w:top w:val="single" w:color="auto" w:sz="4" w:space="0"/>
              <w:left w:val="single" w:color="auto" w:sz="4" w:space="0"/>
            </w:tcBorders>
            <w:shd w:val="clear" w:color="auto" w:fill="FFFFFF"/>
            <w:noWrap w:val="0"/>
            <w:vAlign w:val="center"/>
          </w:tcPr>
          <w:p w14:paraId="2D473192">
            <w:pPr>
              <w:pStyle w:val="15"/>
              <w:shd w:val="clear" w:color="auto" w:fill="auto"/>
              <w:spacing w:after="0" w:line="240" w:lineRule="auto"/>
              <w:rPr>
                <w:rFonts w:hint="eastAsia" w:ascii="宋体" w:hAnsi="宋体" w:eastAsia="宋体" w:cs="宋体"/>
                <w:spacing w:val="0"/>
                <w:sz w:val="21"/>
                <w:szCs w:val="21"/>
              </w:rPr>
            </w:pPr>
          </w:p>
        </w:tc>
        <w:tc>
          <w:tcPr>
            <w:tcW w:w="1253" w:type="dxa"/>
            <w:tcBorders>
              <w:top w:val="single" w:color="auto" w:sz="4" w:space="0"/>
              <w:left w:val="single" w:color="auto" w:sz="4" w:space="0"/>
              <w:right w:val="single" w:color="auto" w:sz="4" w:space="0"/>
            </w:tcBorders>
            <w:shd w:val="clear" w:color="auto" w:fill="FFFFFF"/>
            <w:noWrap w:val="0"/>
            <w:vAlign w:val="center"/>
          </w:tcPr>
          <w:p w14:paraId="7CE7D2ED">
            <w:pPr>
              <w:pStyle w:val="15"/>
              <w:shd w:val="clear" w:color="auto" w:fill="auto"/>
              <w:spacing w:after="0" w:line="240" w:lineRule="auto"/>
              <w:rPr>
                <w:rFonts w:hint="eastAsia" w:ascii="宋体" w:hAnsi="宋体" w:eastAsia="宋体" w:cs="宋体"/>
                <w:spacing w:val="0"/>
                <w:sz w:val="21"/>
                <w:szCs w:val="21"/>
              </w:rPr>
            </w:pPr>
          </w:p>
        </w:tc>
      </w:tr>
      <w:tr w14:paraId="56A17B16">
        <w:tblPrEx>
          <w:tblCellMar>
            <w:top w:w="0" w:type="dxa"/>
            <w:left w:w="10" w:type="dxa"/>
            <w:bottom w:w="0" w:type="dxa"/>
            <w:right w:w="10" w:type="dxa"/>
          </w:tblCellMar>
        </w:tblPrEx>
        <w:trPr>
          <w:trHeight w:val="330" w:hRule="exact"/>
        </w:trPr>
        <w:tc>
          <w:tcPr>
            <w:tcW w:w="4795" w:type="dxa"/>
            <w:tcBorders>
              <w:top w:val="single" w:color="auto" w:sz="4" w:space="0"/>
              <w:left w:val="single" w:color="auto" w:sz="4" w:space="0"/>
            </w:tcBorders>
            <w:shd w:val="clear" w:color="auto" w:fill="FFFFFF"/>
            <w:noWrap w:val="0"/>
            <w:vAlign w:val="center"/>
          </w:tcPr>
          <w:p w14:paraId="15375896">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C151.成本控制情况</w:t>
            </w:r>
          </w:p>
        </w:tc>
        <w:tc>
          <w:tcPr>
            <w:tcW w:w="1243" w:type="dxa"/>
            <w:tcBorders>
              <w:top w:val="single" w:color="auto" w:sz="4" w:space="0"/>
              <w:left w:val="single" w:color="auto" w:sz="4" w:space="0"/>
            </w:tcBorders>
            <w:shd w:val="clear" w:color="auto" w:fill="FFFFFF"/>
            <w:noWrap w:val="0"/>
            <w:vAlign w:val="center"/>
          </w:tcPr>
          <w:p w14:paraId="5E485974">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4</w:t>
            </w:r>
          </w:p>
        </w:tc>
        <w:tc>
          <w:tcPr>
            <w:tcW w:w="1248" w:type="dxa"/>
            <w:tcBorders>
              <w:top w:val="single" w:color="auto" w:sz="4" w:space="0"/>
              <w:left w:val="single" w:color="auto" w:sz="4" w:space="0"/>
            </w:tcBorders>
            <w:shd w:val="clear" w:color="auto" w:fill="FFFFFF"/>
            <w:noWrap w:val="0"/>
            <w:vAlign w:val="center"/>
          </w:tcPr>
          <w:p w14:paraId="1F5B6751">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eastAsia="zh-CN"/>
              </w:rPr>
              <w:t>有效控制</w:t>
            </w:r>
          </w:p>
        </w:tc>
        <w:tc>
          <w:tcPr>
            <w:tcW w:w="1253" w:type="dxa"/>
            <w:tcBorders>
              <w:top w:val="single" w:color="auto" w:sz="4" w:space="0"/>
              <w:left w:val="single" w:color="auto" w:sz="4" w:space="0"/>
              <w:right w:val="single" w:color="auto" w:sz="4" w:space="0"/>
            </w:tcBorders>
            <w:shd w:val="clear" w:color="auto" w:fill="FFFFFF"/>
            <w:noWrap w:val="0"/>
            <w:vAlign w:val="center"/>
          </w:tcPr>
          <w:p w14:paraId="795ED47F">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4.00</w:t>
            </w:r>
          </w:p>
        </w:tc>
      </w:tr>
      <w:tr w14:paraId="1A17FA20">
        <w:tblPrEx>
          <w:tblCellMar>
            <w:top w:w="0" w:type="dxa"/>
            <w:left w:w="10" w:type="dxa"/>
            <w:bottom w:w="0" w:type="dxa"/>
            <w:right w:w="10" w:type="dxa"/>
          </w:tblCellMar>
        </w:tblPrEx>
        <w:trPr>
          <w:trHeight w:val="371" w:hRule="exact"/>
        </w:trPr>
        <w:tc>
          <w:tcPr>
            <w:tcW w:w="4795" w:type="dxa"/>
            <w:tcBorders>
              <w:top w:val="single" w:color="auto" w:sz="4" w:space="0"/>
              <w:left w:val="single" w:color="auto" w:sz="4" w:space="0"/>
              <w:bottom w:val="single" w:color="auto" w:sz="4" w:space="0"/>
            </w:tcBorders>
            <w:shd w:val="clear" w:color="auto" w:fill="FFFFFF"/>
            <w:noWrap w:val="0"/>
            <w:vAlign w:val="center"/>
          </w:tcPr>
          <w:p w14:paraId="1F1CED4D">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val="en-US" w:eastAsia="zh-CN"/>
              </w:rPr>
              <w:t>合计</w:t>
            </w:r>
          </w:p>
        </w:tc>
        <w:tc>
          <w:tcPr>
            <w:tcW w:w="1243" w:type="dxa"/>
            <w:tcBorders>
              <w:top w:val="single" w:color="auto" w:sz="4" w:space="0"/>
              <w:left w:val="single" w:color="auto" w:sz="4" w:space="0"/>
              <w:bottom w:val="single" w:color="auto" w:sz="4" w:space="0"/>
            </w:tcBorders>
            <w:shd w:val="clear" w:color="auto" w:fill="FFFFFF"/>
            <w:noWrap w:val="0"/>
            <w:vAlign w:val="center"/>
          </w:tcPr>
          <w:p w14:paraId="3F3290ED">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30</w:t>
            </w:r>
          </w:p>
        </w:tc>
        <w:tc>
          <w:tcPr>
            <w:tcW w:w="1248" w:type="dxa"/>
            <w:tcBorders>
              <w:top w:val="single" w:color="auto" w:sz="4" w:space="0"/>
              <w:left w:val="single" w:color="auto" w:sz="4" w:space="0"/>
              <w:bottom w:val="single" w:color="auto" w:sz="4" w:space="0"/>
            </w:tcBorders>
            <w:shd w:val="clear" w:color="auto" w:fill="FFFFFF"/>
            <w:noWrap w:val="0"/>
            <w:vAlign w:val="top"/>
          </w:tcPr>
          <w:p w14:paraId="209CA4D9">
            <w:pPr>
              <w:pStyle w:val="15"/>
              <w:shd w:val="clear" w:color="auto" w:fill="auto"/>
              <w:spacing w:after="0" w:line="240" w:lineRule="auto"/>
              <w:rPr>
                <w:rFonts w:hint="eastAsia" w:ascii="宋体" w:hAnsi="宋体" w:eastAsia="宋体" w:cs="宋体"/>
                <w:spacing w:val="0"/>
                <w:sz w:val="21"/>
                <w:szCs w:val="21"/>
              </w:rPr>
            </w:pP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58397C">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30</w:t>
            </w:r>
            <w:r>
              <w:rPr>
                <w:rFonts w:hint="eastAsia" w:ascii="宋体" w:hAnsi="宋体" w:eastAsia="宋体" w:cs="宋体"/>
                <w:spacing w:val="0"/>
                <w:sz w:val="21"/>
                <w:szCs w:val="21"/>
              </w:rPr>
              <w:t>.00</w:t>
            </w:r>
          </w:p>
        </w:tc>
      </w:tr>
    </w:tbl>
    <w:p w14:paraId="06DD6B2E">
      <w:pPr>
        <w:spacing w:line="590" w:lineRule="exact"/>
        <w:ind w:firstLine="562" w:firstLineChars="200"/>
        <w:contextualSpacing/>
        <w:rPr>
          <w:rFonts w:hint="eastAsia" w:ascii="仿宋_GB2312" w:hAnsi="楷体" w:eastAsia="仿宋_GB2312"/>
          <w:b/>
          <w:bCs/>
          <w:sz w:val="28"/>
          <w:szCs w:val="28"/>
        </w:rPr>
      </w:pPr>
      <w:r>
        <w:rPr>
          <w:rFonts w:hint="eastAsia" w:ascii="仿宋_GB2312" w:hAnsi="楷体" w:eastAsia="仿宋_GB2312"/>
          <w:b/>
          <w:bCs/>
          <w:sz w:val="28"/>
          <w:szCs w:val="28"/>
        </w:rPr>
        <w:t>C11.普查员和普查指导员使用、管理工作完成情况</w:t>
      </w:r>
    </w:p>
    <w:p w14:paraId="2E0DE176">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sz w:val="28"/>
          <w:szCs w:val="28"/>
          <w:u w:val="single"/>
        </w:rPr>
        <w:t>C111.普查专员投入情况：</w:t>
      </w:r>
      <w:r>
        <w:rPr>
          <w:rFonts w:hint="eastAsia" w:ascii="仿宋_GB2312" w:hAnsi="楷体" w:eastAsia="仿宋_GB2312" w:cs="Times New Roman"/>
          <w:spacing w:val="0"/>
          <w:kern w:val="2"/>
          <w:sz w:val="28"/>
          <w:szCs w:val="28"/>
          <w:u w:val="none"/>
          <w:lang w:val="zh-CN" w:eastAsia="zh-CN" w:bidi="ar-SA"/>
        </w:rPr>
        <w:t>根据昆明市生态环境局盘龙分局与云南滇洁环保科技有限公司签署的《入户调查及两员选聘合同》及相关数据统计该项目自实施以来共投入普查员</w:t>
      </w:r>
      <w:r>
        <w:rPr>
          <w:rFonts w:hint="eastAsia" w:ascii="仿宋_GB2312" w:hAnsi="楷体" w:eastAsia="仿宋_GB2312" w:cs="Times New Roman"/>
          <w:spacing w:val="0"/>
          <w:kern w:val="2"/>
          <w:sz w:val="28"/>
          <w:szCs w:val="28"/>
          <w:u w:val="none"/>
          <w:lang w:val="en-US" w:eastAsia="zh-CN" w:bidi="ar-SA"/>
        </w:rPr>
        <w:t>33人，</w:t>
      </w:r>
      <w:r>
        <w:rPr>
          <w:rFonts w:hint="eastAsia" w:ascii="仿宋_GB2312" w:hAnsi="楷体" w:eastAsia="仿宋_GB2312" w:cs="Times New Roman"/>
          <w:spacing w:val="0"/>
          <w:kern w:val="2"/>
          <w:sz w:val="28"/>
          <w:szCs w:val="28"/>
          <w:u w:val="none"/>
          <w:lang w:val="zh-CN" w:eastAsia="zh-CN" w:bidi="ar-SA"/>
        </w:rPr>
        <w:t>投入普查指导员</w:t>
      </w:r>
      <w:r>
        <w:rPr>
          <w:rFonts w:hint="eastAsia" w:ascii="仿宋_GB2312" w:hAnsi="楷体" w:eastAsia="仿宋_GB2312" w:cs="Times New Roman"/>
          <w:spacing w:val="0"/>
          <w:kern w:val="2"/>
          <w:sz w:val="28"/>
          <w:szCs w:val="28"/>
          <w:u w:val="none"/>
          <w:lang w:val="en-US" w:eastAsia="zh-CN" w:bidi="ar-SA"/>
        </w:rPr>
        <w:t>18人。</w:t>
      </w:r>
    </w:p>
    <w:p w14:paraId="74E83839">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w:t>
      </w:r>
      <w:r>
        <w:rPr>
          <w:rFonts w:hint="eastAsia" w:ascii="仿宋_GB2312" w:hAnsi="楷体" w:eastAsia="仿宋_GB2312" w:cs="Times New Roman"/>
          <w:spacing w:val="0"/>
          <w:kern w:val="2"/>
          <w:sz w:val="28"/>
          <w:szCs w:val="28"/>
          <w:u w:val="none"/>
          <w:lang w:val="en-US" w:eastAsia="zh-CN" w:bidi="ar-SA"/>
        </w:rPr>
        <w:t>2</w:t>
      </w:r>
      <w:r>
        <w:rPr>
          <w:rFonts w:hint="eastAsia" w:ascii="仿宋_GB2312" w:hAnsi="楷体" w:eastAsia="仿宋_GB2312" w:cs="Times New Roman"/>
          <w:spacing w:val="0"/>
          <w:kern w:val="2"/>
          <w:sz w:val="28"/>
          <w:szCs w:val="28"/>
          <w:u w:val="none"/>
          <w:lang w:val="zh-CN" w:eastAsia="zh-CN" w:bidi="ar-SA"/>
        </w:rPr>
        <w:t>分，根据评分标准得</w:t>
      </w:r>
      <w:r>
        <w:rPr>
          <w:rFonts w:hint="eastAsia" w:ascii="仿宋_GB2312" w:hAnsi="楷体" w:eastAsia="仿宋_GB2312" w:cs="Times New Roman"/>
          <w:spacing w:val="0"/>
          <w:kern w:val="2"/>
          <w:sz w:val="28"/>
          <w:szCs w:val="28"/>
          <w:u w:val="none"/>
          <w:lang w:val="en-US" w:eastAsia="zh-CN" w:bidi="ar-SA"/>
        </w:rPr>
        <w:t>2</w:t>
      </w:r>
      <w:r>
        <w:rPr>
          <w:rFonts w:hint="eastAsia" w:ascii="仿宋_GB2312" w:hAnsi="楷体" w:eastAsia="仿宋_GB2312" w:cs="Times New Roman"/>
          <w:spacing w:val="0"/>
          <w:kern w:val="2"/>
          <w:sz w:val="28"/>
          <w:szCs w:val="28"/>
          <w:u w:val="none"/>
          <w:lang w:val="zh-CN" w:eastAsia="zh-CN" w:bidi="ar-SA"/>
        </w:rPr>
        <w:t>分。</w:t>
      </w:r>
    </w:p>
    <w:p w14:paraId="7E28B259">
      <w:pPr>
        <w:spacing w:line="590" w:lineRule="exact"/>
        <w:ind w:firstLine="560" w:firstLineChars="200"/>
        <w:contextualSpacing/>
        <w:rPr>
          <w:rFonts w:hint="eastAsia" w:ascii="仿宋_GB2312" w:hAnsi="楷体" w:eastAsia="仿宋_GB2312"/>
          <w:sz w:val="28"/>
          <w:szCs w:val="28"/>
          <w:u w:val="none"/>
          <w:lang w:val="en-US" w:eastAsia="zh-CN"/>
        </w:rPr>
      </w:pPr>
      <w:r>
        <w:rPr>
          <w:rFonts w:hint="eastAsia" w:ascii="仿宋_GB2312" w:hAnsi="楷体" w:eastAsia="仿宋_GB2312"/>
          <w:sz w:val="28"/>
          <w:szCs w:val="28"/>
          <w:u w:val="single"/>
          <w:lang w:val="en-US" w:eastAsia="zh-CN"/>
        </w:rPr>
        <w:t>C112.</w:t>
      </w:r>
      <w:r>
        <w:rPr>
          <w:rFonts w:hint="eastAsia" w:ascii="仿宋_GB2312" w:hAnsi="楷体" w:eastAsia="仿宋_GB2312"/>
          <w:sz w:val="28"/>
          <w:szCs w:val="28"/>
          <w:u w:val="single"/>
        </w:rPr>
        <w:t>普查人员资格确认率</w:t>
      </w:r>
      <w:r>
        <w:rPr>
          <w:rFonts w:hint="eastAsia" w:ascii="仿宋_GB2312" w:hAnsi="楷体" w:eastAsia="仿宋_GB2312"/>
          <w:sz w:val="28"/>
          <w:szCs w:val="28"/>
          <w:u w:val="single"/>
          <w:lang w:val="en-US" w:eastAsia="zh-CN"/>
        </w:rPr>
        <w:t>:</w:t>
      </w:r>
      <w:r>
        <w:rPr>
          <w:rFonts w:hint="eastAsia" w:ascii="仿宋_GB2312" w:hAnsi="楷体" w:eastAsia="仿宋_GB2312" w:cs="Times New Roman"/>
          <w:spacing w:val="0"/>
          <w:kern w:val="2"/>
          <w:sz w:val="28"/>
          <w:szCs w:val="28"/>
          <w:u w:val="none"/>
          <w:lang w:val="zh-CN" w:eastAsia="zh-CN" w:bidi="ar-SA"/>
        </w:rPr>
        <w:t>根据昆明市生态环境局盘龙分局与云南滇洁环保科技有限公司签署的《入户调查及两员选聘合同》结合</w:t>
      </w:r>
      <w:r>
        <w:rPr>
          <w:rFonts w:hint="eastAsia" w:ascii="仿宋_GB2312" w:hAnsi="楷体" w:eastAsia="仿宋_GB2312"/>
          <w:sz w:val="28"/>
          <w:szCs w:val="28"/>
          <w:u w:val="none"/>
          <w:lang w:val="en-US" w:eastAsia="zh-CN"/>
        </w:rPr>
        <w:t>《第二次全国污染源普查技术规定》对投入的相关普查人员进行资质认定且均符合标准。</w:t>
      </w:r>
    </w:p>
    <w:p w14:paraId="23DFD3F3">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w:t>
      </w:r>
      <w:r>
        <w:rPr>
          <w:rFonts w:hint="eastAsia" w:ascii="仿宋_GB2312" w:hAnsi="楷体" w:eastAsia="仿宋_GB2312" w:cs="Times New Roman"/>
          <w:spacing w:val="0"/>
          <w:kern w:val="2"/>
          <w:sz w:val="28"/>
          <w:szCs w:val="28"/>
          <w:u w:val="none"/>
          <w:lang w:val="en-US" w:eastAsia="zh-CN" w:bidi="ar-SA"/>
        </w:rPr>
        <w:t>3</w:t>
      </w:r>
      <w:r>
        <w:rPr>
          <w:rFonts w:hint="eastAsia" w:ascii="仿宋_GB2312" w:hAnsi="楷体" w:eastAsia="仿宋_GB2312" w:cs="Times New Roman"/>
          <w:spacing w:val="0"/>
          <w:kern w:val="2"/>
          <w:sz w:val="28"/>
          <w:szCs w:val="28"/>
          <w:u w:val="none"/>
          <w:lang w:val="zh-CN" w:eastAsia="zh-CN" w:bidi="ar-SA"/>
        </w:rPr>
        <w:t>分，根据评分标准得</w:t>
      </w:r>
      <w:r>
        <w:rPr>
          <w:rFonts w:hint="eastAsia" w:ascii="仿宋_GB2312" w:hAnsi="楷体" w:eastAsia="仿宋_GB2312" w:cs="Times New Roman"/>
          <w:spacing w:val="0"/>
          <w:kern w:val="2"/>
          <w:sz w:val="28"/>
          <w:szCs w:val="28"/>
          <w:u w:val="none"/>
          <w:lang w:val="en-US" w:eastAsia="zh-CN" w:bidi="ar-SA"/>
        </w:rPr>
        <w:t>3</w:t>
      </w:r>
      <w:r>
        <w:rPr>
          <w:rFonts w:hint="eastAsia" w:ascii="仿宋_GB2312" w:hAnsi="楷体" w:eastAsia="仿宋_GB2312" w:cs="Times New Roman"/>
          <w:spacing w:val="0"/>
          <w:kern w:val="2"/>
          <w:sz w:val="28"/>
          <w:szCs w:val="28"/>
          <w:u w:val="none"/>
          <w:lang w:val="zh-CN" w:eastAsia="zh-CN" w:bidi="ar-SA"/>
        </w:rPr>
        <w:t>分。</w:t>
      </w:r>
    </w:p>
    <w:p w14:paraId="00064DAF">
      <w:pPr>
        <w:spacing w:line="590" w:lineRule="exact"/>
        <w:ind w:firstLine="562" w:firstLineChars="200"/>
        <w:contextualSpacing/>
        <w:rPr>
          <w:rFonts w:hint="eastAsia" w:ascii="仿宋_GB2312" w:hAnsi="楷体" w:eastAsia="仿宋_GB2312"/>
          <w:b/>
          <w:bCs/>
          <w:sz w:val="28"/>
          <w:szCs w:val="28"/>
        </w:rPr>
      </w:pPr>
      <w:r>
        <w:rPr>
          <w:rFonts w:hint="eastAsia" w:ascii="仿宋_GB2312" w:hAnsi="楷体" w:eastAsia="仿宋_GB2312"/>
          <w:b/>
          <w:bCs/>
          <w:sz w:val="28"/>
          <w:szCs w:val="28"/>
        </w:rPr>
        <w:t>C12.入户调查工作完成情况</w:t>
      </w:r>
    </w:p>
    <w:p w14:paraId="77DBCAC7">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sz w:val="28"/>
          <w:szCs w:val="28"/>
          <w:u w:val="single"/>
        </w:rPr>
        <w:t>C121.入户调查污染源情况：</w:t>
      </w:r>
      <w:r>
        <w:rPr>
          <w:rFonts w:hint="eastAsia" w:ascii="仿宋_GB2312" w:hAnsi="楷体" w:eastAsia="仿宋_GB2312" w:cs="Times New Roman"/>
          <w:spacing w:val="0"/>
          <w:kern w:val="2"/>
          <w:sz w:val="28"/>
          <w:szCs w:val="28"/>
          <w:u w:val="none"/>
          <w:lang w:val="zh-CN" w:eastAsia="zh-CN" w:bidi="ar-SA"/>
        </w:rPr>
        <w:t>根据昆明市生态环境局盘龙分局相关数据显示进入入户调查的工业企业共计230家（其中停产企业21家），其中分流工业企业17家，进入核算的工业企业共209家。移动源36家，生活源32家（行政村），集中式污染治理设施13家，排污口5个，均已完成核算及建档工作。</w:t>
      </w:r>
    </w:p>
    <w:p w14:paraId="3D89451C">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该项指标满分4分，根据评分标准得4分。</w:t>
      </w:r>
    </w:p>
    <w:p w14:paraId="7D4ECAC7">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ascii="仿宋_GB2312" w:hAnsi="楷体" w:eastAsia="仿宋_GB2312"/>
          <w:sz w:val="28"/>
          <w:szCs w:val="28"/>
          <w:u w:val="single"/>
        </w:rPr>
        <w:t>C122.</w:t>
      </w:r>
      <w:r>
        <w:rPr>
          <w:rFonts w:hint="eastAsia" w:ascii="仿宋_GB2312" w:hAnsi="楷体" w:eastAsia="仿宋_GB2312"/>
          <w:sz w:val="28"/>
          <w:szCs w:val="28"/>
          <w:u w:val="single"/>
        </w:rPr>
        <w:t>普查建档情况：</w:t>
      </w:r>
      <w:r>
        <w:rPr>
          <w:rFonts w:hint="eastAsia" w:ascii="仿宋_GB2312" w:hAnsi="楷体" w:eastAsia="仿宋_GB2312" w:cs="Times New Roman"/>
          <w:spacing w:val="0"/>
          <w:kern w:val="2"/>
          <w:sz w:val="28"/>
          <w:szCs w:val="28"/>
          <w:u w:val="none"/>
          <w:lang w:val="zh-CN" w:eastAsia="zh-CN" w:bidi="ar-SA"/>
        </w:rPr>
        <w:t>根据昆明市生态环境局盘龙分局相关数据统计辖区内纳入调查的工业源189家，其中178家已建立“一企一档”，其余11家无法入户的企业均有相关佐证材料。集中式10家及移动源38家也均已建立“一源一档”。</w:t>
      </w:r>
    </w:p>
    <w:p w14:paraId="3977E471">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该项指标满分3分，根据评分标准得3分。</w:t>
      </w:r>
    </w:p>
    <w:p w14:paraId="1EFB0338">
      <w:pPr>
        <w:spacing w:line="590" w:lineRule="exact"/>
        <w:ind w:firstLine="562" w:firstLineChars="200"/>
        <w:contextualSpacing/>
        <w:rPr>
          <w:rFonts w:ascii="仿宋_GB2312" w:hAnsi="楷体" w:eastAsia="仿宋_GB2312"/>
          <w:b/>
          <w:bCs/>
          <w:sz w:val="28"/>
          <w:szCs w:val="28"/>
        </w:rPr>
      </w:pPr>
      <w:r>
        <w:rPr>
          <w:rFonts w:ascii="仿宋_GB2312" w:hAnsi="楷体" w:eastAsia="仿宋_GB2312"/>
          <w:b/>
          <w:bCs/>
          <w:sz w:val="28"/>
          <w:szCs w:val="28"/>
        </w:rPr>
        <w:t>C13.</w:t>
      </w:r>
      <w:r>
        <w:rPr>
          <w:rFonts w:hint="eastAsia" w:ascii="仿宋_GB2312" w:hAnsi="楷体" w:eastAsia="仿宋_GB2312"/>
          <w:b/>
          <w:bCs/>
          <w:sz w:val="28"/>
          <w:szCs w:val="28"/>
        </w:rPr>
        <w:t>普查工作质量达标情况</w:t>
      </w:r>
    </w:p>
    <w:p w14:paraId="4BDF561A">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ascii="仿宋_GB2312" w:hAnsi="楷体" w:eastAsia="仿宋_GB2312"/>
          <w:sz w:val="28"/>
          <w:szCs w:val="28"/>
          <w:u w:val="single"/>
        </w:rPr>
        <w:t>C131.</w:t>
      </w:r>
      <w:r>
        <w:rPr>
          <w:rFonts w:hint="eastAsia" w:ascii="仿宋_GB2312" w:hAnsi="楷体" w:eastAsia="仿宋_GB2312"/>
          <w:sz w:val="28"/>
          <w:szCs w:val="28"/>
          <w:u w:val="single"/>
        </w:rPr>
        <w:t>清查质量：</w:t>
      </w:r>
      <w:r>
        <w:rPr>
          <w:rFonts w:hint="eastAsia" w:ascii="仿宋_GB2312" w:hAnsi="楷体" w:eastAsia="仿宋_GB2312" w:cs="Times New Roman"/>
          <w:spacing w:val="0"/>
          <w:kern w:val="2"/>
          <w:sz w:val="28"/>
          <w:szCs w:val="28"/>
          <w:u w:val="none"/>
          <w:lang w:val="zh-CN" w:eastAsia="zh-CN" w:bidi="ar-SA"/>
        </w:rPr>
        <w:t>盘龙区已经按照部署计划，由相关普查小区普查指导员、普查员，第三方普查技术人员和普查办工作人员，同时开展三级质量核查，对盘龙辖区入户调查阶段的全部工业源、生活源、移动源和集中式污染治理设施开展100%“地毯式”质量核查，而非抽样复核，确保普查数据与原始凭证等台账资料一致，录入数据与报表数据一致，各种逻辑关系正常，最大限度符合国家、省、市质量核查要求，为产排污核算及环境管理筑牢基础。根据昆明市生态环境局盘龙分局相关数据统计2019年清查重复率≈</w:t>
      </w:r>
      <w:r>
        <w:rPr>
          <w:rFonts w:hint="eastAsia" w:ascii="仿宋_GB2312" w:hAnsi="楷体" w:eastAsia="仿宋_GB2312" w:cs="Times New Roman"/>
          <w:spacing w:val="0"/>
          <w:kern w:val="2"/>
          <w:sz w:val="28"/>
          <w:szCs w:val="28"/>
          <w:u w:val="none"/>
          <w:lang w:val="en-US" w:eastAsia="zh-CN" w:bidi="ar-SA"/>
        </w:rPr>
        <w:t>2%，漏查率</w:t>
      </w:r>
      <w:r>
        <w:rPr>
          <w:rFonts w:hint="eastAsia" w:ascii="仿宋_GB2312" w:hAnsi="楷体" w:eastAsia="仿宋_GB2312" w:cs="Times New Roman"/>
          <w:spacing w:val="0"/>
          <w:kern w:val="2"/>
          <w:sz w:val="28"/>
          <w:szCs w:val="28"/>
          <w:u w:val="none"/>
          <w:lang w:val="zh-CN" w:eastAsia="zh-CN" w:bidi="ar-SA"/>
        </w:rPr>
        <w:t>≈</w:t>
      </w:r>
      <w:r>
        <w:rPr>
          <w:rFonts w:hint="eastAsia" w:ascii="仿宋_GB2312" w:hAnsi="楷体" w:eastAsia="仿宋_GB2312" w:cs="Times New Roman"/>
          <w:spacing w:val="0"/>
          <w:kern w:val="2"/>
          <w:sz w:val="28"/>
          <w:szCs w:val="28"/>
          <w:u w:val="none"/>
          <w:lang w:val="en-US" w:eastAsia="zh-CN" w:bidi="ar-SA"/>
        </w:rPr>
        <w:t>1%，错误率</w:t>
      </w:r>
      <w:r>
        <w:rPr>
          <w:rFonts w:hint="eastAsia" w:ascii="仿宋_GB2312" w:hAnsi="楷体" w:eastAsia="仿宋_GB2312" w:cs="Times New Roman"/>
          <w:spacing w:val="0"/>
          <w:kern w:val="2"/>
          <w:sz w:val="28"/>
          <w:szCs w:val="28"/>
          <w:u w:val="none"/>
          <w:lang w:val="zh-CN" w:eastAsia="zh-CN" w:bidi="ar-SA"/>
        </w:rPr>
        <w:t>≈</w:t>
      </w:r>
      <w:r>
        <w:rPr>
          <w:rFonts w:hint="eastAsia" w:ascii="仿宋_GB2312" w:hAnsi="楷体" w:eastAsia="仿宋_GB2312" w:cs="Times New Roman"/>
          <w:spacing w:val="0"/>
          <w:kern w:val="2"/>
          <w:sz w:val="28"/>
          <w:szCs w:val="28"/>
          <w:u w:val="none"/>
          <w:lang w:val="en-US" w:eastAsia="zh-CN" w:bidi="ar-SA"/>
        </w:rPr>
        <w:t>1%</w:t>
      </w:r>
      <w:r>
        <w:rPr>
          <w:rFonts w:hint="eastAsia" w:ascii="仿宋_GB2312" w:hAnsi="楷体" w:eastAsia="仿宋_GB2312" w:cs="Times New Roman"/>
          <w:spacing w:val="0"/>
          <w:kern w:val="2"/>
          <w:sz w:val="28"/>
          <w:szCs w:val="28"/>
          <w:u w:val="none"/>
          <w:lang w:val="zh-CN" w:eastAsia="zh-CN" w:bidi="ar-SA"/>
        </w:rPr>
        <w:t>。</w:t>
      </w:r>
    </w:p>
    <w:p w14:paraId="2321353C">
      <w:pPr>
        <w:spacing w:line="590" w:lineRule="exact"/>
        <w:ind w:firstLine="560" w:firstLineChars="200"/>
        <w:contextualSpacing/>
        <w:rPr>
          <w:rFonts w:hint="eastAsia" w:ascii="仿宋_GB2312" w:hAnsi="楷体" w:eastAsia="仿宋_GB2312"/>
          <w:sz w:val="28"/>
          <w:szCs w:val="28"/>
        </w:rPr>
      </w:pPr>
      <w:r>
        <w:rPr>
          <w:rFonts w:hint="eastAsia" w:ascii="仿宋_GB2312" w:hAnsi="楷体" w:eastAsia="仿宋_GB2312" w:cs="Times New Roman"/>
          <w:spacing w:val="0"/>
          <w:kern w:val="2"/>
          <w:sz w:val="28"/>
          <w:szCs w:val="28"/>
          <w:u w:val="none"/>
          <w:lang w:val="zh-CN" w:eastAsia="zh-CN" w:bidi="ar-SA"/>
        </w:rPr>
        <w:t>该项指标满分</w:t>
      </w:r>
      <w:r>
        <w:rPr>
          <w:rFonts w:hint="eastAsia" w:ascii="仿宋_GB2312" w:hAnsi="楷体" w:eastAsia="仿宋_GB2312" w:cs="Times New Roman"/>
          <w:spacing w:val="0"/>
          <w:kern w:val="2"/>
          <w:sz w:val="28"/>
          <w:szCs w:val="28"/>
          <w:u w:val="none"/>
          <w:lang w:val="en-US" w:eastAsia="zh-CN" w:bidi="ar-SA"/>
        </w:rPr>
        <w:t>6</w:t>
      </w:r>
      <w:r>
        <w:rPr>
          <w:rFonts w:hint="eastAsia" w:ascii="仿宋_GB2312" w:hAnsi="楷体" w:eastAsia="仿宋_GB2312" w:cs="Times New Roman"/>
          <w:spacing w:val="0"/>
          <w:kern w:val="2"/>
          <w:sz w:val="28"/>
          <w:szCs w:val="28"/>
          <w:u w:val="none"/>
          <w:lang w:val="zh-CN" w:eastAsia="zh-CN" w:bidi="ar-SA"/>
        </w:rPr>
        <w:t>分，根据评分标准得</w:t>
      </w:r>
      <w:r>
        <w:rPr>
          <w:rFonts w:hint="eastAsia" w:ascii="仿宋_GB2312" w:hAnsi="楷体" w:eastAsia="仿宋_GB2312" w:cs="Times New Roman"/>
          <w:spacing w:val="0"/>
          <w:kern w:val="2"/>
          <w:sz w:val="28"/>
          <w:szCs w:val="28"/>
          <w:u w:val="none"/>
          <w:lang w:val="en-US" w:eastAsia="zh-CN" w:bidi="ar-SA"/>
        </w:rPr>
        <w:t>6</w:t>
      </w:r>
      <w:r>
        <w:rPr>
          <w:rFonts w:hint="eastAsia" w:ascii="仿宋_GB2312" w:hAnsi="楷体" w:eastAsia="仿宋_GB2312" w:cs="Times New Roman"/>
          <w:spacing w:val="0"/>
          <w:kern w:val="2"/>
          <w:sz w:val="28"/>
          <w:szCs w:val="28"/>
          <w:u w:val="none"/>
          <w:lang w:val="zh-CN" w:eastAsia="zh-CN" w:bidi="ar-SA"/>
        </w:rPr>
        <w:t>分。</w:t>
      </w:r>
    </w:p>
    <w:p w14:paraId="75C11AE3">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ascii="仿宋_GB2312" w:hAnsi="楷体" w:eastAsia="仿宋_GB2312"/>
          <w:sz w:val="28"/>
          <w:szCs w:val="28"/>
          <w:u w:val="single"/>
        </w:rPr>
        <w:t>C132.</w:t>
      </w:r>
      <w:r>
        <w:rPr>
          <w:rFonts w:hint="eastAsia" w:ascii="仿宋_GB2312" w:hAnsi="楷体" w:eastAsia="仿宋_GB2312"/>
          <w:sz w:val="28"/>
          <w:szCs w:val="28"/>
          <w:u w:val="single"/>
          <w:lang w:eastAsia="zh-CN"/>
        </w:rPr>
        <w:t>验收合格率</w:t>
      </w:r>
      <w:r>
        <w:rPr>
          <w:rFonts w:hint="eastAsia" w:ascii="仿宋_GB2312" w:hAnsi="楷体" w:eastAsia="仿宋_GB2312"/>
          <w:sz w:val="28"/>
          <w:szCs w:val="28"/>
          <w:u w:val="single"/>
        </w:rPr>
        <w:t>：</w:t>
      </w:r>
      <w:r>
        <w:rPr>
          <w:rFonts w:hint="eastAsia" w:ascii="仿宋_GB2312" w:hAnsi="楷体" w:eastAsia="仿宋_GB2312" w:cs="Times New Roman"/>
          <w:spacing w:val="0"/>
          <w:kern w:val="2"/>
          <w:sz w:val="28"/>
          <w:szCs w:val="28"/>
          <w:u w:val="none"/>
          <w:lang w:val="zh-CN" w:eastAsia="zh-CN" w:bidi="ar-SA"/>
        </w:rPr>
        <w:t>根据昆明市生态环境局盘龙分局相关验收报告，第二次全国污染源普查工作各个环节均顺利实施并完成验收。</w:t>
      </w:r>
    </w:p>
    <w:p w14:paraId="1D8B6629">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w:t>
      </w:r>
      <w:r>
        <w:rPr>
          <w:rFonts w:hint="eastAsia" w:ascii="仿宋_GB2312" w:hAnsi="楷体" w:eastAsia="仿宋_GB2312" w:cs="Times New Roman"/>
          <w:spacing w:val="0"/>
          <w:kern w:val="2"/>
          <w:sz w:val="28"/>
          <w:szCs w:val="28"/>
          <w:u w:val="none"/>
          <w:lang w:val="en-US" w:eastAsia="zh-CN" w:bidi="ar-SA"/>
        </w:rPr>
        <w:t>4</w:t>
      </w:r>
      <w:r>
        <w:rPr>
          <w:rFonts w:hint="eastAsia" w:ascii="仿宋_GB2312" w:hAnsi="楷体" w:eastAsia="仿宋_GB2312" w:cs="Times New Roman"/>
          <w:spacing w:val="0"/>
          <w:kern w:val="2"/>
          <w:sz w:val="28"/>
          <w:szCs w:val="28"/>
          <w:u w:val="none"/>
          <w:lang w:val="zh-CN" w:eastAsia="zh-CN" w:bidi="ar-SA"/>
        </w:rPr>
        <w:t>分，根据评分标准得</w:t>
      </w:r>
      <w:r>
        <w:rPr>
          <w:rFonts w:hint="eastAsia" w:ascii="仿宋_GB2312" w:hAnsi="楷体" w:eastAsia="仿宋_GB2312" w:cs="Times New Roman"/>
          <w:spacing w:val="0"/>
          <w:kern w:val="2"/>
          <w:sz w:val="28"/>
          <w:szCs w:val="28"/>
          <w:u w:val="none"/>
          <w:lang w:val="en-US" w:eastAsia="zh-CN" w:bidi="ar-SA"/>
        </w:rPr>
        <w:t>4</w:t>
      </w:r>
      <w:r>
        <w:rPr>
          <w:rFonts w:hint="eastAsia" w:ascii="仿宋_GB2312" w:hAnsi="楷体" w:eastAsia="仿宋_GB2312" w:cs="Times New Roman"/>
          <w:spacing w:val="0"/>
          <w:kern w:val="2"/>
          <w:sz w:val="28"/>
          <w:szCs w:val="28"/>
          <w:u w:val="none"/>
          <w:lang w:val="zh-CN" w:eastAsia="zh-CN" w:bidi="ar-SA"/>
        </w:rPr>
        <w:t>分。</w:t>
      </w:r>
    </w:p>
    <w:p w14:paraId="2F98401A">
      <w:pPr>
        <w:spacing w:line="480" w:lineRule="auto"/>
        <w:ind w:firstLine="562" w:firstLineChars="200"/>
        <w:contextualSpacing/>
        <w:rPr>
          <w:rFonts w:ascii="仿宋_GB2312" w:hAnsi="楷体" w:eastAsia="仿宋_GB2312"/>
          <w:b/>
          <w:bCs/>
          <w:sz w:val="28"/>
          <w:szCs w:val="28"/>
        </w:rPr>
      </w:pPr>
      <w:r>
        <w:rPr>
          <w:rFonts w:ascii="仿宋_GB2312" w:hAnsi="楷体" w:eastAsia="仿宋_GB2312"/>
          <w:b/>
          <w:bCs/>
          <w:sz w:val="28"/>
          <w:szCs w:val="28"/>
        </w:rPr>
        <w:t>C14.</w:t>
      </w:r>
      <w:r>
        <w:rPr>
          <w:rFonts w:hint="eastAsia" w:ascii="仿宋_GB2312" w:hAnsi="楷体" w:eastAsia="仿宋_GB2312"/>
          <w:b/>
          <w:bCs/>
          <w:sz w:val="28"/>
          <w:szCs w:val="28"/>
        </w:rPr>
        <w:t>项目完成及时率</w:t>
      </w:r>
    </w:p>
    <w:p w14:paraId="50C8CB91">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ascii="仿宋_GB2312" w:hAnsi="楷体" w:eastAsia="仿宋_GB2312"/>
          <w:sz w:val="28"/>
          <w:szCs w:val="28"/>
          <w:u w:val="single"/>
        </w:rPr>
        <w:t>C1</w:t>
      </w:r>
      <w:r>
        <w:rPr>
          <w:rFonts w:hint="eastAsia" w:ascii="仿宋_GB2312" w:hAnsi="楷体" w:eastAsia="仿宋_GB2312"/>
          <w:sz w:val="28"/>
          <w:szCs w:val="28"/>
          <w:u w:val="single"/>
        </w:rPr>
        <w:t>41</w:t>
      </w:r>
      <w:r>
        <w:rPr>
          <w:rFonts w:ascii="仿宋_GB2312" w:hAnsi="楷体" w:eastAsia="仿宋_GB2312"/>
          <w:sz w:val="28"/>
          <w:szCs w:val="28"/>
          <w:u w:val="single"/>
        </w:rPr>
        <w:t>.</w:t>
      </w:r>
      <w:r>
        <w:rPr>
          <w:rFonts w:hint="eastAsia" w:ascii="仿宋_GB2312" w:hAnsi="楷体" w:eastAsia="仿宋_GB2312"/>
          <w:sz w:val="28"/>
          <w:szCs w:val="28"/>
          <w:u w:val="single"/>
          <w:lang w:eastAsia="zh-CN"/>
        </w:rPr>
        <w:t>完成及时率</w:t>
      </w:r>
      <w:r>
        <w:rPr>
          <w:rFonts w:hint="eastAsia" w:ascii="仿宋_GB2312" w:hAnsi="楷体" w:eastAsia="仿宋_GB2312"/>
          <w:sz w:val="28"/>
          <w:szCs w:val="28"/>
          <w:u w:val="single"/>
        </w:rPr>
        <w:t>：</w:t>
      </w:r>
      <w:r>
        <w:rPr>
          <w:rFonts w:hint="eastAsia" w:ascii="仿宋_GB2312" w:hAnsi="楷体" w:eastAsia="仿宋_GB2312" w:cs="Times New Roman"/>
          <w:spacing w:val="0"/>
          <w:kern w:val="2"/>
          <w:sz w:val="28"/>
          <w:szCs w:val="28"/>
          <w:u w:val="none"/>
          <w:lang w:val="zh-CN" w:eastAsia="zh-CN" w:bidi="ar-SA"/>
        </w:rPr>
        <w:t>通过实地评价结合该项目实施方案和计划，盘龙区第二次全国污染源普查工作均按期完成，项目完成及时率达100%。</w:t>
      </w:r>
    </w:p>
    <w:p w14:paraId="10D5DE82">
      <w:pPr>
        <w:spacing w:line="590" w:lineRule="exact"/>
        <w:ind w:firstLine="560" w:firstLineChars="200"/>
        <w:contextualSpacing/>
        <w:rPr>
          <w:rFonts w:hint="eastAsia" w:ascii="仿宋_GB2312" w:hAnsi="楷体" w:eastAsia="仿宋_GB2312"/>
          <w:sz w:val="28"/>
          <w:szCs w:val="28"/>
        </w:rPr>
      </w:pPr>
      <w:r>
        <w:rPr>
          <w:rFonts w:hint="eastAsia" w:ascii="仿宋_GB2312" w:hAnsi="楷体" w:eastAsia="仿宋_GB2312" w:cs="Times New Roman"/>
          <w:spacing w:val="0"/>
          <w:kern w:val="2"/>
          <w:sz w:val="28"/>
          <w:szCs w:val="28"/>
          <w:u w:val="none"/>
          <w:lang w:val="zh-CN" w:eastAsia="zh-CN" w:bidi="ar-SA"/>
        </w:rPr>
        <w:t>该项指标满分4分，根据评分标准得4分。</w:t>
      </w:r>
    </w:p>
    <w:p w14:paraId="0B17A80E">
      <w:pPr>
        <w:spacing w:line="480" w:lineRule="auto"/>
        <w:ind w:firstLine="562" w:firstLineChars="200"/>
        <w:contextualSpacing/>
        <w:rPr>
          <w:rFonts w:hint="eastAsia" w:ascii="仿宋_GB2312" w:hAnsi="楷体" w:eastAsia="仿宋_GB2312"/>
          <w:b/>
          <w:bCs/>
          <w:sz w:val="28"/>
          <w:szCs w:val="28"/>
        </w:rPr>
      </w:pPr>
      <w:r>
        <w:rPr>
          <w:rFonts w:hint="eastAsia" w:ascii="仿宋_GB2312" w:hAnsi="楷体" w:eastAsia="仿宋_GB2312"/>
          <w:b/>
          <w:bCs/>
          <w:sz w:val="28"/>
          <w:szCs w:val="28"/>
        </w:rPr>
        <w:t>C15.项目成本控制情况</w:t>
      </w:r>
    </w:p>
    <w:p w14:paraId="7C3D09FF">
      <w:pPr>
        <w:spacing w:line="590" w:lineRule="exact"/>
        <w:ind w:firstLine="560" w:firstLineChars="200"/>
        <w:contextualSpacing/>
        <w:rPr>
          <w:rFonts w:hint="default" w:ascii="仿宋_GB2312" w:hAnsi="楷体" w:eastAsia="仿宋_GB2312" w:cs="Times New Roman"/>
          <w:spacing w:val="0"/>
          <w:kern w:val="2"/>
          <w:sz w:val="28"/>
          <w:szCs w:val="28"/>
          <w:u w:val="none"/>
          <w:lang w:val="en-US" w:eastAsia="zh-CN" w:bidi="ar-SA"/>
        </w:rPr>
      </w:pPr>
      <w:r>
        <w:rPr>
          <w:rFonts w:ascii="仿宋_GB2312" w:hAnsi="楷体" w:eastAsia="仿宋_GB2312"/>
          <w:sz w:val="28"/>
          <w:szCs w:val="28"/>
          <w:u w:val="single"/>
        </w:rPr>
        <w:t>C151.</w:t>
      </w:r>
      <w:r>
        <w:rPr>
          <w:rFonts w:hint="eastAsia" w:ascii="仿宋_GB2312" w:hAnsi="楷体" w:eastAsia="仿宋_GB2312"/>
          <w:sz w:val="28"/>
          <w:szCs w:val="28"/>
          <w:u w:val="single"/>
          <w:lang w:eastAsia="zh-CN"/>
        </w:rPr>
        <w:t>成本控制情况</w:t>
      </w:r>
      <w:r>
        <w:rPr>
          <w:rFonts w:hint="eastAsia" w:ascii="仿宋_GB2312" w:hAnsi="楷体" w:eastAsia="仿宋_GB2312"/>
          <w:sz w:val="28"/>
          <w:szCs w:val="28"/>
          <w:u w:val="single"/>
        </w:rPr>
        <w:t>：</w:t>
      </w:r>
      <w:r>
        <w:rPr>
          <w:rFonts w:hint="eastAsia" w:ascii="仿宋_GB2312" w:hAnsi="楷体" w:eastAsia="仿宋_GB2312" w:cs="Times New Roman"/>
          <w:spacing w:val="0"/>
          <w:kern w:val="2"/>
          <w:sz w:val="28"/>
          <w:szCs w:val="28"/>
          <w:u w:val="none"/>
          <w:lang w:val="zh-CN" w:eastAsia="zh-CN" w:bidi="ar-SA"/>
        </w:rPr>
        <w:t>该项目</w:t>
      </w:r>
      <w:r>
        <w:rPr>
          <w:rFonts w:hint="eastAsia" w:ascii="仿宋_GB2312" w:hAnsi="楷体" w:eastAsia="仿宋_GB2312" w:cs="Times New Roman"/>
          <w:spacing w:val="0"/>
          <w:kern w:val="2"/>
          <w:sz w:val="28"/>
          <w:szCs w:val="28"/>
          <w:u w:val="none"/>
          <w:lang w:val="en-US" w:eastAsia="zh-CN" w:bidi="ar-SA"/>
        </w:rPr>
        <w:t>2019年预算批复为63.52万元，截至2019年12月31日，查阅相关财务原始凭证和单据后统计2019年支出为58.81万元，成本控制率＜100%。</w:t>
      </w:r>
    </w:p>
    <w:p w14:paraId="67C42BB7">
      <w:pPr>
        <w:spacing w:line="590" w:lineRule="exact"/>
        <w:ind w:firstLine="560" w:firstLineChars="200"/>
        <w:contextualSpacing/>
        <w:rPr>
          <w:rFonts w:hint="eastAsia" w:ascii="仿宋_GB2312" w:hAnsi="楷体" w:eastAsia="仿宋_GB2312"/>
          <w:sz w:val="28"/>
          <w:szCs w:val="28"/>
        </w:rPr>
      </w:pPr>
      <w:r>
        <w:rPr>
          <w:rFonts w:hint="eastAsia" w:ascii="仿宋_GB2312" w:hAnsi="楷体" w:eastAsia="仿宋_GB2312" w:cs="Times New Roman"/>
          <w:spacing w:val="0"/>
          <w:kern w:val="2"/>
          <w:sz w:val="28"/>
          <w:szCs w:val="28"/>
          <w:u w:val="none"/>
          <w:lang w:val="zh-CN" w:eastAsia="zh-CN" w:bidi="ar-SA"/>
        </w:rPr>
        <w:t>该项指标满分4分，根据评分标准得4分。</w:t>
      </w:r>
    </w:p>
    <w:p w14:paraId="3A4F652E">
      <w:pPr>
        <w:spacing w:line="590" w:lineRule="exact"/>
        <w:ind w:firstLine="560" w:firstLineChars="200"/>
        <w:contextualSpacing/>
        <w:rPr>
          <w:rFonts w:hint="eastAsia" w:ascii="仿宋_GB2312" w:hAnsi="楷体" w:eastAsia="仿宋_GB2312"/>
          <w:sz w:val="28"/>
          <w:szCs w:val="28"/>
        </w:rPr>
      </w:pPr>
      <w:r>
        <w:rPr>
          <w:rFonts w:hint="eastAsia" w:ascii="仿宋_GB2312" w:hAnsi="楷体" w:eastAsia="仿宋_GB2312"/>
          <w:sz w:val="28"/>
          <w:szCs w:val="28"/>
        </w:rPr>
        <w:t>（2）项目效益</w:t>
      </w:r>
    </w:p>
    <w:p w14:paraId="47F8877F">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项目效益类指标包括社会效益、可持续影响和满意度三部分内容，主要用于反映普查数据客观性，污染源建档率，群众知晓率，政策宣传针对性，信息采集完整性，项目可持续影响以及受益对象满意度等问题。各指标的业绩值和实际得分详见下表：</w:t>
      </w:r>
    </w:p>
    <w:p w14:paraId="768625CA">
      <w:pPr>
        <w:spacing w:line="590" w:lineRule="exact"/>
        <w:ind w:firstLine="480" w:firstLineChars="200"/>
        <w:contextualSpacing/>
        <w:jc w:val="center"/>
        <w:rPr>
          <w:rFonts w:hint="eastAsia" w:ascii="黑体" w:hAnsi="黑体" w:eastAsia="黑体" w:cs="黑体"/>
          <w:b w:val="0"/>
          <w:bCs w:val="0"/>
          <w:sz w:val="24"/>
          <w:szCs w:val="24"/>
          <w:lang w:val="zh-CN"/>
        </w:rPr>
      </w:pPr>
      <w:r>
        <w:rPr>
          <w:rFonts w:hint="eastAsia" w:ascii="黑体" w:hAnsi="黑体" w:eastAsia="黑体" w:cs="黑体"/>
          <w:b w:val="0"/>
          <w:bCs w:val="0"/>
          <w:sz w:val="24"/>
          <w:szCs w:val="24"/>
          <w:lang w:val="zh-CN"/>
        </w:rPr>
        <w:t>表</w:t>
      </w:r>
      <w:r>
        <w:rPr>
          <w:rFonts w:hint="eastAsia" w:ascii="黑体" w:hAnsi="黑体" w:eastAsia="黑体" w:cs="黑体"/>
          <w:b w:val="0"/>
          <w:bCs w:val="0"/>
          <w:sz w:val="24"/>
          <w:szCs w:val="24"/>
        </w:rPr>
        <w:t>1</w:t>
      </w:r>
      <w:r>
        <w:rPr>
          <w:rFonts w:hint="eastAsia" w:ascii="黑体" w:hAnsi="黑体" w:eastAsia="黑体" w:cs="黑体"/>
          <w:b w:val="0"/>
          <w:bCs w:val="0"/>
          <w:sz w:val="24"/>
          <w:szCs w:val="24"/>
          <w:lang w:val="en-US" w:eastAsia="zh-CN"/>
        </w:rPr>
        <w:t>0</w:t>
      </w:r>
      <w:r>
        <w:rPr>
          <w:rFonts w:hint="eastAsia" w:ascii="黑体" w:hAnsi="黑体" w:eastAsia="黑体" w:cs="黑体"/>
          <w:b w:val="0"/>
          <w:bCs w:val="0"/>
          <w:sz w:val="24"/>
          <w:szCs w:val="24"/>
        </w:rPr>
        <w:t xml:space="preserve">  项目效益</w:t>
      </w:r>
      <w:r>
        <w:rPr>
          <w:rFonts w:hint="eastAsia" w:ascii="黑体" w:hAnsi="黑体" w:eastAsia="黑体" w:cs="黑体"/>
          <w:b w:val="0"/>
          <w:bCs w:val="0"/>
          <w:sz w:val="24"/>
          <w:szCs w:val="24"/>
          <w:lang w:val="zh-CN"/>
        </w:rPr>
        <w:t>类指标评分表</w:t>
      </w:r>
    </w:p>
    <w:tbl>
      <w:tblPr>
        <w:tblStyle w:val="8"/>
        <w:tblW w:w="8539" w:type="dxa"/>
        <w:tblInd w:w="0" w:type="dxa"/>
        <w:tblLayout w:type="fixed"/>
        <w:tblCellMar>
          <w:top w:w="0" w:type="dxa"/>
          <w:left w:w="10" w:type="dxa"/>
          <w:bottom w:w="0" w:type="dxa"/>
          <w:right w:w="10" w:type="dxa"/>
        </w:tblCellMar>
      </w:tblPr>
      <w:tblGrid>
        <w:gridCol w:w="4795"/>
        <w:gridCol w:w="1243"/>
        <w:gridCol w:w="1248"/>
        <w:gridCol w:w="1253"/>
      </w:tblGrid>
      <w:tr w14:paraId="319539CE">
        <w:tblPrEx>
          <w:tblCellMar>
            <w:top w:w="0" w:type="dxa"/>
            <w:left w:w="10" w:type="dxa"/>
            <w:bottom w:w="0" w:type="dxa"/>
            <w:right w:w="10" w:type="dxa"/>
          </w:tblCellMar>
        </w:tblPrEx>
        <w:trPr>
          <w:trHeight w:val="356" w:hRule="exact"/>
          <w:tblHeader/>
        </w:trPr>
        <w:tc>
          <w:tcPr>
            <w:tcW w:w="4795" w:type="dxa"/>
            <w:tcBorders>
              <w:top w:val="single" w:color="auto" w:sz="4" w:space="0"/>
              <w:left w:val="single" w:color="auto" w:sz="4" w:space="0"/>
              <w:bottom w:val="single" w:color="auto" w:sz="4" w:space="0"/>
            </w:tcBorders>
            <w:shd w:val="clear" w:color="auto" w:fill="FFFFFF"/>
            <w:noWrap w:val="0"/>
            <w:vAlign w:val="bottom"/>
          </w:tcPr>
          <w:p w14:paraId="707F0731">
            <w:pPr>
              <w:pStyle w:val="15"/>
              <w:shd w:val="clear" w:color="auto" w:fill="auto"/>
              <w:spacing w:after="0" w:line="240" w:lineRule="auto"/>
              <w:rPr>
                <w:rFonts w:hint="eastAsia" w:ascii="宋体" w:hAnsi="宋体" w:eastAsia="宋体" w:cs="宋体"/>
                <w:b/>
                <w:bCs/>
                <w:spacing w:val="0"/>
                <w:sz w:val="21"/>
                <w:szCs w:val="21"/>
              </w:rPr>
            </w:pPr>
            <w:r>
              <w:rPr>
                <w:rFonts w:hint="eastAsia" w:ascii="宋体" w:hAnsi="宋体" w:eastAsia="宋体" w:cs="宋体"/>
                <w:b/>
                <w:bCs/>
                <w:spacing w:val="0"/>
                <w:sz w:val="21"/>
                <w:szCs w:val="21"/>
              </w:rPr>
              <w:t>指标名称</w:t>
            </w:r>
          </w:p>
        </w:tc>
        <w:tc>
          <w:tcPr>
            <w:tcW w:w="1243" w:type="dxa"/>
            <w:tcBorders>
              <w:top w:val="single" w:color="auto" w:sz="4" w:space="0"/>
              <w:left w:val="single" w:color="auto" w:sz="4" w:space="0"/>
              <w:bottom w:val="single" w:color="auto" w:sz="4" w:space="0"/>
            </w:tcBorders>
            <w:shd w:val="clear" w:color="auto" w:fill="FFFFFF"/>
            <w:noWrap w:val="0"/>
            <w:vAlign w:val="bottom"/>
          </w:tcPr>
          <w:p w14:paraId="67CE32F3">
            <w:pPr>
              <w:pStyle w:val="15"/>
              <w:shd w:val="clear" w:color="auto" w:fill="auto"/>
              <w:spacing w:after="0" w:line="240" w:lineRule="auto"/>
              <w:rPr>
                <w:rFonts w:hint="eastAsia" w:ascii="宋体" w:hAnsi="宋体" w:eastAsia="宋体" w:cs="宋体"/>
                <w:b/>
                <w:bCs/>
                <w:spacing w:val="0"/>
                <w:sz w:val="21"/>
                <w:szCs w:val="21"/>
              </w:rPr>
            </w:pPr>
            <w:r>
              <w:rPr>
                <w:rFonts w:hint="eastAsia" w:ascii="宋体" w:hAnsi="宋体" w:eastAsia="宋体" w:cs="宋体"/>
                <w:b/>
                <w:bCs/>
                <w:spacing w:val="0"/>
                <w:sz w:val="21"/>
                <w:szCs w:val="21"/>
              </w:rPr>
              <w:t>指标权重</w:t>
            </w:r>
          </w:p>
        </w:tc>
        <w:tc>
          <w:tcPr>
            <w:tcW w:w="1248" w:type="dxa"/>
            <w:tcBorders>
              <w:top w:val="single" w:color="auto" w:sz="4" w:space="0"/>
              <w:left w:val="single" w:color="auto" w:sz="4" w:space="0"/>
              <w:bottom w:val="single" w:color="auto" w:sz="4" w:space="0"/>
            </w:tcBorders>
            <w:shd w:val="clear" w:color="auto" w:fill="FFFFFF"/>
            <w:noWrap w:val="0"/>
            <w:vAlign w:val="bottom"/>
          </w:tcPr>
          <w:p w14:paraId="3560080B">
            <w:pPr>
              <w:pStyle w:val="15"/>
              <w:shd w:val="clear" w:color="auto" w:fill="auto"/>
              <w:spacing w:after="0" w:line="240" w:lineRule="auto"/>
              <w:rPr>
                <w:rFonts w:hint="eastAsia" w:ascii="宋体" w:hAnsi="宋体" w:eastAsia="宋体" w:cs="宋体"/>
                <w:b/>
                <w:bCs/>
                <w:spacing w:val="0"/>
                <w:sz w:val="21"/>
                <w:szCs w:val="21"/>
              </w:rPr>
            </w:pPr>
            <w:r>
              <w:rPr>
                <w:rFonts w:hint="eastAsia" w:ascii="宋体" w:hAnsi="宋体" w:eastAsia="宋体" w:cs="宋体"/>
                <w:b/>
                <w:bCs/>
                <w:spacing w:val="0"/>
                <w:sz w:val="21"/>
                <w:szCs w:val="21"/>
              </w:rPr>
              <w:t>业绩值</w:t>
            </w: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309491A7">
            <w:pPr>
              <w:pStyle w:val="15"/>
              <w:shd w:val="clear" w:color="auto" w:fill="auto"/>
              <w:spacing w:after="0" w:line="240" w:lineRule="auto"/>
              <w:rPr>
                <w:rFonts w:hint="eastAsia" w:ascii="宋体" w:hAnsi="宋体" w:eastAsia="宋体" w:cs="宋体"/>
                <w:b/>
                <w:bCs/>
                <w:spacing w:val="0"/>
                <w:sz w:val="21"/>
                <w:szCs w:val="21"/>
              </w:rPr>
            </w:pPr>
            <w:r>
              <w:rPr>
                <w:rFonts w:hint="eastAsia" w:ascii="宋体" w:hAnsi="宋体" w:eastAsia="宋体" w:cs="宋体"/>
                <w:b/>
                <w:bCs/>
                <w:spacing w:val="0"/>
                <w:sz w:val="21"/>
                <w:szCs w:val="21"/>
              </w:rPr>
              <w:t>实际得分</w:t>
            </w:r>
          </w:p>
        </w:tc>
      </w:tr>
      <w:tr w14:paraId="3BE6A11F">
        <w:tblPrEx>
          <w:tblCellMar>
            <w:top w:w="0" w:type="dxa"/>
            <w:left w:w="10" w:type="dxa"/>
            <w:bottom w:w="0" w:type="dxa"/>
            <w:right w:w="10" w:type="dxa"/>
          </w:tblCellMar>
        </w:tblPrEx>
        <w:trPr>
          <w:trHeight w:val="403" w:hRule="exact"/>
        </w:trPr>
        <w:tc>
          <w:tcPr>
            <w:tcW w:w="47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3D3A75">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C21.社会效益</w:t>
            </w:r>
          </w:p>
        </w:tc>
        <w:tc>
          <w:tcPr>
            <w:tcW w:w="124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E196CB">
            <w:pPr>
              <w:pStyle w:val="15"/>
              <w:shd w:val="clear" w:color="auto" w:fill="auto"/>
              <w:spacing w:after="0" w:line="240" w:lineRule="auto"/>
              <w:rPr>
                <w:rFonts w:hint="eastAsia" w:ascii="宋体" w:hAnsi="宋体" w:eastAsia="宋体" w:cs="宋体"/>
                <w:spacing w:val="0"/>
                <w:sz w:val="21"/>
                <w:szCs w:val="21"/>
              </w:rPr>
            </w:pPr>
          </w:p>
        </w:tc>
        <w:tc>
          <w:tcPr>
            <w:tcW w:w="124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CB5655">
            <w:pPr>
              <w:pStyle w:val="15"/>
              <w:shd w:val="clear" w:color="auto" w:fill="auto"/>
              <w:spacing w:after="0" w:line="240" w:lineRule="auto"/>
              <w:rPr>
                <w:rFonts w:hint="eastAsia" w:ascii="宋体" w:hAnsi="宋体" w:eastAsia="宋体" w:cs="宋体"/>
                <w:spacing w:val="0"/>
                <w:sz w:val="21"/>
                <w:szCs w:val="21"/>
              </w:rPr>
            </w:pP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CDEC69">
            <w:pPr>
              <w:pStyle w:val="15"/>
              <w:shd w:val="clear" w:color="auto" w:fill="auto"/>
              <w:spacing w:after="0" w:line="240" w:lineRule="auto"/>
              <w:rPr>
                <w:rFonts w:hint="eastAsia" w:ascii="宋体" w:hAnsi="宋体" w:eastAsia="宋体" w:cs="宋体"/>
                <w:spacing w:val="0"/>
                <w:sz w:val="21"/>
                <w:szCs w:val="21"/>
              </w:rPr>
            </w:pPr>
          </w:p>
        </w:tc>
      </w:tr>
      <w:tr w14:paraId="2DB6AF2E">
        <w:tblPrEx>
          <w:tblCellMar>
            <w:top w:w="0" w:type="dxa"/>
            <w:left w:w="10" w:type="dxa"/>
            <w:bottom w:w="0" w:type="dxa"/>
            <w:right w:w="10" w:type="dxa"/>
          </w:tblCellMar>
        </w:tblPrEx>
        <w:trPr>
          <w:trHeight w:val="343" w:hRule="exact"/>
        </w:trPr>
        <w:tc>
          <w:tcPr>
            <w:tcW w:w="4795" w:type="dxa"/>
            <w:tcBorders>
              <w:top w:val="single" w:color="auto" w:sz="4" w:space="0"/>
              <w:left w:val="single" w:color="auto" w:sz="4" w:space="0"/>
              <w:bottom w:val="single" w:color="auto" w:sz="4" w:space="0"/>
            </w:tcBorders>
            <w:shd w:val="clear" w:color="auto" w:fill="FFFFFF"/>
            <w:noWrap w:val="0"/>
            <w:vAlign w:val="center"/>
          </w:tcPr>
          <w:p w14:paraId="6B8A642D">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C211.普查数据客观性</w:t>
            </w:r>
          </w:p>
        </w:tc>
        <w:tc>
          <w:tcPr>
            <w:tcW w:w="1243" w:type="dxa"/>
            <w:tcBorders>
              <w:top w:val="single" w:color="auto" w:sz="4" w:space="0"/>
              <w:left w:val="single" w:color="auto" w:sz="4" w:space="0"/>
              <w:bottom w:val="single" w:color="auto" w:sz="4" w:space="0"/>
            </w:tcBorders>
            <w:shd w:val="clear" w:color="auto" w:fill="FFFFFF"/>
            <w:noWrap w:val="0"/>
            <w:vAlign w:val="center"/>
          </w:tcPr>
          <w:p w14:paraId="0E10CF64">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3</w:t>
            </w:r>
          </w:p>
        </w:tc>
        <w:tc>
          <w:tcPr>
            <w:tcW w:w="1248" w:type="dxa"/>
            <w:tcBorders>
              <w:top w:val="single" w:color="auto" w:sz="4" w:space="0"/>
              <w:left w:val="single" w:color="auto" w:sz="4" w:space="0"/>
              <w:bottom w:val="single" w:color="auto" w:sz="4" w:space="0"/>
            </w:tcBorders>
            <w:shd w:val="clear" w:color="auto" w:fill="FFFFFF"/>
            <w:noWrap w:val="0"/>
            <w:vAlign w:val="center"/>
          </w:tcPr>
          <w:p w14:paraId="24CD89DC">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eastAsia="zh-CN"/>
              </w:rPr>
              <w:t>完成</w:t>
            </w: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85B6A0">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3.00</w:t>
            </w:r>
          </w:p>
        </w:tc>
      </w:tr>
      <w:tr w14:paraId="1B50E57A">
        <w:tblPrEx>
          <w:tblCellMar>
            <w:top w:w="0" w:type="dxa"/>
            <w:left w:w="10" w:type="dxa"/>
            <w:bottom w:w="0" w:type="dxa"/>
            <w:right w:w="10" w:type="dxa"/>
          </w:tblCellMar>
        </w:tblPrEx>
        <w:trPr>
          <w:trHeight w:val="373" w:hRule="exact"/>
        </w:trPr>
        <w:tc>
          <w:tcPr>
            <w:tcW w:w="4795" w:type="dxa"/>
            <w:tcBorders>
              <w:top w:val="single" w:color="auto" w:sz="4" w:space="0"/>
              <w:left w:val="single" w:color="auto" w:sz="4" w:space="0"/>
              <w:bottom w:val="single" w:color="auto" w:sz="4" w:space="0"/>
            </w:tcBorders>
            <w:shd w:val="clear" w:color="auto" w:fill="FFFFFF"/>
            <w:noWrap w:val="0"/>
            <w:vAlign w:val="bottom"/>
          </w:tcPr>
          <w:p w14:paraId="613DCB38">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C212.污染源建档率</w:t>
            </w:r>
          </w:p>
        </w:tc>
        <w:tc>
          <w:tcPr>
            <w:tcW w:w="1243" w:type="dxa"/>
            <w:tcBorders>
              <w:top w:val="single" w:color="auto" w:sz="4" w:space="0"/>
              <w:left w:val="single" w:color="auto" w:sz="4" w:space="0"/>
              <w:bottom w:val="single" w:color="auto" w:sz="4" w:space="0"/>
            </w:tcBorders>
            <w:shd w:val="clear" w:color="auto" w:fill="FFFFFF"/>
            <w:noWrap w:val="0"/>
            <w:vAlign w:val="bottom"/>
          </w:tcPr>
          <w:p w14:paraId="47F4D2C9">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4</w:t>
            </w:r>
          </w:p>
        </w:tc>
        <w:tc>
          <w:tcPr>
            <w:tcW w:w="1248" w:type="dxa"/>
            <w:tcBorders>
              <w:top w:val="single" w:color="auto" w:sz="4" w:space="0"/>
              <w:left w:val="single" w:color="auto" w:sz="4" w:space="0"/>
              <w:bottom w:val="single" w:color="auto" w:sz="4" w:space="0"/>
            </w:tcBorders>
            <w:shd w:val="clear" w:color="auto" w:fill="FFFFFF"/>
            <w:noWrap w:val="0"/>
            <w:vAlign w:val="bottom"/>
          </w:tcPr>
          <w:p w14:paraId="3B749325">
            <w:pPr>
              <w:pStyle w:val="15"/>
              <w:shd w:val="clear" w:color="auto" w:fill="auto"/>
              <w:spacing w:after="0" w:line="240" w:lineRule="auto"/>
              <w:rPr>
                <w:rFonts w:hint="default" w:ascii="宋体" w:hAnsi="宋体" w:eastAsia="宋体" w:cs="宋体"/>
                <w:spacing w:val="0"/>
                <w:sz w:val="21"/>
                <w:szCs w:val="21"/>
                <w:lang w:val="en-US" w:eastAsia="zh-CN"/>
              </w:rPr>
            </w:pPr>
            <w:r>
              <w:rPr>
                <w:rFonts w:hint="eastAsia" w:cs="宋体"/>
                <w:spacing w:val="0"/>
                <w:sz w:val="21"/>
                <w:szCs w:val="21"/>
                <w:lang w:val="en-US" w:eastAsia="zh-CN"/>
              </w:rPr>
              <w:t>100%</w:t>
            </w: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bottom"/>
          </w:tcPr>
          <w:p w14:paraId="6DC5326B">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4</w:t>
            </w:r>
            <w:r>
              <w:rPr>
                <w:rFonts w:hint="eastAsia" w:ascii="宋体" w:hAnsi="宋体" w:eastAsia="宋体" w:cs="宋体"/>
                <w:spacing w:val="0"/>
                <w:sz w:val="21"/>
                <w:szCs w:val="21"/>
              </w:rPr>
              <w:t>.00</w:t>
            </w:r>
          </w:p>
        </w:tc>
      </w:tr>
      <w:tr w14:paraId="5E4FAF0C">
        <w:tblPrEx>
          <w:tblCellMar>
            <w:top w:w="0" w:type="dxa"/>
            <w:left w:w="10" w:type="dxa"/>
            <w:bottom w:w="0" w:type="dxa"/>
            <w:right w:w="10" w:type="dxa"/>
          </w:tblCellMar>
        </w:tblPrEx>
        <w:trPr>
          <w:trHeight w:val="326" w:hRule="exact"/>
        </w:trPr>
        <w:tc>
          <w:tcPr>
            <w:tcW w:w="4795" w:type="dxa"/>
            <w:tcBorders>
              <w:top w:val="single" w:color="auto" w:sz="4" w:space="0"/>
              <w:left w:val="single" w:color="auto" w:sz="4" w:space="0"/>
              <w:bottom w:val="single" w:color="auto" w:sz="4" w:space="0"/>
            </w:tcBorders>
            <w:shd w:val="clear" w:color="auto" w:fill="FFFFFF"/>
            <w:noWrap w:val="0"/>
            <w:vAlign w:val="center"/>
          </w:tcPr>
          <w:p w14:paraId="7ACD13A8">
            <w:pPr>
              <w:pStyle w:val="15"/>
              <w:shd w:val="clear" w:color="auto" w:fill="auto"/>
              <w:spacing w:after="0" w:line="240" w:lineRule="auto"/>
              <w:ind w:firstLine="420" w:firstLineChars="200"/>
              <w:jc w:val="both"/>
              <w:rPr>
                <w:rFonts w:hint="default" w:ascii="宋体" w:hAnsi="宋体" w:eastAsia="宋体" w:cs="宋体"/>
                <w:spacing w:val="0"/>
                <w:sz w:val="21"/>
                <w:szCs w:val="21"/>
                <w:lang w:val="en-US" w:eastAsia="zh-CN"/>
              </w:rPr>
            </w:pPr>
            <w:r>
              <w:rPr>
                <w:rFonts w:hint="eastAsia" w:cs="宋体"/>
                <w:spacing w:val="0"/>
                <w:sz w:val="21"/>
                <w:szCs w:val="21"/>
                <w:lang w:val="en-US" w:eastAsia="zh-CN"/>
              </w:rPr>
              <w:t>C213.群众知晓率</w:t>
            </w:r>
          </w:p>
        </w:tc>
        <w:tc>
          <w:tcPr>
            <w:tcW w:w="1243" w:type="dxa"/>
            <w:tcBorders>
              <w:top w:val="single" w:color="auto" w:sz="4" w:space="0"/>
              <w:left w:val="single" w:color="auto" w:sz="4" w:space="0"/>
              <w:bottom w:val="single" w:color="auto" w:sz="4" w:space="0"/>
            </w:tcBorders>
            <w:shd w:val="clear" w:color="auto" w:fill="FFFFFF"/>
            <w:noWrap w:val="0"/>
            <w:vAlign w:val="center"/>
          </w:tcPr>
          <w:p w14:paraId="4C4CF74D">
            <w:pPr>
              <w:pStyle w:val="15"/>
              <w:shd w:val="clear" w:color="auto" w:fill="auto"/>
              <w:spacing w:after="0" w:line="240" w:lineRule="auto"/>
              <w:rPr>
                <w:rFonts w:hint="eastAsia" w:ascii="宋体" w:hAnsi="宋体" w:eastAsia="宋体" w:cs="宋体"/>
                <w:spacing w:val="0"/>
                <w:sz w:val="21"/>
                <w:szCs w:val="21"/>
                <w:lang w:val="en-US" w:eastAsia="zh-CN"/>
              </w:rPr>
            </w:pPr>
            <w:r>
              <w:rPr>
                <w:rFonts w:hint="eastAsia" w:cs="宋体"/>
                <w:spacing w:val="0"/>
                <w:sz w:val="21"/>
                <w:szCs w:val="21"/>
                <w:lang w:val="en-US" w:eastAsia="zh-CN"/>
              </w:rPr>
              <w:t>5</w:t>
            </w:r>
          </w:p>
        </w:tc>
        <w:tc>
          <w:tcPr>
            <w:tcW w:w="1248" w:type="dxa"/>
            <w:tcBorders>
              <w:top w:val="single" w:color="auto" w:sz="4" w:space="0"/>
              <w:left w:val="single" w:color="auto" w:sz="4" w:space="0"/>
              <w:bottom w:val="single" w:color="auto" w:sz="4" w:space="0"/>
            </w:tcBorders>
            <w:shd w:val="clear" w:color="auto" w:fill="FFFFFF"/>
            <w:noWrap w:val="0"/>
            <w:vAlign w:val="center"/>
          </w:tcPr>
          <w:p w14:paraId="5EA8DCD5">
            <w:pPr>
              <w:pStyle w:val="15"/>
              <w:shd w:val="clear" w:color="auto" w:fill="auto"/>
              <w:spacing w:after="0" w:line="240" w:lineRule="auto"/>
              <w:rPr>
                <w:rFonts w:hint="default" w:ascii="宋体" w:hAnsi="宋体" w:eastAsia="宋体" w:cs="宋体"/>
                <w:spacing w:val="0"/>
                <w:sz w:val="21"/>
                <w:szCs w:val="21"/>
                <w:lang w:val="en-US" w:eastAsia="zh-CN"/>
              </w:rPr>
            </w:pPr>
            <w:r>
              <w:rPr>
                <w:rFonts w:hint="eastAsia" w:cs="宋体"/>
                <w:spacing w:val="0"/>
                <w:sz w:val="21"/>
                <w:szCs w:val="21"/>
                <w:lang w:val="en-US" w:eastAsia="zh-CN"/>
              </w:rPr>
              <w:t>90%</w:t>
            </w: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755FD3">
            <w:pPr>
              <w:pStyle w:val="15"/>
              <w:shd w:val="clear" w:color="auto" w:fill="auto"/>
              <w:spacing w:after="0" w:line="240" w:lineRule="auto"/>
              <w:rPr>
                <w:rFonts w:hint="default" w:ascii="宋体" w:hAnsi="宋体" w:eastAsia="宋体" w:cs="宋体"/>
                <w:spacing w:val="0"/>
                <w:sz w:val="21"/>
                <w:szCs w:val="21"/>
                <w:lang w:val="en-US" w:eastAsia="zh-CN"/>
              </w:rPr>
            </w:pPr>
            <w:r>
              <w:rPr>
                <w:rFonts w:hint="eastAsia" w:cs="宋体"/>
                <w:spacing w:val="0"/>
                <w:sz w:val="21"/>
                <w:szCs w:val="21"/>
                <w:lang w:val="en-US" w:eastAsia="zh-CN"/>
              </w:rPr>
              <w:t>4.00</w:t>
            </w:r>
          </w:p>
        </w:tc>
      </w:tr>
      <w:tr w14:paraId="4C0DB599">
        <w:tblPrEx>
          <w:tblCellMar>
            <w:top w:w="0" w:type="dxa"/>
            <w:left w:w="10" w:type="dxa"/>
            <w:bottom w:w="0" w:type="dxa"/>
            <w:right w:w="10" w:type="dxa"/>
          </w:tblCellMar>
        </w:tblPrEx>
        <w:trPr>
          <w:trHeight w:val="305" w:hRule="exact"/>
        </w:trPr>
        <w:tc>
          <w:tcPr>
            <w:tcW w:w="4795" w:type="dxa"/>
            <w:tcBorders>
              <w:top w:val="single" w:color="auto" w:sz="4" w:space="0"/>
              <w:left w:val="single" w:color="auto" w:sz="4" w:space="0"/>
              <w:bottom w:val="single" w:color="auto" w:sz="4" w:space="0"/>
            </w:tcBorders>
            <w:shd w:val="clear" w:color="auto" w:fill="FFFFFF"/>
            <w:noWrap w:val="0"/>
            <w:vAlign w:val="top"/>
          </w:tcPr>
          <w:p w14:paraId="5540AA39">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C2</w:t>
            </w:r>
            <w:r>
              <w:rPr>
                <w:rFonts w:hint="eastAsia" w:cs="宋体"/>
                <w:spacing w:val="0"/>
                <w:sz w:val="21"/>
                <w:szCs w:val="21"/>
                <w:lang w:val="en-US" w:eastAsia="zh-CN"/>
              </w:rPr>
              <w:t>14</w:t>
            </w:r>
            <w:r>
              <w:rPr>
                <w:rFonts w:hint="eastAsia" w:ascii="宋体" w:hAnsi="宋体" w:eastAsia="宋体" w:cs="宋体"/>
                <w:spacing w:val="0"/>
                <w:sz w:val="21"/>
                <w:szCs w:val="21"/>
              </w:rPr>
              <w:t>.政策宣传针对性</w:t>
            </w:r>
          </w:p>
        </w:tc>
        <w:tc>
          <w:tcPr>
            <w:tcW w:w="1243" w:type="dxa"/>
            <w:tcBorders>
              <w:top w:val="single" w:color="auto" w:sz="4" w:space="0"/>
              <w:left w:val="single" w:color="auto" w:sz="4" w:space="0"/>
              <w:bottom w:val="single" w:color="auto" w:sz="4" w:space="0"/>
            </w:tcBorders>
            <w:shd w:val="clear" w:color="auto" w:fill="FFFFFF"/>
            <w:noWrap w:val="0"/>
            <w:vAlign w:val="top"/>
          </w:tcPr>
          <w:p w14:paraId="4F445B4F">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4</w:t>
            </w:r>
          </w:p>
        </w:tc>
        <w:tc>
          <w:tcPr>
            <w:tcW w:w="1248" w:type="dxa"/>
            <w:tcBorders>
              <w:top w:val="single" w:color="auto" w:sz="4" w:space="0"/>
              <w:left w:val="single" w:color="auto" w:sz="4" w:space="0"/>
              <w:bottom w:val="single" w:color="auto" w:sz="4" w:space="0"/>
            </w:tcBorders>
            <w:shd w:val="clear" w:color="auto" w:fill="FFFFFF"/>
            <w:noWrap w:val="0"/>
            <w:vAlign w:val="top"/>
          </w:tcPr>
          <w:p w14:paraId="1356EBA0">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eastAsia="zh-CN"/>
              </w:rPr>
              <w:t>完成</w:t>
            </w: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top"/>
          </w:tcPr>
          <w:p w14:paraId="21EF172A">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4</w:t>
            </w:r>
            <w:r>
              <w:rPr>
                <w:rFonts w:hint="eastAsia" w:ascii="宋体" w:hAnsi="宋体" w:eastAsia="宋体" w:cs="宋体"/>
                <w:spacing w:val="0"/>
                <w:sz w:val="21"/>
                <w:szCs w:val="21"/>
              </w:rPr>
              <w:t>.00</w:t>
            </w:r>
          </w:p>
        </w:tc>
      </w:tr>
      <w:tr w14:paraId="778E6B71">
        <w:tblPrEx>
          <w:tblCellMar>
            <w:top w:w="0" w:type="dxa"/>
            <w:left w:w="10" w:type="dxa"/>
            <w:bottom w:w="0" w:type="dxa"/>
            <w:right w:w="10" w:type="dxa"/>
          </w:tblCellMar>
        </w:tblPrEx>
        <w:trPr>
          <w:trHeight w:val="380" w:hRule="exact"/>
        </w:trPr>
        <w:tc>
          <w:tcPr>
            <w:tcW w:w="47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760890">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C2</w:t>
            </w:r>
            <w:r>
              <w:rPr>
                <w:rFonts w:hint="eastAsia" w:cs="宋体"/>
                <w:spacing w:val="0"/>
                <w:sz w:val="21"/>
                <w:szCs w:val="21"/>
                <w:lang w:val="en-US" w:eastAsia="zh-CN"/>
              </w:rPr>
              <w:t>15</w:t>
            </w:r>
            <w:r>
              <w:rPr>
                <w:rFonts w:hint="eastAsia" w:ascii="宋体" w:hAnsi="宋体" w:eastAsia="宋体" w:cs="宋体"/>
                <w:spacing w:val="0"/>
                <w:sz w:val="21"/>
                <w:szCs w:val="21"/>
              </w:rPr>
              <w:t>.信息采集完整性</w:t>
            </w:r>
          </w:p>
        </w:tc>
        <w:tc>
          <w:tcPr>
            <w:tcW w:w="124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A2DD4A">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val="en-US" w:eastAsia="zh-CN"/>
              </w:rPr>
              <w:t>4</w:t>
            </w:r>
          </w:p>
        </w:tc>
        <w:tc>
          <w:tcPr>
            <w:tcW w:w="124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470C6E">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完成</w:t>
            </w: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EDFE85">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4</w:t>
            </w:r>
            <w:r>
              <w:rPr>
                <w:rFonts w:hint="eastAsia" w:ascii="宋体" w:hAnsi="宋体" w:eastAsia="宋体" w:cs="宋体"/>
                <w:spacing w:val="0"/>
                <w:sz w:val="21"/>
                <w:szCs w:val="21"/>
              </w:rPr>
              <w:t>.00</w:t>
            </w:r>
          </w:p>
        </w:tc>
      </w:tr>
      <w:tr w14:paraId="448DA5C1">
        <w:tblPrEx>
          <w:tblCellMar>
            <w:top w:w="0" w:type="dxa"/>
            <w:left w:w="10" w:type="dxa"/>
            <w:bottom w:w="0" w:type="dxa"/>
            <w:right w:w="10" w:type="dxa"/>
          </w:tblCellMar>
        </w:tblPrEx>
        <w:trPr>
          <w:trHeight w:val="361" w:hRule="exact"/>
        </w:trPr>
        <w:tc>
          <w:tcPr>
            <w:tcW w:w="4795" w:type="dxa"/>
            <w:tcBorders>
              <w:top w:val="single" w:color="auto" w:sz="4" w:space="0"/>
              <w:left w:val="single" w:color="auto" w:sz="4" w:space="0"/>
            </w:tcBorders>
            <w:shd w:val="clear" w:color="auto" w:fill="FFFFFF"/>
            <w:noWrap w:val="0"/>
            <w:vAlign w:val="top"/>
          </w:tcPr>
          <w:p w14:paraId="223215D7">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C2</w:t>
            </w:r>
            <w:r>
              <w:rPr>
                <w:rFonts w:hint="eastAsia" w:cs="宋体"/>
                <w:spacing w:val="0"/>
                <w:sz w:val="21"/>
                <w:szCs w:val="21"/>
                <w:lang w:val="en-US" w:eastAsia="zh-CN"/>
              </w:rPr>
              <w:t>2</w:t>
            </w:r>
            <w:r>
              <w:rPr>
                <w:rFonts w:hint="eastAsia" w:ascii="宋体" w:hAnsi="宋体" w:eastAsia="宋体" w:cs="宋体"/>
                <w:spacing w:val="0"/>
                <w:sz w:val="21"/>
                <w:szCs w:val="21"/>
              </w:rPr>
              <w:t>.可持续发展影响</w:t>
            </w:r>
          </w:p>
        </w:tc>
        <w:tc>
          <w:tcPr>
            <w:tcW w:w="1243" w:type="dxa"/>
            <w:tcBorders>
              <w:top w:val="single" w:color="auto" w:sz="4" w:space="0"/>
              <w:left w:val="single" w:color="auto" w:sz="4" w:space="0"/>
            </w:tcBorders>
            <w:shd w:val="clear" w:color="auto" w:fill="FFFFFF"/>
            <w:noWrap w:val="0"/>
            <w:vAlign w:val="top"/>
          </w:tcPr>
          <w:p w14:paraId="6C6DA2DF">
            <w:pPr>
              <w:pStyle w:val="15"/>
              <w:shd w:val="clear" w:color="auto" w:fill="auto"/>
              <w:spacing w:after="0" w:line="240" w:lineRule="auto"/>
              <w:rPr>
                <w:rFonts w:hint="eastAsia" w:ascii="宋体" w:hAnsi="宋体" w:eastAsia="宋体" w:cs="宋体"/>
                <w:spacing w:val="0"/>
                <w:sz w:val="21"/>
                <w:szCs w:val="21"/>
              </w:rPr>
            </w:pPr>
          </w:p>
        </w:tc>
        <w:tc>
          <w:tcPr>
            <w:tcW w:w="1248" w:type="dxa"/>
            <w:tcBorders>
              <w:top w:val="single" w:color="auto" w:sz="4" w:space="0"/>
              <w:left w:val="single" w:color="auto" w:sz="4" w:space="0"/>
            </w:tcBorders>
            <w:shd w:val="clear" w:color="auto" w:fill="FFFFFF"/>
            <w:noWrap w:val="0"/>
            <w:vAlign w:val="top"/>
          </w:tcPr>
          <w:p w14:paraId="6D488632">
            <w:pPr>
              <w:pStyle w:val="15"/>
              <w:shd w:val="clear" w:color="auto" w:fill="auto"/>
              <w:spacing w:after="0" w:line="240" w:lineRule="auto"/>
              <w:rPr>
                <w:rFonts w:hint="eastAsia" w:ascii="宋体" w:hAnsi="宋体" w:eastAsia="宋体" w:cs="宋体"/>
                <w:spacing w:val="0"/>
                <w:sz w:val="21"/>
                <w:szCs w:val="21"/>
              </w:rPr>
            </w:pPr>
          </w:p>
        </w:tc>
        <w:tc>
          <w:tcPr>
            <w:tcW w:w="1253" w:type="dxa"/>
            <w:tcBorders>
              <w:top w:val="single" w:color="auto" w:sz="4" w:space="0"/>
              <w:left w:val="single" w:color="auto" w:sz="4" w:space="0"/>
              <w:right w:val="single" w:color="auto" w:sz="4" w:space="0"/>
            </w:tcBorders>
            <w:shd w:val="clear" w:color="auto" w:fill="FFFFFF"/>
            <w:noWrap w:val="0"/>
            <w:vAlign w:val="top"/>
          </w:tcPr>
          <w:p w14:paraId="7643456A">
            <w:pPr>
              <w:pStyle w:val="15"/>
              <w:shd w:val="clear" w:color="auto" w:fill="auto"/>
              <w:spacing w:after="0" w:line="240" w:lineRule="auto"/>
              <w:rPr>
                <w:rFonts w:hint="eastAsia" w:ascii="宋体" w:hAnsi="宋体" w:eastAsia="宋体" w:cs="宋体"/>
                <w:spacing w:val="0"/>
                <w:sz w:val="21"/>
                <w:szCs w:val="21"/>
              </w:rPr>
            </w:pPr>
          </w:p>
        </w:tc>
      </w:tr>
      <w:tr w14:paraId="1B4C8936">
        <w:tblPrEx>
          <w:tblCellMar>
            <w:top w:w="0" w:type="dxa"/>
            <w:left w:w="10" w:type="dxa"/>
            <w:bottom w:w="0" w:type="dxa"/>
            <w:right w:w="10" w:type="dxa"/>
          </w:tblCellMar>
        </w:tblPrEx>
        <w:trPr>
          <w:trHeight w:val="343" w:hRule="exact"/>
        </w:trPr>
        <w:tc>
          <w:tcPr>
            <w:tcW w:w="4795" w:type="dxa"/>
            <w:tcBorders>
              <w:top w:val="single" w:color="auto" w:sz="4" w:space="0"/>
              <w:left w:val="single" w:color="auto" w:sz="4" w:space="0"/>
            </w:tcBorders>
            <w:shd w:val="clear" w:color="auto" w:fill="FFFFFF"/>
            <w:noWrap w:val="0"/>
            <w:vAlign w:val="center"/>
          </w:tcPr>
          <w:p w14:paraId="46F94E3F">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C2</w:t>
            </w:r>
            <w:r>
              <w:rPr>
                <w:rFonts w:hint="eastAsia" w:cs="宋体"/>
                <w:spacing w:val="0"/>
                <w:sz w:val="21"/>
                <w:szCs w:val="21"/>
                <w:lang w:val="en-US" w:eastAsia="zh-CN"/>
              </w:rPr>
              <w:t>2</w:t>
            </w:r>
            <w:r>
              <w:rPr>
                <w:rFonts w:hint="eastAsia" w:ascii="宋体" w:hAnsi="宋体" w:eastAsia="宋体" w:cs="宋体"/>
                <w:spacing w:val="0"/>
                <w:sz w:val="21"/>
                <w:szCs w:val="21"/>
              </w:rPr>
              <w:t>1.项目可持续影响</w:t>
            </w:r>
          </w:p>
        </w:tc>
        <w:tc>
          <w:tcPr>
            <w:tcW w:w="1243" w:type="dxa"/>
            <w:tcBorders>
              <w:top w:val="single" w:color="auto" w:sz="4" w:space="0"/>
              <w:left w:val="single" w:color="auto" w:sz="4" w:space="0"/>
            </w:tcBorders>
            <w:shd w:val="clear" w:color="auto" w:fill="FFFFFF"/>
            <w:noWrap w:val="0"/>
            <w:vAlign w:val="center"/>
          </w:tcPr>
          <w:p w14:paraId="2BD2373C">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val="en-US" w:eastAsia="zh-CN"/>
              </w:rPr>
              <w:t>4</w:t>
            </w:r>
          </w:p>
        </w:tc>
        <w:tc>
          <w:tcPr>
            <w:tcW w:w="1248" w:type="dxa"/>
            <w:tcBorders>
              <w:top w:val="single" w:color="auto" w:sz="4" w:space="0"/>
              <w:left w:val="single" w:color="auto" w:sz="4" w:space="0"/>
            </w:tcBorders>
            <w:shd w:val="clear" w:color="auto" w:fill="FFFFFF"/>
            <w:noWrap w:val="0"/>
            <w:vAlign w:val="center"/>
          </w:tcPr>
          <w:p w14:paraId="14A5B657">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完成</w:t>
            </w:r>
          </w:p>
        </w:tc>
        <w:tc>
          <w:tcPr>
            <w:tcW w:w="1253" w:type="dxa"/>
            <w:tcBorders>
              <w:top w:val="single" w:color="auto" w:sz="4" w:space="0"/>
              <w:left w:val="single" w:color="auto" w:sz="4" w:space="0"/>
              <w:right w:val="single" w:color="auto" w:sz="4" w:space="0"/>
            </w:tcBorders>
            <w:shd w:val="clear" w:color="auto" w:fill="FFFFFF"/>
            <w:noWrap w:val="0"/>
            <w:vAlign w:val="center"/>
          </w:tcPr>
          <w:p w14:paraId="76ACB63F">
            <w:pPr>
              <w:pStyle w:val="15"/>
              <w:shd w:val="clear" w:color="auto" w:fill="auto"/>
              <w:spacing w:after="0" w:line="240" w:lineRule="auto"/>
              <w:rPr>
                <w:rFonts w:hint="eastAsia" w:ascii="宋体" w:hAnsi="宋体" w:eastAsia="宋体" w:cs="宋体"/>
                <w:spacing w:val="0"/>
                <w:sz w:val="21"/>
                <w:szCs w:val="21"/>
              </w:rPr>
            </w:pPr>
            <w:r>
              <w:rPr>
                <w:rFonts w:hint="eastAsia" w:cs="宋体"/>
                <w:spacing w:val="0"/>
                <w:sz w:val="21"/>
                <w:szCs w:val="21"/>
                <w:lang w:val="en-US" w:eastAsia="zh-CN"/>
              </w:rPr>
              <w:t>4</w:t>
            </w:r>
            <w:r>
              <w:rPr>
                <w:rFonts w:hint="eastAsia" w:ascii="宋体" w:hAnsi="宋体" w:eastAsia="宋体" w:cs="宋体"/>
                <w:spacing w:val="0"/>
                <w:sz w:val="21"/>
                <w:szCs w:val="21"/>
              </w:rPr>
              <w:t>.00</w:t>
            </w:r>
          </w:p>
        </w:tc>
      </w:tr>
      <w:tr w14:paraId="768E0E83">
        <w:tblPrEx>
          <w:tblCellMar>
            <w:top w:w="0" w:type="dxa"/>
            <w:left w:w="10" w:type="dxa"/>
            <w:bottom w:w="0" w:type="dxa"/>
            <w:right w:w="10" w:type="dxa"/>
          </w:tblCellMar>
        </w:tblPrEx>
        <w:trPr>
          <w:trHeight w:val="356" w:hRule="exact"/>
        </w:trPr>
        <w:tc>
          <w:tcPr>
            <w:tcW w:w="4795" w:type="dxa"/>
            <w:tcBorders>
              <w:top w:val="single" w:color="auto" w:sz="4" w:space="0"/>
              <w:left w:val="single" w:color="auto" w:sz="4" w:space="0"/>
            </w:tcBorders>
            <w:shd w:val="clear" w:color="auto" w:fill="FFFFFF"/>
            <w:noWrap w:val="0"/>
            <w:vAlign w:val="center"/>
          </w:tcPr>
          <w:p w14:paraId="5DD6C869">
            <w:pPr>
              <w:pStyle w:val="15"/>
              <w:shd w:val="clear" w:color="auto" w:fill="auto"/>
              <w:spacing w:after="0" w:line="240" w:lineRule="auto"/>
              <w:jc w:val="both"/>
              <w:rPr>
                <w:rFonts w:hint="eastAsia" w:ascii="宋体" w:hAnsi="宋体" w:eastAsia="宋体" w:cs="宋体"/>
                <w:spacing w:val="0"/>
                <w:sz w:val="21"/>
                <w:szCs w:val="21"/>
              </w:rPr>
            </w:pPr>
            <w:r>
              <w:rPr>
                <w:rFonts w:hint="eastAsia" w:ascii="宋体" w:hAnsi="宋体" w:eastAsia="宋体" w:cs="宋体"/>
                <w:spacing w:val="0"/>
                <w:sz w:val="21"/>
                <w:szCs w:val="21"/>
              </w:rPr>
              <w:t>C2</w:t>
            </w:r>
            <w:r>
              <w:rPr>
                <w:rFonts w:hint="eastAsia" w:cs="宋体"/>
                <w:spacing w:val="0"/>
                <w:sz w:val="21"/>
                <w:szCs w:val="21"/>
                <w:lang w:val="en-US" w:eastAsia="zh-CN"/>
              </w:rPr>
              <w:t>3</w:t>
            </w:r>
            <w:r>
              <w:rPr>
                <w:rFonts w:hint="eastAsia" w:ascii="宋体" w:hAnsi="宋体" w:eastAsia="宋体" w:cs="宋体"/>
                <w:spacing w:val="0"/>
                <w:sz w:val="21"/>
                <w:szCs w:val="21"/>
              </w:rPr>
              <w:t>.满意度</w:t>
            </w:r>
          </w:p>
        </w:tc>
        <w:tc>
          <w:tcPr>
            <w:tcW w:w="1243" w:type="dxa"/>
            <w:tcBorders>
              <w:top w:val="single" w:color="auto" w:sz="4" w:space="0"/>
              <w:left w:val="single" w:color="auto" w:sz="4" w:space="0"/>
            </w:tcBorders>
            <w:shd w:val="clear" w:color="auto" w:fill="FFFFFF"/>
            <w:noWrap w:val="0"/>
            <w:vAlign w:val="center"/>
          </w:tcPr>
          <w:p w14:paraId="54300350">
            <w:pPr>
              <w:pStyle w:val="15"/>
              <w:shd w:val="clear" w:color="auto" w:fill="auto"/>
              <w:spacing w:after="0" w:line="240" w:lineRule="auto"/>
              <w:rPr>
                <w:rFonts w:hint="eastAsia" w:ascii="宋体" w:hAnsi="宋体" w:eastAsia="宋体" w:cs="宋体"/>
                <w:spacing w:val="0"/>
                <w:sz w:val="21"/>
                <w:szCs w:val="21"/>
              </w:rPr>
            </w:pPr>
          </w:p>
        </w:tc>
        <w:tc>
          <w:tcPr>
            <w:tcW w:w="1248" w:type="dxa"/>
            <w:tcBorders>
              <w:top w:val="single" w:color="auto" w:sz="4" w:space="0"/>
              <w:left w:val="single" w:color="auto" w:sz="4" w:space="0"/>
            </w:tcBorders>
            <w:shd w:val="clear" w:color="auto" w:fill="FFFFFF"/>
            <w:noWrap w:val="0"/>
            <w:vAlign w:val="center"/>
          </w:tcPr>
          <w:p w14:paraId="671E9327">
            <w:pPr>
              <w:pStyle w:val="15"/>
              <w:shd w:val="clear" w:color="auto" w:fill="auto"/>
              <w:spacing w:after="0" w:line="240" w:lineRule="auto"/>
              <w:rPr>
                <w:rFonts w:hint="eastAsia" w:ascii="宋体" w:hAnsi="宋体" w:eastAsia="宋体" w:cs="宋体"/>
                <w:spacing w:val="0"/>
                <w:sz w:val="21"/>
                <w:szCs w:val="21"/>
                <w:lang w:eastAsia="en-US"/>
              </w:rPr>
            </w:pPr>
          </w:p>
        </w:tc>
        <w:tc>
          <w:tcPr>
            <w:tcW w:w="1253" w:type="dxa"/>
            <w:tcBorders>
              <w:top w:val="single" w:color="auto" w:sz="4" w:space="0"/>
              <w:left w:val="single" w:color="auto" w:sz="4" w:space="0"/>
              <w:right w:val="single" w:color="auto" w:sz="4" w:space="0"/>
            </w:tcBorders>
            <w:shd w:val="clear" w:color="auto" w:fill="FFFFFF"/>
            <w:noWrap w:val="0"/>
            <w:vAlign w:val="center"/>
          </w:tcPr>
          <w:p w14:paraId="0FEBA1BE">
            <w:pPr>
              <w:pStyle w:val="15"/>
              <w:shd w:val="clear" w:color="auto" w:fill="auto"/>
              <w:spacing w:after="0" w:line="240" w:lineRule="auto"/>
              <w:rPr>
                <w:rFonts w:hint="eastAsia" w:ascii="宋体" w:hAnsi="宋体" w:eastAsia="宋体" w:cs="宋体"/>
                <w:spacing w:val="0"/>
                <w:sz w:val="21"/>
                <w:szCs w:val="21"/>
                <w:lang w:eastAsia="en-US"/>
              </w:rPr>
            </w:pPr>
          </w:p>
        </w:tc>
      </w:tr>
      <w:tr w14:paraId="72AF54F5">
        <w:tblPrEx>
          <w:tblCellMar>
            <w:top w:w="0" w:type="dxa"/>
            <w:left w:w="10" w:type="dxa"/>
            <w:bottom w:w="0" w:type="dxa"/>
            <w:right w:w="10" w:type="dxa"/>
          </w:tblCellMar>
        </w:tblPrEx>
        <w:trPr>
          <w:trHeight w:val="356" w:hRule="exact"/>
        </w:trPr>
        <w:tc>
          <w:tcPr>
            <w:tcW w:w="4795" w:type="dxa"/>
            <w:tcBorders>
              <w:top w:val="single" w:color="auto" w:sz="4" w:space="0"/>
              <w:left w:val="single" w:color="auto" w:sz="4" w:space="0"/>
            </w:tcBorders>
            <w:shd w:val="clear" w:color="auto" w:fill="FFFFFF"/>
            <w:noWrap w:val="0"/>
            <w:vAlign w:val="center"/>
          </w:tcPr>
          <w:p w14:paraId="580C60DF">
            <w:pPr>
              <w:pStyle w:val="15"/>
              <w:shd w:val="clear" w:color="auto" w:fill="auto"/>
              <w:spacing w:after="0" w:line="240" w:lineRule="auto"/>
              <w:ind w:firstLine="420" w:firstLineChars="200"/>
              <w:jc w:val="both"/>
              <w:rPr>
                <w:rFonts w:hint="eastAsia" w:ascii="宋体" w:hAnsi="宋体" w:eastAsia="宋体" w:cs="宋体"/>
                <w:spacing w:val="0"/>
                <w:sz w:val="21"/>
                <w:szCs w:val="21"/>
              </w:rPr>
            </w:pPr>
            <w:r>
              <w:rPr>
                <w:rFonts w:hint="eastAsia" w:ascii="宋体" w:hAnsi="宋体" w:eastAsia="宋体" w:cs="宋体"/>
                <w:spacing w:val="0"/>
                <w:sz w:val="21"/>
                <w:szCs w:val="21"/>
              </w:rPr>
              <w:t>C2</w:t>
            </w:r>
            <w:r>
              <w:rPr>
                <w:rFonts w:hint="eastAsia" w:cs="宋体"/>
                <w:spacing w:val="0"/>
                <w:sz w:val="21"/>
                <w:szCs w:val="21"/>
                <w:lang w:val="en-US" w:eastAsia="zh-CN"/>
              </w:rPr>
              <w:t>3</w:t>
            </w:r>
            <w:r>
              <w:rPr>
                <w:rFonts w:hint="eastAsia" w:ascii="宋体" w:hAnsi="宋体" w:eastAsia="宋体" w:cs="宋体"/>
                <w:spacing w:val="0"/>
                <w:sz w:val="21"/>
                <w:szCs w:val="21"/>
              </w:rPr>
              <w:t>1.</w:t>
            </w:r>
            <w:r>
              <w:rPr>
                <w:rFonts w:hint="eastAsia" w:cs="宋体"/>
                <w:spacing w:val="0"/>
                <w:sz w:val="21"/>
                <w:szCs w:val="21"/>
                <w:lang w:eastAsia="zh-CN"/>
              </w:rPr>
              <w:t>受益对象</w:t>
            </w:r>
            <w:r>
              <w:rPr>
                <w:rFonts w:hint="eastAsia" w:ascii="宋体" w:hAnsi="宋体" w:eastAsia="宋体" w:cs="宋体"/>
                <w:spacing w:val="0"/>
                <w:sz w:val="21"/>
                <w:szCs w:val="21"/>
              </w:rPr>
              <w:t>满意度</w:t>
            </w:r>
          </w:p>
        </w:tc>
        <w:tc>
          <w:tcPr>
            <w:tcW w:w="1243" w:type="dxa"/>
            <w:tcBorders>
              <w:top w:val="single" w:color="auto" w:sz="4" w:space="0"/>
              <w:left w:val="single" w:color="auto" w:sz="4" w:space="0"/>
            </w:tcBorders>
            <w:shd w:val="clear" w:color="auto" w:fill="FFFFFF"/>
            <w:noWrap w:val="0"/>
            <w:vAlign w:val="center"/>
          </w:tcPr>
          <w:p w14:paraId="2802F492">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6</w:t>
            </w:r>
          </w:p>
        </w:tc>
        <w:tc>
          <w:tcPr>
            <w:tcW w:w="1248" w:type="dxa"/>
            <w:tcBorders>
              <w:top w:val="single" w:color="auto" w:sz="4" w:space="0"/>
              <w:left w:val="single" w:color="auto" w:sz="4" w:space="0"/>
            </w:tcBorders>
            <w:shd w:val="clear" w:color="auto" w:fill="FFFFFF"/>
            <w:noWrap w:val="0"/>
            <w:vAlign w:val="center"/>
          </w:tcPr>
          <w:p w14:paraId="13D621BB">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≥8</w:t>
            </w:r>
            <w:r>
              <w:rPr>
                <w:rFonts w:hint="eastAsia" w:cs="宋体"/>
                <w:spacing w:val="0"/>
                <w:sz w:val="21"/>
                <w:szCs w:val="21"/>
                <w:lang w:val="en-US" w:eastAsia="zh-CN"/>
              </w:rPr>
              <w:t>5</w:t>
            </w:r>
            <w:r>
              <w:rPr>
                <w:rFonts w:hint="eastAsia" w:ascii="宋体" w:hAnsi="宋体" w:eastAsia="宋体" w:cs="宋体"/>
                <w:spacing w:val="0"/>
                <w:sz w:val="21"/>
                <w:szCs w:val="21"/>
              </w:rPr>
              <w:t>%</w:t>
            </w:r>
          </w:p>
        </w:tc>
        <w:tc>
          <w:tcPr>
            <w:tcW w:w="1253" w:type="dxa"/>
            <w:tcBorders>
              <w:top w:val="single" w:color="auto" w:sz="4" w:space="0"/>
              <w:left w:val="single" w:color="auto" w:sz="4" w:space="0"/>
              <w:right w:val="single" w:color="auto" w:sz="4" w:space="0"/>
            </w:tcBorders>
            <w:shd w:val="clear" w:color="auto" w:fill="FFFFFF"/>
            <w:noWrap w:val="0"/>
            <w:vAlign w:val="center"/>
          </w:tcPr>
          <w:p w14:paraId="3567A7A1">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4.00</w:t>
            </w:r>
          </w:p>
        </w:tc>
      </w:tr>
      <w:tr w14:paraId="60AEC40A">
        <w:tblPrEx>
          <w:tblCellMar>
            <w:top w:w="0" w:type="dxa"/>
            <w:left w:w="10" w:type="dxa"/>
            <w:bottom w:w="0" w:type="dxa"/>
            <w:right w:w="10" w:type="dxa"/>
          </w:tblCellMar>
        </w:tblPrEx>
        <w:trPr>
          <w:trHeight w:val="371" w:hRule="exact"/>
        </w:trPr>
        <w:tc>
          <w:tcPr>
            <w:tcW w:w="4795" w:type="dxa"/>
            <w:tcBorders>
              <w:top w:val="single" w:color="auto" w:sz="4" w:space="0"/>
              <w:left w:val="single" w:color="auto" w:sz="4" w:space="0"/>
              <w:bottom w:val="single" w:color="auto" w:sz="4" w:space="0"/>
            </w:tcBorders>
            <w:shd w:val="clear" w:color="auto" w:fill="FFFFFF"/>
            <w:noWrap w:val="0"/>
            <w:vAlign w:val="center"/>
          </w:tcPr>
          <w:p w14:paraId="2E959C28">
            <w:pPr>
              <w:pStyle w:val="15"/>
              <w:shd w:val="clear" w:color="auto" w:fill="auto"/>
              <w:spacing w:after="0" w:line="240" w:lineRule="auto"/>
              <w:rPr>
                <w:rFonts w:hint="eastAsia" w:ascii="宋体" w:hAnsi="宋体" w:eastAsia="宋体" w:cs="宋体"/>
                <w:spacing w:val="0"/>
                <w:sz w:val="21"/>
                <w:szCs w:val="21"/>
                <w:lang w:eastAsia="zh-CN"/>
              </w:rPr>
            </w:pPr>
            <w:r>
              <w:rPr>
                <w:rFonts w:hint="eastAsia" w:cs="宋体"/>
                <w:spacing w:val="0"/>
                <w:sz w:val="21"/>
                <w:szCs w:val="21"/>
                <w:lang w:eastAsia="zh-CN"/>
              </w:rPr>
              <w:t>合计</w:t>
            </w:r>
          </w:p>
        </w:tc>
        <w:tc>
          <w:tcPr>
            <w:tcW w:w="1243" w:type="dxa"/>
            <w:tcBorders>
              <w:top w:val="single" w:color="auto" w:sz="4" w:space="0"/>
              <w:left w:val="single" w:color="auto" w:sz="4" w:space="0"/>
              <w:bottom w:val="single" w:color="auto" w:sz="4" w:space="0"/>
            </w:tcBorders>
            <w:shd w:val="clear" w:color="auto" w:fill="FFFFFF"/>
            <w:noWrap w:val="0"/>
            <w:vAlign w:val="center"/>
          </w:tcPr>
          <w:p w14:paraId="15084AE3">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30</w:t>
            </w:r>
          </w:p>
        </w:tc>
        <w:tc>
          <w:tcPr>
            <w:tcW w:w="1248" w:type="dxa"/>
            <w:tcBorders>
              <w:top w:val="single" w:color="auto" w:sz="4" w:space="0"/>
              <w:left w:val="single" w:color="auto" w:sz="4" w:space="0"/>
              <w:bottom w:val="single" w:color="auto" w:sz="4" w:space="0"/>
            </w:tcBorders>
            <w:shd w:val="clear" w:color="auto" w:fill="FFFFFF"/>
            <w:noWrap w:val="0"/>
            <w:vAlign w:val="top"/>
          </w:tcPr>
          <w:p w14:paraId="3F416A75">
            <w:pPr>
              <w:pStyle w:val="15"/>
              <w:shd w:val="clear" w:color="auto" w:fill="auto"/>
              <w:spacing w:after="0" w:line="240" w:lineRule="auto"/>
              <w:rPr>
                <w:rFonts w:hint="eastAsia" w:ascii="宋体" w:hAnsi="宋体" w:eastAsia="宋体" w:cs="宋体"/>
                <w:spacing w:val="0"/>
                <w:sz w:val="21"/>
                <w:szCs w:val="21"/>
              </w:rPr>
            </w:pPr>
          </w:p>
        </w:tc>
        <w:tc>
          <w:tcPr>
            <w:tcW w:w="12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0BD92A">
            <w:pPr>
              <w:pStyle w:val="15"/>
              <w:shd w:val="clear" w:color="auto" w:fill="auto"/>
              <w:spacing w:after="0" w:line="240" w:lineRule="auto"/>
              <w:rPr>
                <w:rFonts w:hint="eastAsia" w:ascii="宋体" w:hAnsi="宋体" w:eastAsia="宋体" w:cs="宋体"/>
                <w:spacing w:val="0"/>
                <w:sz w:val="21"/>
                <w:szCs w:val="21"/>
              </w:rPr>
            </w:pPr>
            <w:r>
              <w:rPr>
                <w:rFonts w:hint="eastAsia" w:ascii="宋体" w:hAnsi="宋体" w:eastAsia="宋体" w:cs="宋体"/>
                <w:spacing w:val="0"/>
                <w:sz w:val="21"/>
                <w:szCs w:val="21"/>
              </w:rPr>
              <w:t>2</w:t>
            </w:r>
            <w:r>
              <w:rPr>
                <w:rFonts w:hint="eastAsia" w:cs="宋体"/>
                <w:spacing w:val="0"/>
                <w:sz w:val="21"/>
                <w:szCs w:val="21"/>
                <w:lang w:val="en-US" w:eastAsia="zh-CN"/>
              </w:rPr>
              <w:t>7</w:t>
            </w:r>
            <w:r>
              <w:rPr>
                <w:rFonts w:hint="eastAsia" w:ascii="宋体" w:hAnsi="宋体" w:eastAsia="宋体" w:cs="宋体"/>
                <w:spacing w:val="0"/>
                <w:sz w:val="21"/>
                <w:szCs w:val="21"/>
              </w:rPr>
              <w:t>.00</w:t>
            </w:r>
          </w:p>
        </w:tc>
      </w:tr>
    </w:tbl>
    <w:p w14:paraId="1005A220">
      <w:pPr>
        <w:spacing w:line="590" w:lineRule="exact"/>
        <w:ind w:firstLine="562" w:firstLineChars="200"/>
        <w:contextualSpacing/>
        <w:rPr>
          <w:rFonts w:hint="eastAsia" w:ascii="仿宋_GB2312" w:hAnsi="楷体" w:eastAsia="仿宋_GB2312"/>
          <w:b/>
          <w:bCs/>
          <w:sz w:val="28"/>
          <w:szCs w:val="28"/>
        </w:rPr>
      </w:pPr>
      <w:r>
        <w:rPr>
          <w:rFonts w:hint="eastAsia" w:ascii="仿宋_GB2312" w:hAnsi="楷体" w:eastAsia="仿宋_GB2312"/>
          <w:b/>
          <w:bCs/>
          <w:sz w:val="28"/>
          <w:szCs w:val="28"/>
        </w:rPr>
        <w:t>C21.社会效益</w:t>
      </w:r>
    </w:p>
    <w:p w14:paraId="4313CA14">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sz w:val="28"/>
          <w:szCs w:val="28"/>
          <w:u w:val="single"/>
        </w:rPr>
        <w:t>C211.普查数据客观性：</w:t>
      </w:r>
      <w:r>
        <w:rPr>
          <w:rFonts w:hint="eastAsia" w:ascii="仿宋_GB2312" w:hAnsi="楷体" w:eastAsia="仿宋_GB2312" w:cs="Times New Roman"/>
          <w:spacing w:val="0"/>
          <w:kern w:val="2"/>
          <w:sz w:val="28"/>
          <w:szCs w:val="28"/>
          <w:u w:val="none"/>
          <w:lang w:val="zh-CN" w:eastAsia="zh-CN" w:bidi="ar-SA"/>
        </w:rPr>
        <w:t>按省、市要求，各类污染源抽样复核比例不低于30%，但由于盘龙区各类源的数量（工业源189家，集中式污染治理设施10家，移动源38家，行政村32个）不多，故复核工作采取全面覆盖式，即各类源100%全面复核。同时，认真做好企业“一企一档”的建设和补充、完善工作，并同样按100%全面复核，确保普查数据与原始凭证等台账资料一致，录入数据与报表数据一致。</w:t>
      </w:r>
    </w:p>
    <w:p w14:paraId="78F7D89D">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该项指标满分3分，根据评分标准得3分。</w:t>
      </w:r>
    </w:p>
    <w:p w14:paraId="21398DB2">
      <w:pPr>
        <w:spacing w:line="590" w:lineRule="exact"/>
        <w:ind w:firstLine="560" w:firstLineChars="200"/>
        <w:contextualSpacing/>
        <w:rPr>
          <w:rFonts w:hint="default" w:ascii="仿宋_GB2312" w:hAnsi="楷体" w:eastAsia="仿宋_GB2312" w:cs="Times New Roman"/>
          <w:spacing w:val="0"/>
          <w:kern w:val="2"/>
          <w:sz w:val="28"/>
          <w:szCs w:val="28"/>
          <w:u w:val="none"/>
          <w:lang w:val="en-US" w:eastAsia="zh-CN" w:bidi="ar-SA"/>
        </w:rPr>
      </w:pPr>
      <w:r>
        <w:rPr>
          <w:rFonts w:ascii="仿宋_GB2312" w:hAnsi="楷体" w:eastAsia="仿宋_GB2312"/>
          <w:sz w:val="28"/>
          <w:szCs w:val="28"/>
          <w:u w:val="single"/>
        </w:rPr>
        <w:t>C212.</w:t>
      </w:r>
      <w:r>
        <w:rPr>
          <w:rFonts w:hint="eastAsia" w:ascii="仿宋_GB2312" w:hAnsi="楷体" w:eastAsia="仿宋_GB2312"/>
          <w:sz w:val="28"/>
          <w:szCs w:val="28"/>
          <w:u w:val="single"/>
        </w:rPr>
        <w:t>污染源建档率：</w:t>
      </w:r>
      <w:r>
        <w:rPr>
          <w:rFonts w:hint="eastAsia" w:ascii="仿宋_GB2312" w:hAnsi="楷体" w:eastAsia="仿宋_GB2312" w:cs="Times New Roman"/>
          <w:spacing w:val="0"/>
          <w:kern w:val="2"/>
          <w:sz w:val="28"/>
          <w:szCs w:val="28"/>
          <w:u w:val="none"/>
          <w:lang w:val="zh-CN" w:eastAsia="zh-CN" w:bidi="ar-SA"/>
        </w:rPr>
        <w:t>根据昆明市生态环境局盘龙分局相关数据统计辖区内纳入调查的工业源189家，其中178家已建立“一企一档”，其余11家无法入户的企业均有相关佐证材料。集中式10家及移动源38家也均已建立“一源一档”，污染源建档率达</w:t>
      </w:r>
      <w:r>
        <w:rPr>
          <w:rFonts w:hint="eastAsia" w:ascii="仿宋_GB2312" w:hAnsi="楷体" w:eastAsia="仿宋_GB2312" w:cs="Times New Roman"/>
          <w:spacing w:val="0"/>
          <w:kern w:val="2"/>
          <w:sz w:val="28"/>
          <w:szCs w:val="28"/>
          <w:u w:val="none"/>
          <w:lang w:val="en-US" w:eastAsia="zh-CN" w:bidi="ar-SA"/>
        </w:rPr>
        <w:t>100%。</w:t>
      </w:r>
    </w:p>
    <w:p w14:paraId="0D651B16">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该项指标满分4分，根据评分标准得</w:t>
      </w:r>
      <w:r>
        <w:rPr>
          <w:rFonts w:hint="eastAsia" w:ascii="仿宋_GB2312" w:hAnsi="楷体" w:eastAsia="仿宋_GB2312" w:cs="Times New Roman"/>
          <w:spacing w:val="0"/>
          <w:kern w:val="2"/>
          <w:sz w:val="28"/>
          <w:szCs w:val="28"/>
          <w:u w:val="none"/>
          <w:lang w:val="en-US" w:eastAsia="zh-CN" w:bidi="ar-SA"/>
        </w:rPr>
        <w:t>4</w:t>
      </w:r>
      <w:r>
        <w:rPr>
          <w:rFonts w:hint="eastAsia" w:ascii="仿宋_GB2312" w:hAnsi="楷体" w:eastAsia="仿宋_GB2312" w:cs="Times New Roman"/>
          <w:spacing w:val="0"/>
          <w:kern w:val="2"/>
          <w:sz w:val="28"/>
          <w:szCs w:val="28"/>
          <w:u w:val="none"/>
          <w:lang w:val="zh-CN" w:eastAsia="zh-CN" w:bidi="ar-SA"/>
        </w:rPr>
        <w:t>分。</w:t>
      </w:r>
    </w:p>
    <w:p w14:paraId="7E591A39">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sz w:val="28"/>
          <w:szCs w:val="28"/>
          <w:u w:val="single"/>
        </w:rPr>
        <w:t>C2</w:t>
      </w:r>
      <w:r>
        <w:rPr>
          <w:rFonts w:hint="eastAsia" w:ascii="仿宋_GB2312" w:hAnsi="楷体" w:eastAsia="仿宋_GB2312"/>
          <w:sz w:val="28"/>
          <w:szCs w:val="28"/>
          <w:u w:val="single"/>
          <w:lang w:val="en-US" w:eastAsia="zh-CN"/>
        </w:rPr>
        <w:t>13群众知晓率</w:t>
      </w:r>
      <w:r>
        <w:rPr>
          <w:rFonts w:hint="eastAsia" w:ascii="仿宋_GB2312" w:hAnsi="楷体" w:eastAsia="仿宋_GB2312"/>
          <w:sz w:val="28"/>
          <w:szCs w:val="28"/>
          <w:u w:val="single"/>
        </w:rPr>
        <w:t>：</w:t>
      </w:r>
      <w:r>
        <w:rPr>
          <w:rFonts w:hint="eastAsia" w:ascii="仿宋_GB2312" w:hAnsi="仿宋" w:eastAsia="仿宋_GB2312"/>
          <w:spacing w:val="6"/>
          <w:kern w:val="0"/>
          <w:sz w:val="28"/>
          <w:szCs w:val="28"/>
          <w:highlight w:val="none"/>
          <w:u w:val="none"/>
          <w:lang w:val="en-US" w:eastAsia="zh-CN"/>
        </w:rPr>
        <w:t>根据调查问卷第一个问题计算公众知晓率，100份有效问卷中第一个问题选择A或B视为知晓，选择C或D视为不知晓。</w:t>
      </w:r>
      <w:r>
        <w:rPr>
          <w:rFonts w:hint="eastAsia" w:ascii="仿宋_GB2312" w:hAnsi="仿宋" w:eastAsia="仿宋_GB2312"/>
          <w:spacing w:val="6"/>
          <w:kern w:val="0"/>
          <w:sz w:val="28"/>
          <w:szCs w:val="28"/>
          <w:highlight w:val="none"/>
          <w:lang w:val="en-US" w:eastAsia="zh-CN"/>
        </w:rPr>
        <w:t>根据调查问卷结果显示，有57名群众选择A，28名群众选择B，15名群众选择C。根据评分标准计算公式：</w:t>
      </w:r>
      <w:r>
        <w:rPr>
          <w:rFonts w:hint="eastAsia" w:ascii="仿宋_GB2312" w:hAnsi="仿宋" w:eastAsia="仿宋_GB2312"/>
          <w:spacing w:val="6"/>
          <w:kern w:val="0"/>
          <w:sz w:val="28"/>
          <w:szCs w:val="28"/>
          <w:highlight w:val="none"/>
          <w:u w:val="none"/>
          <w:lang w:val="en-US" w:eastAsia="zh-CN"/>
        </w:rPr>
        <w:t>知晓率=社会调查问卷第一问题选A、B份数/有效问卷份数*100%。</w:t>
      </w:r>
      <w:r>
        <w:rPr>
          <w:rFonts w:hint="eastAsia" w:ascii="仿宋_GB2312" w:hAnsi="仿宋" w:eastAsia="仿宋_GB2312"/>
          <w:spacing w:val="6"/>
          <w:kern w:val="0"/>
          <w:sz w:val="28"/>
          <w:szCs w:val="28"/>
          <w:highlight w:val="none"/>
          <w:lang w:val="en-US" w:eastAsia="zh-CN"/>
        </w:rPr>
        <w:t>故</w:t>
      </w:r>
      <w:r>
        <w:rPr>
          <w:rFonts w:hint="eastAsia" w:ascii="仿宋_GB2312" w:hAnsi="仿宋" w:eastAsia="仿宋_GB2312"/>
          <w:spacing w:val="6"/>
          <w:kern w:val="0"/>
          <w:sz w:val="28"/>
          <w:szCs w:val="28"/>
          <w:highlight w:val="none"/>
          <w:u w:val="none"/>
          <w:lang w:val="en-US" w:eastAsia="zh-CN"/>
        </w:rPr>
        <w:t>知晓率</w:t>
      </w:r>
      <w:r>
        <w:rPr>
          <w:rFonts w:hint="eastAsia" w:ascii="仿宋_GB2312" w:hAnsi="仿宋" w:eastAsia="仿宋_GB2312"/>
          <w:spacing w:val="6"/>
          <w:kern w:val="0"/>
          <w:sz w:val="28"/>
          <w:szCs w:val="28"/>
          <w:highlight w:val="none"/>
          <w:lang w:val="en-US" w:eastAsia="zh-CN"/>
        </w:rPr>
        <w:t>=85/60*100%=85.00%。根据评分标准：知晓率＜90%；每下降5%的知晓率（不足5%按5%计算）扣权重分的20%，故扣除权重分20%既1分。</w:t>
      </w:r>
      <w:r>
        <w:rPr>
          <w:rFonts w:hint="eastAsia" w:ascii="仿宋_GB2312" w:hAnsi="楷体" w:eastAsia="仿宋_GB2312" w:cs="Times New Roman"/>
          <w:spacing w:val="0"/>
          <w:kern w:val="2"/>
          <w:sz w:val="28"/>
          <w:szCs w:val="28"/>
          <w:u w:val="none"/>
          <w:lang w:val="zh-CN" w:eastAsia="zh-CN" w:bidi="ar-SA"/>
        </w:rPr>
        <w:t>该项指标满分</w:t>
      </w:r>
      <w:r>
        <w:rPr>
          <w:rFonts w:hint="eastAsia" w:ascii="仿宋_GB2312" w:hAnsi="楷体" w:eastAsia="仿宋_GB2312" w:cs="Times New Roman"/>
          <w:spacing w:val="0"/>
          <w:kern w:val="2"/>
          <w:sz w:val="28"/>
          <w:szCs w:val="28"/>
          <w:u w:val="none"/>
          <w:lang w:val="en-US" w:eastAsia="zh-CN" w:bidi="ar-SA"/>
        </w:rPr>
        <w:t>5</w:t>
      </w:r>
      <w:r>
        <w:rPr>
          <w:rFonts w:hint="eastAsia" w:ascii="仿宋_GB2312" w:hAnsi="楷体" w:eastAsia="仿宋_GB2312" w:cs="Times New Roman"/>
          <w:spacing w:val="0"/>
          <w:kern w:val="2"/>
          <w:sz w:val="28"/>
          <w:szCs w:val="28"/>
          <w:u w:val="none"/>
          <w:lang w:val="zh-CN" w:eastAsia="zh-CN" w:bidi="ar-SA"/>
        </w:rPr>
        <w:t>分，根据评分标准得</w:t>
      </w:r>
      <w:r>
        <w:rPr>
          <w:rFonts w:hint="eastAsia" w:ascii="仿宋_GB2312" w:hAnsi="楷体" w:eastAsia="仿宋_GB2312" w:cs="Times New Roman"/>
          <w:spacing w:val="0"/>
          <w:kern w:val="2"/>
          <w:sz w:val="28"/>
          <w:szCs w:val="28"/>
          <w:u w:val="none"/>
          <w:lang w:val="en-US" w:eastAsia="zh-CN" w:bidi="ar-SA"/>
        </w:rPr>
        <w:t>4</w:t>
      </w:r>
      <w:r>
        <w:rPr>
          <w:rFonts w:hint="eastAsia" w:ascii="仿宋_GB2312" w:hAnsi="楷体" w:eastAsia="仿宋_GB2312" w:cs="Times New Roman"/>
          <w:spacing w:val="0"/>
          <w:kern w:val="2"/>
          <w:sz w:val="28"/>
          <w:szCs w:val="28"/>
          <w:u w:val="none"/>
          <w:lang w:val="zh-CN" w:eastAsia="zh-CN" w:bidi="ar-SA"/>
        </w:rPr>
        <w:t>分。</w:t>
      </w:r>
    </w:p>
    <w:p w14:paraId="5BB99295">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ascii="仿宋_GB2312" w:hAnsi="楷体" w:eastAsia="仿宋_GB2312"/>
          <w:sz w:val="28"/>
          <w:szCs w:val="28"/>
          <w:u w:val="single"/>
        </w:rPr>
        <w:t>C2</w:t>
      </w:r>
      <w:r>
        <w:rPr>
          <w:rFonts w:hint="eastAsia" w:ascii="仿宋_GB2312" w:hAnsi="楷体" w:eastAsia="仿宋_GB2312"/>
          <w:sz w:val="28"/>
          <w:szCs w:val="28"/>
          <w:u w:val="single"/>
          <w:lang w:val="en-US" w:eastAsia="zh-CN"/>
        </w:rPr>
        <w:t>14</w:t>
      </w:r>
      <w:r>
        <w:rPr>
          <w:rFonts w:ascii="仿宋_GB2312" w:hAnsi="楷体" w:eastAsia="仿宋_GB2312"/>
          <w:sz w:val="28"/>
          <w:szCs w:val="28"/>
          <w:u w:val="single"/>
        </w:rPr>
        <w:t>.</w:t>
      </w:r>
      <w:r>
        <w:rPr>
          <w:rFonts w:hint="eastAsia" w:ascii="仿宋_GB2312" w:hAnsi="楷体" w:eastAsia="仿宋_GB2312"/>
          <w:sz w:val="28"/>
          <w:szCs w:val="28"/>
          <w:u w:val="single"/>
        </w:rPr>
        <w:t>政策宣传针对性:</w:t>
      </w:r>
      <w:r>
        <w:rPr>
          <w:rFonts w:hint="eastAsia" w:ascii="仿宋_GB2312" w:hAnsi="楷体" w:eastAsia="仿宋_GB2312"/>
          <w:sz w:val="28"/>
          <w:szCs w:val="28"/>
          <w:u w:val="none"/>
          <w:lang w:eastAsia="zh-CN"/>
        </w:rPr>
        <w:t>为顺</w:t>
      </w:r>
      <w:r>
        <w:rPr>
          <w:rFonts w:hint="eastAsia" w:ascii="仿宋_GB2312" w:hAnsi="仿宋" w:eastAsia="仿宋_GB2312"/>
          <w:spacing w:val="6"/>
          <w:kern w:val="0"/>
          <w:sz w:val="28"/>
          <w:szCs w:val="28"/>
          <w:highlight w:val="none"/>
          <w:u w:val="none"/>
          <w:lang w:val="en-US" w:eastAsia="zh-CN"/>
        </w:rPr>
        <w:t>利开展盘龙区第二次全国污染源普查宣传工作，根据《云南省第二次全国污染源普查宣传工作方案》（云污普〔2018〕11号）要求和精神，盘龙区已经制定了《盘龙区第二次全国污染源普查宣传工作方案》。盘龙区利用噪声显示屏对污普工作进行宣传、动员。盘龙区噪声显示屏分别位于人流量大和地段敏感的东风广场、董家湾小游园、白云路与北京路交叉口、霖雨桥、世博园和桃源广场，可以滚动播放高清、全彩宣教视频或图片，对污普工作的宣传动员起到了积极促进作用。2019年以来，盘龙区以“六五”世界环境日主题宣传活动为契机，积极组织开展污普宣教活动，迅速、积极掀起污普宣传活动高潮。</w:t>
      </w:r>
    </w:p>
    <w:p w14:paraId="56658C1E">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w:t>
      </w:r>
      <w:r>
        <w:rPr>
          <w:rFonts w:hint="eastAsia" w:ascii="仿宋_GB2312" w:hAnsi="楷体" w:eastAsia="仿宋_GB2312" w:cs="Times New Roman"/>
          <w:spacing w:val="0"/>
          <w:kern w:val="2"/>
          <w:sz w:val="28"/>
          <w:szCs w:val="28"/>
          <w:u w:val="none"/>
          <w:lang w:val="en-US" w:eastAsia="zh-CN" w:bidi="ar-SA"/>
        </w:rPr>
        <w:t>4</w:t>
      </w:r>
      <w:r>
        <w:rPr>
          <w:rFonts w:hint="eastAsia" w:ascii="仿宋_GB2312" w:hAnsi="楷体" w:eastAsia="仿宋_GB2312" w:cs="Times New Roman"/>
          <w:spacing w:val="0"/>
          <w:kern w:val="2"/>
          <w:sz w:val="28"/>
          <w:szCs w:val="28"/>
          <w:u w:val="none"/>
          <w:lang w:val="zh-CN" w:eastAsia="zh-CN" w:bidi="ar-SA"/>
        </w:rPr>
        <w:t>分，根据评分标准得</w:t>
      </w:r>
      <w:r>
        <w:rPr>
          <w:rFonts w:hint="eastAsia" w:ascii="仿宋_GB2312" w:hAnsi="楷体" w:eastAsia="仿宋_GB2312" w:cs="Times New Roman"/>
          <w:spacing w:val="0"/>
          <w:kern w:val="2"/>
          <w:sz w:val="28"/>
          <w:szCs w:val="28"/>
          <w:u w:val="none"/>
          <w:lang w:val="en-US" w:eastAsia="zh-CN" w:bidi="ar-SA"/>
        </w:rPr>
        <w:t>4</w:t>
      </w:r>
      <w:r>
        <w:rPr>
          <w:rFonts w:hint="eastAsia" w:ascii="仿宋_GB2312" w:hAnsi="楷体" w:eastAsia="仿宋_GB2312" w:cs="Times New Roman"/>
          <w:spacing w:val="0"/>
          <w:kern w:val="2"/>
          <w:sz w:val="28"/>
          <w:szCs w:val="28"/>
          <w:u w:val="none"/>
          <w:lang w:val="zh-CN" w:eastAsia="zh-CN" w:bidi="ar-SA"/>
        </w:rPr>
        <w:t>分。</w:t>
      </w:r>
    </w:p>
    <w:p w14:paraId="04A30116">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ascii="仿宋_GB2312" w:hAnsi="楷体" w:eastAsia="仿宋_GB2312"/>
          <w:sz w:val="28"/>
          <w:szCs w:val="28"/>
          <w:u w:val="single"/>
        </w:rPr>
        <w:t>C2</w:t>
      </w:r>
      <w:r>
        <w:rPr>
          <w:rFonts w:hint="eastAsia" w:ascii="仿宋_GB2312" w:hAnsi="楷体" w:eastAsia="仿宋_GB2312"/>
          <w:sz w:val="28"/>
          <w:szCs w:val="28"/>
          <w:u w:val="single"/>
          <w:lang w:val="en-US" w:eastAsia="zh-CN"/>
        </w:rPr>
        <w:t>15</w:t>
      </w:r>
      <w:r>
        <w:rPr>
          <w:rFonts w:ascii="仿宋_GB2312" w:hAnsi="楷体" w:eastAsia="仿宋_GB2312"/>
          <w:sz w:val="28"/>
          <w:szCs w:val="28"/>
          <w:u w:val="single"/>
        </w:rPr>
        <w:t>.</w:t>
      </w:r>
      <w:r>
        <w:rPr>
          <w:rFonts w:hint="eastAsia" w:ascii="仿宋_GB2312" w:hAnsi="楷体" w:eastAsia="仿宋_GB2312"/>
          <w:sz w:val="28"/>
          <w:szCs w:val="28"/>
          <w:u w:val="single"/>
        </w:rPr>
        <w:t>信息采集完整性：</w:t>
      </w:r>
      <w:r>
        <w:rPr>
          <w:rFonts w:hint="eastAsia" w:ascii="仿宋_GB2312" w:hAnsi="仿宋" w:eastAsia="仿宋_GB2312"/>
          <w:spacing w:val="6"/>
          <w:kern w:val="0"/>
          <w:sz w:val="28"/>
          <w:szCs w:val="28"/>
          <w:highlight w:val="none"/>
          <w:u w:val="none"/>
          <w:lang w:val="en-US" w:eastAsia="zh-CN"/>
        </w:rPr>
        <w:t>该项目严格</w:t>
      </w:r>
      <w:r>
        <w:rPr>
          <w:rFonts w:hint="eastAsia" w:ascii="仿宋_GB2312" w:hAnsi="仿宋" w:eastAsia="仿宋_GB2312"/>
          <w:spacing w:val="6"/>
          <w:kern w:val="0"/>
          <w:sz w:val="28"/>
          <w:szCs w:val="28"/>
          <w:highlight w:val="none"/>
          <w:u w:val="none"/>
          <w:lang w:val="zh-CN" w:eastAsia="zh-CN"/>
        </w:rPr>
        <w:t>按照</w:t>
      </w:r>
      <w:r>
        <w:rPr>
          <w:rFonts w:hint="eastAsia" w:ascii="仿宋_GB2312" w:hAnsi="楷体" w:eastAsia="仿宋_GB2312" w:cs="Times New Roman"/>
          <w:spacing w:val="0"/>
          <w:kern w:val="2"/>
          <w:sz w:val="28"/>
          <w:szCs w:val="28"/>
          <w:u w:val="none"/>
          <w:lang w:val="zh-CN" w:eastAsia="zh-CN" w:bidi="ar-SA"/>
        </w:rPr>
        <w:t>第二次全国污染源普查有关技术规定要求，采集到的数据信息包含单位基本信息、活动水平信息、污染治理设施和排放口信息、城乡居民能源消费情况、生活污水（用排水）情况等相关信息。采集的信息符合完整性要求。</w:t>
      </w:r>
    </w:p>
    <w:p w14:paraId="49A3D5A1">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该项指标满分4分，根据评分标准得4分。</w:t>
      </w:r>
    </w:p>
    <w:p w14:paraId="6EEFB57D">
      <w:pPr>
        <w:spacing w:line="590" w:lineRule="exact"/>
        <w:ind w:firstLine="562" w:firstLineChars="200"/>
        <w:contextualSpacing/>
        <w:rPr>
          <w:rFonts w:hint="eastAsia" w:ascii="仿宋_GB2312" w:hAnsi="楷体" w:eastAsia="仿宋_GB2312"/>
          <w:b/>
          <w:bCs/>
          <w:sz w:val="28"/>
          <w:szCs w:val="28"/>
          <w:lang w:eastAsia="zh-CN"/>
        </w:rPr>
      </w:pPr>
      <w:r>
        <w:rPr>
          <w:rFonts w:ascii="仿宋_GB2312" w:hAnsi="楷体" w:eastAsia="仿宋_GB2312"/>
          <w:b/>
          <w:bCs/>
          <w:sz w:val="28"/>
          <w:szCs w:val="28"/>
        </w:rPr>
        <w:t>C2</w:t>
      </w:r>
      <w:r>
        <w:rPr>
          <w:rFonts w:hint="eastAsia" w:ascii="仿宋_GB2312" w:hAnsi="楷体" w:eastAsia="仿宋_GB2312"/>
          <w:b/>
          <w:bCs/>
          <w:sz w:val="28"/>
          <w:szCs w:val="28"/>
          <w:lang w:val="en-US" w:eastAsia="zh-CN"/>
        </w:rPr>
        <w:t>2</w:t>
      </w:r>
      <w:r>
        <w:rPr>
          <w:rFonts w:ascii="仿宋_GB2312" w:hAnsi="楷体" w:eastAsia="仿宋_GB2312"/>
          <w:b/>
          <w:bCs/>
          <w:sz w:val="28"/>
          <w:szCs w:val="28"/>
        </w:rPr>
        <w:t>.可持续</w:t>
      </w:r>
      <w:r>
        <w:rPr>
          <w:rFonts w:hint="eastAsia" w:ascii="仿宋_GB2312" w:hAnsi="楷体" w:eastAsia="仿宋_GB2312"/>
          <w:b/>
          <w:bCs/>
          <w:sz w:val="28"/>
          <w:szCs w:val="28"/>
          <w:lang w:eastAsia="zh-CN"/>
        </w:rPr>
        <w:t>发展影响</w:t>
      </w:r>
    </w:p>
    <w:p w14:paraId="3D230B41">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ascii="仿宋_GB2312" w:hAnsi="楷体" w:eastAsia="仿宋_GB2312"/>
          <w:sz w:val="28"/>
          <w:szCs w:val="28"/>
          <w:u w:val="single"/>
        </w:rPr>
        <w:t>C2</w:t>
      </w:r>
      <w:r>
        <w:rPr>
          <w:rFonts w:hint="eastAsia" w:ascii="仿宋_GB2312" w:hAnsi="楷体" w:eastAsia="仿宋_GB2312"/>
          <w:sz w:val="28"/>
          <w:szCs w:val="28"/>
          <w:u w:val="single"/>
          <w:lang w:val="en-US" w:eastAsia="zh-CN"/>
        </w:rPr>
        <w:t>2</w:t>
      </w:r>
      <w:r>
        <w:rPr>
          <w:rFonts w:ascii="仿宋_GB2312" w:hAnsi="楷体" w:eastAsia="仿宋_GB2312"/>
          <w:sz w:val="28"/>
          <w:szCs w:val="28"/>
          <w:u w:val="single"/>
        </w:rPr>
        <w:t>1.项目可持续影响</w:t>
      </w:r>
      <w:r>
        <w:rPr>
          <w:rFonts w:hint="eastAsia" w:ascii="仿宋_GB2312" w:hAnsi="楷体" w:eastAsia="仿宋_GB2312"/>
          <w:sz w:val="28"/>
          <w:szCs w:val="28"/>
          <w:u w:val="single"/>
        </w:rPr>
        <w:t>：</w:t>
      </w:r>
      <w:r>
        <w:rPr>
          <w:rFonts w:hint="eastAsia" w:ascii="仿宋_GB2312" w:hAnsi="楷体" w:eastAsia="仿宋_GB2312" w:cs="Times New Roman"/>
          <w:spacing w:val="0"/>
          <w:kern w:val="2"/>
          <w:sz w:val="28"/>
          <w:szCs w:val="28"/>
          <w:u w:val="none"/>
          <w:lang w:val="zh-CN" w:eastAsia="zh-CN" w:bidi="ar-SA"/>
        </w:rPr>
        <w:t>昆明市生态环境局盘龙局定期做好盘龙区信息公开网站的日常维护工作，对外发布行政审批、工作动态等相关工作信息，及时完善、更新公开内容；认真做好分局微信、微博平台的应用和维护工作，并严格按照《第二次全国污染源普查技术规定》和《第二次全国污染源普查制度》的要求，持续开展入户调查与数据采集阶段普查数据的抽查、核查及整改工作。</w:t>
      </w:r>
    </w:p>
    <w:p w14:paraId="283FD3BD">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该项指标满分</w:t>
      </w:r>
      <w:r>
        <w:rPr>
          <w:rFonts w:hint="eastAsia" w:ascii="仿宋_GB2312" w:hAnsi="楷体" w:eastAsia="仿宋_GB2312" w:cs="Times New Roman"/>
          <w:spacing w:val="0"/>
          <w:kern w:val="2"/>
          <w:sz w:val="28"/>
          <w:szCs w:val="28"/>
          <w:u w:val="none"/>
          <w:lang w:val="en-US" w:eastAsia="zh-CN" w:bidi="ar-SA"/>
        </w:rPr>
        <w:t>4</w:t>
      </w:r>
      <w:r>
        <w:rPr>
          <w:rFonts w:hint="eastAsia" w:ascii="仿宋_GB2312" w:hAnsi="楷体" w:eastAsia="仿宋_GB2312" w:cs="Times New Roman"/>
          <w:spacing w:val="0"/>
          <w:kern w:val="2"/>
          <w:sz w:val="28"/>
          <w:szCs w:val="28"/>
          <w:u w:val="none"/>
          <w:lang w:val="zh-CN" w:eastAsia="zh-CN" w:bidi="ar-SA"/>
        </w:rPr>
        <w:t>分，根据评分标准得</w:t>
      </w:r>
      <w:r>
        <w:rPr>
          <w:rFonts w:hint="eastAsia" w:ascii="仿宋_GB2312" w:hAnsi="楷体" w:eastAsia="仿宋_GB2312" w:cs="Times New Roman"/>
          <w:spacing w:val="0"/>
          <w:kern w:val="2"/>
          <w:sz w:val="28"/>
          <w:szCs w:val="28"/>
          <w:u w:val="none"/>
          <w:lang w:val="en-US" w:eastAsia="zh-CN" w:bidi="ar-SA"/>
        </w:rPr>
        <w:t>4</w:t>
      </w:r>
      <w:r>
        <w:rPr>
          <w:rFonts w:hint="eastAsia" w:ascii="仿宋_GB2312" w:hAnsi="楷体" w:eastAsia="仿宋_GB2312" w:cs="Times New Roman"/>
          <w:spacing w:val="0"/>
          <w:kern w:val="2"/>
          <w:sz w:val="28"/>
          <w:szCs w:val="28"/>
          <w:u w:val="none"/>
          <w:lang w:val="zh-CN" w:eastAsia="zh-CN" w:bidi="ar-SA"/>
        </w:rPr>
        <w:t>分。</w:t>
      </w:r>
    </w:p>
    <w:p w14:paraId="1868F7AD">
      <w:pPr>
        <w:spacing w:line="590" w:lineRule="exact"/>
        <w:ind w:firstLine="562" w:firstLineChars="200"/>
        <w:contextualSpacing/>
        <w:rPr>
          <w:rFonts w:hint="eastAsia" w:ascii="仿宋_GB2312" w:hAnsi="楷体" w:eastAsia="仿宋_GB2312"/>
          <w:b/>
          <w:bCs/>
          <w:sz w:val="28"/>
          <w:szCs w:val="28"/>
        </w:rPr>
      </w:pPr>
      <w:r>
        <w:rPr>
          <w:rFonts w:ascii="仿宋_GB2312" w:hAnsi="楷体" w:eastAsia="仿宋_GB2312"/>
          <w:b/>
          <w:bCs/>
          <w:sz w:val="28"/>
          <w:szCs w:val="28"/>
        </w:rPr>
        <w:t>C2</w:t>
      </w:r>
      <w:r>
        <w:rPr>
          <w:rFonts w:hint="eastAsia" w:ascii="仿宋_GB2312" w:hAnsi="楷体" w:eastAsia="仿宋_GB2312"/>
          <w:b/>
          <w:bCs/>
          <w:sz w:val="28"/>
          <w:szCs w:val="28"/>
          <w:lang w:val="en-US" w:eastAsia="zh-CN"/>
        </w:rPr>
        <w:t>3</w:t>
      </w:r>
      <w:r>
        <w:rPr>
          <w:rFonts w:ascii="仿宋_GB2312" w:hAnsi="楷体" w:eastAsia="仿宋_GB2312"/>
          <w:b/>
          <w:bCs/>
          <w:sz w:val="28"/>
          <w:szCs w:val="28"/>
        </w:rPr>
        <w:t>.</w:t>
      </w:r>
      <w:r>
        <w:rPr>
          <w:rFonts w:hint="eastAsia" w:ascii="仿宋_GB2312" w:hAnsi="楷体" w:eastAsia="仿宋_GB2312"/>
          <w:b/>
          <w:bCs/>
          <w:sz w:val="28"/>
          <w:szCs w:val="28"/>
        </w:rPr>
        <w:t>满意度</w:t>
      </w:r>
    </w:p>
    <w:p w14:paraId="370252D7">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ascii="仿宋_GB2312" w:hAnsi="楷体" w:eastAsia="仿宋_GB2312"/>
          <w:sz w:val="28"/>
          <w:szCs w:val="28"/>
          <w:u w:val="single"/>
        </w:rPr>
        <w:t>C2</w:t>
      </w:r>
      <w:r>
        <w:rPr>
          <w:rFonts w:hint="eastAsia" w:ascii="仿宋_GB2312" w:hAnsi="楷体" w:eastAsia="仿宋_GB2312"/>
          <w:sz w:val="28"/>
          <w:szCs w:val="28"/>
          <w:u w:val="single"/>
          <w:lang w:val="en-US" w:eastAsia="zh-CN"/>
        </w:rPr>
        <w:t>3</w:t>
      </w:r>
      <w:r>
        <w:rPr>
          <w:rFonts w:ascii="仿宋_GB2312" w:hAnsi="楷体" w:eastAsia="仿宋_GB2312"/>
          <w:sz w:val="28"/>
          <w:szCs w:val="28"/>
          <w:u w:val="single"/>
        </w:rPr>
        <w:t>1.</w:t>
      </w:r>
      <w:r>
        <w:rPr>
          <w:rFonts w:hint="eastAsia" w:ascii="仿宋_GB2312" w:hAnsi="楷体" w:eastAsia="仿宋_GB2312"/>
          <w:sz w:val="28"/>
          <w:szCs w:val="28"/>
          <w:u w:val="single"/>
          <w:lang w:eastAsia="zh-CN"/>
        </w:rPr>
        <w:t>受益对象</w:t>
      </w:r>
      <w:r>
        <w:rPr>
          <w:rFonts w:ascii="仿宋_GB2312" w:hAnsi="楷体" w:eastAsia="仿宋_GB2312"/>
          <w:sz w:val="28"/>
          <w:szCs w:val="28"/>
          <w:u w:val="single"/>
        </w:rPr>
        <w:t>满意度</w:t>
      </w:r>
      <w:r>
        <w:rPr>
          <w:rFonts w:hint="eastAsia" w:ascii="仿宋_GB2312" w:hAnsi="楷体" w:eastAsia="仿宋_GB2312"/>
          <w:sz w:val="28"/>
          <w:szCs w:val="28"/>
          <w:u w:val="single"/>
        </w:rPr>
        <w:t>：</w:t>
      </w:r>
      <w:r>
        <w:rPr>
          <w:rFonts w:hint="eastAsia" w:ascii="仿宋_GB2312" w:hAnsi="楷体" w:eastAsia="仿宋_GB2312" w:cs="Times New Roman"/>
          <w:spacing w:val="0"/>
          <w:kern w:val="2"/>
          <w:sz w:val="28"/>
          <w:szCs w:val="28"/>
          <w:u w:val="none"/>
          <w:lang w:val="zh-CN" w:eastAsia="zh-CN" w:bidi="ar-SA"/>
        </w:rPr>
        <w:t>本次问卷发放的对象分为昆明市盘龙区所涉企业</w:t>
      </w:r>
      <w:r>
        <w:rPr>
          <w:rFonts w:hint="eastAsia" w:ascii="仿宋_GB2312" w:hAnsi="仿宋" w:eastAsia="仿宋_GB2312"/>
          <w:spacing w:val="6"/>
          <w:kern w:val="0"/>
          <w:sz w:val="28"/>
          <w:szCs w:val="28"/>
          <w:highlight w:val="none"/>
          <w:lang w:val="en-US" w:eastAsia="zh-CN"/>
        </w:rPr>
        <w:t>及其周边居民</w:t>
      </w:r>
      <w:r>
        <w:rPr>
          <w:rFonts w:hint="eastAsia" w:ascii="仿宋_GB2312" w:hAnsi="楷体" w:eastAsia="仿宋_GB2312" w:cs="Times New Roman"/>
          <w:spacing w:val="0"/>
          <w:kern w:val="2"/>
          <w:sz w:val="28"/>
          <w:szCs w:val="28"/>
          <w:u w:val="none"/>
          <w:lang w:val="zh-CN" w:eastAsia="zh-CN" w:bidi="ar-SA"/>
        </w:rPr>
        <w:t>，满意度调查结果加权得分作为衡量公众满意度的标准。通过回收的</w:t>
      </w:r>
      <w:r>
        <w:rPr>
          <w:rFonts w:hint="eastAsia" w:ascii="仿宋_GB2312" w:hAnsi="楷体" w:eastAsia="仿宋_GB2312" w:cs="Times New Roman"/>
          <w:spacing w:val="0"/>
          <w:kern w:val="2"/>
          <w:sz w:val="28"/>
          <w:szCs w:val="28"/>
          <w:u w:val="none"/>
          <w:lang w:val="en-US" w:eastAsia="zh-CN" w:bidi="ar-SA"/>
        </w:rPr>
        <w:t>100份有效问卷结果统计，该项目受益对象满意度为85%。</w:t>
      </w:r>
      <w:r>
        <w:rPr>
          <w:rFonts w:hint="eastAsia" w:ascii="仿宋_GB2312" w:hAnsi="楷体" w:eastAsia="仿宋_GB2312" w:cs="Times New Roman"/>
          <w:spacing w:val="0"/>
          <w:kern w:val="2"/>
          <w:sz w:val="28"/>
          <w:szCs w:val="28"/>
          <w:u w:val="none"/>
          <w:lang w:val="zh-CN" w:eastAsia="zh-CN" w:bidi="ar-SA"/>
        </w:rPr>
        <w:br w:type="textWrapping"/>
      </w:r>
      <w:r>
        <w:rPr>
          <w:rFonts w:hint="eastAsia" w:ascii="仿宋_GB2312" w:hAnsi="楷体" w:eastAsia="仿宋_GB2312" w:cs="Times New Roman"/>
          <w:spacing w:val="0"/>
          <w:kern w:val="2"/>
          <w:sz w:val="28"/>
          <w:szCs w:val="28"/>
          <w:u w:val="none"/>
          <w:lang w:val="zh-CN" w:eastAsia="zh-CN" w:bidi="ar-SA"/>
        </w:rPr>
        <w:t xml:space="preserve">  该项指标满分6分，根据评分标准得4分。</w:t>
      </w:r>
    </w:p>
    <w:p w14:paraId="294308CE">
      <w:pPr>
        <w:topLinePunct/>
        <w:spacing w:line="440" w:lineRule="exact"/>
        <w:ind w:firstLine="750" w:firstLineChars="250"/>
        <w:rPr>
          <w:rFonts w:hint="eastAsia" w:ascii="黑体" w:hAnsi="黑体" w:eastAsia="黑体"/>
          <w:sz w:val="30"/>
          <w:szCs w:val="30"/>
        </w:rPr>
      </w:pPr>
      <w:r>
        <w:rPr>
          <w:rFonts w:hint="eastAsia" w:ascii="黑体" w:hAnsi="黑体" w:eastAsia="黑体"/>
          <w:sz w:val="30"/>
          <w:szCs w:val="30"/>
        </w:rPr>
        <w:t>四、主要经验及做法、存在的问题和建议</w:t>
      </w:r>
    </w:p>
    <w:p w14:paraId="7A760F95">
      <w:pPr>
        <w:topLinePunct/>
        <w:spacing w:line="440" w:lineRule="exact"/>
        <w:ind w:firstLine="750" w:firstLineChars="250"/>
        <w:rPr>
          <w:rFonts w:hint="eastAsia" w:ascii="楷体" w:hAnsi="楷体" w:eastAsia="楷体"/>
          <w:sz w:val="30"/>
          <w:szCs w:val="30"/>
          <w:lang w:eastAsia="zh-CN"/>
        </w:rPr>
      </w:pPr>
      <w:r>
        <w:rPr>
          <w:rFonts w:hint="eastAsia" w:ascii="楷体" w:hAnsi="楷体" w:eastAsia="楷体"/>
          <w:sz w:val="30"/>
          <w:szCs w:val="30"/>
          <w:lang w:eastAsia="zh-CN"/>
        </w:rPr>
        <w:t>（一）主要经验及做法</w:t>
      </w:r>
    </w:p>
    <w:p w14:paraId="2913AAEA">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en-US" w:eastAsia="zh-CN" w:bidi="ar-SA"/>
        </w:rPr>
        <w:t>1.</w:t>
      </w:r>
      <w:r>
        <w:rPr>
          <w:rFonts w:hint="eastAsia" w:ascii="仿宋_GB2312" w:hAnsi="楷体" w:eastAsia="仿宋_GB2312" w:cs="Times New Roman"/>
          <w:spacing w:val="0"/>
          <w:kern w:val="2"/>
          <w:sz w:val="28"/>
          <w:szCs w:val="28"/>
          <w:u w:val="none"/>
          <w:lang w:val="zh-CN" w:eastAsia="zh-CN" w:bidi="ar-SA"/>
        </w:rPr>
        <w:t>按省、市要求，各类污染源抽样复核比例不低于30%，但由于盘龙区各类源的数量（工业源189家，集中式污染治理设施10家，移动源38家，行政村32个）不多，故复核工作采取全面覆盖式，即各类源100%全面复核。同时，认真做好企业“一企一档”的建设和补充、完善工作，并同样按100%全面复核，确保普查数据与原始凭证等台账资料一致，录入数据与报表数据一致。同时，盘龙区结合实际，抽取了茨坝街道的花渔沟社区（6家）、东华街道的席子营社区（1家）、鼓楼街道的灵光社区（1家）、金辰街道的金实社区（1家）、青云街道的青龙社区（3家）和双龙街道的乌龙社区（7家），滇源街道及阿子营街道共8个普查小区，根据已经掌握的各类污染源信息，对普查入户调查形成的基本单位名录进行校核比对，其中工业源17个，集中式1个，生活源5个，移动源1个，补充调查（新增）0个，不具备入户调查条件1个。经过比对，抽取的8个普查小区的入户调查名录完整且不重不漏。</w:t>
      </w:r>
    </w:p>
    <w:p w14:paraId="77F3BDCB">
      <w:pPr>
        <w:spacing w:line="590" w:lineRule="exact"/>
        <w:ind w:firstLine="560" w:firstLineChars="200"/>
        <w:contextualSpacing/>
        <w:rPr>
          <w:rFonts w:hint="eastAsia" w:ascii="楷体" w:hAnsi="楷体" w:eastAsia="楷体"/>
          <w:sz w:val="30"/>
          <w:szCs w:val="30"/>
          <w:lang w:eastAsia="zh-CN"/>
        </w:rPr>
      </w:pPr>
      <w:r>
        <w:rPr>
          <w:rFonts w:hint="eastAsia" w:ascii="仿宋_GB2312" w:hAnsi="楷体" w:eastAsia="仿宋_GB2312" w:cs="Times New Roman"/>
          <w:spacing w:val="0"/>
          <w:kern w:val="2"/>
          <w:sz w:val="28"/>
          <w:szCs w:val="28"/>
          <w:u w:val="none"/>
          <w:lang w:val="en-US" w:eastAsia="zh-CN" w:bidi="ar-SA"/>
        </w:rPr>
        <w:t>2.</w:t>
      </w:r>
      <w:r>
        <w:rPr>
          <w:rFonts w:hint="eastAsia" w:ascii="仿宋_GB2312" w:hAnsi="楷体" w:eastAsia="仿宋_GB2312" w:cs="Times New Roman"/>
          <w:spacing w:val="0"/>
          <w:kern w:val="2"/>
          <w:sz w:val="28"/>
          <w:szCs w:val="28"/>
          <w:u w:val="none"/>
          <w:lang w:val="zh-CN" w:eastAsia="zh-CN" w:bidi="ar-SA"/>
        </w:rPr>
        <w:t>根据《云南省第二次全国污染源普查领导小组办公室关于转发〈国务院第二次全国污染源普查领导小组办公室关于开展污染源基本单位名录比对核实工作的通知〉的通知》的要求及《关于加快推进第二次全国污染源普查数据核算工作的通知》，盘龙区对本辖区的入户调查数据库认真开展全面地比对、核实和增补工作，力求做到“应查尽查，不重不漏”。为了避免核查企业的遗漏，盘龙分局第一时间联系相关职能部门提供2017全年用电量数据中的工业企业清单、农业农村部畜禽规模养殖场直联直报信息系统相关数据、重污染天气应急名单、“12369”等其他信访举报清单、“散乱污”企业排查清单，根据以上相关企业数据和已纳入普查的企业进行核对。核实情况为不匹配企业数139家，其中已纳入普查，名称变更企业1家；2017年已关停、取缔数量为8家；不在普查范围内企业128家，已核实补充纳入企业数量2家。</w:t>
      </w:r>
    </w:p>
    <w:p w14:paraId="6D783254">
      <w:pPr>
        <w:topLinePunct/>
        <w:spacing w:line="440" w:lineRule="exact"/>
        <w:ind w:firstLine="750" w:firstLineChars="250"/>
        <w:rPr>
          <w:rFonts w:hint="eastAsia" w:ascii="楷体" w:hAnsi="楷体" w:eastAsia="楷体"/>
          <w:sz w:val="30"/>
          <w:szCs w:val="30"/>
        </w:rPr>
      </w:pPr>
      <w:r>
        <w:rPr>
          <w:rFonts w:hint="eastAsia" w:ascii="楷体" w:hAnsi="楷体" w:eastAsia="楷体"/>
          <w:sz w:val="30"/>
          <w:szCs w:val="30"/>
        </w:rPr>
        <w:t>（</w:t>
      </w:r>
      <w:r>
        <w:rPr>
          <w:rFonts w:hint="eastAsia" w:ascii="楷体" w:hAnsi="楷体" w:eastAsia="楷体"/>
          <w:sz w:val="30"/>
          <w:szCs w:val="30"/>
          <w:lang w:eastAsia="zh-CN"/>
        </w:rPr>
        <w:t>二</w:t>
      </w:r>
      <w:r>
        <w:rPr>
          <w:rFonts w:hint="eastAsia" w:ascii="楷体" w:hAnsi="楷体" w:eastAsia="楷体"/>
          <w:sz w:val="30"/>
          <w:szCs w:val="30"/>
        </w:rPr>
        <w:t>）存在的问题</w:t>
      </w:r>
    </w:p>
    <w:p w14:paraId="24875D58">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1.盘龙区群众积极性程度不高</w:t>
      </w:r>
    </w:p>
    <w:p w14:paraId="65E632E2">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该项目自实施以来，通过各类宣传途径和针对性的宣传方式进行群众动员，经评价走访、调查后发现，盘龙区居民对于全国第二次污染源普查的认知程度不高，未完整有效的发挥公民社会监督的权利，参与监督积极性程度不高。</w:t>
      </w:r>
    </w:p>
    <w:p w14:paraId="05516DF7">
      <w:pPr>
        <w:spacing w:line="590" w:lineRule="exact"/>
        <w:ind w:firstLine="560" w:firstLineChars="200"/>
        <w:contextualSpacing/>
        <w:rPr>
          <w:rFonts w:hint="eastAsia" w:ascii="仿宋_GB2312" w:hAnsi="楷体" w:eastAsia="仿宋_GB2312" w:cs="Times New Roman"/>
          <w:spacing w:val="0"/>
          <w:kern w:val="2"/>
          <w:sz w:val="28"/>
          <w:szCs w:val="28"/>
          <w:u w:val="none"/>
          <w:lang w:val="en-US" w:eastAsia="zh-CN" w:bidi="ar-SA"/>
        </w:rPr>
      </w:pPr>
      <w:r>
        <w:rPr>
          <w:rFonts w:hint="eastAsia" w:ascii="仿宋_GB2312" w:hAnsi="楷体" w:eastAsia="仿宋_GB2312" w:cs="Times New Roman"/>
          <w:spacing w:val="0"/>
          <w:kern w:val="2"/>
          <w:sz w:val="28"/>
          <w:szCs w:val="28"/>
          <w:u w:val="none"/>
          <w:lang w:val="en-US" w:eastAsia="zh-CN" w:bidi="ar-SA"/>
        </w:rPr>
        <w:t>2.污染源普查“查缺补漏”现象仍然存在</w:t>
      </w:r>
    </w:p>
    <w:p w14:paraId="2133A66E">
      <w:pPr>
        <w:spacing w:line="590" w:lineRule="exact"/>
        <w:ind w:firstLine="560" w:firstLineChars="200"/>
        <w:contextualSpacing/>
        <w:rPr>
          <w:rFonts w:hint="default" w:ascii="仿宋_GB2312" w:hAnsi="楷体" w:eastAsia="仿宋_GB2312" w:cs="Times New Roman"/>
          <w:spacing w:val="0"/>
          <w:kern w:val="2"/>
          <w:sz w:val="28"/>
          <w:szCs w:val="28"/>
          <w:u w:val="none"/>
          <w:lang w:val="en-US" w:eastAsia="zh-CN" w:bidi="ar-SA"/>
        </w:rPr>
      </w:pPr>
      <w:r>
        <w:rPr>
          <w:rFonts w:hint="eastAsia" w:ascii="仿宋_GB2312" w:hAnsi="楷体" w:eastAsia="仿宋_GB2312" w:cs="Times New Roman"/>
          <w:spacing w:val="0"/>
          <w:kern w:val="2"/>
          <w:sz w:val="28"/>
          <w:szCs w:val="28"/>
          <w:u w:val="none"/>
          <w:lang w:val="en-US" w:eastAsia="zh-CN" w:bidi="ar-SA"/>
        </w:rPr>
        <w:t>此次普查试点工作时间紧，任务重</w:t>
      </w:r>
      <w:r>
        <w:rPr>
          <w:rFonts w:hint="eastAsia" w:ascii="仿宋_GB2312" w:hAnsi="楷体" w:eastAsia="仿宋_GB2312" w:cs="Times New Roman"/>
          <w:spacing w:val="0"/>
          <w:kern w:val="2"/>
          <w:sz w:val="28"/>
          <w:szCs w:val="28"/>
          <w:u w:val="none"/>
          <w:lang w:val="zh-CN" w:eastAsia="zh-CN" w:bidi="ar-SA"/>
        </w:rPr>
        <w:t>，普查范围广泛，在普查人员不足的情况下，很难提供准确、完整的普查数据，普查的实效性也由此降低，对于部分企业或污染源来说就可能存在重复记录或漏记等情况。</w:t>
      </w:r>
    </w:p>
    <w:p w14:paraId="6DC0EAD8">
      <w:pPr>
        <w:topLinePunct/>
        <w:spacing w:line="440" w:lineRule="exact"/>
        <w:ind w:firstLine="600" w:firstLineChars="200"/>
        <w:rPr>
          <w:rFonts w:ascii="楷体" w:hAnsi="楷体" w:eastAsia="楷体"/>
          <w:szCs w:val="32"/>
        </w:rPr>
      </w:pPr>
      <w:r>
        <w:rPr>
          <w:rFonts w:hint="eastAsia" w:ascii="楷体" w:hAnsi="楷体" w:eastAsia="楷体"/>
          <w:sz w:val="30"/>
          <w:szCs w:val="30"/>
        </w:rPr>
        <w:t>（</w:t>
      </w:r>
      <w:r>
        <w:rPr>
          <w:rFonts w:hint="eastAsia" w:ascii="楷体" w:hAnsi="楷体" w:eastAsia="楷体"/>
          <w:sz w:val="30"/>
          <w:szCs w:val="30"/>
          <w:lang w:eastAsia="zh-CN"/>
        </w:rPr>
        <w:t>三</w:t>
      </w:r>
      <w:r>
        <w:rPr>
          <w:rFonts w:hint="eastAsia" w:ascii="楷体" w:hAnsi="楷体" w:eastAsia="楷体"/>
          <w:sz w:val="30"/>
          <w:szCs w:val="30"/>
        </w:rPr>
        <w:t>）建议和改进措施</w:t>
      </w:r>
    </w:p>
    <w:p w14:paraId="154C61FD">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1.加大环境污染源普查宣传工作，提高民众参与积极性</w:t>
      </w:r>
    </w:p>
    <w:p w14:paraId="422068B2">
      <w:pPr>
        <w:spacing w:line="590" w:lineRule="exact"/>
        <w:ind w:firstLine="560" w:firstLineChars="200"/>
        <w:contextualSpacing/>
        <w:rPr>
          <w:rFonts w:hint="default" w:ascii="仿宋_GB2312" w:hAnsi="楷体" w:eastAsia="仿宋_GB2312" w:cs="Times New Roman"/>
          <w:spacing w:val="0"/>
          <w:kern w:val="2"/>
          <w:sz w:val="28"/>
          <w:szCs w:val="28"/>
          <w:u w:val="none"/>
          <w:lang w:val="en-US" w:eastAsia="zh-CN" w:bidi="ar-SA"/>
        </w:rPr>
      </w:pPr>
      <w:r>
        <w:rPr>
          <w:rFonts w:hint="eastAsia" w:ascii="仿宋_GB2312" w:hAnsi="楷体" w:eastAsia="仿宋_GB2312" w:cs="Times New Roman"/>
          <w:spacing w:val="0"/>
          <w:kern w:val="2"/>
          <w:sz w:val="28"/>
          <w:szCs w:val="28"/>
          <w:u w:val="none"/>
          <w:lang w:val="zh-CN" w:eastAsia="zh-CN" w:bidi="ar-SA"/>
        </w:rPr>
        <w:t>在现有的环境污染源普查宣传工作基础上，采取更多更新的方式和活动进行宣传，走访基层，组织专家进行专题讲座，实地演习普查方法及污染的危害等，完善相应的激励机制和提高社会民众危机意识，积极调动社会民众发挥其社会监督的权利和义务，共同配合完成此项工作。</w:t>
      </w:r>
    </w:p>
    <w:p w14:paraId="31E547B6">
      <w:pPr>
        <w:spacing w:line="590" w:lineRule="exact"/>
        <w:ind w:firstLine="560" w:firstLineChars="200"/>
        <w:contextualSpacing/>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2.高度重视污染源普查工作，多部门协同配合</w:t>
      </w:r>
    </w:p>
    <w:p w14:paraId="3BB3DAC9">
      <w:pPr>
        <w:keepNext w:val="0"/>
        <w:keepLines w:val="0"/>
        <w:pageBreakBefore w:val="0"/>
        <w:widowControl w:val="0"/>
        <w:numPr>
          <w:ilvl w:val="0"/>
          <w:numId w:val="0"/>
        </w:numPr>
        <w:kinsoku/>
        <w:wordWrap/>
        <w:overflowPunct/>
        <w:autoSpaceDE/>
        <w:autoSpaceDN/>
        <w:bidi w:val="0"/>
        <w:spacing w:line="360" w:lineRule="auto"/>
        <w:ind w:right="0" w:rightChars="0"/>
        <w:jc w:val="left"/>
        <w:textAlignment w:val="auto"/>
        <w:rPr>
          <w:rFonts w:hint="eastAsia" w:ascii="仿宋_GB2312" w:hAnsi="楷体" w:eastAsia="仿宋_GB2312" w:cs="Times New Roman"/>
          <w:spacing w:val="0"/>
          <w:kern w:val="2"/>
          <w:sz w:val="28"/>
          <w:szCs w:val="28"/>
          <w:u w:val="none"/>
          <w:lang w:val="zh-CN" w:eastAsia="zh-CN" w:bidi="ar-SA"/>
        </w:rPr>
      </w:pPr>
      <w:r>
        <w:rPr>
          <w:rFonts w:hint="eastAsia" w:ascii="仿宋_GB2312" w:hAnsi="楷体" w:eastAsia="仿宋_GB2312" w:cs="Times New Roman"/>
          <w:spacing w:val="0"/>
          <w:kern w:val="2"/>
          <w:sz w:val="28"/>
          <w:szCs w:val="28"/>
          <w:u w:val="none"/>
          <w:lang w:val="zh-CN" w:eastAsia="zh-CN" w:bidi="ar-SA"/>
        </w:rPr>
        <w:t>持续加强该项目人员配备，物资供给和技术支持三方面的投入，争取做到零重复、零错误、零漏查的精准普查，项目实施单位和相关责任单位应高度重视此次工作，采取多部门协同配合的高效管理及实施机制，确保普查数据的真实性、完整性及准确性。</w:t>
      </w:r>
    </w:p>
    <w:p w14:paraId="7ACC15B1">
      <w:pPr>
        <w:keepNext w:val="0"/>
        <w:keepLines w:val="0"/>
        <w:pageBreakBefore w:val="0"/>
        <w:widowControl w:val="0"/>
        <w:numPr>
          <w:ilvl w:val="0"/>
          <w:numId w:val="0"/>
        </w:numPr>
        <w:kinsoku/>
        <w:wordWrap/>
        <w:overflowPunct/>
        <w:autoSpaceDE/>
        <w:autoSpaceDN/>
        <w:bidi w:val="0"/>
        <w:spacing w:line="360" w:lineRule="auto"/>
        <w:ind w:right="0" w:rightChars="0"/>
        <w:jc w:val="left"/>
        <w:textAlignment w:val="auto"/>
        <w:rPr>
          <w:rFonts w:hint="eastAsia" w:ascii="仿宋_GB2312" w:hAnsi="楷体" w:eastAsia="仿宋_GB2312" w:cs="Times New Roman"/>
          <w:spacing w:val="0"/>
          <w:kern w:val="2"/>
          <w:sz w:val="28"/>
          <w:szCs w:val="28"/>
          <w:u w:val="none"/>
          <w:lang w:val="zh-CN" w:eastAsia="zh-CN" w:bidi="ar-SA"/>
        </w:rPr>
      </w:pPr>
    </w:p>
    <w:p w14:paraId="437C3262">
      <w:pPr>
        <w:keepNext w:val="0"/>
        <w:keepLines w:val="0"/>
        <w:pageBreakBefore w:val="0"/>
        <w:widowControl w:val="0"/>
        <w:kinsoku/>
        <w:wordWrap/>
        <w:overflowPunct/>
        <w:autoSpaceDE/>
        <w:autoSpaceDN/>
        <w:bidi w:val="0"/>
        <w:spacing w:line="360" w:lineRule="auto"/>
        <w:ind w:right="0" w:rightChars="0" w:firstLine="640" w:firstLineChars="200"/>
        <w:jc w:val="center"/>
        <w:textAlignment w:val="auto"/>
        <w:rPr>
          <w:rFonts w:hint="eastAsia" w:ascii="方正小标宋_GBK" w:hAnsi="方正小标宋_GBK" w:eastAsia="方正小标宋_GBK" w:cs="方正小标宋_GBK"/>
          <w:sz w:val="32"/>
          <w:szCs w:val="32"/>
          <w:lang w:val="en-US" w:eastAsia="zh-CN"/>
        </w:rPr>
      </w:pPr>
      <w:r>
        <w:rPr>
          <w:rFonts w:hint="eastAsia" w:ascii="方正小标宋_GBK" w:hAnsi="方正小标宋_GBK" w:eastAsia="方正小标宋_GBK" w:cs="方正小标宋_GBK"/>
          <w:sz w:val="32"/>
          <w:szCs w:val="32"/>
          <w:lang w:val="en-US" w:eastAsia="zh-CN"/>
        </w:rPr>
        <w:t>2019年环保宣教及绿色创建活动经费</w:t>
      </w:r>
    </w:p>
    <w:p w14:paraId="6D8641DC">
      <w:pPr>
        <w:keepNext w:val="0"/>
        <w:keepLines w:val="0"/>
        <w:pageBreakBefore w:val="0"/>
        <w:widowControl w:val="0"/>
        <w:kinsoku/>
        <w:wordWrap/>
        <w:overflowPunct/>
        <w:autoSpaceDE/>
        <w:autoSpaceDN/>
        <w:bidi w:val="0"/>
        <w:spacing w:line="360" w:lineRule="auto"/>
        <w:ind w:right="0" w:rightChars="0" w:firstLine="640" w:firstLineChars="200"/>
        <w:jc w:val="center"/>
        <w:textAlignment w:val="auto"/>
        <w:rPr>
          <w:rFonts w:hint="eastAsia" w:ascii="方正小标宋_GBK" w:hAnsi="方正小标宋_GBK" w:eastAsia="方正小标宋_GBK" w:cs="方正小标宋_GBK"/>
          <w:sz w:val="32"/>
          <w:szCs w:val="32"/>
          <w:lang w:val="zh-CN" w:eastAsia="zh-CN"/>
        </w:rPr>
      </w:pPr>
      <w:r>
        <w:rPr>
          <w:rFonts w:hint="eastAsia" w:ascii="方正小标宋_GBK" w:hAnsi="方正小标宋_GBK" w:eastAsia="方正小标宋_GBK" w:cs="方正小标宋_GBK"/>
          <w:sz w:val="32"/>
          <w:szCs w:val="32"/>
          <w:lang w:val="en-US" w:eastAsia="zh-CN"/>
        </w:rPr>
        <w:t>项目支出绩效自评价报告</w:t>
      </w:r>
    </w:p>
    <w:p w14:paraId="7927F52F">
      <w:pPr>
        <w:spacing w:line="579" w:lineRule="exact"/>
        <w:ind w:firstLine="600" w:firstLineChars="200"/>
        <w:outlineLvl w:val="0"/>
        <w:rPr>
          <w:rFonts w:hint="eastAsia" w:ascii="黑体" w:hAnsi="黑体" w:eastAsia="黑体" w:cs="宋体"/>
          <w:kern w:val="30"/>
          <w:sz w:val="30"/>
          <w:szCs w:val="30"/>
          <w:highlight w:val="none"/>
          <w:lang w:eastAsia="zh-CN"/>
        </w:rPr>
      </w:pPr>
      <w:r>
        <w:rPr>
          <w:rFonts w:hint="eastAsia" w:ascii="黑体" w:hAnsi="黑体" w:eastAsia="黑体" w:cs="宋体"/>
          <w:kern w:val="30"/>
          <w:sz w:val="30"/>
          <w:szCs w:val="30"/>
          <w:highlight w:val="none"/>
          <w:lang w:eastAsia="zh-CN"/>
        </w:rPr>
        <w:t>一、项目基本情况</w:t>
      </w:r>
    </w:p>
    <w:p w14:paraId="76296F6E">
      <w:pPr>
        <w:spacing w:line="579" w:lineRule="exact"/>
        <w:ind w:firstLine="600" w:firstLineChars="200"/>
        <w:outlineLvl w:val="1"/>
        <w:rPr>
          <w:rFonts w:hint="eastAsia" w:ascii="楷体" w:hAnsi="楷体" w:eastAsia="楷体"/>
          <w:kern w:val="30"/>
          <w:sz w:val="30"/>
          <w:szCs w:val="30"/>
          <w:highlight w:val="none"/>
        </w:rPr>
      </w:pPr>
      <w:r>
        <w:rPr>
          <w:rFonts w:hint="eastAsia" w:ascii="楷体" w:hAnsi="楷体" w:eastAsia="楷体"/>
          <w:kern w:val="30"/>
          <w:sz w:val="30"/>
          <w:szCs w:val="30"/>
          <w:highlight w:val="none"/>
        </w:rPr>
        <w:t>（一）</w:t>
      </w:r>
      <w:r>
        <w:rPr>
          <w:rFonts w:hint="eastAsia" w:ascii="楷体" w:hAnsi="楷体" w:eastAsia="楷体"/>
          <w:kern w:val="30"/>
          <w:sz w:val="30"/>
          <w:szCs w:val="30"/>
          <w:highlight w:val="none"/>
          <w:lang w:val="en-US" w:eastAsia="zh-CN"/>
        </w:rPr>
        <w:t>项目立项背景</w:t>
      </w:r>
    </w:p>
    <w:p w14:paraId="3667794D">
      <w:pPr>
        <w:ind w:firstLine="584" w:firstLineChars="200"/>
        <w:jc w:val="both"/>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为贯彻落实《全国环境宣传教育纲要（2016-2020）》（环宣教〔2016〕38号）文件精神，进一步加强生态环境保护宣传教育工作，牢固树立绿色发展理念，坚持“绿水青山就是金山银山”重要思想，全面推进生态文明建设。昆明市生态环境局盘龙分局依据党中央、国务院关于推进生态文明建设、加强环境保护的新要求和“十三五”时期环境保护的新部署，特设立此项目。</w:t>
      </w:r>
    </w:p>
    <w:p w14:paraId="698468C9">
      <w:pPr>
        <w:spacing w:line="579" w:lineRule="exact"/>
        <w:ind w:firstLine="600" w:firstLineChars="200"/>
        <w:outlineLvl w:val="1"/>
        <w:rPr>
          <w:rFonts w:hint="eastAsia" w:ascii="楷体" w:hAnsi="楷体" w:eastAsia="楷体"/>
          <w:kern w:val="30"/>
          <w:sz w:val="30"/>
          <w:szCs w:val="30"/>
          <w:highlight w:val="none"/>
        </w:rPr>
      </w:pPr>
      <w:r>
        <w:rPr>
          <w:rFonts w:hint="eastAsia" w:ascii="楷体" w:hAnsi="楷体" w:eastAsia="楷体"/>
          <w:kern w:val="30"/>
          <w:sz w:val="30"/>
          <w:szCs w:val="30"/>
          <w:highlight w:val="none"/>
        </w:rPr>
        <w:t>（</w:t>
      </w:r>
      <w:r>
        <w:rPr>
          <w:rFonts w:hint="eastAsia" w:ascii="楷体" w:hAnsi="楷体" w:eastAsia="楷体"/>
          <w:kern w:val="30"/>
          <w:sz w:val="30"/>
          <w:szCs w:val="30"/>
          <w:highlight w:val="none"/>
          <w:lang w:val="en-US" w:eastAsia="zh-CN"/>
        </w:rPr>
        <w:t>二）项目立项依据</w:t>
      </w:r>
    </w:p>
    <w:p w14:paraId="56E9DC44">
      <w:pPr>
        <w:spacing w:line="579" w:lineRule="exact"/>
        <w:ind w:firstLine="584" w:firstLineChars="2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为促进全民环境意识显著提高，生态文明主流价值观在全社会顺利推行。构建全民参与环境保护社会行动体系，推动形成自上而下和自下而上想结合的社会共治局面。积极引导公众知行合一，自觉履行环境保护义务，力戒奢侈浪费和不合理消费，使绿色生活方式深入人心。形成与全面建成小康社会相适应，人人、事事、时时崇尚生态文明的社会氛围。昆明市环保局根据目前环境保护的严峻形势和建设生态文明的重大战略意义，结合我市环境管理工作的要点和特点，制定了《年度昆明市环境保护宣教工作要点》、《关于认真组织开展2018年“六•五”环境日宣传活动的通知》（昆环保通〔2018〕131号）、《关于开展2018年环境保护宣传进机关、进家庭、进学校、进社区、进企业“五进”活动的通知》（昆环保通〔2018〕62号）、《关于开展2018年昆明市绿色学校、绿色社区、绿色家庭、环境教育基地创建申报工作的通知》（昆环保通〔2018〕139号）等文件，对我市各县区环境保护局环保宣教及绿色创建活动项目进行了具体安排。</w:t>
      </w:r>
    </w:p>
    <w:p w14:paraId="41DE938A">
      <w:pPr>
        <w:spacing w:line="579" w:lineRule="exact"/>
        <w:ind w:firstLine="600" w:firstLineChars="200"/>
        <w:outlineLvl w:val="1"/>
        <w:rPr>
          <w:rFonts w:hint="default" w:ascii="楷体" w:hAnsi="楷体" w:eastAsia="楷体"/>
          <w:kern w:val="30"/>
          <w:sz w:val="30"/>
          <w:szCs w:val="30"/>
          <w:highlight w:val="none"/>
          <w:lang w:val="en-US" w:eastAsia="zh-CN"/>
        </w:rPr>
      </w:pPr>
      <w:r>
        <w:rPr>
          <w:rFonts w:hint="eastAsia" w:ascii="楷体" w:hAnsi="楷体" w:eastAsia="楷体"/>
          <w:kern w:val="30"/>
          <w:sz w:val="30"/>
          <w:szCs w:val="30"/>
          <w:highlight w:val="none"/>
          <w:lang w:val="en-US" w:eastAsia="zh-CN"/>
        </w:rPr>
        <w:t>（三）项目实施内容及资金使用情况</w:t>
      </w:r>
    </w:p>
    <w:p w14:paraId="6A5B2531">
      <w:pPr>
        <w:spacing w:line="579" w:lineRule="exact"/>
        <w:ind w:firstLine="584" w:firstLineChars="2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（1）项目实施内容</w:t>
      </w:r>
    </w:p>
    <w:p w14:paraId="71093750">
      <w:pPr>
        <w:spacing w:line="579" w:lineRule="exact"/>
        <w:ind w:firstLine="584" w:firstLineChars="200"/>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2019年环保宣教及绿色创建活动经费项目实际实施内容分为：①组织开展2019年“六•五”环境日宣传活动；②“五进”宣传活动；③2019年昆明市绿色学校、绿色社区、绿色家庭、环境教育基地创建工作。</w:t>
      </w:r>
    </w:p>
    <w:p w14:paraId="6425BC08">
      <w:pPr>
        <w:numPr>
          <w:ilvl w:val="0"/>
          <w:numId w:val="6"/>
        </w:numPr>
        <w:spacing w:line="579" w:lineRule="exact"/>
        <w:ind w:firstLine="584" w:firstLineChars="200"/>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预算安排资金</w:t>
      </w:r>
    </w:p>
    <w:p w14:paraId="1291074D">
      <w:pPr>
        <w:numPr>
          <w:ilvl w:val="0"/>
          <w:numId w:val="0"/>
        </w:numPr>
        <w:spacing w:line="579" w:lineRule="exact"/>
        <w:ind w:firstLine="584" w:firstLineChars="2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根据《昆明市盘龙区财政局关于下达盘龙区2019年部门预算的批复》（盘财〔2019〕1号）文件，共下达昆明市生态环境局盘龙分局904.11万元，其中环保宣教及绿色创建活动经费项目下达30万元。</w:t>
      </w:r>
    </w:p>
    <w:p w14:paraId="69328833">
      <w:pPr>
        <w:numPr>
          <w:ilvl w:val="0"/>
          <w:numId w:val="6"/>
        </w:numPr>
        <w:spacing w:line="579" w:lineRule="exact"/>
        <w:ind w:firstLine="584" w:firstLineChars="2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资金实际使用情况</w:t>
      </w:r>
    </w:p>
    <w:p w14:paraId="3F1D3A7A">
      <w:pPr>
        <w:numPr>
          <w:ilvl w:val="0"/>
          <w:numId w:val="0"/>
        </w:numPr>
        <w:spacing w:line="579" w:lineRule="exact"/>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 xml:space="preserve">   截止2019年12月31日，2019年环保宣教及绿色创建活动经费项目实际支出30万元，具体明细为：支付印刷品设计、制作费用14.934万元，支付“六五”世界环境日主题宣传活动策划组织费5.965万元，支付绿色创建工作经费补助9.101万元。</w:t>
      </w:r>
    </w:p>
    <w:p w14:paraId="00D5FF48">
      <w:pPr>
        <w:spacing w:line="579" w:lineRule="exact"/>
        <w:ind w:firstLine="600" w:firstLineChars="200"/>
        <w:outlineLvl w:val="1"/>
        <w:rPr>
          <w:rFonts w:hint="eastAsia" w:ascii="楷体" w:hAnsi="楷体" w:eastAsia="楷体"/>
          <w:kern w:val="30"/>
          <w:sz w:val="30"/>
          <w:szCs w:val="30"/>
          <w:highlight w:val="none"/>
          <w:lang w:val="en-US" w:eastAsia="zh-CN"/>
        </w:rPr>
      </w:pPr>
      <w:r>
        <w:rPr>
          <w:rFonts w:hint="eastAsia" w:ascii="楷体" w:hAnsi="楷体" w:eastAsia="楷体"/>
          <w:kern w:val="30"/>
          <w:sz w:val="30"/>
          <w:szCs w:val="30"/>
          <w:highlight w:val="none"/>
          <w:lang w:val="en-US" w:eastAsia="zh-CN"/>
        </w:rPr>
        <w:fldChar w:fldCharType="begin"/>
      </w:r>
      <w:r>
        <w:rPr>
          <w:rFonts w:hint="eastAsia" w:ascii="楷体" w:hAnsi="楷体" w:eastAsia="楷体"/>
          <w:kern w:val="30"/>
          <w:sz w:val="30"/>
          <w:szCs w:val="30"/>
          <w:highlight w:val="none"/>
          <w:lang w:val="en-US" w:eastAsia="zh-CN"/>
        </w:rPr>
        <w:instrText xml:space="preserve"> HYPERLINK \l "_Toc514530480" </w:instrText>
      </w:r>
      <w:r>
        <w:rPr>
          <w:rFonts w:hint="eastAsia" w:ascii="楷体" w:hAnsi="楷体" w:eastAsia="楷体"/>
          <w:kern w:val="30"/>
          <w:sz w:val="30"/>
          <w:szCs w:val="30"/>
          <w:highlight w:val="none"/>
          <w:lang w:val="en-US" w:eastAsia="zh-CN"/>
        </w:rPr>
        <w:fldChar w:fldCharType="separate"/>
      </w:r>
      <w:r>
        <w:rPr>
          <w:rFonts w:hint="eastAsia" w:ascii="楷体" w:hAnsi="楷体" w:eastAsia="楷体"/>
          <w:kern w:val="30"/>
          <w:sz w:val="30"/>
          <w:szCs w:val="30"/>
          <w:highlight w:val="none"/>
          <w:lang w:val="en-US" w:eastAsia="zh-CN"/>
        </w:rPr>
        <w:t>（四）项目实施计划及完成情况</w:t>
      </w:r>
      <w:r>
        <w:rPr>
          <w:rFonts w:hint="eastAsia" w:ascii="楷体" w:hAnsi="楷体" w:eastAsia="楷体"/>
          <w:kern w:val="30"/>
          <w:sz w:val="30"/>
          <w:szCs w:val="30"/>
          <w:highlight w:val="none"/>
          <w:lang w:val="en-US" w:eastAsia="zh-CN"/>
        </w:rPr>
        <w:fldChar w:fldCharType="end"/>
      </w:r>
    </w:p>
    <w:p w14:paraId="4CFA3693">
      <w:pPr>
        <w:jc w:val="center"/>
        <w:rPr>
          <w:rFonts w:eastAsia="仿宋_GB2312"/>
          <w:spacing w:val="6"/>
          <w:sz w:val="30"/>
          <w:szCs w:val="30"/>
        </w:rPr>
      </w:pPr>
      <w:r>
        <w:rPr>
          <w:rFonts w:hint="eastAsia" w:ascii="黑体" w:hAnsi="黑体" w:eastAsia="黑体" w:cs="宋体"/>
          <w:bCs/>
          <w:spacing w:val="6"/>
          <w:sz w:val="24"/>
          <w:szCs w:val="24"/>
        </w:rPr>
        <w:t>表</w:t>
      </w:r>
      <w:r>
        <w:rPr>
          <w:rFonts w:hint="eastAsia" w:ascii="黑体" w:hAnsi="黑体" w:eastAsia="黑体" w:cs="宋体"/>
          <w:bCs/>
          <w:spacing w:val="6"/>
          <w:sz w:val="24"/>
          <w:szCs w:val="24"/>
          <w:lang w:val="en-US" w:eastAsia="zh-CN"/>
        </w:rPr>
        <w:t>1</w:t>
      </w:r>
      <w:r>
        <w:rPr>
          <w:rFonts w:hint="eastAsia" w:ascii="黑体" w:hAnsi="黑体" w:eastAsia="黑体" w:cs="宋体"/>
          <w:bCs/>
          <w:spacing w:val="6"/>
          <w:sz w:val="24"/>
          <w:szCs w:val="24"/>
        </w:rPr>
        <w:t xml:space="preserve">   </w:t>
      </w:r>
      <w:r>
        <w:rPr>
          <w:rFonts w:hint="eastAsia" w:ascii="黑体" w:hAnsi="黑体" w:eastAsia="黑体" w:cs="宋体"/>
          <w:bCs/>
          <w:spacing w:val="6"/>
          <w:sz w:val="24"/>
          <w:szCs w:val="24"/>
          <w:lang w:val="en-US" w:eastAsia="zh-CN"/>
        </w:rPr>
        <w:t>项目实施</w:t>
      </w:r>
      <w:r>
        <w:rPr>
          <w:rFonts w:hint="eastAsia" w:ascii="黑体" w:hAnsi="黑体" w:eastAsia="黑体" w:cs="宋体"/>
          <w:bCs/>
          <w:spacing w:val="6"/>
          <w:sz w:val="24"/>
          <w:szCs w:val="24"/>
        </w:rPr>
        <w:t>完成情况表</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551"/>
        <w:gridCol w:w="3334"/>
        <w:gridCol w:w="850"/>
        <w:gridCol w:w="3682"/>
      </w:tblGrid>
      <w:tr w14:paraId="2B5A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36" w:hRule="atLeast"/>
          <w:tblHeader/>
          <w:jc w:val="center"/>
        </w:trPr>
        <w:tc>
          <w:tcPr>
            <w:tcW w:w="327" w:type="pct"/>
            <w:tcBorders>
              <w:top w:val="single" w:color="auto" w:sz="4" w:space="0"/>
              <w:bottom w:val="single" w:color="auto" w:sz="4" w:space="0"/>
            </w:tcBorders>
            <w:vAlign w:val="center"/>
          </w:tcPr>
          <w:p w14:paraId="32375D5D">
            <w:pPr>
              <w:jc w:val="center"/>
              <w:rPr>
                <w:rFonts w:hint="eastAsia" w:ascii="宋体" w:hAnsi="宋体" w:eastAsia="宋体" w:cs="宋体"/>
                <w:b/>
                <w:bCs/>
                <w:spacing w:val="6"/>
                <w:lang w:val="en-US" w:eastAsia="zh-CN"/>
              </w:rPr>
            </w:pPr>
            <w:r>
              <w:rPr>
                <w:rFonts w:hint="eastAsia" w:ascii="宋体" w:hAnsi="宋体" w:eastAsia="宋体" w:cs="宋体"/>
                <w:b/>
                <w:bCs/>
                <w:spacing w:val="6"/>
                <w:lang w:val="en-US" w:eastAsia="zh-CN"/>
              </w:rPr>
              <w:t>序号</w:t>
            </w:r>
          </w:p>
        </w:tc>
        <w:tc>
          <w:tcPr>
            <w:tcW w:w="1980" w:type="pct"/>
            <w:tcBorders>
              <w:top w:val="single" w:color="auto" w:sz="4" w:space="0"/>
              <w:bottom w:val="single" w:color="auto" w:sz="4" w:space="0"/>
            </w:tcBorders>
            <w:vAlign w:val="center"/>
          </w:tcPr>
          <w:p w14:paraId="28FEA791">
            <w:pPr>
              <w:jc w:val="center"/>
              <w:rPr>
                <w:rFonts w:hint="default" w:ascii="宋体" w:hAnsi="宋体" w:eastAsia="宋体" w:cs="宋体"/>
                <w:b/>
                <w:bCs/>
                <w:spacing w:val="6"/>
                <w:lang w:val="en-US" w:eastAsia="zh-CN"/>
              </w:rPr>
            </w:pPr>
            <w:r>
              <w:rPr>
                <w:rFonts w:hint="eastAsia" w:ascii="宋体" w:hAnsi="宋体" w:cs="宋体"/>
                <w:b/>
                <w:bCs/>
                <w:spacing w:val="6"/>
                <w:lang w:val="en-US" w:eastAsia="zh-CN"/>
              </w:rPr>
              <w:t>项目实施计划</w:t>
            </w:r>
          </w:p>
        </w:tc>
        <w:tc>
          <w:tcPr>
            <w:tcW w:w="505" w:type="pct"/>
            <w:tcBorders>
              <w:top w:val="single" w:color="auto" w:sz="4" w:space="0"/>
              <w:bottom w:val="single" w:color="auto" w:sz="4" w:space="0"/>
            </w:tcBorders>
            <w:vAlign w:val="center"/>
          </w:tcPr>
          <w:p w14:paraId="232039DC">
            <w:pPr>
              <w:jc w:val="center"/>
              <w:rPr>
                <w:rFonts w:hint="eastAsia" w:ascii="宋体" w:hAnsi="宋体" w:eastAsia="宋体" w:cs="宋体"/>
                <w:b/>
                <w:bCs/>
                <w:spacing w:val="6"/>
              </w:rPr>
            </w:pPr>
            <w:r>
              <w:rPr>
                <w:rFonts w:hint="eastAsia" w:ascii="宋体" w:hAnsi="宋体" w:eastAsia="宋体" w:cs="宋体"/>
                <w:b/>
                <w:bCs/>
                <w:spacing w:val="6"/>
                <w:lang w:val="en-US" w:eastAsia="zh-CN"/>
              </w:rPr>
              <w:t>目标</w:t>
            </w:r>
            <w:r>
              <w:rPr>
                <w:rFonts w:hint="eastAsia" w:ascii="宋体" w:hAnsi="宋体" w:eastAsia="宋体" w:cs="宋体"/>
                <w:b/>
                <w:bCs/>
                <w:spacing w:val="6"/>
              </w:rPr>
              <w:t>实现情况</w:t>
            </w:r>
          </w:p>
        </w:tc>
        <w:tc>
          <w:tcPr>
            <w:tcW w:w="2186" w:type="pct"/>
            <w:tcBorders>
              <w:top w:val="single" w:color="auto" w:sz="4" w:space="0"/>
              <w:bottom w:val="single" w:color="auto" w:sz="4" w:space="0"/>
            </w:tcBorders>
            <w:vAlign w:val="center"/>
          </w:tcPr>
          <w:p w14:paraId="3B03A123">
            <w:pPr>
              <w:jc w:val="center"/>
              <w:rPr>
                <w:rFonts w:hint="default" w:ascii="宋体" w:hAnsi="宋体" w:eastAsia="宋体" w:cs="宋体"/>
                <w:b/>
                <w:bCs/>
                <w:spacing w:val="6"/>
                <w:lang w:val="en-US"/>
              </w:rPr>
            </w:pPr>
            <w:r>
              <w:rPr>
                <w:rFonts w:hint="eastAsia" w:ascii="宋体" w:hAnsi="宋体" w:cs="宋体"/>
                <w:b/>
                <w:bCs/>
                <w:spacing w:val="6"/>
                <w:lang w:val="en-US" w:eastAsia="zh-CN"/>
              </w:rPr>
              <w:t>项目实施完成情况</w:t>
            </w:r>
          </w:p>
        </w:tc>
      </w:tr>
      <w:tr w14:paraId="351F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712" w:hRule="atLeast"/>
          <w:jc w:val="center"/>
        </w:trPr>
        <w:tc>
          <w:tcPr>
            <w:tcW w:w="327" w:type="pct"/>
            <w:tcBorders>
              <w:top w:val="single" w:color="auto" w:sz="4" w:space="0"/>
              <w:bottom w:val="single" w:color="auto" w:sz="4" w:space="0"/>
            </w:tcBorders>
            <w:vAlign w:val="center"/>
          </w:tcPr>
          <w:p w14:paraId="4D76B54D">
            <w:pPr>
              <w:jc w:val="center"/>
              <w:rPr>
                <w:rFonts w:hint="eastAsia" w:ascii="宋体" w:hAnsi="宋体" w:eastAsia="宋体" w:cs="宋体"/>
                <w:b/>
                <w:bCs/>
                <w:spacing w:val="6"/>
                <w:lang w:val="en-US" w:eastAsia="zh-CN"/>
              </w:rPr>
            </w:pPr>
            <w:r>
              <w:rPr>
                <w:rFonts w:hint="eastAsia" w:ascii="宋体" w:hAnsi="宋体" w:eastAsia="宋体" w:cs="宋体"/>
                <w:b/>
                <w:bCs/>
                <w:spacing w:val="6"/>
                <w:lang w:val="en-US" w:eastAsia="zh-CN"/>
              </w:rPr>
              <w:t>1</w:t>
            </w:r>
          </w:p>
        </w:tc>
        <w:tc>
          <w:tcPr>
            <w:tcW w:w="1980" w:type="pct"/>
            <w:tcBorders>
              <w:top w:val="single" w:color="auto" w:sz="4" w:space="0"/>
              <w:bottom w:val="single" w:color="auto" w:sz="4" w:space="0"/>
            </w:tcBorders>
            <w:vAlign w:val="center"/>
          </w:tcPr>
          <w:p w14:paraId="02241907">
            <w:pPr>
              <w:jc w:val="both"/>
              <w:rPr>
                <w:rFonts w:hint="eastAsia" w:ascii="宋体" w:hAnsi="宋体" w:eastAsia="宋体" w:cs="宋体"/>
                <w:spacing w:val="6"/>
                <w:szCs w:val="21"/>
                <w:lang w:val="en-US" w:eastAsia="zh-CN"/>
              </w:rPr>
            </w:pPr>
            <w:r>
              <w:rPr>
                <w:rFonts w:hint="eastAsia" w:ascii="宋体" w:hAnsi="宋体" w:eastAsia="宋体" w:cs="宋体"/>
                <w:spacing w:val="6"/>
                <w:szCs w:val="21"/>
                <w:lang w:val="en-US" w:eastAsia="zh-CN"/>
              </w:rPr>
              <w:t>设计、印制节能减排手册10000册</w:t>
            </w:r>
            <w:r>
              <w:rPr>
                <w:rFonts w:hint="eastAsia" w:ascii="宋体" w:hAnsi="宋体" w:cs="宋体"/>
                <w:spacing w:val="6"/>
                <w:szCs w:val="21"/>
                <w:lang w:val="en-US" w:eastAsia="zh-CN"/>
              </w:rPr>
              <w:t>；设计、印制社区居民环保读本10000册；</w:t>
            </w:r>
            <w:r>
              <w:rPr>
                <w:rFonts w:hint="eastAsia" w:ascii="宋体" w:hAnsi="宋体" w:eastAsia="宋体" w:cs="宋体"/>
                <w:spacing w:val="6"/>
                <w:szCs w:val="21"/>
                <w:lang w:val="en-US" w:eastAsia="zh-CN"/>
              </w:rPr>
              <w:t>印制“六五”环境日宣传画4000张</w:t>
            </w:r>
            <w:r>
              <w:rPr>
                <w:rFonts w:hint="eastAsia" w:ascii="宋体" w:hAnsi="宋体" w:cs="宋体"/>
                <w:spacing w:val="6"/>
                <w:szCs w:val="21"/>
                <w:lang w:val="en-US" w:eastAsia="zh-CN"/>
              </w:rPr>
              <w:t>。</w:t>
            </w:r>
          </w:p>
        </w:tc>
        <w:tc>
          <w:tcPr>
            <w:tcW w:w="505" w:type="pct"/>
            <w:tcBorders>
              <w:top w:val="single" w:color="auto" w:sz="4" w:space="0"/>
              <w:bottom w:val="single" w:color="auto" w:sz="4" w:space="0"/>
            </w:tcBorders>
            <w:vAlign w:val="center"/>
          </w:tcPr>
          <w:p w14:paraId="7E8FE063">
            <w:pPr>
              <w:jc w:val="both"/>
              <w:rPr>
                <w:rFonts w:hint="default" w:ascii="宋体" w:hAnsi="宋体" w:eastAsia="宋体" w:cs="宋体"/>
                <w:b/>
                <w:bCs/>
                <w:spacing w:val="6"/>
                <w:lang w:val="en-US" w:eastAsia="zh-CN"/>
              </w:rPr>
            </w:pPr>
            <w:r>
              <w:rPr>
                <w:rFonts w:hint="eastAsia" w:ascii="宋体" w:hAnsi="宋体" w:cs="宋体"/>
                <w:b/>
                <w:bCs/>
                <w:spacing w:val="6"/>
                <w:lang w:val="en-US" w:eastAsia="zh-CN"/>
              </w:rPr>
              <w:t>完成</w:t>
            </w:r>
          </w:p>
        </w:tc>
        <w:tc>
          <w:tcPr>
            <w:tcW w:w="2186" w:type="pct"/>
            <w:tcBorders>
              <w:top w:val="single" w:color="auto" w:sz="4" w:space="0"/>
              <w:bottom w:val="single" w:color="auto" w:sz="4" w:space="0"/>
            </w:tcBorders>
            <w:vAlign w:val="center"/>
          </w:tcPr>
          <w:p w14:paraId="5B895616">
            <w:pPr>
              <w:jc w:val="both"/>
              <w:rPr>
                <w:rFonts w:hint="default" w:ascii="宋体" w:hAnsi="宋体" w:eastAsia="宋体" w:cs="宋体"/>
                <w:b/>
                <w:bCs/>
                <w:spacing w:val="6"/>
                <w:lang w:val="en-US" w:eastAsia="zh-CN"/>
              </w:rPr>
            </w:pPr>
            <w:r>
              <w:rPr>
                <w:rFonts w:hint="eastAsia" w:ascii="宋体" w:hAnsi="宋体" w:eastAsia="宋体" w:cs="宋体"/>
                <w:spacing w:val="6"/>
                <w:szCs w:val="21"/>
                <w:lang w:val="en-US" w:eastAsia="zh-CN"/>
              </w:rPr>
              <w:t>截止2019年12月31日，已完成印制节能减排宣传手册10000册；</w:t>
            </w:r>
            <w:r>
              <w:rPr>
                <w:rFonts w:hint="eastAsia" w:ascii="宋体" w:hAnsi="宋体" w:cs="宋体"/>
                <w:spacing w:val="6"/>
                <w:szCs w:val="21"/>
                <w:lang w:val="en-US" w:eastAsia="zh-CN"/>
              </w:rPr>
              <w:t>设计、印制社区居民环保读本10000册；</w:t>
            </w:r>
            <w:r>
              <w:rPr>
                <w:rFonts w:hint="eastAsia" w:ascii="宋体" w:hAnsi="宋体" w:eastAsia="宋体" w:cs="宋体"/>
                <w:spacing w:val="6"/>
                <w:szCs w:val="21"/>
                <w:lang w:val="en-US" w:eastAsia="zh-CN"/>
              </w:rPr>
              <w:t>印制“六五”环境日宣传画4000张</w:t>
            </w:r>
            <w:r>
              <w:rPr>
                <w:rFonts w:hint="eastAsia" w:ascii="宋体" w:hAnsi="宋体" w:cs="宋体"/>
                <w:spacing w:val="6"/>
                <w:szCs w:val="21"/>
                <w:lang w:val="en-US" w:eastAsia="zh-CN"/>
              </w:rPr>
              <w:t>。</w:t>
            </w:r>
          </w:p>
        </w:tc>
      </w:tr>
      <w:tr w14:paraId="06CB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779" w:hRule="atLeast"/>
          <w:jc w:val="center"/>
        </w:trPr>
        <w:tc>
          <w:tcPr>
            <w:tcW w:w="327" w:type="pct"/>
            <w:tcBorders>
              <w:top w:val="single" w:color="auto" w:sz="4" w:space="0"/>
              <w:bottom w:val="single" w:color="auto" w:sz="4" w:space="0"/>
            </w:tcBorders>
            <w:vAlign w:val="center"/>
          </w:tcPr>
          <w:p w14:paraId="229B8611">
            <w:pPr>
              <w:jc w:val="center"/>
              <w:rPr>
                <w:rFonts w:hint="default" w:ascii="宋体" w:hAnsi="宋体" w:eastAsia="宋体" w:cs="宋体"/>
                <w:b/>
                <w:bCs/>
                <w:spacing w:val="6"/>
                <w:lang w:val="en-US" w:eastAsia="zh-CN"/>
              </w:rPr>
            </w:pPr>
            <w:r>
              <w:rPr>
                <w:rFonts w:hint="eastAsia" w:ascii="宋体" w:hAnsi="宋体" w:cs="宋体"/>
                <w:b/>
                <w:bCs/>
                <w:spacing w:val="6"/>
                <w:lang w:val="en-US" w:eastAsia="zh-CN"/>
              </w:rPr>
              <w:t>2</w:t>
            </w:r>
          </w:p>
        </w:tc>
        <w:tc>
          <w:tcPr>
            <w:tcW w:w="1980" w:type="pct"/>
            <w:tcBorders>
              <w:top w:val="single" w:color="auto" w:sz="4" w:space="0"/>
              <w:bottom w:val="single" w:color="auto" w:sz="4" w:space="0"/>
            </w:tcBorders>
            <w:vAlign w:val="center"/>
          </w:tcPr>
          <w:p w14:paraId="7055F3D0">
            <w:pPr>
              <w:jc w:val="both"/>
              <w:rPr>
                <w:rFonts w:hint="eastAsia" w:ascii="宋体" w:hAnsi="宋体" w:eastAsia="宋体" w:cs="宋体"/>
                <w:spacing w:val="6"/>
                <w:szCs w:val="21"/>
                <w:lang w:val="en-US" w:eastAsia="zh-CN"/>
              </w:rPr>
            </w:pPr>
            <w:r>
              <w:rPr>
                <w:rFonts w:hint="eastAsia" w:ascii="宋体" w:hAnsi="宋体" w:eastAsia="宋体" w:cs="宋体"/>
                <w:spacing w:val="6"/>
                <w:szCs w:val="21"/>
                <w:lang w:val="en-US" w:eastAsia="zh-CN"/>
              </w:rPr>
              <w:t>组织开展环保宣教进学校、进社区、进企业、进乡村、进机关“五进”宣传活动</w:t>
            </w:r>
            <w:r>
              <w:rPr>
                <w:rFonts w:hint="eastAsia" w:ascii="宋体" w:hAnsi="宋体" w:cs="宋体"/>
                <w:spacing w:val="6"/>
                <w:szCs w:val="21"/>
                <w:lang w:val="en-US" w:eastAsia="zh-CN"/>
              </w:rPr>
              <w:t>。</w:t>
            </w:r>
          </w:p>
        </w:tc>
        <w:tc>
          <w:tcPr>
            <w:tcW w:w="505" w:type="pct"/>
            <w:tcBorders>
              <w:top w:val="single" w:color="auto" w:sz="4" w:space="0"/>
              <w:bottom w:val="single" w:color="auto" w:sz="4" w:space="0"/>
            </w:tcBorders>
            <w:vAlign w:val="center"/>
          </w:tcPr>
          <w:p w14:paraId="410F7DF0">
            <w:pPr>
              <w:jc w:val="both"/>
              <w:rPr>
                <w:rFonts w:hint="eastAsia" w:ascii="宋体" w:hAnsi="宋体" w:eastAsia="宋体" w:cs="宋体"/>
                <w:b/>
                <w:bCs/>
                <w:spacing w:val="6"/>
                <w:lang w:val="en-US" w:eastAsia="zh-CN"/>
              </w:rPr>
            </w:pPr>
            <w:r>
              <w:rPr>
                <w:rFonts w:hint="eastAsia" w:ascii="宋体" w:hAnsi="宋体" w:cs="宋体"/>
                <w:b/>
                <w:bCs/>
                <w:spacing w:val="6"/>
                <w:lang w:val="en-US" w:eastAsia="zh-CN"/>
              </w:rPr>
              <w:t>完成</w:t>
            </w:r>
          </w:p>
        </w:tc>
        <w:tc>
          <w:tcPr>
            <w:tcW w:w="2186" w:type="pct"/>
            <w:tcBorders>
              <w:top w:val="single" w:color="auto" w:sz="4" w:space="0"/>
              <w:bottom w:val="single" w:color="auto" w:sz="4" w:space="0"/>
            </w:tcBorders>
            <w:vAlign w:val="center"/>
          </w:tcPr>
          <w:p w14:paraId="6AB7B78E">
            <w:pPr>
              <w:jc w:val="both"/>
              <w:rPr>
                <w:rFonts w:hint="eastAsia" w:ascii="宋体" w:hAnsi="宋体" w:eastAsia="宋体" w:cs="宋体"/>
                <w:spacing w:val="6"/>
                <w:szCs w:val="21"/>
                <w:lang w:val="en-US" w:eastAsia="zh-CN"/>
              </w:rPr>
            </w:pPr>
            <w:r>
              <w:rPr>
                <w:rFonts w:hint="eastAsia" w:ascii="宋体" w:hAnsi="宋体" w:eastAsia="宋体" w:cs="宋体"/>
                <w:spacing w:val="6"/>
                <w:szCs w:val="21"/>
                <w:lang w:val="en-US" w:eastAsia="zh-CN"/>
              </w:rPr>
              <w:t>累计开展环保宣教活动5次；组织、指导10个学校、社区参加省市级绿色创建</w:t>
            </w:r>
            <w:r>
              <w:rPr>
                <w:rFonts w:hint="eastAsia" w:ascii="宋体" w:hAnsi="宋体" w:cs="宋体"/>
                <w:spacing w:val="6"/>
                <w:szCs w:val="21"/>
                <w:lang w:val="en-US" w:eastAsia="zh-CN"/>
              </w:rPr>
              <w:t>。</w:t>
            </w:r>
          </w:p>
        </w:tc>
      </w:tr>
      <w:tr w14:paraId="102B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574" w:hRule="atLeast"/>
          <w:jc w:val="center"/>
        </w:trPr>
        <w:tc>
          <w:tcPr>
            <w:tcW w:w="327" w:type="pct"/>
            <w:tcBorders>
              <w:top w:val="single" w:color="auto" w:sz="4" w:space="0"/>
              <w:bottom w:val="single" w:color="auto" w:sz="4" w:space="0"/>
            </w:tcBorders>
            <w:vAlign w:val="center"/>
          </w:tcPr>
          <w:p w14:paraId="66379088">
            <w:pPr>
              <w:jc w:val="center"/>
              <w:rPr>
                <w:rFonts w:hint="default" w:ascii="宋体" w:hAnsi="宋体" w:eastAsia="宋体" w:cs="宋体"/>
                <w:b/>
                <w:bCs/>
                <w:spacing w:val="6"/>
                <w:lang w:val="en-US" w:eastAsia="zh-CN"/>
              </w:rPr>
            </w:pPr>
            <w:r>
              <w:rPr>
                <w:rFonts w:hint="eastAsia" w:ascii="宋体" w:hAnsi="宋体" w:cs="宋体"/>
                <w:b/>
                <w:bCs/>
                <w:spacing w:val="6"/>
                <w:lang w:val="en-US" w:eastAsia="zh-CN"/>
              </w:rPr>
              <w:t>3</w:t>
            </w:r>
          </w:p>
        </w:tc>
        <w:tc>
          <w:tcPr>
            <w:tcW w:w="1980" w:type="pct"/>
            <w:tcBorders>
              <w:top w:val="single" w:color="auto" w:sz="4" w:space="0"/>
              <w:bottom w:val="single" w:color="auto" w:sz="4" w:space="0"/>
            </w:tcBorders>
            <w:vAlign w:val="center"/>
          </w:tcPr>
          <w:p w14:paraId="40EFBD5A">
            <w:pPr>
              <w:jc w:val="both"/>
              <w:rPr>
                <w:rFonts w:hint="eastAsia" w:ascii="宋体" w:hAnsi="宋体" w:eastAsia="宋体" w:cs="宋体"/>
                <w:spacing w:val="6"/>
                <w:szCs w:val="21"/>
                <w:lang w:val="en-US" w:eastAsia="zh-CN"/>
              </w:rPr>
            </w:pPr>
            <w:r>
              <w:rPr>
                <w:rFonts w:hint="eastAsia" w:ascii="宋体" w:hAnsi="宋体" w:eastAsia="宋体" w:cs="宋体"/>
                <w:spacing w:val="6"/>
                <w:szCs w:val="21"/>
                <w:lang w:val="en-US" w:eastAsia="zh-CN"/>
              </w:rPr>
              <w:t>考核验收省市级绿色学校4—5所，省市级绿色社区2—3个，国际生态学校1个，绿色创建示范点1个</w:t>
            </w:r>
            <w:r>
              <w:rPr>
                <w:rFonts w:hint="eastAsia" w:ascii="宋体" w:hAnsi="宋体" w:cs="宋体"/>
                <w:spacing w:val="6"/>
                <w:szCs w:val="21"/>
                <w:lang w:val="en-US" w:eastAsia="zh-CN"/>
              </w:rPr>
              <w:t>。</w:t>
            </w:r>
          </w:p>
        </w:tc>
        <w:tc>
          <w:tcPr>
            <w:tcW w:w="505" w:type="pct"/>
            <w:tcBorders>
              <w:top w:val="single" w:color="auto" w:sz="4" w:space="0"/>
              <w:bottom w:val="single" w:color="auto" w:sz="4" w:space="0"/>
            </w:tcBorders>
            <w:vAlign w:val="center"/>
          </w:tcPr>
          <w:p w14:paraId="48D97108">
            <w:pPr>
              <w:jc w:val="both"/>
              <w:rPr>
                <w:rFonts w:hint="eastAsia" w:ascii="宋体" w:hAnsi="宋体" w:cs="宋体"/>
                <w:b/>
                <w:bCs/>
                <w:spacing w:val="6"/>
                <w:lang w:val="en-US" w:eastAsia="zh-CN"/>
              </w:rPr>
            </w:pPr>
            <w:r>
              <w:rPr>
                <w:rFonts w:hint="eastAsia" w:ascii="宋体" w:hAnsi="宋体" w:cs="宋体"/>
                <w:b/>
                <w:bCs/>
                <w:spacing w:val="6"/>
                <w:lang w:val="en-US" w:eastAsia="zh-CN"/>
              </w:rPr>
              <w:t>部分</w:t>
            </w:r>
          </w:p>
          <w:p w14:paraId="66CB3953">
            <w:pPr>
              <w:jc w:val="both"/>
              <w:rPr>
                <w:rFonts w:hint="eastAsia" w:ascii="宋体" w:hAnsi="宋体" w:eastAsia="宋体" w:cs="宋体"/>
                <w:b/>
                <w:bCs/>
                <w:spacing w:val="6"/>
                <w:lang w:val="en-US" w:eastAsia="zh-CN"/>
              </w:rPr>
            </w:pPr>
            <w:r>
              <w:rPr>
                <w:rFonts w:hint="eastAsia" w:ascii="宋体" w:hAnsi="宋体" w:cs="宋体"/>
                <w:b/>
                <w:bCs/>
                <w:spacing w:val="6"/>
                <w:lang w:val="en-US" w:eastAsia="zh-CN"/>
              </w:rPr>
              <w:t>完成</w:t>
            </w:r>
          </w:p>
        </w:tc>
        <w:tc>
          <w:tcPr>
            <w:tcW w:w="2186" w:type="pct"/>
            <w:tcBorders>
              <w:top w:val="single" w:color="auto" w:sz="4" w:space="0"/>
              <w:bottom w:val="single" w:color="auto" w:sz="4" w:space="0"/>
            </w:tcBorders>
            <w:vAlign w:val="center"/>
          </w:tcPr>
          <w:p w14:paraId="61198238">
            <w:pPr>
              <w:jc w:val="both"/>
              <w:rPr>
                <w:rFonts w:hint="default" w:ascii="宋体" w:hAnsi="宋体" w:eastAsia="宋体" w:cs="宋体"/>
                <w:spacing w:val="6"/>
                <w:szCs w:val="21"/>
                <w:lang w:val="en-US" w:eastAsia="zh-CN"/>
              </w:rPr>
            </w:pPr>
            <w:r>
              <w:rPr>
                <w:rFonts w:hint="eastAsia" w:ascii="宋体" w:hAnsi="宋体" w:cs="宋体"/>
                <w:spacing w:val="6"/>
                <w:szCs w:val="21"/>
                <w:lang w:val="en-US" w:eastAsia="zh-CN"/>
              </w:rPr>
              <w:t>实际考核验收</w:t>
            </w:r>
            <w:r>
              <w:rPr>
                <w:rFonts w:hint="eastAsia" w:ascii="宋体" w:hAnsi="宋体" w:eastAsia="宋体" w:cs="宋体"/>
                <w:spacing w:val="6"/>
                <w:szCs w:val="21"/>
                <w:lang w:val="en-US" w:eastAsia="zh-CN"/>
              </w:rPr>
              <w:t>省市级绿色学校</w:t>
            </w:r>
            <w:r>
              <w:rPr>
                <w:rFonts w:hint="eastAsia" w:ascii="宋体" w:hAnsi="宋体" w:cs="宋体"/>
                <w:spacing w:val="6"/>
                <w:szCs w:val="21"/>
                <w:lang w:val="en-US" w:eastAsia="zh-CN"/>
              </w:rPr>
              <w:t>4所，</w:t>
            </w:r>
            <w:r>
              <w:rPr>
                <w:rFonts w:hint="eastAsia" w:ascii="宋体" w:hAnsi="宋体" w:eastAsia="宋体" w:cs="宋体"/>
                <w:spacing w:val="6"/>
                <w:szCs w:val="21"/>
                <w:lang w:val="en-US" w:eastAsia="zh-CN"/>
              </w:rPr>
              <w:t>省市级绿色社区</w:t>
            </w:r>
            <w:r>
              <w:rPr>
                <w:rFonts w:hint="eastAsia" w:ascii="宋体" w:hAnsi="宋体" w:cs="宋体"/>
                <w:spacing w:val="6"/>
                <w:szCs w:val="21"/>
                <w:lang w:val="en-US" w:eastAsia="zh-CN"/>
              </w:rPr>
              <w:t>3个，</w:t>
            </w:r>
            <w:r>
              <w:rPr>
                <w:rFonts w:hint="eastAsia" w:ascii="宋体" w:hAnsi="宋体" w:eastAsia="宋体" w:cs="宋体"/>
                <w:spacing w:val="6"/>
                <w:szCs w:val="21"/>
                <w:lang w:val="en-US" w:eastAsia="zh-CN"/>
              </w:rPr>
              <w:t>国际生态学校</w:t>
            </w:r>
            <w:r>
              <w:rPr>
                <w:rFonts w:hint="eastAsia" w:ascii="宋体" w:hAnsi="宋体" w:cs="宋体"/>
                <w:spacing w:val="6"/>
                <w:szCs w:val="21"/>
                <w:lang w:val="en-US" w:eastAsia="zh-CN"/>
              </w:rPr>
              <w:t>及</w:t>
            </w:r>
            <w:r>
              <w:rPr>
                <w:rFonts w:hint="eastAsia" w:ascii="宋体" w:hAnsi="宋体" w:eastAsia="宋体" w:cs="宋体"/>
                <w:spacing w:val="6"/>
                <w:szCs w:val="21"/>
                <w:lang w:val="en-US" w:eastAsia="zh-CN"/>
              </w:rPr>
              <w:t>绿色创建示范点</w:t>
            </w:r>
            <w:r>
              <w:rPr>
                <w:rFonts w:hint="eastAsia" w:ascii="宋体" w:hAnsi="宋体" w:cs="宋体"/>
                <w:spacing w:val="6"/>
                <w:szCs w:val="21"/>
                <w:lang w:val="en-US" w:eastAsia="zh-CN"/>
              </w:rPr>
              <w:t>未建设完成。</w:t>
            </w:r>
          </w:p>
        </w:tc>
      </w:tr>
      <w:tr w14:paraId="5087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830" w:hRule="atLeast"/>
          <w:jc w:val="center"/>
        </w:trPr>
        <w:tc>
          <w:tcPr>
            <w:tcW w:w="327" w:type="pct"/>
            <w:tcBorders>
              <w:top w:val="single" w:color="auto" w:sz="4" w:space="0"/>
              <w:bottom w:val="single" w:color="auto" w:sz="4" w:space="0"/>
            </w:tcBorders>
            <w:vAlign w:val="center"/>
          </w:tcPr>
          <w:p w14:paraId="236E6E4F">
            <w:pPr>
              <w:jc w:val="center"/>
              <w:rPr>
                <w:rFonts w:hint="default" w:ascii="宋体" w:hAnsi="宋体" w:eastAsia="宋体" w:cs="宋体"/>
                <w:b/>
                <w:bCs/>
                <w:spacing w:val="6"/>
                <w:lang w:val="en-US" w:eastAsia="zh-CN"/>
              </w:rPr>
            </w:pPr>
            <w:r>
              <w:rPr>
                <w:rFonts w:hint="eastAsia" w:ascii="宋体" w:hAnsi="宋体" w:cs="宋体"/>
                <w:b/>
                <w:bCs/>
                <w:spacing w:val="6"/>
                <w:lang w:val="en-US" w:eastAsia="zh-CN"/>
              </w:rPr>
              <w:t>4</w:t>
            </w:r>
          </w:p>
        </w:tc>
        <w:tc>
          <w:tcPr>
            <w:tcW w:w="1980" w:type="pct"/>
            <w:tcBorders>
              <w:top w:val="single" w:color="auto" w:sz="4" w:space="0"/>
              <w:bottom w:val="single" w:color="auto" w:sz="4" w:space="0"/>
            </w:tcBorders>
            <w:vAlign w:val="center"/>
          </w:tcPr>
          <w:p w14:paraId="09E641C4">
            <w:pPr>
              <w:jc w:val="both"/>
              <w:rPr>
                <w:rFonts w:hint="eastAsia" w:ascii="宋体" w:hAnsi="宋体" w:eastAsia="宋体" w:cs="宋体"/>
                <w:spacing w:val="6"/>
                <w:szCs w:val="21"/>
                <w:lang w:val="en-US" w:eastAsia="zh-CN"/>
              </w:rPr>
            </w:pPr>
            <w:r>
              <w:rPr>
                <w:rFonts w:hint="eastAsia" w:ascii="宋体" w:hAnsi="宋体" w:eastAsia="宋体" w:cs="宋体"/>
                <w:spacing w:val="6"/>
                <w:szCs w:val="21"/>
                <w:lang w:val="en-US" w:eastAsia="zh-CN"/>
              </w:rPr>
              <w:t>创成省市级绿色学校4—5所，省市级绿色社区3—4个，国际生态学校1个，绿色创建示范点1个</w:t>
            </w:r>
            <w:r>
              <w:rPr>
                <w:rFonts w:hint="eastAsia" w:ascii="宋体" w:hAnsi="宋体" w:cs="宋体"/>
                <w:spacing w:val="6"/>
                <w:szCs w:val="21"/>
                <w:lang w:val="en-US" w:eastAsia="zh-CN"/>
              </w:rPr>
              <w:t>。</w:t>
            </w:r>
          </w:p>
        </w:tc>
        <w:tc>
          <w:tcPr>
            <w:tcW w:w="505" w:type="pct"/>
            <w:tcBorders>
              <w:top w:val="single" w:color="auto" w:sz="4" w:space="0"/>
              <w:bottom w:val="single" w:color="auto" w:sz="4" w:space="0"/>
            </w:tcBorders>
            <w:vAlign w:val="center"/>
          </w:tcPr>
          <w:p w14:paraId="514C7ACA">
            <w:pPr>
              <w:jc w:val="both"/>
              <w:rPr>
                <w:rFonts w:hint="eastAsia" w:ascii="宋体" w:hAnsi="宋体" w:cs="宋体"/>
                <w:b/>
                <w:bCs/>
                <w:spacing w:val="6"/>
                <w:lang w:val="en-US" w:eastAsia="zh-CN"/>
              </w:rPr>
            </w:pPr>
            <w:r>
              <w:rPr>
                <w:rFonts w:hint="eastAsia" w:ascii="宋体" w:hAnsi="宋体" w:cs="宋体"/>
                <w:b/>
                <w:bCs/>
                <w:spacing w:val="6"/>
                <w:lang w:val="en-US" w:eastAsia="zh-CN"/>
              </w:rPr>
              <w:t>部分</w:t>
            </w:r>
          </w:p>
          <w:p w14:paraId="56CEB252">
            <w:pPr>
              <w:jc w:val="both"/>
              <w:rPr>
                <w:rFonts w:hint="eastAsia" w:ascii="宋体" w:hAnsi="宋体" w:eastAsia="宋体" w:cs="宋体"/>
                <w:b/>
                <w:bCs/>
                <w:spacing w:val="6"/>
                <w:lang w:val="en-US" w:eastAsia="zh-CN"/>
              </w:rPr>
            </w:pPr>
            <w:r>
              <w:rPr>
                <w:rFonts w:hint="eastAsia" w:ascii="宋体" w:hAnsi="宋体" w:cs="宋体"/>
                <w:b/>
                <w:bCs/>
                <w:spacing w:val="6"/>
                <w:lang w:val="en-US" w:eastAsia="zh-CN"/>
              </w:rPr>
              <w:t>完成</w:t>
            </w:r>
          </w:p>
        </w:tc>
        <w:tc>
          <w:tcPr>
            <w:tcW w:w="2186" w:type="pct"/>
            <w:tcBorders>
              <w:top w:val="single" w:color="auto" w:sz="4" w:space="0"/>
              <w:bottom w:val="single" w:color="auto" w:sz="4" w:space="0"/>
            </w:tcBorders>
            <w:vAlign w:val="center"/>
          </w:tcPr>
          <w:p w14:paraId="74C2E8B3">
            <w:pPr>
              <w:jc w:val="both"/>
              <w:rPr>
                <w:rFonts w:hint="eastAsia" w:ascii="宋体" w:hAnsi="宋体" w:eastAsia="宋体" w:cs="宋体"/>
                <w:spacing w:val="6"/>
                <w:szCs w:val="21"/>
                <w:lang w:val="en-US" w:eastAsia="zh-CN"/>
              </w:rPr>
            </w:pPr>
            <w:r>
              <w:rPr>
                <w:rFonts w:hint="eastAsia" w:ascii="宋体" w:hAnsi="宋体" w:cs="宋体"/>
                <w:spacing w:val="6"/>
                <w:szCs w:val="21"/>
                <w:lang w:val="en-US" w:eastAsia="zh-CN"/>
              </w:rPr>
              <w:t>实际</w:t>
            </w:r>
            <w:r>
              <w:rPr>
                <w:rFonts w:hint="eastAsia" w:ascii="宋体" w:hAnsi="宋体" w:eastAsia="宋体" w:cs="宋体"/>
                <w:spacing w:val="6"/>
                <w:szCs w:val="21"/>
                <w:lang w:val="en-US" w:eastAsia="zh-CN"/>
              </w:rPr>
              <w:t>创成省市级绿色学校</w:t>
            </w:r>
            <w:r>
              <w:rPr>
                <w:rFonts w:hint="eastAsia" w:ascii="宋体" w:hAnsi="宋体" w:cs="宋体"/>
                <w:spacing w:val="6"/>
                <w:szCs w:val="21"/>
                <w:lang w:val="en-US" w:eastAsia="zh-CN"/>
              </w:rPr>
              <w:t>3</w:t>
            </w:r>
            <w:r>
              <w:rPr>
                <w:rFonts w:hint="eastAsia" w:ascii="宋体" w:hAnsi="宋体" w:eastAsia="宋体" w:cs="宋体"/>
                <w:spacing w:val="6"/>
                <w:szCs w:val="21"/>
                <w:lang w:val="en-US" w:eastAsia="zh-CN"/>
              </w:rPr>
              <w:t>所，省市级绿色社区4个，国际生态学校</w:t>
            </w:r>
            <w:r>
              <w:rPr>
                <w:rFonts w:hint="eastAsia" w:ascii="宋体" w:hAnsi="宋体" w:cs="宋体"/>
                <w:spacing w:val="6"/>
                <w:szCs w:val="21"/>
                <w:lang w:val="en-US" w:eastAsia="zh-CN"/>
              </w:rPr>
              <w:t>及</w:t>
            </w:r>
            <w:r>
              <w:rPr>
                <w:rFonts w:hint="eastAsia" w:ascii="宋体" w:hAnsi="宋体" w:eastAsia="宋体" w:cs="宋体"/>
                <w:spacing w:val="6"/>
                <w:szCs w:val="21"/>
                <w:lang w:val="en-US" w:eastAsia="zh-CN"/>
              </w:rPr>
              <w:t>绿色创建示范点</w:t>
            </w:r>
            <w:r>
              <w:rPr>
                <w:rFonts w:hint="eastAsia" w:ascii="宋体" w:hAnsi="宋体" w:cs="宋体"/>
                <w:spacing w:val="6"/>
                <w:szCs w:val="21"/>
                <w:lang w:val="en-US" w:eastAsia="zh-CN"/>
              </w:rPr>
              <w:t>未建设完成。</w:t>
            </w:r>
          </w:p>
        </w:tc>
      </w:tr>
      <w:tr w14:paraId="2F11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458" w:hRule="atLeast"/>
          <w:jc w:val="center"/>
        </w:trPr>
        <w:tc>
          <w:tcPr>
            <w:tcW w:w="327" w:type="pct"/>
            <w:tcBorders>
              <w:top w:val="single" w:color="auto" w:sz="4" w:space="0"/>
              <w:bottom w:val="single" w:color="auto" w:sz="4" w:space="0"/>
            </w:tcBorders>
            <w:vAlign w:val="center"/>
          </w:tcPr>
          <w:p w14:paraId="2FF75FF0">
            <w:pPr>
              <w:jc w:val="center"/>
              <w:rPr>
                <w:rFonts w:hint="default" w:ascii="宋体" w:hAnsi="宋体" w:eastAsia="宋体" w:cs="宋体"/>
                <w:b/>
                <w:bCs/>
                <w:spacing w:val="6"/>
                <w:lang w:val="en-US" w:eastAsia="zh-CN"/>
              </w:rPr>
            </w:pPr>
            <w:r>
              <w:rPr>
                <w:rFonts w:hint="eastAsia" w:ascii="宋体" w:hAnsi="宋体" w:cs="宋体"/>
                <w:b/>
                <w:bCs/>
                <w:spacing w:val="6"/>
                <w:lang w:val="en-US" w:eastAsia="zh-CN"/>
              </w:rPr>
              <w:t>5</w:t>
            </w:r>
          </w:p>
        </w:tc>
        <w:tc>
          <w:tcPr>
            <w:tcW w:w="1980" w:type="pct"/>
            <w:tcBorders>
              <w:top w:val="single" w:color="auto" w:sz="4" w:space="0"/>
              <w:bottom w:val="single" w:color="auto" w:sz="4" w:space="0"/>
            </w:tcBorders>
            <w:vAlign w:val="center"/>
          </w:tcPr>
          <w:p w14:paraId="6B406BC8">
            <w:pPr>
              <w:jc w:val="both"/>
              <w:rPr>
                <w:rFonts w:hint="eastAsia" w:ascii="宋体" w:hAnsi="宋体" w:eastAsia="宋体" w:cs="宋体"/>
                <w:spacing w:val="6"/>
                <w:szCs w:val="21"/>
                <w:lang w:val="en-US" w:eastAsia="zh-CN"/>
              </w:rPr>
            </w:pPr>
            <w:r>
              <w:rPr>
                <w:rFonts w:hint="eastAsia" w:ascii="宋体" w:hAnsi="宋体" w:eastAsia="宋体" w:cs="宋体"/>
                <w:spacing w:val="6"/>
                <w:szCs w:val="21"/>
                <w:lang w:val="en-US" w:eastAsia="zh-CN"/>
              </w:rPr>
              <w:t>开展省市级绿色创建暨环保知识培训2次</w:t>
            </w:r>
            <w:r>
              <w:rPr>
                <w:rFonts w:hint="eastAsia" w:ascii="宋体" w:hAnsi="宋体" w:cs="宋体"/>
                <w:spacing w:val="6"/>
                <w:szCs w:val="21"/>
                <w:lang w:val="en-US" w:eastAsia="zh-CN"/>
              </w:rPr>
              <w:t>。</w:t>
            </w:r>
          </w:p>
        </w:tc>
        <w:tc>
          <w:tcPr>
            <w:tcW w:w="505" w:type="pct"/>
            <w:tcBorders>
              <w:top w:val="single" w:color="auto" w:sz="4" w:space="0"/>
              <w:bottom w:val="single" w:color="auto" w:sz="4" w:space="0"/>
            </w:tcBorders>
            <w:vAlign w:val="center"/>
          </w:tcPr>
          <w:p w14:paraId="4F75166A">
            <w:pPr>
              <w:jc w:val="both"/>
              <w:rPr>
                <w:rFonts w:hint="eastAsia" w:ascii="宋体" w:hAnsi="宋体" w:eastAsia="宋体" w:cs="宋体"/>
                <w:b/>
                <w:bCs/>
                <w:spacing w:val="6"/>
                <w:lang w:val="en-US" w:eastAsia="zh-CN"/>
              </w:rPr>
            </w:pPr>
            <w:r>
              <w:rPr>
                <w:rFonts w:hint="eastAsia" w:ascii="宋体" w:hAnsi="宋体" w:cs="宋体"/>
                <w:b/>
                <w:bCs/>
                <w:spacing w:val="6"/>
                <w:lang w:val="en-US" w:eastAsia="zh-CN"/>
              </w:rPr>
              <w:t>完成</w:t>
            </w:r>
          </w:p>
        </w:tc>
        <w:tc>
          <w:tcPr>
            <w:tcW w:w="2186" w:type="pct"/>
            <w:tcBorders>
              <w:top w:val="single" w:color="auto" w:sz="4" w:space="0"/>
              <w:bottom w:val="single" w:color="auto" w:sz="4" w:space="0"/>
            </w:tcBorders>
            <w:vAlign w:val="center"/>
          </w:tcPr>
          <w:p w14:paraId="63442F28">
            <w:pPr>
              <w:jc w:val="both"/>
              <w:rPr>
                <w:rFonts w:hint="default" w:ascii="宋体" w:hAnsi="宋体" w:eastAsia="宋体" w:cs="宋体"/>
                <w:spacing w:val="6"/>
                <w:szCs w:val="21"/>
                <w:lang w:val="en-US" w:eastAsia="zh-CN"/>
              </w:rPr>
            </w:pPr>
            <w:r>
              <w:rPr>
                <w:rFonts w:hint="eastAsia" w:ascii="宋体" w:hAnsi="宋体" w:cs="宋体"/>
                <w:spacing w:val="6"/>
                <w:szCs w:val="21"/>
                <w:lang w:val="en-US" w:eastAsia="zh-CN"/>
              </w:rPr>
              <w:t>实际开展</w:t>
            </w:r>
            <w:r>
              <w:rPr>
                <w:rFonts w:hint="eastAsia" w:ascii="宋体" w:hAnsi="宋体" w:eastAsia="宋体" w:cs="宋体"/>
                <w:spacing w:val="6"/>
                <w:szCs w:val="21"/>
                <w:lang w:val="en-US" w:eastAsia="zh-CN"/>
              </w:rPr>
              <w:t>省市级绿色创建暨环保知识培训2次</w:t>
            </w:r>
            <w:r>
              <w:rPr>
                <w:rFonts w:hint="eastAsia" w:ascii="宋体" w:hAnsi="宋体" w:cs="宋体"/>
                <w:spacing w:val="6"/>
                <w:szCs w:val="21"/>
                <w:lang w:val="en-US" w:eastAsia="zh-CN"/>
              </w:rPr>
              <w:t>。</w:t>
            </w:r>
          </w:p>
        </w:tc>
      </w:tr>
    </w:tbl>
    <w:p w14:paraId="5DA15D59">
      <w:pPr>
        <w:spacing w:line="579" w:lineRule="exact"/>
        <w:ind w:firstLine="600" w:firstLineChars="200"/>
        <w:outlineLvl w:val="1"/>
        <w:rPr>
          <w:rFonts w:hint="eastAsia" w:ascii="楷体" w:hAnsi="楷体" w:eastAsia="楷体"/>
          <w:kern w:val="30"/>
          <w:sz w:val="30"/>
          <w:szCs w:val="30"/>
          <w:highlight w:val="none"/>
          <w:lang w:val="en-US" w:eastAsia="zh-CN"/>
        </w:rPr>
      </w:pPr>
      <w:r>
        <w:rPr>
          <w:rFonts w:hint="eastAsia" w:ascii="楷体" w:hAnsi="楷体" w:eastAsia="楷体"/>
          <w:kern w:val="30"/>
          <w:sz w:val="30"/>
          <w:szCs w:val="30"/>
          <w:highlight w:val="none"/>
          <w:lang w:val="en-US" w:eastAsia="zh-CN"/>
        </w:rPr>
        <w:t>（五）项目的组织及管理</w:t>
      </w:r>
    </w:p>
    <w:p w14:paraId="614C4722">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（1）项目实施主体</w:t>
      </w:r>
    </w:p>
    <w:p w14:paraId="7603FB02">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昆明市生态环境局盘龙分局作为项目实施主体，昆明市生态环境局盘龙分局政宣科具体负责实施。</w:t>
      </w:r>
    </w:p>
    <w:p w14:paraId="56C660EA">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（2）保障措施</w:t>
      </w:r>
    </w:p>
    <w:p w14:paraId="28A8B9EA">
      <w:pPr>
        <w:jc w:val="both"/>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在项目管理上，为确保该项目顺利实施，昆明市生态环境局盘龙分局政宣科按照《昆明市“美丽中国，我是行动者”主题实践活动实施方案》、《关于开展2018年环境保护宣传进机关、进家庭、进学校、进社区、进企业“五进”活动的通知》和《关于开展2018年昆明市绿色学校、绿色社区、绿色家庭、环境教育基地创建申报工作的通知》要求和精神，结合盘龙区实际以及往年工作经验，认真制定了2019年度环保宣教工作计划和绿色创建计划，明确了工作重点、工作内容和完成时限等，并将在年中进行项目实施评估，以根据实际及时调整工作目标和方法等，精细开展各项工作，确保项目实施效益最大化，成本最小化。项目完成后开展了绩效评估，为来年该项目的继续实施提供经验借鉴和数据支持。在资金管理上，昆明市生态环境局盘龙分局严格按照《大额资金使用管理制度》、《经费支出管理办法》、《昆明市生态环境局盘龙分局收支管理内部控制流程》对该项目资金进行全过程跟踪管理。</w:t>
      </w:r>
    </w:p>
    <w:p w14:paraId="1A6CC500">
      <w:pPr>
        <w:spacing w:line="579"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（3）评价相关方</w:t>
      </w:r>
    </w:p>
    <w:p w14:paraId="4900BC79">
      <w:pPr>
        <w:spacing w:line="579"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主管单位：昆明市生态环境局盘龙分局</w:t>
      </w:r>
    </w:p>
    <w:p w14:paraId="247DB420">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实施处室：政策宣传科</w:t>
      </w:r>
    </w:p>
    <w:p w14:paraId="38AFFE84">
      <w:pPr>
        <w:spacing w:line="579"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受益对象：盘龙区普通市民</w:t>
      </w:r>
    </w:p>
    <w:p w14:paraId="678EE0BA">
      <w:pPr>
        <w:spacing w:line="579" w:lineRule="exact"/>
        <w:ind w:firstLine="600" w:firstLineChars="200"/>
        <w:outlineLvl w:val="1"/>
        <w:rPr>
          <w:rFonts w:hint="eastAsia" w:ascii="楷体" w:hAnsi="楷体" w:eastAsia="楷体"/>
          <w:kern w:val="30"/>
          <w:sz w:val="30"/>
          <w:szCs w:val="30"/>
          <w:highlight w:val="none"/>
          <w:lang w:val="en-US" w:eastAsia="zh-CN"/>
        </w:rPr>
      </w:pPr>
      <w:r>
        <w:rPr>
          <w:rFonts w:hint="eastAsia" w:ascii="楷体" w:hAnsi="楷体" w:eastAsia="楷体"/>
          <w:kern w:val="30"/>
          <w:sz w:val="30"/>
          <w:szCs w:val="30"/>
          <w:highlight w:val="none"/>
          <w:lang w:val="en-US" w:eastAsia="zh-CN"/>
        </w:rPr>
        <w:t xml:space="preserve">（六）项目绩效目标 </w:t>
      </w:r>
    </w:p>
    <w:p w14:paraId="5463D1DF">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在年初申报预算时，昆明市生态环境局盘龙分局针对该项目制定的总目标为：大力提高公众的环保意识，推动公众积极参与环境保护，广泛发动社会公众参与生态文明建设，从自己做起，用实际行动共筑生态家园；组织、指导辖区中小学校、社区、单位开展各级“绿色学校”、“绿色社区”、环境教育基地和国际生态学校的申报与创建，督促已创成的各级学校、社区、单位做好巩固、提高及复核工作，倡导、实践节能减排的绿色生产生活方式；持续增强环境管理与生态建设新闻宣传的覆盖力与传播力，营造全社会共同参与生态文明建设的良好氛围。</w:t>
      </w:r>
    </w:p>
    <w:p w14:paraId="2B95F5F9">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2019年年度目标为：2019年逐步力提高公众的环保意识，推动公众积极参与环境保护，广泛发动社会公众参与生态文明建设，从自己做起，用实际行动共筑生态家园；组织、指导辖区中小学校、社区、单位开展各级“绿色学校”、“绿色社区”、环境教育基地和国际生态学校的申报与创建，督促已创成的各级学校、社区、单位做好巩固、提高及复核工作，倡导、实践节能减排的绿色生产生活方式；逐步增强环境管理与生态建设新闻宣传的覆盖力与传播力，营造全社会共同参与生态文明建设的良好氛围。</w:t>
      </w:r>
    </w:p>
    <w:p w14:paraId="407DE9D8">
      <w:pPr>
        <w:spacing w:line="579"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具体目标为：2019年开展环保宣教活动3-4次；2019年创建省、市级绿色学校4—5所；创建省、市级绿色社区3—4个；创建国际生态学校1所；2019年创建省、市级绿色学校、绿色社区，创建国际生态学校通过省级及市级相关部门考核验收，通过率达100%；2019年按照市级下达的主题及目标，圆满完成“六·五”世界环境日主题活动；按照省、市、区三级下达的各项任务，完成“两微”及各公众平台信息发布及宣传；2019年12月15前完成环保宣教活动；2019年6月5日前完成“六·五”环境日主题纪念活动；2019年11月30日前完成省、市级绿色创建验收工作；项目成本控制在30万元以内。</w:t>
      </w:r>
    </w:p>
    <w:p w14:paraId="0DC87909">
      <w:pPr>
        <w:pStyle w:val="5"/>
        <w:keepNext w:val="0"/>
        <w:keepLines w:val="0"/>
        <w:pageBreakBefore w:val="0"/>
        <w:widowControl w:val="0"/>
        <w:tabs>
          <w:tab w:val="right" w:leader="dot" w:pos="8296"/>
        </w:tabs>
        <w:kinsoku/>
        <w:wordWrap/>
        <w:overflowPunct/>
        <w:topLinePunct w:val="0"/>
        <w:autoSpaceDE/>
        <w:autoSpaceDN/>
        <w:bidi w:val="0"/>
        <w:adjustRightInd/>
        <w:snapToGrid/>
        <w:spacing w:line="480" w:lineRule="auto"/>
        <w:textAlignment w:val="auto"/>
        <w:rPr>
          <w:rFonts w:hint="eastAsia" w:ascii="黑体" w:hAnsi="黑体" w:eastAsia="黑体" w:cs="宋体"/>
          <w:kern w:val="30"/>
          <w:sz w:val="30"/>
          <w:szCs w:val="30"/>
          <w:highlight w:val="none"/>
          <w:lang w:val="en-US" w:eastAsia="zh-CN" w:bidi="ar-SA"/>
        </w:rPr>
      </w:pPr>
      <w:r>
        <w:rPr>
          <w:rFonts w:hint="eastAsia" w:ascii="黑体" w:hAnsi="黑体" w:eastAsia="黑体" w:cs="宋体"/>
          <w:kern w:val="30"/>
          <w:sz w:val="30"/>
          <w:szCs w:val="30"/>
          <w:highlight w:val="none"/>
          <w:lang w:val="en-US" w:eastAsia="zh-CN" w:bidi="ar-SA"/>
        </w:rPr>
        <w:fldChar w:fldCharType="begin"/>
      </w:r>
      <w:r>
        <w:rPr>
          <w:rFonts w:hint="eastAsia" w:ascii="黑体" w:hAnsi="黑体" w:eastAsia="黑体" w:cs="宋体"/>
          <w:kern w:val="30"/>
          <w:sz w:val="30"/>
          <w:szCs w:val="30"/>
          <w:highlight w:val="none"/>
          <w:lang w:val="en-US" w:eastAsia="zh-CN" w:bidi="ar-SA"/>
        </w:rPr>
        <w:instrText xml:space="preserve"> HYPERLINK \l "_Toc514530485" </w:instrText>
      </w:r>
      <w:r>
        <w:rPr>
          <w:rFonts w:hint="eastAsia" w:ascii="黑体" w:hAnsi="黑体" w:eastAsia="黑体" w:cs="宋体"/>
          <w:kern w:val="30"/>
          <w:sz w:val="30"/>
          <w:szCs w:val="30"/>
          <w:highlight w:val="none"/>
          <w:lang w:val="en-US" w:eastAsia="zh-CN" w:bidi="ar-SA"/>
        </w:rPr>
        <w:fldChar w:fldCharType="separate"/>
      </w:r>
      <w:r>
        <w:rPr>
          <w:rFonts w:hint="eastAsia" w:ascii="黑体" w:hAnsi="黑体" w:eastAsia="黑体" w:cs="宋体"/>
          <w:kern w:val="30"/>
          <w:sz w:val="30"/>
          <w:szCs w:val="30"/>
          <w:highlight w:val="none"/>
          <w:lang w:val="en-US" w:eastAsia="zh-CN" w:bidi="ar-SA"/>
        </w:rPr>
        <w:t>二、绩效评价工作情况</w:t>
      </w:r>
      <w:r>
        <w:rPr>
          <w:rFonts w:hint="eastAsia" w:ascii="黑体" w:hAnsi="黑体" w:eastAsia="黑体" w:cs="宋体"/>
          <w:kern w:val="30"/>
          <w:sz w:val="30"/>
          <w:szCs w:val="30"/>
          <w:highlight w:val="none"/>
          <w:lang w:val="en-US" w:eastAsia="zh-CN" w:bidi="ar-SA"/>
        </w:rPr>
        <w:fldChar w:fldCharType="end"/>
      </w:r>
    </w:p>
    <w:p w14:paraId="07B322B9">
      <w:pPr>
        <w:pStyle w:val="5"/>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300" w:firstLineChars="100"/>
        <w:textAlignment w:val="auto"/>
        <w:rPr>
          <w:rFonts w:hint="eastAsia" w:ascii="楷体" w:hAnsi="楷体" w:eastAsia="楷体" w:cs="Times New Roman"/>
          <w:kern w:val="30"/>
          <w:sz w:val="30"/>
          <w:szCs w:val="30"/>
          <w:highlight w:val="none"/>
          <w:lang w:val="en-US" w:eastAsia="zh-CN" w:bidi="ar-SA"/>
        </w:rPr>
      </w:pPr>
      <w:r>
        <w:rPr>
          <w:rFonts w:hint="eastAsia" w:ascii="楷体" w:hAnsi="楷体" w:eastAsia="楷体" w:cs="Times New Roman"/>
          <w:kern w:val="30"/>
          <w:sz w:val="30"/>
          <w:szCs w:val="30"/>
          <w:highlight w:val="none"/>
          <w:lang w:val="en-US" w:eastAsia="zh-CN" w:bidi="ar-SA"/>
        </w:rPr>
        <w:fldChar w:fldCharType="begin"/>
      </w:r>
      <w:r>
        <w:rPr>
          <w:rFonts w:hint="eastAsia" w:ascii="楷体" w:hAnsi="楷体" w:eastAsia="楷体" w:cs="Times New Roman"/>
          <w:kern w:val="30"/>
          <w:sz w:val="30"/>
          <w:szCs w:val="30"/>
          <w:highlight w:val="none"/>
          <w:lang w:val="en-US" w:eastAsia="zh-CN" w:bidi="ar-SA"/>
        </w:rPr>
        <w:instrText xml:space="preserve"> HYPERLINK \l "_Toc514530486" </w:instrText>
      </w:r>
      <w:r>
        <w:rPr>
          <w:rFonts w:hint="eastAsia" w:ascii="楷体" w:hAnsi="楷体" w:eastAsia="楷体" w:cs="Times New Roman"/>
          <w:kern w:val="30"/>
          <w:sz w:val="30"/>
          <w:szCs w:val="30"/>
          <w:highlight w:val="none"/>
          <w:lang w:val="en-US" w:eastAsia="zh-CN" w:bidi="ar-SA"/>
        </w:rPr>
        <w:fldChar w:fldCharType="separate"/>
      </w:r>
      <w:r>
        <w:rPr>
          <w:rFonts w:hint="eastAsia" w:ascii="楷体" w:hAnsi="楷体" w:eastAsia="楷体" w:cs="Times New Roman"/>
          <w:kern w:val="30"/>
          <w:sz w:val="30"/>
          <w:szCs w:val="30"/>
          <w:highlight w:val="none"/>
          <w:lang w:val="en-US" w:eastAsia="zh-CN" w:bidi="ar-SA"/>
        </w:rPr>
        <w:t>（一）绩效评价目的及依据</w:t>
      </w:r>
      <w:r>
        <w:rPr>
          <w:rFonts w:hint="eastAsia" w:ascii="楷体" w:hAnsi="楷体" w:eastAsia="楷体" w:cs="Times New Roman"/>
          <w:kern w:val="30"/>
          <w:sz w:val="30"/>
          <w:szCs w:val="30"/>
          <w:highlight w:val="none"/>
          <w:lang w:val="en-US" w:eastAsia="zh-CN" w:bidi="ar-SA"/>
        </w:rPr>
        <w:fldChar w:fldCharType="end"/>
      </w:r>
    </w:p>
    <w:p w14:paraId="0F0EC28B">
      <w:pPr>
        <w:spacing w:line="579"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1.绩效评价目的</w:t>
      </w:r>
    </w:p>
    <w:p w14:paraId="433FB656">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445CC70E">
      <w:pPr>
        <w:ind w:firstLine="584" w:firstLineChars="200"/>
        <w:rPr>
          <w:rFonts w:hint="default"/>
          <w:lang w:val="en-US"/>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2.绩效评价依据</w:t>
      </w:r>
    </w:p>
    <w:p w14:paraId="0B1B8A27">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584" w:firstLineChars="200"/>
        <w:textAlignment w:val="auto"/>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①《全国环境宣传教育纲要（2016-2020）》（环宣教〔2016〕38号）；</w:t>
      </w:r>
    </w:p>
    <w:p w14:paraId="1FACE460">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584" w:firstLineChars="200"/>
        <w:textAlignment w:val="auto"/>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②《昆明市“美丽中国，我是行动者”主题实践活动实施方案》（昆环保通〔2018〕256号）；</w:t>
      </w:r>
    </w:p>
    <w:p w14:paraId="0971C5A4">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584" w:firstLineChars="200"/>
        <w:textAlignment w:val="auto"/>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③《关于开展2018年环境保护宣传进机关、进家庭、进学校、进社区、进企业“五进”活动的通知》（昆环保通〔2018〕62号）；</w:t>
      </w:r>
    </w:p>
    <w:p w14:paraId="2970DAFB">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584" w:firstLineChars="200"/>
        <w:textAlignment w:val="auto"/>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④《关于认真组织开展2018年“六•五”环境日宣传活动的通知》（昆环保通〔2018〕131号）；</w:t>
      </w:r>
    </w:p>
    <w:p w14:paraId="3BB7512F">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584" w:firstLineChars="200"/>
        <w:textAlignment w:val="auto"/>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⑤《昆明市2018年“六•五”环境日系列宣传活动方案》（昆环保请〔2018〕58号）；</w:t>
      </w:r>
    </w:p>
    <w:p w14:paraId="1A06D44A">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584" w:firstLineChars="200"/>
        <w:textAlignment w:val="auto"/>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⑥《关于开展2018年昆明市绿色学校、绿色社区、绿色家庭、环境教育基地创建申报工作的通知》（昆环保通〔2018〕139号）；</w:t>
      </w:r>
    </w:p>
    <w:p w14:paraId="0A70AEFC">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584" w:firstLineChars="200"/>
        <w:textAlignment w:val="auto"/>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⑦《关于对部分省级绿色创建单位进行复核的通知》（昆环保通〔2018〕236号）；</w:t>
      </w:r>
    </w:p>
    <w:p w14:paraId="09AAE562">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584" w:firstLineChars="200"/>
        <w:textAlignment w:val="auto"/>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⑧《关于申报2017年国际生态学校绿旗荣誉的通知》（环宣中心文〔2017〕13号）；</w:t>
      </w:r>
    </w:p>
    <w:p w14:paraId="1FEF2858">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ind w:firstLine="584" w:firstLineChars="200"/>
        <w:textAlignment w:val="auto"/>
        <w:rPr>
          <w:rFonts w:hint="default" w:ascii="宋体" w:hAnsi="宋体" w:eastAsia="宋体" w:cs="宋体"/>
          <w:sz w:val="24"/>
          <w:szCs w:val="24"/>
          <w:lang w:val="en-US" w:eastAsia="zh-CN"/>
        </w:rPr>
      </w:pPr>
      <w:r>
        <w:rPr>
          <w:rFonts w:hint="eastAsia" w:ascii="仿宋_GB2312" w:hAnsi="仿宋" w:eastAsia="仿宋_GB2312" w:cs="Times New Roman"/>
          <w:spacing w:val="6"/>
          <w:kern w:val="0"/>
          <w:sz w:val="28"/>
          <w:szCs w:val="28"/>
          <w:highlight w:val="none"/>
          <w:lang w:val="en-US" w:eastAsia="zh-CN" w:bidi="ar-SA"/>
        </w:rPr>
        <w:t>⑨《关于授予2017年度国际生态学校项目绿旗荣誉及优秀组织单位的通知》（环宣中心文〔2018〕3号）。</w:t>
      </w:r>
    </w:p>
    <w:p w14:paraId="3CDB6B96">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textAlignment w:val="auto"/>
        <w:rPr>
          <w:rFonts w:hint="eastAsia" w:ascii="楷体" w:hAnsi="楷体" w:eastAsia="楷体" w:cs="Times New Roman"/>
          <w:kern w:val="30"/>
          <w:sz w:val="30"/>
          <w:szCs w:val="30"/>
          <w:highlight w:val="none"/>
          <w:lang w:val="en-US" w:eastAsia="zh-CN" w:bidi="ar-SA"/>
        </w:rPr>
      </w:pPr>
      <w:r>
        <w:rPr>
          <w:rFonts w:hint="eastAsia" w:ascii="楷体" w:hAnsi="楷体" w:eastAsia="楷体" w:cs="Times New Roman"/>
          <w:kern w:val="30"/>
          <w:sz w:val="30"/>
          <w:szCs w:val="30"/>
          <w:highlight w:val="none"/>
          <w:lang w:val="en-US" w:eastAsia="zh-CN" w:bidi="ar-SA"/>
        </w:rPr>
        <w:fldChar w:fldCharType="begin"/>
      </w:r>
      <w:r>
        <w:rPr>
          <w:rFonts w:hint="eastAsia" w:ascii="楷体" w:hAnsi="楷体" w:eastAsia="楷体" w:cs="Times New Roman"/>
          <w:kern w:val="30"/>
          <w:sz w:val="30"/>
          <w:szCs w:val="30"/>
          <w:highlight w:val="none"/>
          <w:lang w:val="en-US" w:eastAsia="zh-CN" w:bidi="ar-SA"/>
        </w:rPr>
        <w:instrText xml:space="preserve"> HYPERLINK \l "_Toc514530487" </w:instrText>
      </w:r>
      <w:r>
        <w:rPr>
          <w:rFonts w:hint="eastAsia" w:ascii="楷体" w:hAnsi="楷体" w:eastAsia="楷体" w:cs="Times New Roman"/>
          <w:kern w:val="30"/>
          <w:sz w:val="30"/>
          <w:szCs w:val="30"/>
          <w:highlight w:val="none"/>
          <w:lang w:val="en-US" w:eastAsia="zh-CN" w:bidi="ar-SA"/>
        </w:rPr>
        <w:fldChar w:fldCharType="separate"/>
      </w:r>
      <w:r>
        <w:rPr>
          <w:rFonts w:hint="eastAsia" w:ascii="楷体" w:hAnsi="楷体" w:eastAsia="楷体" w:cs="Times New Roman"/>
          <w:kern w:val="30"/>
          <w:sz w:val="30"/>
          <w:szCs w:val="30"/>
          <w:highlight w:val="none"/>
          <w:lang w:val="en-US" w:eastAsia="zh-CN" w:bidi="ar-SA"/>
        </w:rPr>
        <w:t>（二）绩效评价工作方案制定过程</w:t>
      </w:r>
      <w:r>
        <w:rPr>
          <w:rFonts w:hint="eastAsia" w:ascii="楷体" w:hAnsi="楷体" w:eastAsia="楷体" w:cs="Times New Roman"/>
          <w:kern w:val="30"/>
          <w:sz w:val="30"/>
          <w:szCs w:val="30"/>
          <w:highlight w:val="none"/>
          <w:lang w:val="en-US" w:eastAsia="zh-CN" w:bidi="ar-SA"/>
        </w:rPr>
        <w:fldChar w:fldCharType="end"/>
      </w:r>
    </w:p>
    <w:p w14:paraId="1930C7AA">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1.前期调研</w:t>
      </w:r>
    </w:p>
    <w:p w14:paraId="2C4EAA47">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通过前期对昆明市生态环境局盘龙分局开展调研，初步了解项目立项背景及依据、组织及管理情况、实施内容、实施计划及完成情况等，并向项目相关单位索要相关文件，通过调研会议等工作的相继开展，进一步了解项目情况。</w:t>
      </w:r>
    </w:p>
    <w:p w14:paraId="48834E6F">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2.研究文件</w:t>
      </w:r>
    </w:p>
    <w:p w14:paraId="454531D0">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通过前期调研结束后所收集的相关项目资料，通过分析研究相关文件资料，进一步了解项目立项背景及依据、组织及管理情况、实施内容、实施计划及完成情况，绩效目标申报和实现情况，结合项目特点制定适用的评价指标体系。</w:t>
      </w:r>
    </w:p>
    <w:p w14:paraId="1C6BCBFA">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3.绩效评价指标体系及工作方案的设计</w:t>
      </w:r>
    </w:p>
    <w:p w14:paraId="56F6C0F7">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项目评价指标体系主要包括项目决策、项目管理、项目绩效三个方面，包括投入、过程、产出及效益。并根据《昆明市本级部门预算绩效自评管理暂行办法》及《</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盘龙区区级部门预算绩效自评管理暂行办法</w:t>
      </w:r>
      <w:r>
        <w:rPr>
          <w:rFonts w:hint="eastAsia" w:ascii="仿宋_GB2312" w:hAnsi="仿宋" w:eastAsia="仿宋_GB2312"/>
          <w:spacing w:val="6"/>
          <w:kern w:val="0"/>
          <w:sz w:val="28"/>
          <w:szCs w:val="28"/>
          <w:highlight w:val="none"/>
          <w:lang w:val="en-US" w:eastAsia="zh-CN"/>
        </w:rPr>
        <w:t>》附件项目支出共性指标体系细化评价指标，使设置的评价指标具有可操作性，能系统反映</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项目</w:t>
      </w:r>
      <w:r>
        <w:rPr>
          <w:rFonts w:hint="eastAsia" w:ascii="仿宋_GB2312" w:hAnsi="仿宋" w:eastAsia="仿宋_GB2312"/>
          <w:spacing w:val="6"/>
          <w:kern w:val="0"/>
          <w:sz w:val="28"/>
          <w:szCs w:val="28"/>
          <w:highlight w:val="none"/>
          <w:lang w:val="en-US" w:eastAsia="zh-CN"/>
        </w:rPr>
        <w:t>支出所产生的项目效益。指标分值满分为100分。一是项目决策指标：占指标权重20%。含2个二级指标，5个三级指标及10个四级指标。主要从项目与部门中长期规划目标适应性、立项依据充分性、项目立项规范性、绩效目标设定的合理性及绩效指标设定的明确性等方面对项目决策作出评价。二是项目管理指标：占指标权重20%。含3个二级指标，9个三级指标及10个四级指标。主要从预算编制合理性、预算调整规范性、预算执行率、资金使用情况、财务管理制度健全性、财务监控有效性、项目管理制度健全性、项目管理制度执行有效性、政府采购规范性等方面对项目实施的过程进行评价。</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三是项目绩效指标：占指标权重60%。含2个二级指标，7个三级指标及14个四级指标。主要从环保宣教完成情况、绿色创建工作完成情况、项目完成及时率、项目成本控制情况、生态效益、社会效益、社会群众满意度等方面对项目产出及其成效进行评价考核。根据评价得分情况，评</w:t>
      </w:r>
      <w:r>
        <w:rPr>
          <w:rFonts w:hint="eastAsia" w:ascii="仿宋_GB2312" w:hAnsi="仿宋" w:eastAsia="仿宋_GB2312"/>
          <w:spacing w:val="6"/>
          <w:kern w:val="0"/>
          <w:sz w:val="28"/>
          <w:szCs w:val="28"/>
          <w:highlight w:val="none"/>
          <w:lang w:val="en-US" w:eastAsia="zh-CN"/>
        </w:rPr>
        <w:t>价结果分为：优、良、中、差四个等级档次，具体等级档次划分详见表2：</w:t>
      </w:r>
    </w:p>
    <w:p w14:paraId="49685014">
      <w:pPr>
        <w:jc w:val="center"/>
        <w:rPr>
          <w:rFonts w:hint="eastAsia" w:ascii="仿宋_GB2312" w:hAnsi="仿宋" w:eastAsia="仿宋_GB2312"/>
          <w:spacing w:val="6"/>
          <w:kern w:val="0"/>
          <w:sz w:val="28"/>
          <w:szCs w:val="28"/>
          <w:highlight w:val="none"/>
          <w:lang w:val="en-US" w:eastAsia="zh-CN"/>
        </w:rPr>
      </w:pPr>
      <w:r>
        <w:rPr>
          <w:rFonts w:hint="eastAsia" w:ascii="黑体" w:hAnsi="黑体" w:eastAsia="黑体" w:cs="宋体"/>
          <w:bCs/>
          <w:spacing w:val="6"/>
          <w:sz w:val="24"/>
          <w:szCs w:val="24"/>
          <w:highlight w:val="none"/>
        </w:rPr>
        <w:t>表</w:t>
      </w:r>
      <w:r>
        <w:rPr>
          <w:rFonts w:hint="eastAsia" w:ascii="黑体" w:hAnsi="黑体" w:eastAsia="黑体" w:cs="宋体"/>
          <w:bCs/>
          <w:spacing w:val="6"/>
          <w:sz w:val="24"/>
          <w:szCs w:val="24"/>
          <w:highlight w:val="none"/>
          <w:lang w:val="en-US" w:eastAsia="zh-CN"/>
        </w:rPr>
        <w:t>2  评分档次划分情况表</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1622"/>
        <w:gridCol w:w="2154"/>
        <w:gridCol w:w="2106"/>
        <w:gridCol w:w="1612"/>
      </w:tblGrid>
      <w:tr w14:paraId="62D4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blHeader/>
          <w:jc w:val="center"/>
        </w:trPr>
        <w:tc>
          <w:tcPr>
            <w:tcW w:w="602" w:type="pct"/>
            <w:vAlign w:val="center"/>
          </w:tcPr>
          <w:p w14:paraId="6BF72DF4">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档次</w:t>
            </w:r>
          </w:p>
        </w:tc>
        <w:tc>
          <w:tcPr>
            <w:tcW w:w="951" w:type="pct"/>
            <w:vAlign w:val="center"/>
          </w:tcPr>
          <w:p w14:paraId="10E39660">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优</w:t>
            </w:r>
          </w:p>
        </w:tc>
        <w:tc>
          <w:tcPr>
            <w:tcW w:w="1263" w:type="pct"/>
            <w:vAlign w:val="center"/>
          </w:tcPr>
          <w:p w14:paraId="0FB6DF62">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良</w:t>
            </w:r>
          </w:p>
        </w:tc>
        <w:tc>
          <w:tcPr>
            <w:tcW w:w="1235" w:type="pct"/>
            <w:vAlign w:val="center"/>
          </w:tcPr>
          <w:p w14:paraId="351B9A08">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中</w:t>
            </w:r>
          </w:p>
        </w:tc>
        <w:tc>
          <w:tcPr>
            <w:tcW w:w="945" w:type="pct"/>
            <w:vAlign w:val="center"/>
          </w:tcPr>
          <w:p w14:paraId="10C3B237">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差</w:t>
            </w:r>
          </w:p>
        </w:tc>
      </w:tr>
      <w:tr w14:paraId="7AD7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02" w:type="pct"/>
            <w:vAlign w:val="center"/>
          </w:tcPr>
          <w:p w14:paraId="622349A5">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分值</w:t>
            </w:r>
          </w:p>
        </w:tc>
        <w:tc>
          <w:tcPr>
            <w:tcW w:w="951" w:type="pct"/>
            <w:vAlign w:val="center"/>
          </w:tcPr>
          <w:p w14:paraId="5F4E71AF">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得分≥90</w:t>
            </w:r>
          </w:p>
        </w:tc>
        <w:tc>
          <w:tcPr>
            <w:tcW w:w="1263" w:type="pct"/>
            <w:vAlign w:val="center"/>
          </w:tcPr>
          <w:p w14:paraId="5A3A5B29">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80≤得分＜90</w:t>
            </w:r>
          </w:p>
        </w:tc>
        <w:tc>
          <w:tcPr>
            <w:tcW w:w="1235" w:type="pct"/>
            <w:vAlign w:val="center"/>
          </w:tcPr>
          <w:p w14:paraId="43D91480">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60≤得分＜80</w:t>
            </w:r>
          </w:p>
        </w:tc>
        <w:tc>
          <w:tcPr>
            <w:tcW w:w="945" w:type="pct"/>
            <w:vAlign w:val="center"/>
          </w:tcPr>
          <w:p w14:paraId="79BA3691">
            <w:pPr>
              <w:spacing w:line="579" w:lineRule="exact"/>
              <w:jc w:val="center"/>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得分＜60</w:t>
            </w:r>
          </w:p>
        </w:tc>
      </w:tr>
    </w:tbl>
    <w:p w14:paraId="7FEC6592">
      <w:pPr>
        <w:spacing w:line="579" w:lineRule="exact"/>
        <w:ind w:firstLine="584" w:firstLineChars="200"/>
        <w:rPr>
          <w:rFonts w:hint="eastAsia" w:ascii="宋体" w:hAnsi="宋体" w:eastAsia="宋体" w:cs="宋体"/>
          <w:sz w:val="24"/>
          <w:szCs w:val="24"/>
        </w:rPr>
      </w:pPr>
      <w:r>
        <w:rPr>
          <w:rFonts w:hint="eastAsia" w:ascii="仿宋_GB2312" w:hAnsi="仿宋" w:eastAsia="仿宋_GB2312"/>
          <w:spacing w:val="6"/>
          <w:kern w:val="0"/>
          <w:sz w:val="28"/>
          <w:szCs w:val="28"/>
          <w:highlight w:val="none"/>
          <w:lang w:val="en-US" w:eastAsia="zh-CN"/>
        </w:rPr>
        <w:t>（详见附件1：</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《环保宣教及绿色创建活动经费项目支出绩效自评指标体系表》</w:t>
      </w:r>
      <w:r>
        <w:rPr>
          <w:rFonts w:hint="eastAsia" w:ascii="仿宋_GB2312" w:hAnsi="仿宋" w:eastAsia="仿宋_GB2312"/>
          <w:spacing w:val="6"/>
          <w:kern w:val="0"/>
          <w:sz w:val="28"/>
          <w:szCs w:val="28"/>
          <w:highlight w:val="none"/>
          <w:lang w:val="en-US" w:eastAsia="zh-CN"/>
        </w:rPr>
        <w:t>）</w:t>
      </w:r>
    </w:p>
    <w:p w14:paraId="66368EEB">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textAlignment w:val="auto"/>
        <w:rPr>
          <w:rFonts w:hint="eastAsia" w:ascii="楷体" w:hAnsi="楷体" w:eastAsia="楷体" w:cs="Times New Roman"/>
          <w:kern w:val="30"/>
          <w:sz w:val="30"/>
          <w:szCs w:val="30"/>
          <w:highlight w:val="none"/>
          <w:lang w:val="en-US" w:eastAsia="zh-CN" w:bidi="ar-SA"/>
        </w:rPr>
      </w:pPr>
      <w:r>
        <w:rPr>
          <w:rFonts w:hint="eastAsia" w:ascii="楷体" w:hAnsi="楷体" w:eastAsia="楷体" w:cs="Times New Roman"/>
          <w:kern w:val="30"/>
          <w:sz w:val="30"/>
          <w:szCs w:val="30"/>
          <w:highlight w:val="none"/>
          <w:lang w:val="en-US" w:eastAsia="zh-CN" w:bidi="ar-SA"/>
        </w:rPr>
        <w:fldChar w:fldCharType="begin"/>
      </w:r>
      <w:r>
        <w:rPr>
          <w:rFonts w:hint="eastAsia" w:ascii="楷体" w:hAnsi="楷体" w:eastAsia="楷体" w:cs="Times New Roman"/>
          <w:kern w:val="30"/>
          <w:sz w:val="30"/>
          <w:szCs w:val="30"/>
          <w:highlight w:val="none"/>
          <w:lang w:val="en-US" w:eastAsia="zh-CN" w:bidi="ar-SA"/>
        </w:rPr>
        <w:instrText xml:space="preserve"> HYPERLINK \l "_Toc514530488" </w:instrText>
      </w:r>
      <w:r>
        <w:rPr>
          <w:rFonts w:hint="eastAsia" w:ascii="楷体" w:hAnsi="楷体" w:eastAsia="楷体" w:cs="Times New Roman"/>
          <w:kern w:val="30"/>
          <w:sz w:val="30"/>
          <w:szCs w:val="30"/>
          <w:highlight w:val="none"/>
          <w:lang w:val="en-US" w:eastAsia="zh-CN" w:bidi="ar-SA"/>
        </w:rPr>
        <w:fldChar w:fldCharType="separate"/>
      </w:r>
      <w:r>
        <w:rPr>
          <w:rFonts w:hint="eastAsia" w:ascii="楷体" w:hAnsi="楷体" w:eastAsia="楷体" w:cs="Times New Roman"/>
          <w:kern w:val="30"/>
          <w:sz w:val="30"/>
          <w:szCs w:val="30"/>
          <w:highlight w:val="none"/>
          <w:lang w:val="en-US" w:eastAsia="zh-CN" w:bidi="ar-SA"/>
        </w:rPr>
        <w:t>（三）绩效评价原则、评价方法</w:t>
      </w:r>
      <w:r>
        <w:rPr>
          <w:rFonts w:hint="eastAsia" w:ascii="楷体" w:hAnsi="楷体" w:eastAsia="楷体" w:cs="Times New Roman"/>
          <w:kern w:val="30"/>
          <w:sz w:val="30"/>
          <w:szCs w:val="30"/>
          <w:highlight w:val="none"/>
          <w:lang w:val="en-US" w:eastAsia="zh-CN" w:bidi="ar-SA"/>
        </w:rPr>
        <w:fldChar w:fldCharType="end"/>
      </w:r>
    </w:p>
    <w:p w14:paraId="7E1E4F8C">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1.绩效评价原则</w:t>
      </w:r>
    </w:p>
    <w:p w14:paraId="5FB8C05D">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本次绩效评价工作坚持科学规范、公开公正、绩效相关等原则。采用以定量评价为主、定性评价为辅、定量与定性相结合的方法进行评价。</w:t>
      </w:r>
    </w:p>
    <w:p w14:paraId="49BF30E5">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2.绩效评价方法</w:t>
      </w:r>
    </w:p>
    <w:p w14:paraId="187116AD">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结合本次绩效重点评价项目的具体情况，为确保本次绩效重点评价工作的真实可靠，本次绩效重点评价主要通过审阅资料、现场调研、实地评价、专家会审等方法进行评价。</w:t>
      </w:r>
    </w:p>
    <w:p w14:paraId="202C6E84">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①审阅资料</w:t>
      </w:r>
    </w:p>
    <w:p w14:paraId="07B91AFC">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从项目主管单位及项目实施处室收集与项目预算、管理、绩效相关的评价数据，形成绩效重点评价的基础资料，并对基础资料的真实性、可靠性进行审阅。具体为（1）对实施单位上报的自评报告进行认真审阅，核实项目单位自评工作是否按要求完成，评价完成的效果和质量。收集绩效重点评价的基础数据。（2）对项目实施单位填报的项目完成情况表、资金使用情况表进行审阅，对异常的资金使用通过实地调查、原始凭证查阅等进行核实。（3）收集项目绩效的相关资料并结合问卷调查、座谈访谈结果对项目绩效进行客观评价。</w:t>
      </w:r>
    </w:p>
    <w:p w14:paraId="6CE75127">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②现场调研</w:t>
      </w:r>
    </w:p>
    <w:p w14:paraId="7B386909">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通过调研，进一步了解部门职能职责、履职情况、项目实施及绩效目标申报和实现情况，结合项目特点制定适用的评价指标体系。</w:t>
      </w:r>
    </w:p>
    <w:p w14:paraId="24A0EB93">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③实地评价</w:t>
      </w:r>
    </w:p>
    <w:p w14:paraId="68212CCE">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绩效自评评价工作组根据分工，采用资料收集与数据填报、案卷研究、实地调研、座谈会、问卷调查等方式，组织开展实地再评价。在绩效重点评价实施过程中，根据评价对象的具体情况，设计数据收集表格收集评价数据、资料；同时发放调查问卷调查项目的公众满意度、管理人员意见以及评价相关的信息。</w:t>
      </w:r>
    </w:p>
    <w:p w14:paraId="6BC76462">
      <w:pPr>
        <w:pStyle w:val="6"/>
        <w:keepNext w:val="0"/>
        <w:keepLines w:val="0"/>
        <w:pageBreakBefore w:val="0"/>
        <w:widowControl w:val="0"/>
        <w:tabs>
          <w:tab w:val="right" w:leader="dot" w:pos="8296"/>
        </w:tabs>
        <w:kinsoku/>
        <w:wordWrap/>
        <w:overflowPunct/>
        <w:topLinePunct w:val="0"/>
        <w:autoSpaceDE/>
        <w:autoSpaceDN/>
        <w:bidi w:val="0"/>
        <w:adjustRightInd/>
        <w:snapToGrid/>
        <w:spacing w:line="480" w:lineRule="auto"/>
        <w:textAlignment w:val="auto"/>
        <w:rPr>
          <w:rFonts w:hint="eastAsia" w:ascii="楷体" w:hAnsi="楷体" w:eastAsia="楷体"/>
          <w:kern w:val="30"/>
          <w:sz w:val="30"/>
          <w:szCs w:val="30"/>
          <w:highlight w:val="none"/>
        </w:rPr>
      </w:pPr>
      <w:r>
        <w:rPr>
          <w:rFonts w:hint="eastAsia" w:ascii="楷体" w:hAnsi="楷体" w:eastAsia="楷体" w:cs="Times New Roman"/>
          <w:kern w:val="30"/>
          <w:sz w:val="30"/>
          <w:szCs w:val="30"/>
          <w:highlight w:val="none"/>
          <w:lang w:val="en-US" w:eastAsia="zh-CN" w:bidi="ar-SA"/>
        </w:rPr>
        <w:fldChar w:fldCharType="begin"/>
      </w:r>
      <w:r>
        <w:rPr>
          <w:rFonts w:hint="eastAsia" w:ascii="楷体" w:hAnsi="楷体" w:eastAsia="楷体" w:cs="Times New Roman"/>
          <w:kern w:val="30"/>
          <w:sz w:val="30"/>
          <w:szCs w:val="30"/>
          <w:highlight w:val="none"/>
          <w:lang w:val="en-US" w:eastAsia="zh-CN" w:bidi="ar-SA"/>
        </w:rPr>
        <w:instrText xml:space="preserve"> HYPERLINK \l "_Toc514530489" </w:instrText>
      </w:r>
      <w:r>
        <w:rPr>
          <w:rFonts w:hint="eastAsia" w:ascii="楷体" w:hAnsi="楷体" w:eastAsia="楷体" w:cs="Times New Roman"/>
          <w:kern w:val="30"/>
          <w:sz w:val="30"/>
          <w:szCs w:val="30"/>
          <w:highlight w:val="none"/>
          <w:lang w:val="en-US" w:eastAsia="zh-CN" w:bidi="ar-SA"/>
        </w:rPr>
        <w:fldChar w:fldCharType="separate"/>
      </w:r>
      <w:r>
        <w:rPr>
          <w:rFonts w:hint="eastAsia" w:ascii="楷体" w:hAnsi="楷体" w:eastAsia="楷体" w:cs="Times New Roman"/>
          <w:kern w:val="30"/>
          <w:sz w:val="30"/>
          <w:szCs w:val="30"/>
          <w:highlight w:val="none"/>
          <w:lang w:val="en-US" w:eastAsia="zh-CN" w:bidi="ar-SA"/>
        </w:rPr>
        <w:t>（四）绩效评价实施过程</w:t>
      </w:r>
      <w:r>
        <w:rPr>
          <w:rFonts w:hint="eastAsia" w:ascii="楷体" w:hAnsi="楷体" w:eastAsia="楷体" w:cs="Times New Roman"/>
          <w:kern w:val="30"/>
          <w:sz w:val="30"/>
          <w:szCs w:val="30"/>
          <w:highlight w:val="none"/>
          <w:lang w:val="en-US" w:eastAsia="zh-CN" w:bidi="ar-SA"/>
        </w:rPr>
        <w:fldChar w:fldCharType="end"/>
      </w:r>
    </w:p>
    <w:p w14:paraId="6F41DBF6">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1.数据填报和采集</w:t>
      </w:r>
    </w:p>
    <w:p w14:paraId="5634E3BD">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向项目实施处室收集相关项目实施进度资料、项目实施情况、完成情况，结合2019年</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环保宣教及绿色创建活动经费项目</w:t>
      </w:r>
      <w:r>
        <w:rPr>
          <w:rFonts w:hint="eastAsia" w:ascii="仿宋_GB2312" w:hAnsi="仿宋" w:eastAsia="仿宋_GB2312"/>
          <w:spacing w:val="6"/>
          <w:kern w:val="0"/>
          <w:sz w:val="28"/>
          <w:szCs w:val="28"/>
          <w:highlight w:val="none"/>
          <w:lang w:val="en-US" w:eastAsia="zh-CN"/>
        </w:rPr>
        <w:t>现场核实和查阅台账等结果资料进行分析整理。</w:t>
      </w:r>
    </w:p>
    <w:p w14:paraId="46CA53C3">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2.社会调查</w:t>
      </w:r>
    </w:p>
    <w:p w14:paraId="3D9D6100">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为充分了解“2019年</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环保宣教及绿色创建活动经费项目</w:t>
      </w:r>
      <w:r>
        <w:rPr>
          <w:rFonts w:hint="eastAsia" w:ascii="仿宋_GB2312" w:hAnsi="仿宋" w:eastAsia="仿宋_GB2312"/>
          <w:spacing w:val="6"/>
          <w:kern w:val="0"/>
          <w:sz w:val="28"/>
          <w:szCs w:val="28"/>
          <w:highlight w:val="none"/>
          <w:lang w:val="en-US" w:eastAsia="zh-CN"/>
        </w:rPr>
        <w:t>”的实施情况和效果、项目实施结果对受益群众的影响程度等，评价组通过对抽查项目点受益群众进行调查问卷。</w:t>
      </w:r>
    </w:p>
    <w:p w14:paraId="4ED79985">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每个抽样点至少发放60份调查问卷，共发放60份调查问卷，实际有效回收60份，有效回收率达100%。根据调查结果，项目组撰写了受益群众调查问卷汇总分析报告，详见附件4。</w:t>
      </w:r>
    </w:p>
    <w:p w14:paraId="23213D60">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2019年12月，项目组采取一对一现场访谈的形式，对</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环保宣教及绿色创建活动经费项目相关负责人进行了访谈，了解了项目组织、实施和</w:t>
      </w:r>
      <w:r>
        <w:rPr>
          <w:rFonts w:hint="eastAsia" w:ascii="仿宋_GB2312" w:hAnsi="仿宋" w:eastAsia="仿宋_GB2312"/>
          <w:spacing w:val="6"/>
          <w:kern w:val="0"/>
          <w:sz w:val="28"/>
          <w:szCs w:val="28"/>
          <w:highlight w:val="none"/>
          <w:lang w:val="en-US" w:eastAsia="zh-CN"/>
        </w:rPr>
        <w:t>管理的具体情况，并根据访谈情况撰写了访谈汇总分析报告，详见附件3。</w:t>
      </w:r>
    </w:p>
    <w:p w14:paraId="0E08BE20">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3.数据分析和撰写报告</w:t>
      </w:r>
    </w:p>
    <w:p w14:paraId="09666040">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将项目实施处室、主管单位填报的数据结合通过现场勘查采集到的基础数据，通过分析整理对应考核指标从项目立项、绩效目标、投入管理、财务管理、项目实施、项目产出、项目效益等方面逐项考核，并梳理总结相关项目单位的主要经验及做法及存在问题，对应问题给予建议和改进措施，形成最终报告。</w:t>
      </w:r>
    </w:p>
    <w:p w14:paraId="2B17DFC4">
      <w:pPr>
        <w:spacing w:line="579" w:lineRule="exact"/>
        <w:ind w:firstLine="600" w:firstLineChars="200"/>
        <w:outlineLvl w:val="0"/>
        <w:rPr>
          <w:rFonts w:hint="eastAsia" w:ascii="黑体" w:hAnsi="黑体" w:eastAsia="黑体" w:cs="宋体"/>
          <w:kern w:val="30"/>
          <w:sz w:val="30"/>
          <w:szCs w:val="30"/>
          <w:highlight w:val="none"/>
          <w:lang w:eastAsia="zh-CN"/>
        </w:rPr>
      </w:pPr>
      <w:r>
        <w:rPr>
          <w:rFonts w:hint="eastAsia" w:ascii="黑体" w:hAnsi="黑体" w:eastAsia="黑体" w:cs="宋体"/>
          <w:kern w:val="30"/>
          <w:sz w:val="30"/>
          <w:szCs w:val="30"/>
          <w:highlight w:val="none"/>
          <w:lang w:eastAsia="zh-CN"/>
        </w:rPr>
        <w:t>三、评价结论和绩效分析</w:t>
      </w:r>
    </w:p>
    <w:p w14:paraId="75758030">
      <w:pPr>
        <w:topLinePunct/>
        <w:spacing w:line="440" w:lineRule="exact"/>
        <w:ind w:firstLine="750" w:firstLineChars="250"/>
        <w:rPr>
          <w:rFonts w:hint="eastAsia" w:ascii="楷体" w:hAnsi="楷体" w:eastAsia="楷体"/>
          <w:kern w:val="30"/>
          <w:sz w:val="30"/>
          <w:szCs w:val="30"/>
          <w:highlight w:val="none"/>
        </w:rPr>
      </w:pPr>
      <w:r>
        <w:rPr>
          <w:rFonts w:hint="eastAsia" w:ascii="楷体" w:hAnsi="楷体" w:eastAsia="楷体"/>
          <w:kern w:val="30"/>
          <w:sz w:val="30"/>
          <w:szCs w:val="30"/>
          <w:highlight w:val="none"/>
        </w:rPr>
        <w:t>（一）评价结论</w:t>
      </w:r>
    </w:p>
    <w:p w14:paraId="1A95299C">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1.评价结果</w:t>
      </w:r>
    </w:p>
    <w:p w14:paraId="01515A7F">
      <w:pPr>
        <w:spacing w:line="590"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本次昆明市生态环境局盘龙分局2019年</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环保宣教及绿色创建活动经费项目</w:t>
      </w:r>
      <w:r>
        <w:rPr>
          <w:rFonts w:hint="eastAsia" w:ascii="仿宋_GB2312" w:hAnsi="仿宋" w:eastAsia="仿宋_GB2312"/>
          <w:spacing w:val="6"/>
          <w:kern w:val="0"/>
          <w:sz w:val="28"/>
          <w:szCs w:val="28"/>
          <w:highlight w:val="none"/>
          <w:lang w:val="en-US" w:eastAsia="zh-CN"/>
        </w:rPr>
        <w:t>支出绩效重点评价最终得分96.8分，评价等级为“优”。具体得分情况详见表3：</w:t>
      </w:r>
    </w:p>
    <w:p w14:paraId="3C56E877">
      <w:pPr>
        <w:jc w:val="center"/>
        <w:rPr>
          <w:rFonts w:ascii="黑体" w:hAnsi="黑体" w:eastAsia="黑体"/>
          <w:kern w:val="2"/>
          <w:sz w:val="24"/>
          <w:szCs w:val="24"/>
        </w:rPr>
      </w:pPr>
      <w:r>
        <w:rPr>
          <w:rFonts w:hint="eastAsia" w:ascii="黑体" w:hAnsi="黑体" w:eastAsia="黑体"/>
          <w:kern w:val="2"/>
          <w:sz w:val="24"/>
          <w:szCs w:val="24"/>
        </w:rPr>
        <w:t>表</w:t>
      </w:r>
      <w:r>
        <w:rPr>
          <w:rFonts w:hint="eastAsia" w:ascii="黑体" w:hAnsi="黑体" w:eastAsia="黑体"/>
          <w:kern w:val="2"/>
          <w:sz w:val="24"/>
          <w:szCs w:val="24"/>
          <w:lang w:val="en-US" w:eastAsia="zh-CN"/>
        </w:rPr>
        <w:t>3  项目支出</w:t>
      </w:r>
      <w:r>
        <w:rPr>
          <w:rFonts w:hint="eastAsia" w:ascii="黑体" w:hAnsi="黑体" w:eastAsia="黑体"/>
          <w:kern w:val="2"/>
          <w:sz w:val="24"/>
          <w:szCs w:val="24"/>
        </w:rPr>
        <w:t>绩效</w:t>
      </w:r>
      <w:r>
        <w:rPr>
          <w:rFonts w:hint="eastAsia" w:ascii="黑体" w:hAnsi="黑体" w:eastAsia="黑体"/>
          <w:kern w:val="2"/>
          <w:sz w:val="24"/>
          <w:szCs w:val="24"/>
          <w:lang w:val="en-US" w:eastAsia="zh-CN"/>
        </w:rPr>
        <w:t>重点</w:t>
      </w:r>
      <w:r>
        <w:rPr>
          <w:rFonts w:hint="eastAsia" w:ascii="黑体" w:hAnsi="黑体" w:eastAsia="黑体"/>
          <w:kern w:val="2"/>
          <w:sz w:val="24"/>
          <w:szCs w:val="24"/>
        </w:rPr>
        <w:t>评价</w:t>
      </w:r>
      <w:r>
        <w:rPr>
          <w:rFonts w:hint="eastAsia" w:ascii="黑体" w:hAnsi="黑体" w:eastAsia="黑体"/>
          <w:kern w:val="2"/>
          <w:sz w:val="24"/>
          <w:szCs w:val="24"/>
          <w:lang w:val="en-US" w:eastAsia="zh-CN"/>
        </w:rPr>
        <w:t>得分</w:t>
      </w:r>
      <w:r>
        <w:rPr>
          <w:rFonts w:hint="eastAsia" w:ascii="黑体" w:hAnsi="黑体" w:eastAsia="黑体"/>
          <w:kern w:val="2"/>
          <w:sz w:val="24"/>
          <w:szCs w:val="24"/>
        </w:rPr>
        <w:t>情况表</w:t>
      </w:r>
    </w:p>
    <w:tbl>
      <w:tblPr>
        <w:tblStyle w:val="8"/>
        <w:tblW w:w="4998" w:type="pct"/>
        <w:jc w:val="center"/>
        <w:tblLayout w:type="autofit"/>
        <w:tblCellMar>
          <w:top w:w="57" w:type="dxa"/>
          <w:left w:w="57" w:type="dxa"/>
          <w:bottom w:w="57" w:type="dxa"/>
          <w:right w:w="57" w:type="dxa"/>
        </w:tblCellMar>
      </w:tblPr>
      <w:tblGrid>
        <w:gridCol w:w="2105"/>
        <w:gridCol w:w="2104"/>
        <w:gridCol w:w="2104"/>
        <w:gridCol w:w="2104"/>
      </w:tblGrid>
      <w:tr w14:paraId="4D1E7A56">
        <w:tblPrEx>
          <w:tblCellMar>
            <w:top w:w="57" w:type="dxa"/>
            <w:left w:w="57" w:type="dxa"/>
            <w:bottom w:w="57" w:type="dxa"/>
            <w:right w:w="57" w:type="dxa"/>
          </w:tblCellMar>
        </w:tblPrEx>
        <w:trPr>
          <w:trHeight w:val="454" w:hRule="atLeast"/>
          <w:tblHeader/>
          <w:jc w:val="center"/>
        </w:trPr>
        <w:tc>
          <w:tcPr>
            <w:tcW w:w="1250" w:type="pct"/>
            <w:tcBorders>
              <w:top w:val="single" w:color="auto" w:sz="4" w:space="0"/>
              <w:left w:val="single" w:color="auto" w:sz="4" w:space="0"/>
              <w:bottom w:val="single" w:color="auto" w:sz="4" w:space="0"/>
              <w:right w:val="single" w:color="auto" w:sz="4" w:space="0"/>
            </w:tcBorders>
            <w:shd w:val="clear" w:color="auto" w:fill="auto"/>
            <w:vAlign w:val="center"/>
          </w:tcPr>
          <w:p w14:paraId="21988298">
            <w:pPr>
              <w:widowControl/>
              <w:spacing w:line="300" w:lineRule="exact"/>
              <w:jc w:val="center"/>
              <w:rPr>
                <w:rFonts w:hint="eastAsia" w:ascii="宋体" w:hAnsi="宋体" w:eastAsia="宋体" w:cs="宋体"/>
                <w:b/>
                <w:bCs/>
                <w:color w:val="000000"/>
                <w:kern w:val="2"/>
                <w:sz w:val="21"/>
              </w:rPr>
            </w:pPr>
            <w:r>
              <w:rPr>
                <w:rFonts w:hint="eastAsia" w:ascii="宋体" w:hAnsi="宋体" w:eastAsia="宋体" w:cs="宋体"/>
                <w:b/>
                <w:bCs/>
                <w:color w:val="000000"/>
                <w:kern w:val="2"/>
                <w:sz w:val="21"/>
              </w:rPr>
              <w:t>一级指标</w:t>
            </w:r>
          </w:p>
        </w:tc>
        <w:tc>
          <w:tcPr>
            <w:tcW w:w="1249" w:type="pct"/>
            <w:tcBorders>
              <w:top w:val="single" w:color="auto" w:sz="4" w:space="0"/>
              <w:left w:val="nil"/>
              <w:bottom w:val="single" w:color="auto" w:sz="4" w:space="0"/>
              <w:right w:val="single" w:color="auto" w:sz="4" w:space="0"/>
            </w:tcBorders>
            <w:shd w:val="clear" w:color="auto" w:fill="auto"/>
            <w:vAlign w:val="center"/>
          </w:tcPr>
          <w:p w14:paraId="23F909BD">
            <w:pPr>
              <w:widowControl/>
              <w:spacing w:line="300" w:lineRule="exact"/>
              <w:jc w:val="center"/>
              <w:rPr>
                <w:rFonts w:hint="eastAsia" w:ascii="宋体" w:hAnsi="宋体" w:eastAsia="宋体" w:cs="宋体"/>
                <w:b/>
                <w:bCs/>
                <w:color w:val="000000"/>
                <w:kern w:val="2"/>
                <w:sz w:val="21"/>
              </w:rPr>
            </w:pPr>
            <w:r>
              <w:rPr>
                <w:rFonts w:hint="eastAsia" w:ascii="宋体" w:hAnsi="宋体" w:eastAsia="宋体" w:cs="宋体"/>
                <w:b/>
                <w:bCs/>
                <w:color w:val="000000"/>
                <w:kern w:val="2"/>
                <w:sz w:val="21"/>
              </w:rPr>
              <w:t>指标分值</w:t>
            </w:r>
          </w:p>
        </w:tc>
        <w:tc>
          <w:tcPr>
            <w:tcW w:w="1249" w:type="pct"/>
            <w:tcBorders>
              <w:top w:val="single" w:color="auto" w:sz="4" w:space="0"/>
              <w:left w:val="nil"/>
              <w:bottom w:val="single" w:color="auto" w:sz="4" w:space="0"/>
              <w:right w:val="single" w:color="auto" w:sz="4" w:space="0"/>
            </w:tcBorders>
            <w:shd w:val="clear" w:color="auto" w:fill="auto"/>
            <w:vAlign w:val="center"/>
          </w:tcPr>
          <w:p w14:paraId="36CA8EE8">
            <w:pPr>
              <w:widowControl/>
              <w:spacing w:line="300" w:lineRule="exact"/>
              <w:jc w:val="center"/>
              <w:rPr>
                <w:rFonts w:hint="eastAsia" w:ascii="宋体" w:hAnsi="宋体" w:eastAsia="宋体" w:cs="宋体"/>
                <w:b/>
                <w:bCs/>
                <w:color w:val="000000"/>
                <w:kern w:val="2"/>
                <w:sz w:val="21"/>
              </w:rPr>
            </w:pPr>
            <w:r>
              <w:rPr>
                <w:rFonts w:hint="eastAsia" w:ascii="宋体" w:hAnsi="宋体" w:eastAsia="宋体" w:cs="宋体"/>
                <w:b/>
                <w:bCs/>
                <w:color w:val="000000"/>
                <w:kern w:val="2"/>
                <w:sz w:val="21"/>
              </w:rPr>
              <w:t>评价得分</w:t>
            </w:r>
          </w:p>
        </w:tc>
        <w:tc>
          <w:tcPr>
            <w:tcW w:w="1249" w:type="pct"/>
            <w:tcBorders>
              <w:top w:val="single" w:color="auto" w:sz="4" w:space="0"/>
              <w:left w:val="nil"/>
              <w:bottom w:val="single" w:color="auto" w:sz="4" w:space="0"/>
              <w:right w:val="single" w:color="auto" w:sz="4" w:space="0"/>
            </w:tcBorders>
            <w:shd w:val="clear" w:color="auto" w:fill="auto"/>
            <w:vAlign w:val="center"/>
          </w:tcPr>
          <w:p w14:paraId="7B0F109E">
            <w:pPr>
              <w:widowControl/>
              <w:spacing w:line="300" w:lineRule="exact"/>
              <w:jc w:val="center"/>
              <w:rPr>
                <w:rFonts w:hint="eastAsia" w:ascii="宋体" w:hAnsi="宋体" w:eastAsia="宋体" w:cs="宋体"/>
                <w:b/>
                <w:bCs/>
                <w:color w:val="000000"/>
                <w:kern w:val="2"/>
                <w:sz w:val="21"/>
              </w:rPr>
            </w:pPr>
            <w:r>
              <w:rPr>
                <w:rFonts w:hint="eastAsia" w:ascii="宋体" w:hAnsi="宋体" w:eastAsia="宋体" w:cs="宋体"/>
                <w:b/>
                <w:bCs/>
                <w:color w:val="000000"/>
                <w:kern w:val="2"/>
                <w:sz w:val="21"/>
              </w:rPr>
              <w:t>得分率</w:t>
            </w:r>
          </w:p>
        </w:tc>
      </w:tr>
      <w:tr w14:paraId="15DFFEB2">
        <w:tblPrEx>
          <w:tblCellMar>
            <w:top w:w="57" w:type="dxa"/>
            <w:left w:w="57" w:type="dxa"/>
            <w:bottom w:w="57" w:type="dxa"/>
            <w:right w:w="57" w:type="dxa"/>
          </w:tblCellMar>
        </w:tblPrEx>
        <w:trPr>
          <w:trHeight w:val="90" w:hRule="atLeast"/>
          <w:jc w:val="center"/>
        </w:trPr>
        <w:tc>
          <w:tcPr>
            <w:tcW w:w="1250" w:type="pct"/>
            <w:tcBorders>
              <w:top w:val="nil"/>
              <w:left w:val="single" w:color="auto" w:sz="4" w:space="0"/>
              <w:bottom w:val="single" w:color="auto" w:sz="4" w:space="0"/>
              <w:right w:val="single" w:color="auto" w:sz="4" w:space="0"/>
            </w:tcBorders>
            <w:shd w:val="clear" w:color="auto" w:fill="auto"/>
            <w:vAlign w:val="center"/>
          </w:tcPr>
          <w:p w14:paraId="31EF5D9D">
            <w:pPr>
              <w:widowControl/>
              <w:spacing w:line="300" w:lineRule="exact"/>
              <w:jc w:val="center"/>
              <w:rPr>
                <w:rFonts w:hint="eastAsia" w:ascii="宋体" w:hAnsi="宋体" w:eastAsia="宋体" w:cs="宋体"/>
                <w:color w:val="000000"/>
                <w:kern w:val="2"/>
                <w:sz w:val="21"/>
                <w:lang w:val="en-US"/>
              </w:rPr>
            </w:pPr>
            <w:r>
              <w:rPr>
                <w:rFonts w:hint="eastAsia" w:ascii="宋体" w:hAnsi="宋体" w:eastAsia="宋体" w:cs="宋体"/>
                <w:color w:val="000000"/>
                <w:kern w:val="2"/>
                <w:sz w:val="21"/>
                <w:lang w:val="en-US" w:eastAsia="zh-CN"/>
              </w:rPr>
              <w:t>项目决策</w:t>
            </w:r>
          </w:p>
        </w:tc>
        <w:tc>
          <w:tcPr>
            <w:tcW w:w="1249" w:type="pct"/>
            <w:tcBorders>
              <w:top w:val="nil"/>
              <w:left w:val="nil"/>
              <w:bottom w:val="single" w:color="auto" w:sz="4" w:space="0"/>
              <w:right w:val="single" w:color="auto" w:sz="4" w:space="0"/>
            </w:tcBorders>
            <w:shd w:val="clear" w:color="auto" w:fill="auto"/>
            <w:vAlign w:val="center"/>
          </w:tcPr>
          <w:p w14:paraId="3EF9D07E">
            <w:pPr>
              <w:widowControl/>
              <w:spacing w:line="300" w:lineRule="exact"/>
              <w:jc w:val="center"/>
              <w:rPr>
                <w:rFonts w:hint="eastAsia" w:ascii="宋体" w:hAnsi="宋体" w:eastAsia="宋体" w:cs="宋体"/>
                <w:color w:val="000000"/>
                <w:kern w:val="2"/>
                <w:sz w:val="21"/>
                <w:lang w:val="en-US" w:eastAsia="zh-CN"/>
              </w:rPr>
            </w:pPr>
            <w:r>
              <w:rPr>
                <w:rFonts w:hint="eastAsia" w:ascii="宋体" w:hAnsi="宋体" w:eastAsia="宋体" w:cs="宋体"/>
                <w:color w:val="000000"/>
                <w:kern w:val="2"/>
                <w:sz w:val="21"/>
                <w:lang w:val="en-US" w:eastAsia="zh-CN"/>
              </w:rPr>
              <w:t>20</w:t>
            </w:r>
          </w:p>
        </w:tc>
        <w:tc>
          <w:tcPr>
            <w:tcW w:w="1249" w:type="pct"/>
            <w:tcBorders>
              <w:top w:val="nil"/>
              <w:left w:val="nil"/>
              <w:bottom w:val="single" w:color="auto" w:sz="4" w:space="0"/>
              <w:right w:val="single" w:color="auto" w:sz="4" w:space="0"/>
            </w:tcBorders>
            <w:shd w:val="clear" w:color="auto" w:fill="auto"/>
            <w:vAlign w:val="center"/>
          </w:tcPr>
          <w:p w14:paraId="56EC9170">
            <w:pPr>
              <w:widowControl/>
              <w:spacing w:line="300" w:lineRule="exact"/>
              <w:jc w:val="center"/>
              <w:rPr>
                <w:rFonts w:hint="default" w:ascii="宋体" w:hAnsi="宋体" w:eastAsia="宋体" w:cs="宋体"/>
                <w:color w:val="000000"/>
                <w:kern w:val="2"/>
                <w:sz w:val="21"/>
                <w:lang w:val="en-US" w:eastAsia="zh-CN"/>
              </w:rPr>
            </w:pPr>
            <w:r>
              <w:rPr>
                <w:rFonts w:hint="eastAsia" w:ascii="宋体" w:hAnsi="宋体" w:cs="宋体"/>
                <w:color w:val="000000"/>
                <w:kern w:val="2"/>
                <w:sz w:val="21"/>
                <w:lang w:val="en-US" w:eastAsia="zh-CN"/>
              </w:rPr>
              <w:t>20</w:t>
            </w:r>
          </w:p>
        </w:tc>
        <w:tc>
          <w:tcPr>
            <w:tcW w:w="1249" w:type="pct"/>
            <w:tcBorders>
              <w:top w:val="nil"/>
              <w:left w:val="nil"/>
              <w:bottom w:val="single" w:color="auto" w:sz="4" w:space="0"/>
              <w:right w:val="single" w:color="auto" w:sz="4" w:space="0"/>
            </w:tcBorders>
            <w:shd w:val="clear" w:color="auto" w:fill="auto"/>
            <w:vAlign w:val="center"/>
          </w:tcPr>
          <w:p w14:paraId="0344768D">
            <w:pPr>
              <w:widowControl/>
              <w:spacing w:line="300" w:lineRule="exact"/>
              <w:jc w:val="center"/>
              <w:rPr>
                <w:rFonts w:hint="default" w:ascii="宋体" w:hAnsi="宋体" w:eastAsia="宋体" w:cs="宋体"/>
                <w:color w:val="000000"/>
                <w:kern w:val="2"/>
                <w:sz w:val="21"/>
                <w:lang w:val="en-US" w:eastAsia="zh-CN"/>
              </w:rPr>
            </w:pPr>
            <w:r>
              <w:rPr>
                <w:rFonts w:hint="eastAsia" w:ascii="宋体" w:hAnsi="宋体" w:cs="宋体"/>
                <w:color w:val="000000"/>
                <w:kern w:val="2"/>
                <w:sz w:val="21"/>
                <w:lang w:val="en-US" w:eastAsia="zh-CN"/>
              </w:rPr>
              <w:t>100%</w:t>
            </w:r>
          </w:p>
        </w:tc>
      </w:tr>
      <w:tr w14:paraId="683CB086">
        <w:tblPrEx>
          <w:tblCellMar>
            <w:top w:w="57" w:type="dxa"/>
            <w:left w:w="57" w:type="dxa"/>
            <w:bottom w:w="57" w:type="dxa"/>
            <w:right w:w="57" w:type="dxa"/>
          </w:tblCellMar>
        </w:tblPrEx>
        <w:trPr>
          <w:trHeight w:val="90" w:hRule="atLeast"/>
          <w:jc w:val="center"/>
        </w:trPr>
        <w:tc>
          <w:tcPr>
            <w:tcW w:w="1250" w:type="pct"/>
            <w:tcBorders>
              <w:top w:val="nil"/>
              <w:left w:val="single" w:color="auto" w:sz="4" w:space="0"/>
              <w:bottom w:val="single" w:color="auto" w:sz="4" w:space="0"/>
              <w:right w:val="single" w:color="auto" w:sz="4" w:space="0"/>
            </w:tcBorders>
            <w:shd w:val="clear" w:color="auto" w:fill="auto"/>
            <w:vAlign w:val="center"/>
          </w:tcPr>
          <w:p w14:paraId="3BB6B3AE">
            <w:pPr>
              <w:widowControl/>
              <w:spacing w:line="300" w:lineRule="exact"/>
              <w:jc w:val="center"/>
              <w:rPr>
                <w:rFonts w:hint="eastAsia" w:ascii="宋体" w:hAnsi="宋体" w:eastAsia="宋体" w:cs="宋体"/>
                <w:color w:val="000000"/>
                <w:kern w:val="2"/>
                <w:sz w:val="21"/>
                <w:lang w:val="en-US"/>
              </w:rPr>
            </w:pPr>
            <w:r>
              <w:rPr>
                <w:rFonts w:hint="eastAsia" w:ascii="宋体" w:hAnsi="宋体" w:eastAsia="宋体" w:cs="宋体"/>
                <w:color w:val="000000"/>
                <w:kern w:val="2"/>
                <w:sz w:val="21"/>
                <w:lang w:val="en-US" w:eastAsia="zh-CN"/>
              </w:rPr>
              <w:t>项目管理</w:t>
            </w:r>
          </w:p>
        </w:tc>
        <w:tc>
          <w:tcPr>
            <w:tcW w:w="1249" w:type="pct"/>
            <w:tcBorders>
              <w:top w:val="nil"/>
              <w:left w:val="nil"/>
              <w:bottom w:val="single" w:color="auto" w:sz="4" w:space="0"/>
              <w:right w:val="single" w:color="auto" w:sz="4" w:space="0"/>
            </w:tcBorders>
            <w:shd w:val="clear" w:color="auto" w:fill="auto"/>
            <w:vAlign w:val="center"/>
          </w:tcPr>
          <w:p w14:paraId="2BED4430">
            <w:pPr>
              <w:widowControl/>
              <w:spacing w:line="300" w:lineRule="exact"/>
              <w:jc w:val="center"/>
              <w:rPr>
                <w:rFonts w:hint="eastAsia" w:ascii="宋体" w:hAnsi="宋体" w:eastAsia="宋体" w:cs="宋体"/>
                <w:color w:val="000000"/>
                <w:kern w:val="2"/>
                <w:sz w:val="21"/>
                <w:lang w:val="en-US" w:eastAsia="zh-CN"/>
              </w:rPr>
            </w:pPr>
            <w:r>
              <w:rPr>
                <w:rFonts w:hint="eastAsia" w:ascii="宋体" w:hAnsi="宋体" w:eastAsia="宋体" w:cs="宋体"/>
                <w:color w:val="000000"/>
                <w:kern w:val="2"/>
                <w:sz w:val="21"/>
                <w:lang w:val="en-US" w:eastAsia="zh-CN"/>
              </w:rPr>
              <w:t>20</w:t>
            </w:r>
          </w:p>
        </w:tc>
        <w:tc>
          <w:tcPr>
            <w:tcW w:w="1249" w:type="pct"/>
            <w:tcBorders>
              <w:top w:val="nil"/>
              <w:left w:val="nil"/>
              <w:bottom w:val="single" w:color="auto" w:sz="4" w:space="0"/>
              <w:right w:val="single" w:color="auto" w:sz="4" w:space="0"/>
            </w:tcBorders>
            <w:shd w:val="clear" w:color="auto" w:fill="auto"/>
            <w:vAlign w:val="center"/>
          </w:tcPr>
          <w:p w14:paraId="03D9EC80">
            <w:pPr>
              <w:widowControl/>
              <w:spacing w:line="300" w:lineRule="exact"/>
              <w:jc w:val="center"/>
              <w:rPr>
                <w:rFonts w:hint="default" w:ascii="宋体" w:hAnsi="宋体" w:eastAsia="宋体" w:cs="宋体"/>
                <w:color w:val="000000"/>
                <w:kern w:val="2"/>
                <w:sz w:val="21"/>
                <w:lang w:val="en-US" w:eastAsia="zh-CN"/>
              </w:rPr>
            </w:pPr>
            <w:r>
              <w:rPr>
                <w:rFonts w:hint="eastAsia" w:ascii="宋体" w:hAnsi="宋体" w:cs="宋体"/>
                <w:color w:val="000000"/>
                <w:kern w:val="2"/>
                <w:sz w:val="21"/>
                <w:lang w:val="en-US" w:eastAsia="zh-CN"/>
              </w:rPr>
              <w:t>20</w:t>
            </w:r>
          </w:p>
        </w:tc>
        <w:tc>
          <w:tcPr>
            <w:tcW w:w="1249" w:type="pct"/>
            <w:tcBorders>
              <w:top w:val="nil"/>
              <w:left w:val="nil"/>
              <w:bottom w:val="single" w:color="auto" w:sz="4" w:space="0"/>
              <w:right w:val="single" w:color="auto" w:sz="4" w:space="0"/>
            </w:tcBorders>
            <w:shd w:val="clear" w:color="auto" w:fill="auto"/>
            <w:vAlign w:val="center"/>
          </w:tcPr>
          <w:p w14:paraId="5791B014">
            <w:pPr>
              <w:widowControl/>
              <w:spacing w:line="300" w:lineRule="exact"/>
              <w:jc w:val="center"/>
              <w:rPr>
                <w:rFonts w:hint="default" w:ascii="宋体" w:hAnsi="宋体" w:eastAsia="宋体" w:cs="宋体"/>
                <w:color w:val="000000"/>
                <w:kern w:val="2"/>
                <w:sz w:val="21"/>
                <w:lang w:val="en-US" w:eastAsia="zh-CN"/>
              </w:rPr>
            </w:pPr>
            <w:r>
              <w:rPr>
                <w:rFonts w:hint="eastAsia" w:ascii="宋体" w:hAnsi="宋体" w:cs="宋体"/>
                <w:color w:val="000000"/>
                <w:kern w:val="2"/>
                <w:sz w:val="21"/>
                <w:lang w:val="en-US" w:eastAsia="zh-CN"/>
              </w:rPr>
              <w:t>100%</w:t>
            </w:r>
          </w:p>
        </w:tc>
      </w:tr>
      <w:tr w14:paraId="68ABCD36">
        <w:tblPrEx>
          <w:tblCellMar>
            <w:top w:w="57" w:type="dxa"/>
            <w:left w:w="57" w:type="dxa"/>
            <w:bottom w:w="57" w:type="dxa"/>
            <w:right w:w="57" w:type="dxa"/>
          </w:tblCellMar>
        </w:tblPrEx>
        <w:trPr>
          <w:trHeight w:val="90" w:hRule="atLeast"/>
          <w:jc w:val="center"/>
        </w:trPr>
        <w:tc>
          <w:tcPr>
            <w:tcW w:w="1250" w:type="pct"/>
            <w:tcBorders>
              <w:top w:val="nil"/>
              <w:left w:val="single" w:color="auto" w:sz="4" w:space="0"/>
              <w:bottom w:val="single" w:color="auto" w:sz="4" w:space="0"/>
              <w:right w:val="single" w:color="auto" w:sz="4" w:space="0"/>
            </w:tcBorders>
            <w:shd w:val="clear" w:color="auto" w:fill="auto"/>
            <w:vAlign w:val="center"/>
          </w:tcPr>
          <w:p w14:paraId="210EA1AA">
            <w:pPr>
              <w:widowControl/>
              <w:spacing w:line="300" w:lineRule="exact"/>
              <w:jc w:val="center"/>
              <w:rPr>
                <w:rFonts w:hint="eastAsia" w:ascii="宋体" w:hAnsi="宋体" w:eastAsia="宋体" w:cs="宋体"/>
                <w:color w:val="000000"/>
                <w:kern w:val="2"/>
                <w:sz w:val="21"/>
                <w:szCs w:val="22"/>
                <w:lang w:val="en-US" w:eastAsia="zh-CN" w:bidi="ar-SA"/>
              </w:rPr>
            </w:pPr>
            <w:r>
              <w:rPr>
                <w:rFonts w:hint="eastAsia" w:ascii="宋体" w:hAnsi="宋体" w:eastAsia="宋体" w:cs="宋体"/>
                <w:color w:val="000000"/>
                <w:kern w:val="2"/>
                <w:sz w:val="21"/>
                <w:lang w:val="en-US" w:eastAsia="zh-CN"/>
              </w:rPr>
              <w:t>项目绩效</w:t>
            </w:r>
          </w:p>
        </w:tc>
        <w:tc>
          <w:tcPr>
            <w:tcW w:w="1249" w:type="pct"/>
            <w:tcBorders>
              <w:top w:val="nil"/>
              <w:left w:val="nil"/>
              <w:bottom w:val="single" w:color="auto" w:sz="4" w:space="0"/>
              <w:right w:val="single" w:color="auto" w:sz="4" w:space="0"/>
            </w:tcBorders>
            <w:shd w:val="clear" w:color="auto" w:fill="auto"/>
            <w:vAlign w:val="center"/>
          </w:tcPr>
          <w:p w14:paraId="367454DC">
            <w:pPr>
              <w:widowControl/>
              <w:spacing w:line="300" w:lineRule="exact"/>
              <w:jc w:val="center"/>
              <w:rPr>
                <w:rFonts w:hint="eastAsia" w:ascii="宋体" w:hAnsi="宋体" w:eastAsia="宋体" w:cs="宋体"/>
                <w:color w:val="000000"/>
                <w:kern w:val="2"/>
                <w:sz w:val="21"/>
                <w:szCs w:val="22"/>
                <w:lang w:val="en-US" w:eastAsia="zh-CN" w:bidi="ar-SA"/>
              </w:rPr>
            </w:pPr>
            <w:r>
              <w:rPr>
                <w:rFonts w:hint="eastAsia" w:ascii="宋体" w:hAnsi="宋体" w:eastAsia="宋体" w:cs="宋体"/>
                <w:color w:val="000000"/>
                <w:kern w:val="2"/>
                <w:sz w:val="21"/>
                <w:szCs w:val="22"/>
                <w:lang w:val="en-US" w:eastAsia="zh-CN" w:bidi="ar-SA"/>
              </w:rPr>
              <w:t>60</w:t>
            </w:r>
          </w:p>
        </w:tc>
        <w:tc>
          <w:tcPr>
            <w:tcW w:w="1249" w:type="pct"/>
            <w:tcBorders>
              <w:top w:val="nil"/>
              <w:left w:val="nil"/>
              <w:bottom w:val="single" w:color="auto" w:sz="4" w:space="0"/>
              <w:right w:val="single" w:color="auto" w:sz="4" w:space="0"/>
            </w:tcBorders>
            <w:shd w:val="clear" w:color="auto" w:fill="auto"/>
            <w:vAlign w:val="center"/>
          </w:tcPr>
          <w:p w14:paraId="47AEE651">
            <w:pPr>
              <w:widowControl/>
              <w:spacing w:line="300" w:lineRule="exact"/>
              <w:jc w:val="center"/>
              <w:rPr>
                <w:rFonts w:hint="default" w:ascii="宋体" w:hAnsi="宋体" w:eastAsia="宋体" w:cs="宋体"/>
                <w:color w:val="000000"/>
                <w:kern w:val="2"/>
                <w:sz w:val="21"/>
                <w:szCs w:val="22"/>
                <w:lang w:val="en-US" w:eastAsia="zh-CN" w:bidi="ar-SA"/>
              </w:rPr>
            </w:pPr>
            <w:r>
              <w:rPr>
                <w:rFonts w:hint="eastAsia" w:ascii="宋体" w:hAnsi="宋体" w:cs="宋体"/>
                <w:color w:val="000000"/>
                <w:kern w:val="2"/>
                <w:sz w:val="21"/>
                <w:szCs w:val="22"/>
                <w:lang w:val="en-US" w:eastAsia="zh-CN" w:bidi="ar-SA"/>
              </w:rPr>
              <w:t>56.8</w:t>
            </w:r>
          </w:p>
        </w:tc>
        <w:tc>
          <w:tcPr>
            <w:tcW w:w="1249" w:type="pct"/>
            <w:tcBorders>
              <w:top w:val="nil"/>
              <w:left w:val="nil"/>
              <w:bottom w:val="single" w:color="auto" w:sz="4" w:space="0"/>
              <w:right w:val="single" w:color="auto" w:sz="4" w:space="0"/>
            </w:tcBorders>
            <w:shd w:val="clear" w:color="auto" w:fill="auto"/>
            <w:vAlign w:val="center"/>
          </w:tcPr>
          <w:p w14:paraId="5CACA183">
            <w:pPr>
              <w:widowControl/>
              <w:spacing w:line="300" w:lineRule="exact"/>
              <w:jc w:val="center"/>
              <w:rPr>
                <w:rFonts w:hint="default" w:ascii="宋体" w:hAnsi="宋体" w:eastAsia="宋体" w:cs="宋体"/>
                <w:color w:val="000000"/>
                <w:kern w:val="2"/>
                <w:sz w:val="21"/>
                <w:szCs w:val="22"/>
                <w:lang w:val="en-US" w:eastAsia="zh-CN" w:bidi="ar-SA"/>
              </w:rPr>
            </w:pPr>
            <w:r>
              <w:rPr>
                <w:rFonts w:hint="eastAsia" w:ascii="宋体" w:hAnsi="宋体" w:cs="宋体"/>
                <w:color w:val="000000"/>
                <w:kern w:val="2"/>
                <w:sz w:val="21"/>
                <w:szCs w:val="22"/>
                <w:lang w:val="en-US" w:eastAsia="zh-CN" w:bidi="ar-SA"/>
              </w:rPr>
              <w:t>94.67%</w:t>
            </w:r>
          </w:p>
        </w:tc>
      </w:tr>
      <w:tr w14:paraId="0F1860C4">
        <w:tblPrEx>
          <w:tblCellMar>
            <w:top w:w="57" w:type="dxa"/>
            <w:left w:w="57" w:type="dxa"/>
            <w:bottom w:w="57" w:type="dxa"/>
            <w:right w:w="57" w:type="dxa"/>
          </w:tblCellMar>
        </w:tblPrEx>
        <w:trPr>
          <w:trHeight w:val="90" w:hRule="atLeast"/>
          <w:jc w:val="center"/>
        </w:trPr>
        <w:tc>
          <w:tcPr>
            <w:tcW w:w="1250" w:type="pct"/>
            <w:tcBorders>
              <w:top w:val="single" w:color="auto" w:sz="4" w:space="0"/>
              <w:left w:val="single" w:color="auto" w:sz="4" w:space="0"/>
              <w:bottom w:val="single" w:color="auto" w:sz="4" w:space="0"/>
              <w:right w:val="single" w:color="auto" w:sz="4" w:space="0"/>
            </w:tcBorders>
            <w:shd w:val="clear" w:color="auto" w:fill="auto"/>
            <w:vAlign w:val="center"/>
          </w:tcPr>
          <w:p w14:paraId="56E3C786">
            <w:pPr>
              <w:widowControl/>
              <w:spacing w:line="300" w:lineRule="exact"/>
              <w:jc w:val="center"/>
              <w:rPr>
                <w:rFonts w:hint="eastAsia" w:ascii="宋体" w:hAnsi="宋体" w:eastAsia="宋体" w:cs="宋体"/>
                <w:color w:val="000000"/>
                <w:kern w:val="2"/>
                <w:sz w:val="21"/>
                <w:lang w:val="en-US" w:eastAsia="zh-CN"/>
              </w:rPr>
            </w:pPr>
            <w:r>
              <w:rPr>
                <w:rFonts w:hint="eastAsia" w:ascii="宋体" w:hAnsi="宋体" w:eastAsia="宋体" w:cs="宋体"/>
                <w:color w:val="000000"/>
                <w:kern w:val="2"/>
                <w:sz w:val="21"/>
                <w:lang w:val="en-US" w:eastAsia="zh-CN"/>
              </w:rPr>
              <w:t>合    计</w:t>
            </w:r>
          </w:p>
        </w:tc>
        <w:tc>
          <w:tcPr>
            <w:tcW w:w="1249" w:type="pct"/>
            <w:tcBorders>
              <w:top w:val="single" w:color="auto" w:sz="4" w:space="0"/>
              <w:left w:val="nil"/>
              <w:bottom w:val="single" w:color="auto" w:sz="4" w:space="0"/>
              <w:right w:val="single" w:color="auto" w:sz="4" w:space="0"/>
            </w:tcBorders>
            <w:shd w:val="clear" w:color="auto" w:fill="auto"/>
            <w:vAlign w:val="center"/>
          </w:tcPr>
          <w:p w14:paraId="28BEA6E8">
            <w:pPr>
              <w:widowControl/>
              <w:spacing w:line="300" w:lineRule="exact"/>
              <w:jc w:val="center"/>
              <w:rPr>
                <w:rFonts w:hint="eastAsia" w:ascii="宋体" w:hAnsi="宋体" w:eastAsia="宋体" w:cs="宋体"/>
                <w:color w:val="000000"/>
                <w:kern w:val="2"/>
                <w:sz w:val="21"/>
                <w:szCs w:val="22"/>
                <w:lang w:val="en-US" w:eastAsia="zh-CN" w:bidi="ar-SA"/>
              </w:rPr>
            </w:pPr>
            <w:r>
              <w:rPr>
                <w:rFonts w:hint="eastAsia" w:ascii="宋体" w:hAnsi="宋体" w:eastAsia="宋体" w:cs="宋体"/>
                <w:color w:val="000000"/>
                <w:kern w:val="2"/>
                <w:sz w:val="21"/>
                <w:szCs w:val="22"/>
                <w:lang w:val="en-US" w:eastAsia="zh-CN" w:bidi="ar-SA"/>
              </w:rPr>
              <w:t>100</w:t>
            </w:r>
          </w:p>
        </w:tc>
        <w:tc>
          <w:tcPr>
            <w:tcW w:w="1249" w:type="pct"/>
            <w:tcBorders>
              <w:top w:val="single" w:color="auto" w:sz="4" w:space="0"/>
              <w:left w:val="nil"/>
              <w:bottom w:val="single" w:color="auto" w:sz="4" w:space="0"/>
              <w:right w:val="single" w:color="auto" w:sz="4" w:space="0"/>
            </w:tcBorders>
            <w:shd w:val="clear" w:color="auto" w:fill="auto"/>
            <w:vAlign w:val="center"/>
          </w:tcPr>
          <w:p w14:paraId="0FF68602">
            <w:pPr>
              <w:widowControl/>
              <w:spacing w:line="300" w:lineRule="exact"/>
              <w:jc w:val="center"/>
              <w:rPr>
                <w:rFonts w:hint="default" w:ascii="宋体" w:hAnsi="宋体" w:eastAsia="宋体" w:cs="宋体"/>
                <w:color w:val="000000"/>
                <w:kern w:val="2"/>
                <w:sz w:val="21"/>
                <w:szCs w:val="22"/>
                <w:lang w:val="en-US" w:eastAsia="zh-CN" w:bidi="ar-SA"/>
              </w:rPr>
            </w:pPr>
            <w:r>
              <w:rPr>
                <w:rFonts w:hint="eastAsia" w:ascii="宋体" w:hAnsi="宋体" w:cs="宋体"/>
                <w:color w:val="000000"/>
                <w:kern w:val="2"/>
                <w:sz w:val="21"/>
                <w:szCs w:val="22"/>
                <w:lang w:val="en-US" w:eastAsia="zh-CN" w:bidi="ar-SA"/>
              </w:rPr>
              <w:t>96.8</w:t>
            </w:r>
          </w:p>
        </w:tc>
        <w:tc>
          <w:tcPr>
            <w:tcW w:w="1249" w:type="pct"/>
            <w:tcBorders>
              <w:top w:val="single" w:color="auto" w:sz="4" w:space="0"/>
              <w:left w:val="nil"/>
              <w:bottom w:val="single" w:color="auto" w:sz="4" w:space="0"/>
              <w:right w:val="single" w:color="auto" w:sz="4" w:space="0"/>
            </w:tcBorders>
            <w:shd w:val="clear" w:color="auto" w:fill="auto"/>
            <w:vAlign w:val="center"/>
          </w:tcPr>
          <w:p w14:paraId="7C92EF2D">
            <w:pPr>
              <w:widowControl/>
              <w:spacing w:line="300" w:lineRule="exact"/>
              <w:jc w:val="center"/>
              <w:rPr>
                <w:rFonts w:hint="default" w:ascii="宋体" w:hAnsi="宋体" w:eastAsia="宋体" w:cs="宋体"/>
                <w:color w:val="000000"/>
                <w:kern w:val="2"/>
                <w:sz w:val="21"/>
                <w:szCs w:val="22"/>
                <w:lang w:val="en-US" w:eastAsia="zh-CN" w:bidi="ar-SA"/>
              </w:rPr>
            </w:pPr>
            <w:r>
              <w:rPr>
                <w:rFonts w:hint="eastAsia" w:ascii="宋体" w:hAnsi="宋体" w:cs="宋体"/>
                <w:color w:val="000000"/>
                <w:kern w:val="2"/>
                <w:sz w:val="21"/>
                <w:szCs w:val="22"/>
                <w:lang w:val="en-US" w:eastAsia="zh-CN" w:bidi="ar-SA"/>
              </w:rPr>
              <w:t>96.8%</w:t>
            </w:r>
          </w:p>
        </w:tc>
      </w:tr>
    </w:tbl>
    <w:p w14:paraId="21BB8B87">
      <w:pPr>
        <w:spacing w:line="579" w:lineRule="exact"/>
        <w:ind w:firstLine="584" w:firstLineChars="200"/>
        <w:rPr>
          <w:rFonts w:hint="eastAsia" w:ascii="仿宋_GB2312" w:hAnsi="仿宋" w:eastAsia="仿宋_GB2312"/>
          <w:spacing w:val="6"/>
          <w:kern w:val="0"/>
          <w:sz w:val="21"/>
          <w:szCs w:val="21"/>
          <w:highlight w:val="none"/>
          <w:lang w:val="en-US" w:eastAsia="zh-CN"/>
        </w:rPr>
      </w:pPr>
      <w:r>
        <w:rPr>
          <w:rFonts w:hint="eastAsia" w:ascii="仿宋_GB2312" w:hAnsi="仿宋" w:eastAsia="仿宋_GB2312"/>
          <w:spacing w:val="6"/>
          <w:kern w:val="0"/>
          <w:sz w:val="28"/>
          <w:szCs w:val="28"/>
          <w:highlight w:val="none"/>
          <w:lang w:val="en-US" w:eastAsia="zh-CN"/>
        </w:rPr>
        <w:t>2.主要绩效</w:t>
      </w:r>
    </w:p>
    <w:p w14:paraId="4591C099">
      <w:pPr>
        <w:spacing w:line="600" w:lineRule="exact"/>
        <w:ind w:firstLine="584" w:firstLineChars="200"/>
        <w:rPr>
          <w:rFonts w:hint="eastAsia" w:ascii="楷体" w:hAnsi="楷体" w:eastAsia="楷体"/>
          <w:kern w:val="30"/>
          <w:sz w:val="30"/>
          <w:szCs w:val="30"/>
          <w:highlight w:val="none"/>
        </w:rPr>
      </w:pPr>
      <w:r>
        <w:rPr>
          <w:rFonts w:hint="eastAsia" w:ascii="仿宋_GB2312" w:hAnsi="仿宋" w:eastAsia="仿宋_GB2312"/>
          <w:spacing w:val="6"/>
          <w:kern w:val="0"/>
          <w:sz w:val="28"/>
          <w:szCs w:val="28"/>
          <w:highlight w:val="none"/>
          <w:lang w:val="en-US" w:eastAsia="zh-CN"/>
        </w:rPr>
        <w:t>昆明市生态环境局盘龙分局2019年</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环保宣教及绿色创建活动经费项目</w:t>
      </w:r>
      <w:r>
        <w:rPr>
          <w:rFonts w:hint="eastAsia" w:ascii="仿宋_GB2312" w:hAnsi="仿宋" w:eastAsia="仿宋_GB2312" w:cs="Times New Roman"/>
          <w:spacing w:val="6"/>
          <w:kern w:val="0"/>
          <w:sz w:val="28"/>
          <w:szCs w:val="28"/>
          <w:highlight w:val="none"/>
          <w:u w:val="none"/>
          <w:lang w:val="en-US" w:eastAsia="zh-CN" w:bidi="ar-SA"/>
        </w:rPr>
        <w:t>组织管理情况良好，资金拨付及使用流程符合相关规定</w:t>
      </w:r>
      <w:r>
        <w:rPr>
          <w:rFonts w:hint="eastAsia" w:ascii="仿宋_GB2312" w:hAnsi="仿宋" w:eastAsia="仿宋_GB2312"/>
          <w:spacing w:val="6"/>
          <w:kern w:val="0"/>
          <w:sz w:val="28"/>
          <w:szCs w:val="28"/>
          <w:highlight w:val="none"/>
          <w:lang w:val="en-US" w:eastAsia="zh-CN"/>
        </w:rPr>
        <w:t>，项目合同执行程度较高，在产出方面2019年昆明市生态环境局盘龙分局组织开展环保宣教进学校、进社区、进企业、进乡村、进机关“五进”宣传活动，昆明市“美丽中国，我是行动者”主题实践等环保宣教活动达到5次；承办的“六·五”环境日活动主题符合本年度昆明主题，昆明日报及电视台等主流媒体对活动进行了刊载和报道，活动现场参与市民达到500人；创建省、市级绿色学校5所，创建省、市级绿色社区3个；全年累计开展省市级绿色创建暨环保知识培训2次，指导10个学校、社区参加省市级绿色创建；本年度创建省、市级绿色学校，创建省、市级绿色社区均通过省级及市级相关部门考核验收；所有宣传活动均按期开展，项目完成及时率达100%；项目成本控制在30万元以内，项目成本空置率达到100%</w:t>
      </w:r>
      <w:r>
        <w:rPr>
          <w:rFonts w:hint="eastAsia" w:ascii="仿宋_GB2312" w:hAnsi="仿宋" w:eastAsia="仿宋_GB2312" w:cs="Times New Roman"/>
          <w:spacing w:val="6"/>
          <w:kern w:val="0"/>
          <w:sz w:val="28"/>
          <w:szCs w:val="28"/>
          <w:highlight w:val="none"/>
          <w:u w:val="none"/>
          <w:lang w:val="zh-CN" w:eastAsia="zh-CN" w:bidi="ar-SA"/>
        </w:rPr>
        <w:t>。</w:t>
      </w:r>
      <w:r>
        <w:rPr>
          <w:rFonts w:hint="eastAsia" w:ascii="仿宋_GB2312" w:hAnsi="仿宋" w:eastAsia="仿宋_GB2312" w:cs="Times New Roman"/>
          <w:spacing w:val="6"/>
          <w:kern w:val="0"/>
          <w:sz w:val="28"/>
          <w:szCs w:val="28"/>
          <w:highlight w:val="none"/>
          <w:u w:val="none"/>
          <w:lang w:val="en-US" w:eastAsia="zh-CN" w:bidi="ar-SA"/>
        </w:rPr>
        <w:t>在效果方面，昆明市生态环境局盘龙分局</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环保宣教及绿色创建活动通过活动宣传、主流媒体宣传、微信公众号宣传、发放宣传画宣传手册及培训宣传等多元化宣传方式，做到</w:t>
      </w:r>
      <w:r>
        <w:rPr>
          <w:rFonts w:hint="eastAsia" w:ascii="仿宋_GB2312" w:hAnsi="仿宋" w:eastAsia="仿宋_GB2312" w:cs="Times New Roman"/>
          <w:spacing w:val="6"/>
          <w:kern w:val="0"/>
          <w:sz w:val="28"/>
          <w:szCs w:val="28"/>
          <w:highlight w:val="none"/>
          <w:u w:val="none"/>
          <w:lang w:val="en-US" w:eastAsia="zh-CN" w:bidi="ar-SA"/>
        </w:rPr>
        <w:t>区域全覆盖。通过项目实施有效提升了盘龙区区域环境，促进了盘龙区公众环保参与率，</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社会各界及公众身体力行，从选择简约适度、绿色低碳的生活方式做起，知行合一，参与美丽中国建设，让“绿水青山就是金山银山”的发展理念深入人心，让低碳环保的绿色生活方式成风化俗，在全社会营造人人、事事、时时、处处崇尚生态文明的社会氛围。通过各级绿色创建和各种环保宣教活动的开展，广泛凝聚社会共识，营造全社会共同关注、参与生态文明建设、改善环境质量、推动绿色发展的良好氛围。</w:t>
      </w:r>
      <w:r>
        <w:rPr>
          <w:rFonts w:hint="eastAsia" w:ascii="仿宋_GB2312" w:hAnsi="仿宋" w:eastAsia="仿宋_GB2312"/>
          <w:spacing w:val="6"/>
          <w:kern w:val="0"/>
          <w:sz w:val="28"/>
          <w:szCs w:val="28"/>
          <w:highlight w:val="none"/>
          <w:lang w:val="en-US" w:eastAsia="zh-CN"/>
        </w:rPr>
        <w:t>但存在个别产出目标未完成，群众知晓率未达到预期目标情况。</w:t>
      </w:r>
    </w:p>
    <w:p w14:paraId="65FC43BA">
      <w:pPr>
        <w:topLinePunct/>
        <w:spacing w:line="440" w:lineRule="exact"/>
        <w:ind w:firstLine="750" w:firstLineChars="250"/>
        <w:rPr>
          <w:rFonts w:hint="eastAsia" w:ascii="楷体" w:hAnsi="楷体" w:eastAsia="楷体"/>
          <w:kern w:val="30"/>
          <w:sz w:val="30"/>
          <w:szCs w:val="30"/>
          <w:highlight w:val="none"/>
          <w:lang w:val="en-US" w:eastAsia="zh-CN"/>
        </w:rPr>
      </w:pPr>
      <w:r>
        <w:rPr>
          <w:rFonts w:hint="eastAsia" w:ascii="楷体" w:hAnsi="楷体" w:eastAsia="楷体"/>
          <w:kern w:val="30"/>
          <w:sz w:val="30"/>
          <w:szCs w:val="30"/>
          <w:highlight w:val="none"/>
        </w:rPr>
        <w:t>（二）具体绩效分析</w:t>
      </w:r>
    </w:p>
    <w:p w14:paraId="039A54B6">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1.项目决策</w:t>
      </w:r>
    </w:p>
    <w:p w14:paraId="18B7BB82">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项目决策包括项目立项和项目目标两方面内容，由5个三级指标构成，共细化分解为10个四级指标。权重分为20分，实际得分20分，得分率为100%。</w:t>
      </w:r>
    </w:p>
    <w:p w14:paraId="0FEE7368">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（1）项目立项</w:t>
      </w:r>
    </w:p>
    <w:p w14:paraId="530654D5">
      <w:pPr>
        <w:spacing w:line="590"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主要考核项目与部门中长期规划目标适应性，项目立项是否符合市政府相关规划、决策，是否与部门职责适应性，以及项目立项是否通过前期调研，立项程序是否规范。各指标权重分值、业绩值及得分情况详见表4：</w:t>
      </w:r>
    </w:p>
    <w:p w14:paraId="09050416">
      <w:pPr>
        <w:jc w:val="center"/>
        <w:rPr>
          <w:rFonts w:ascii="黑体" w:hAnsi="黑体" w:eastAsia="黑体"/>
          <w:kern w:val="2"/>
          <w:sz w:val="24"/>
          <w:szCs w:val="24"/>
        </w:rPr>
      </w:pPr>
      <w:r>
        <w:rPr>
          <w:rFonts w:hint="eastAsia" w:ascii="黑体" w:hAnsi="黑体" w:eastAsia="黑体"/>
          <w:kern w:val="2"/>
          <w:sz w:val="24"/>
          <w:szCs w:val="24"/>
        </w:rPr>
        <w:t>表</w:t>
      </w:r>
      <w:r>
        <w:rPr>
          <w:rFonts w:hint="eastAsia" w:ascii="黑体" w:hAnsi="黑体" w:eastAsia="黑体"/>
          <w:kern w:val="2"/>
          <w:sz w:val="24"/>
          <w:szCs w:val="24"/>
          <w:lang w:val="en-US" w:eastAsia="zh-CN"/>
        </w:rPr>
        <w:t>4  项目立项类指标评分表</w:t>
      </w:r>
    </w:p>
    <w:tbl>
      <w:tblPr>
        <w:tblStyle w:val="8"/>
        <w:tblW w:w="4998" w:type="pct"/>
        <w:jc w:val="center"/>
        <w:tblLayout w:type="autofit"/>
        <w:tblCellMar>
          <w:top w:w="57" w:type="dxa"/>
          <w:left w:w="57" w:type="dxa"/>
          <w:bottom w:w="57" w:type="dxa"/>
          <w:right w:w="57" w:type="dxa"/>
        </w:tblCellMar>
      </w:tblPr>
      <w:tblGrid>
        <w:gridCol w:w="4602"/>
        <w:gridCol w:w="1140"/>
        <w:gridCol w:w="1647"/>
        <w:gridCol w:w="1028"/>
      </w:tblGrid>
      <w:tr w14:paraId="778C66DF">
        <w:tblPrEx>
          <w:tblCellMar>
            <w:top w:w="57" w:type="dxa"/>
            <w:left w:w="57" w:type="dxa"/>
            <w:bottom w:w="57" w:type="dxa"/>
            <w:right w:w="57" w:type="dxa"/>
          </w:tblCellMar>
        </w:tblPrEx>
        <w:trPr>
          <w:trHeight w:val="174" w:hRule="atLeast"/>
          <w:tblHeader/>
          <w:jc w:val="center"/>
        </w:trPr>
        <w:tc>
          <w:tcPr>
            <w:tcW w:w="2733" w:type="pct"/>
            <w:tcBorders>
              <w:top w:val="single" w:color="auto" w:sz="4" w:space="0"/>
              <w:left w:val="single" w:color="auto" w:sz="4" w:space="0"/>
              <w:bottom w:val="single" w:color="auto" w:sz="4" w:space="0"/>
              <w:right w:val="single" w:color="auto" w:sz="4" w:space="0"/>
            </w:tcBorders>
            <w:shd w:val="clear" w:color="auto" w:fill="auto"/>
            <w:vAlign w:val="center"/>
          </w:tcPr>
          <w:p w14:paraId="1C172F28">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指标名称</w:t>
            </w:r>
          </w:p>
        </w:tc>
        <w:tc>
          <w:tcPr>
            <w:tcW w:w="677" w:type="pct"/>
            <w:tcBorders>
              <w:top w:val="single" w:color="auto" w:sz="4" w:space="0"/>
              <w:left w:val="nil"/>
              <w:bottom w:val="single" w:color="auto" w:sz="4" w:space="0"/>
              <w:right w:val="single" w:color="auto" w:sz="4" w:space="0"/>
            </w:tcBorders>
            <w:shd w:val="clear" w:color="auto" w:fill="auto"/>
            <w:vAlign w:val="center"/>
          </w:tcPr>
          <w:p w14:paraId="4A10DE04">
            <w:pPr>
              <w:widowControl/>
              <w:spacing w:line="300" w:lineRule="exact"/>
              <w:jc w:val="center"/>
              <w:rPr>
                <w:rFonts w:hint="eastAsia" w:hAnsi="仿宋" w:eastAsia="宋体" w:cs="宋体"/>
                <w:b/>
                <w:bCs/>
                <w:color w:val="000000"/>
                <w:kern w:val="2"/>
                <w:sz w:val="21"/>
                <w:lang w:eastAsia="zh-CN"/>
              </w:rPr>
            </w:pPr>
            <w:r>
              <w:rPr>
                <w:rFonts w:hint="eastAsia" w:hAnsi="仿宋" w:cs="宋体"/>
                <w:b/>
                <w:bCs/>
                <w:color w:val="000000"/>
                <w:kern w:val="2"/>
                <w:sz w:val="21"/>
              </w:rPr>
              <w:t>指标</w:t>
            </w:r>
            <w:r>
              <w:rPr>
                <w:rFonts w:hint="eastAsia" w:hAnsi="仿宋" w:cs="宋体"/>
                <w:b/>
                <w:bCs/>
                <w:color w:val="000000"/>
                <w:kern w:val="2"/>
                <w:sz w:val="21"/>
                <w:lang w:val="en-US" w:eastAsia="zh-CN"/>
              </w:rPr>
              <w:t>权重</w:t>
            </w:r>
          </w:p>
        </w:tc>
        <w:tc>
          <w:tcPr>
            <w:tcW w:w="978" w:type="pct"/>
            <w:tcBorders>
              <w:top w:val="single" w:color="auto" w:sz="4" w:space="0"/>
              <w:left w:val="nil"/>
              <w:bottom w:val="single" w:color="auto" w:sz="4" w:space="0"/>
              <w:right w:val="single" w:color="auto" w:sz="4" w:space="0"/>
            </w:tcBorders>
            <w:shd w:val="clear" w:color="auto" w:fill="auto"/>
            <w:vAlign w:val="center"/>
          </w:tcPr>
          <w:p w14:paraId="2791732D">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业绩值</w:t>
            </w:r>
          </w:p>
        </w:tc>
        <w:tc>
          <w:tcPr>
            <w:tcW w:w="610" w:type="pct"/>
            <w:tcBorders>
              <w:top w:val="single" w:color="auto" w:sz="4" w:space="0"/>
              <w:left w:val="nil"/>
              <w:bottom w:val="single" w:color="auto" w:sz="4" w:space="0"/>
              <w:right w:val="single" w:color="auto" w:sz="4" w:space="0"/>
            </w:tcBorders>
            <w:shd w:val="clear" w:color="auto" w:fill="auto"/>
            <w:vAlign w:val="center"/>
          </w:tcPr>
          <w:p w14:paraId="40F5A88B">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实际得分</w:t>
            </w:r>
          </w:p>
        </w:tc>
      </w:tr>
      <w:tr w14:paraId="51CE78A1">
        <w:tblPrEx>
          <w:tblCellMar>
            <w:top w:w="57" w:type="dxa"/>
            <w:left w:w="57" w:type="dxa"/>
            <w:bottom w:w="57" w:type="dxa"/>
            <w:right w:w="57" w:type="dxa"/>
          </w:tblCellMar>
        </w:tblPrEx>
        <w:trPr>
          <w:trHeight w:val="90" w:hRule="atLeast"/>
          <w:jc w:val="center"/>
        </w:trPr>
        <w:tc>
          <w:tcPr>
            <w:tcW w:w="2733" w:type="pct"/>
            <w:tcBorders>
              <w:top w:val="nil"/>
              <w:left w:val="single" w:color="auto" w:sz="4" w:space="0"/>
              <w:bottom w:val="single" w:color="auto" w:sz="4" w:space="0"/>
              <w:right w:val="single" w:color="auto" w:sz="4" w:space="0"/>
            </w:tcBorders>
            <w:shd w:val="clear" w:color="auto" w:fill="auto"/>
            <w:vAlign w:val="center"/>
          </w:tcPr>
          <w:p w14:paraId="4F61157B">
            <w:pPr>
              <w:widowControl/>
              <w:spacing w:line="300" w:lineRule="exact"/>
              <w:jc w:val="both"/>
              <w:rPr>
                <w:rFonts w:hint="default" w:hAnsi="仿宋" w:cs="宋体"/>
                <w:color w:val="000000"/>
                <w:kern w:val="2"/>
                <w:sz w:val="21"/>
                <w:lang w:val="en-US"/>
              </w:rPr>
            </w:pPr>
            <w:r>
              <w:rPr>
                <w:rFonts w:hint="default" w:hAnsi="仿宋" w:cs="宋体"/>
                <w:color w:val="000000"/>
                <w:kern w:val="2"/>
                <w:sz w:val="21"/>
                <w:lang w:val="en-US"/>
              </w:rPr>
              <w:t>A11.与部门中长期规划目标适应性</w:t>
            </w:r>
          </w:p>
        </w:tc>
        <w:tc>
          <w:tcPr>
            <w:tcW w:w="677" w:type="pct"/>
            <w:tcBorders>
              <w:top w:val="nil"/>
              <w:left w:val="nil"/>
              <w:bottom w:val="single" w:color="auto" w:sz="4" w:space="0"/>
              <w:right w:val="single" w:color="auto" w:sz="4" w:space="0"/>
            </w:tcBorders>
            <w:shd w:val="clear" w:color="auto" w:fill="auto"/>
            <w:vAlign w:val="center"/>
          </w:tcPr>
          <w:p w14:paraId="25ED22AD">
            <w:pPr>
              <w:widowControl/>
              <w:spacing w:line="300" w:lineRule="exact"/>
              <w:jc w:val="center"/>
              <w:rPr>
                <w:rFonts w:hint="default" w:hAnsi="仿宋" w:eastAsia="宋体" w:cs="宋体"/>
                <w:color w:val="000000"/>
                <w:kern w:val="2"/>
                <w:sz w:val="21"/>
                <w:lang w:val="en-US" w:eastAsia="zh-CN"/>
              </w:rPr>
            </w:pPr>
          </w:p>
        </w:tc>
        <w:tc>
          <w:tcPr>
            <w:tcW w:w="978" w:type="pct"/>
            <w:tcBorders>
              <w:top w:val="nil"/>
              <w:left w:val="nil"/>
              <w:bottom w:val="single" w:color="auto" w:sz="4" w:space="0"/>
              <w:right w:val="single" w:color="auto" w:sz="4" w:space="0"/>
            </w:tcBorders>
            <w:shd w:val="clear" w:color="auto" w:fill="auto"/>
            <w:vAlign w:val="center"/>
          </w:tcPr>
          <w:p w14:paraId="3BF8E8C0">
            <w:pPr>
              <w:widowControl/>
              <w:spacing w:line="300" w:lineRule="exact"/>
              <w:jc w:val="center"/>
              <w:rPr>
                <w:rFonts w:hint="default" w:hAnsi="仿宋" w:eastAsia="宋体" w:cs="宋体"/>
                <w:color w:val="000000"/>
                <w:kern w:val="2"/>
                <w:sz w:val="21"/>
                <w:lang w:val="en-US" w:eastAsia="zh-CN"/>
              </w:rPr>
            </w:pPr>
          </w:p>
        </w:tc>
        <w:tc>
          <w:tcPr>
            <w:tcW w:w="610" w:type="pct"/>
            <w:tcBorders>
              <w:top w:val="nil"/>
              <w:left w:val="nil"/>
              <w:bottom w:val="single" w:color="auto" w:sz="4" w:space="0"/>
              <w:right w:val="single" w:color="auto" w:sz="4" w:space="0"/>
            </w:tcBorders>
            <w:shd w:val="clear" w:color="auto" w:fill="auto"/>
            <w:vAlign w:val="center"/>
          </w:tcPr>
          <w:p w14:paraId="6569ED6E">
            <w:pPr>
              <w:widowControl/>
              <w:spacing w:line="300" w:lineRule="exact"/>
              <w:jc w:val="center"/>
              <w:rPr>
                <w:rFonts w:hint="default" w:hAnsi="仿宋" w:eastAsia="宋体" w:cs="宋体"/>
                <w:color w:val="000000"/>
                <w:kern w:val="2"/>
                <w:sz w:val="21"/>
                <w:lang w:val="en-US" w:eastAsia="zh-CN"/>
              </w:rPr>
            </w:pPr>
          </w:p>
        </w:tc>
      </w:tr>
      <w:tr w14:paraId="0384AC43">
        <w:tblPrEx>
          <w:tblCellMar>
            <w:top w:w="57" w:type="dxa"/>
            <w:left w:w="57" w:type="dxa"/>
            <w:bottom w:w="57" w:type="dxa"/>
            <w:right w:w="57" w:type="dxa"/>
          </w:tblCellMar>
        </w:tblPrEx>
        <w:trPr>
          <w:trHeight w:val="90" w:hRule="atLeast"/>
          <w:jc w:val="center"/>
        </w:trPr>
        <w:tc>
          <w:tcPr>
            <w:tcW w:w="2733" w:type="pct"/>
            <w:tcBorders>
              <w:top w:val="nil"/>
              <w:left w:val="single" w:color="auto" w:sz="4" w:space="0"/>
              <w:bottom w:val="single" w:color="auto" w:sz="4" w:space="0"/>
              <w:right w:val="single" w:color="auto" w:sz="4" w:space="0"/>
            </w:tcBorders>
            <w:shd w:val="clear" w:color="auto" w:fill="auto"/>
            <w:vAlign w:val="center"/>
          </w:tcPr>
          <w:p w14:paraId="5C7CED81">
            <w:pPr>
              <w:widowControl/>
              <w:spacing w:line="300" w:lineRule="exact"/>
              <w:ind w:firstLine="420" w:firstLineChars="200"/>
              <w:jc w:val="both"/>
              <w:rPr>
                <w:rFonts w:hint="default" w:hAnsi="仿宋" w:cs="宋体"/>
                <w:color w:val="000000"/>
                <w:kern w:val="2"/>
                <w:sz w:val="21"/>
                <w:lang w:val="en-US"/>
              </w:rPr>
            </w:pPr>
            <w:r>
              <w:rPr>
                <w:rFonts w:hint="default" w:hAnsi="仿宋" w:cs="宋体"/>
                <w:color w:val="000000"/>
                <w:kern w:val="2"/>
                <w:sz w:val="21"/>
                <w:lang w:val="en-US"/>
              </w:rPr>
              <w:t>A111.与部门中长期规划目标匹配性</w:t>
            </w:r>
          </w:p>
        </w:tc>
        <w:tc>
          <w:tcPr>
            <w:tcW w:w="677" w:type="pct"/>
            <w:tcBorders>
              <w:top w:val="nil"/>
              <w:left w:val="nil"/>
              <w:bottom w:val="single" w:color="auto" w:sz="4" w:space="0"/>
              <w:right w:val="single" w:color="auto" w:sz="4" w:space="0"/>
            </w:tcBorders>
            <w:shd w:val="clear" w:color="auto" w:fill="auto"/>
            <w:vAlign w:val="center"/>
          </w:tcPr>
          <w:p w14:paraId="2FAC8E47">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c>
          <w:tcPr>
            <w:tcW w:w="978" w:type="pct"/>
            <w:tcBorders>
              <w:top w:val="nil"/>
              <w:left w:val="nil"/>
              <w:bottom w:val="single" w:color="auto" w:sz="4" w:space="0"/>
              <w:right w:val="single" w:color="auto" w:sz="4" w:space="0"/>
            </w:tcBorders>
            <w:shd w:val="clear" w:color="auto" w:fill="auto"/>
            <w:vAlign w:val="center"/>
          </w:tcPr>
          <w:p w14:paraId="6A4F4DE6">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匹配</w:t>
            </w:r>
          </w:p>
        </w:tc>
        <w:tc>
          <w:tcPr>
            <w:tcW w:w="610" w:type="pct"/>
            <w:tcBorders>
              <w:top w:val="nil"/>
              <w:left w:val="nil"/>
              <w:bottom w:val="single" w:color="auto" w:sz="4" w:space="0"/>
              <w:right w:val="single" w:color="auto" w:sz="4" w:space="0"/>
            </w:tcBorders>
            <w:shd w:val="clear" w:color="auto" w:fill="auto"/>
            <w:vAlign w:val="center"/>
          </w:tcPr>
          <w:p w14:paraId="45EB659B">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r>
      <w:tr w14:paraId="10634FC0">
        <w:tblPrEx>
          <w:tblCellMar>
            <w:top w:w="57" w:type="dxa"/>
            <w:left w:w="57" w:type="dxa"/>
            <w:bottom w:w="57" w:type="dxa"/>
            <w:right w:w="57" w:type="dxa"/>
          </w:tblCellMar>
        </w:tblPrEx>
        <w:trPr>
          <w:trHeight w:val="90" w:hRule="atLeast"/>
          <w:jc w:val="center"/>
        </w:trPr>
        <w:tc>
          <w:tcPr>
            <w:tcW w:w="2733" w:type="pct"/>
            <w:tcBorders>
              <w:top w:val="nil"/>
              <w:left w:val="single" w:color="auto" w:sz="4" w:space="0"/>
              <w:bottom w:val="single" w:color="auto" w:sz="4" w:space="0"/>
              <w:right w:val="single" w:color="auto" w:sz="4" w:space="0"/>
            </w:tcBorders>
            <w:shd w:val="clear" w:color="auto" w:fill="auto"/>
            <w:vAlign w:val="center"/>
          </w:tcPr>
          <w:p w14:paraId="6B265B65">
            <w:pPr>
              <w:widowControl/>
              <w:spacing w:line="300" w:lineRule="exact"/>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A12.立项依据充分性</w:t>
            </w:r>
          </w:p>
        </w:tc>
        <w:tc>
          <w:tcPr>
            <w:tcW w:w="677" w:type="pct"/>
            <w:tcBorders>
              <w:top w:val="nil"/>
              <w:left w:val="nil"/>
              <w:bottom w:val="single" w:color="auto" w:sz="4" w:space="0"/>
              <w:right w:val="single" w:color="auto" w:sz="4" w:space="0"/>
            </w:tcBorders>
            <w:shd w:val="clear" w:color="auto" w:fill="auto"/>
            <w:vAlign w:val="center"/>
          </w:tcPr>
          <w:p w14:paraId="12104431">
            <w:pPr>
              <w:widowControl/>
              <w:spacing w:line="300" w:lineRule="exact"/>
              <w:jc w:val="center"/>
              <w:rPr>
                <w:rFonts w:hint="default" w:ascii="Calibri" w:hAnsi="仿宋" w:eastAsia="宋体" w:cs="宋体"/>
                <w:color w:val="000000"/>
                <w:kern w:val="2"/>
                <w:sz w:val="21"/>
                <w:szCs w:val="22"/>
                <w:lang w:val="en-US" w:eastAsia="zh-CN" w:bidi="ar-SA"/>
              </w:rPr>
            </w:pPr>
          </w:p>
        </w:tc>
        <w:tc>
          <w:tcPr>
            <w:tcW w:w="978" w:type="pct"/>
            <w:tcBorders>
              <w:top w:val="nil"/>
              <w:left w:val="nil"/>
              <w:bottom w:val="single" w:color="auto" w:sz="4" w:space="0"/>
              <w:right w:val="single" w:color="auto" w:sz="4" w:space="0"/>
            </w:tcBorders>
            <w:shd w:val="clear" w:color="auto" w:fill="auto"/>
            <w:vAlign w:val="center"/>
          </w:tcPr>
          <w:p w14:paraId="19206F57">
            <w:pPr>
              <w:widowControl/>
              <w:spacing w:line="300" w:lineRule="exact"/>
              <w:jc w:val="center"/>
              <w:rPr>
                <w:rFonts w:hint="default" w:ascii="Calibri" w:hAnsi="仿宋" w:eastAsia="宋体" w:cs="宋体"/>
                <w:color w:val="000000"/>
                <w:kern w:val="2"/>
                <w:sz w:val="21"/>
                <w:szCs w:val="22"/>
                <w:lang w:val="en-US" w:eastAsia="zh-CN" w:bidi="ar-SA"/>
              </w:rPr>
            </w:pPr>
          </w:p>
        </w:tc>
        <w:tc>
          <w:tcPr>
            <w:tcW w:w="610" w:type="pct"/>
            <w:tcBorders>
              <w:top w:val="nil"/>
              <w:left w:val="nil"/>
              <w:bottom w:val="single" w:color="auto" w:sz="4" w:space="0"/>
              <w:right w:val="single" w:color="auto" w:sz="4" w:space="0"/>
            </w:tcBorders>
            <w:shd w:val="clear" w:color="auto" w:fill="auto"/>
            <w:vAlign w:val="center"/>
          </w:tcPr>
          <w:p w14:paraId="041F30CB">
            <w:pPr>
              <w:widowControl/>
              <w:spacing w:line="300" w:lineRule="exact"/>
              <w:jc w:val="center"/>
              <w:rPr>
                <w:rFonts w:hint="default" w:ascii="Calibri" w:hAnsi="仿宋" w:eastAsia="宋体" w:cs="宋体"/>
                <w:color w:val="000000"/>
                <w:kern w:val="2"/>
                <w:sz w:val="21"/>
                <w:szCs w:val="22"/>
                <w:lang w:val="en-US" w:eastAsia="zh-CN" w:bidi="ar-SA"/>
              </w:rPr>
            </w:pPr>
          </w:p>
        </w:tc>
      </w:tr>
      <w:tr w14:paraId="3FE51B2D">
        <w:tblPrEx>
          <w:tblCellMar>
            <w:top w:w="57" w:type="dxa"/>
            <w:left w:w="57" w:type="dxa"/>
            <w:bottom w:w="57" w:type="dxa"/>
            <w:right w:w="57" w:type="dxa"/>
          </w:tblCellMar>
        </w:tblPrEx>
        <w:trPr>
          <w:trHeight w:val="90" w:hRule="atLeast"/>
          <w:jc w:val="center"/>
        </w:trPr>
        <w:tc>
          <w:tcPr>
            <w:tcW w:w="2733" w:type="pct"/>
            <w:tcBorders>
              <w:top w:val="single" w:color="auto" w:sz="4" w:space="0"/>
              <w:left w:val="single" w:color="auto" w:sz="4" w:space="0"/>
              <w:bottom w:val="single" w:color="auto" w:sz="4" w:space="0"/>
              <w:right w:val="single" w:color="auto" w:sz="4" w:space="0"/>
            </w:tcBorders>
            <w:shd w:val="clear" w:color="auto" w:fill="auto"/>
            <w:vAlign w:val="center"/>
          </w:tcPr>
          <w:p w14:paraId="7E0F7605">
            <w:pPr>
              <w:widowControl/>
              <w:spacing w:line="300" w:lineRule="exact"/>
              <w:ind w:firstLine="420" w:firstLineChars="200"/>
              <w:jc w:val="left"/>
              <w:rPr>
                <w:rFonts w:hint="default" w:hAnsi="仿宋" w:cs="宋体"/>
                <w:color w:val="000000"/>
                <w:kern w:val="2"/>
                <w:sz w:val="21"/>
                <w:lang w:val="en-US" w:eastAsia="zh-CN"/>
              </w:rPr>
            </w:pPr>
            <w:r>
              <w:rPr>
                <w:rFonts w:hint="default" w:hAnsi="仿宋" w:cs="宋体"/>
                <w:color w:val="000000"/>
                <w:kern w:val="2"/>
                <w:sz w:val="21"/>
                <w:lang w:val="en-US" w:eastAsia="zh-CN"/>
              </w:rPr>
              <w:t>A121.与市政府相关规划、决策匹配性</w:t>
            </w:r>
          </w:p>
        </w:tc>
        <w:tc>
          <w:tcPr>
            <w:tcW w:w="677" w:type="pct"/>
            <w:tcBorders>
              <w:top w:val="single" w:color="auto" w:sz="4" w:space="0"/>
              <w:left w:val="nil"/>
              <w:bottom w:val="single" w:color="auto" w:sz="4" w:space="0"/>
              <w:right w:val="single" w:color="auto" w:sz="4" w:space="0"/>
            </w:tcBorders>
            <w:shd w:val="clear" w:color="auto" w:fill="auto"/>
            <w:vAlign w:val="center"/>
          </w:tcPr>
          <w:p w14:paraId="6D59BA67">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978" w:type="pct"/>
            <w:tcBorders>
              <w:top w:val="single" w:color="auto" w:sz="4" w:space="0"/>
              <w:left w:val="nil"/>
              <w:bottom w:val="single" w:color="auto" w:sz="4" w:space="0"/>
              <w:right w:val="single" w:color="auto" w:sz="4" w:space="0"/>
            </w:tcBorders>
            <w:shd w:val="clear" w:color="auto" w:fill="auto"/>
            <w:vAlign w:val="center"/>
          </w:tcPr>
          <w:p w14:paraId="3BF7623B">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匹配</w:t>
            </w:r>
          </w:p>
        </w:tc>
        <w:tc>
          <w:tcPr>
            <w:tcW w:w="610" w:type="pct"/>
            <w:tcBorders>
              <w:top w:val="single" w:color="auto" w:sz="4" w:space="0"/>
              <w:left w:val="nil"/>
              <w:bottom w:val="single" w:color="auto" w:sz="4" w:space="0"/>
              <w:right w:val="single" w:color="auto" w:sz="4" w:space="0"/>
            </w:tcBorders>
            <w:shd w:val="clear" w:color="auto" w:fill="auto"/>
            <w:vAlign w:val="center"/>
          </w:tcPr>
          <w:p w14:paraId="0CDF1726">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r>
      <w:tr w14:paraId="23DAEF74">
        <w:tblPrEx>
          <w:tblCellMar>
            <w:top w:w="57" w:type="dxa"/>
            <w:left w:w="57" w:type="dxa"/>
            <w:bottom w:w="57" w:type="dxa"/>
            <w:right w:w="57" w:type="dxa"/>
          </w:tblCellMar>
        </w:tblPrEx>
        <w:trPr>
          <w:trHeight w:val="90" w:hRule="atLeast"/>
          <w:jc w:val="center"/>
        </w:trPr>
        <w:tc>
          <w:tcPr>
            <w:tcW w:w="2733" w:type="pct"/>
            <w:tcBorders>
              <w:top w:val="single" w:color="auto" w:sz="4" w:space="0"/>
              <w:left w:val="single" w:color="auto" w:sz="4" w:space="0"/>
              <w:bottom w:val="single" w:color="auto" w:sz="4" w:space="0"/>
              <w:right w:val="single" w:color="auto" w:sz="4" w:space="0"/>
            </w:tcBorders>
            <w:shd w:val="clear" w:color="auto" w:fill="auto"/>
            <w:vAlign w:val="center"/>
          </w:tcPr>
          <w:p w14:paraId="157FB111">
            <w:pPr>
              <w:widowControl/>
              <w:spacing w:line="300" w:lineRule="exact"/>
              <w:ind w:firstLine="420" w:firstLineChars="200"/>
              <w:jc w:val="left"/>
              <w:rPr>
                <w:rFonts w:hint="default" w:hAnsi="仿宋" w:cs="宋体"/>
                <w:color w:val="000000"/>
                <w:kern w:val="2"/>
                <w:sz w:val="21"/>
                <w:lang w:val="en-US" w:eastAsia="zh-CN"/>
              </w:rPr>
            </w:pPr>
            <w:r>
              <w:rPr>
                <w:rFonts w:hint="default" w:hAnsi="仿宋" w:cs="宋体"/>
                <w:color w:val="000000"/>
                <w:kern w:val="2"/>
                <w:sz w:val="21"/>
                <w:lang w:val="en-US" w:eastAsia="zh-CN"/>
              </w:rPr>
              <w:t>A122.与部门职责适应性</w:t>
            </w:r>
          </w:p>
        </w:tc>
        <w:tc>
          <w:tcPr>
            <w:tcW w:w="677" w:type="pct"/>
            <w:tcBorders>
              <w:top w:val="single" w:color="auto" w:sz="4" w:space="0"/>
              <w:left w:val="nil"/>
              <w:bottom w:val="single" w:color="auto" w:sz="4" w:space="0"/>
              <w:right w:val="single" w:color="auto" w:sz="4" w:space="0"/>
            </w:tcBorders>
            <w:shd w:val="clear" w:color="auto" w:fill="auto"/>
            <w:vAlign w:val="center"/>
          </w:tcPr>
          <w:p w14:paraId="08021284">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c>
          <w:tcPr>
            <w:tcW w:w="978" w:type="pct"/>
            <w:tcBorders>
              <w:top w:val="single" w:color="auto" w:sz="4" w:space="0"/>
              <w:left w:val="nil"/>
              <w:bottom w:val="single" w:color="auto" w:sz="4" w:space="0"/>
              <w:right w:val="single" w:color="auto" w:sz="4" w:space="0"/>
            </w:tcBorders>
            <w:shd w:val="clear" w:color="auto" w:fill="auto"/>
            <w:vAlign w:val="center"/>
          </w:tcPr>
          <w:p w14:paraId="2C5EECC1">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适应</w:t>
            </w:r>
          </w:p>
        </w:tc>
        <w:tc>
          <w:tcPr>
            <w:tcW w:w="610" w:type="pct"/>
            <w:tcBorders>
              <w:top w:val="single" w:color="auto" w:sz="4" w:space="0"/>
              <w:left w:val="nil"/>
              <w:bottom w:val="single" w:color="auto" w:sz="4" w:space="0"/>
              <w:right w:val="single" w:color="auto" w:sz="4" w:space="0"/>
            </w:tcBorders>
            <w:shd w:val="clear" w:color="auto" w:fill="auto"/>
            <w:vAlign w:val="center"/>
          </w:tcPr>
          <w:p w14:paraId="601DA51A">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r>
      <w:tr w14:paraId="41276767">
        <w:tblPrEx>
          <w:tblCellMar>
            <w:top w:w="57" w:type="dxa"/>
            <w:left w:w="57" w:type="dxa"/>
            <w:bottom w:w="57" w:type="dxa"/>
            <w:right w:w="57" w:type="dxa"/>
          </w:tblCellMar>
        </w:tblPrEx>
        <w:trPr>
          <w:trHeight w:val="90" w:hRule="atLeast"/>
          <w:jc w:val="center"/>
        </w:trPr>
        <w:tc>
          <w:tcPr>
            <w:tcW w:w="2733" w:type="pct"/>
            <w:tcBorders>
              <w:top w:val="single" w:color="auto" w:sz="4" w:space="0"/>
              <w:left w:val="single" w:color="auto" w:sz="4" w:space="0"/>
              <w:bottom w:val="single" w:color="auto" w:sz="4" w:space="0"/>
              <w:right w:val="single" w:color="auto" w:sz="4" w:space="0"/>
            </w:tcBorders>
            <w:shd w:val="clear" w:color="auto" w:fill="auto"/>
            <w:vAlign w:val="center"/>
          </w:tcPr>
          <w:p w14:paraId="7761EFA5">
            <w:pPr>
              <w:widowControl/>
              <w:spacing w:line="300" w:lineRule="exact"/>
              <w:jc w:val="left"/>
              <w:rPr>
                <w:rFonts w:hint="default" w:hAnsi="仿宋" w:cs="宋体"/>
                <w:color w:val="000000"/>
                <w:kern w:val="2"/>
                <w:sz w:val="21"/>
                <w:lang w:val="en-US" w:eastAsia="zh-CN"/>
              </w:rPr>
            </w:pPr>
            <w:r>
              <w:rPr>
                <w:rFonts w:hint="default" w:hAnsi="仿宋" w:cs="宋体"/>
                <w:color w:val="000000"/>
                <w:kern w:val="2"/>
                <w:sz w:val="21"/>
                <w:lang w:val="en-US" w:eastAsia="zh-CN"/>
              </w:rPr>
              <w:t>A13.项目立项规范性</w:t>
            </w:r>
          </w:p>
        </w:tc>
        <w:tc>
          <w:tcPr>
            <w:tcW w:w="677" w:type="pct"/>
            <w:tcBorders>
              <w:top w:val="single" w:color="auto" w:sz="4" w:space="0"/>
              <w:left w:val="nil"/>
              <w:bottom w:val="single" w:color="auto" w:sz="4" w:space="0"/>
              <w:right w:val="single" w:color="auto" w:sz="4" w:space="0"/>
            </w:tcBorders>
            <w:shd w:val="clear" w:color="auto" w:fill="auto"/>
            <w:vAlign w:val="center"/>
          </w:tcPr>
          <w:p w14:paraId="7C72008E">
            <w:pPr>
              <w:widowControl/>
              <w:spacing w:line="300" w:lineRule="exact"/>
              <w:jc w:val="center"/>
              <w:rPr>
                <w:rFonts w:hint="default" w:hAnsi="仿宋" w:cs="宋体"/>
                <w:color w:val="000000"/>
                <w:kern w:val="2"/>
                <w:sz w:val="21"/>
                <w:szCs w:val="22"/>
                <w:lang w:val="en-US" w:eastAsia="zh-CN" w:bidi="ar-SA"/>
              </w:rPr>
            </w:pPr>
          </w:p>
        </w:tc>
        <w:tc>
          <w:tcPr>
            <w:tcW w:w="978" w:type="pct"/>
            <w:tcBorders>
              <w:top w:val="single" w:color="auto" w:sz="4" w:space="0"/>
              <w:left w:val="nil"/>
              <w:bottom w:val="single" w:color="auto" w:sz="4" w:space="0"/>
              <w:right w:val="single" w:color="auto" w:sz="4" w:space="0"/>
            </w:tcBorders>
            <w:shd w:val="clear" w:color="auto" w:fill="auto"/>
            <w:vAlign w:val="center"/>
          </w:tcPr>
          <w:p w14:paraId="78DA63F6">
            <w:pPr>
              <w:widowControl/>
              <w:spacing w:line="300" w:lineRule="exact"/>
              <w:jc w:val="center"/>
              <w:rPr>
                <w:rFonts w:hint="default" w:hAnsi="仿宋" w:cs="宋体"/>
                <w:color w:val="000000"/>
                <w:kern w:val="2"/>
                <w:sz w:val="21"/>
                <w:szCs w:val="22"/>
                <w:lang w:val="en-US" w:eastAsia="zh-CN" w:bidi="ar-SA"/>
              </w:rPr>
            </w:pPr>
          </w:p>
        </w:tc>
        <w:tc>
          <w:tcPr>
            <w:tcW w:w="610" w:type="pct"/>
            <w:tcBorders>
              <w:top w:val="single" w:color="auto" w:sz="4" w:space="0"/>
              <w:left w:val="nil"/>
              <w:bottom w:val="single" w:color="auto" w:sz="4" w:space="0"/>
              <w:right w:val="single" w:color="auto" w:sz="4" w:space="0"/>
            </w:tcBorders>
            <w:shd w:val="clear" w:color="auto" w:fill="auto"/>
            <w:vAlign w:val="center"/>
          </w:tcPr>
          <w:p w14:paraId="67942F72">
            <w:pPr>
              <w:widowControl/>
              <w:spacing w:line="300" w:lineRule="exact"/>
              <w:jc w:val="center"/>
              <w:rPr>
                <w:rFonts w:hint="default" w:hAnsi="仿宋" w:cs="宋体"/>
                <w:color w:val="000000"/>
                <w:kern w:val="2"/>
                <w:sz w:val="21"/>
                <w:szCs w:val="22"/>
                <w:lang w:val="en-US" w:eastAsia="zh-CN" w:bidi="ar-SA"/>
              </w:rPr>
            </w:pPr>
          </w:p>
        </w:tc>
      </w:tr>
      <w:tr w14:paraId="24D176B0">
        <w:tblPrEx>
          <w:tblCellMar>
            <w:top w:w="57" w:type="dxa"/>
            <w:left w:w="57" w:type="dxa"/>
            <w:bottom w:w="57" w:type="dxa"/>
            <w:right w:w="57" w:type="dxa"/>
          </w:tblCellMar>
        </w:tblPrEx>
        <w:trPr>
          <w:trHeight w:val="90" w:hRule="atLeast"/>
          <w:jc w:val="center"/>
        </w:trPr>
        <w:tc>
          <w:tcPr>
            <w:tcW w:w="2733" w:type="pct"/>
            <w:tcBorders>
              <w:top w:val="single" w:color="auto" w:sz="4" w:space="0"/>
              <w:left w:val="single" w:color="auto" w:sz="4" w:space="0"/>
              <w:bottom w:val="single" w:color="auto" w:sz="4" w:space="0"/>
              <w:right w:val="single" w:color="auto" w:sz="4" w:space="0"/>
            </w:tcBorders>
            <w:shd w:val="clear" w:color="auto" w:fill="auto"/>
            <w:vAlign w:val="center"/>
          </w:tcPr>
          <w:p w14:paraId="5B1E2535">
            <w:pPr>
              <w:widowControl/>
              <w:spacing w:line="300" w:lineRule="exact"/>
              <w:ind w:firstLine="420" w:firstLineChars="200"/>
              <w:jc w:val="left"/>
              <w:rPr>
                <w:rFonts w:hint="default" w:hAnsi="仿宋" w:cs="宋体"/>
                <w:color w:val="000000"/>
                <w:kern w:val="2"/>
                <w:sz w:val="21"/>
                <w:lang w:val="en-US" w:eastAsia="zh-CN"/>
              </w:rPr>
            </w:pPr>
            <w:r>
              <w:rPr>
                <w:rFonts w:hint="default" w:hAnsi="仿宋" w:cs="宋体"/>
                <w:color w:val="000000"/>
                <w:kern w:val="2"/>
                <w:sz w:val="21"/>
                <w:lang w:val="en-US" w:eastAsia="zh-CN"/>
              </w:rPr>
              <w:t>A131.前期调研情况</w:t>
            </w:r>
          </w:p>
        </w:tc>
        <w:tc>
          <w:tcPr>
            <w:tcW w:w="677" w:type="pct"/>
            <w:tcBorders>
              <w:top w:val="single" w:color="auto" w:sz="4" w:space="0"/>
              <w:left w:val="nil"/>
              <w:bottom w:val="single" w:color="auto" w:sz="4" w:space="0"/>
              <w:right w:val="single" w:color="auto" w:sz="4" w:space="0"/>
            </w:tcBorders>
            <w:shd w:val="clear" w:color="auto" w:fill="auto"/>
            <w:vAlign w:val="center"/>
          </w:tcPr>
          <w:p w14:paraId="15150F52">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978" w:type="pct"/>
            <w:tcBorders>
              <w:top w:val="single" w:color="auto" w:sz="4" w:space="0"/>
              <w:left w:val="nil"/>
              <w:bottom w:val="single" w:color="auto" w:sz="4" w:space="0"/>
              <w:right w:val="single" w:color="auto" w:sz="4" w:space="0"/>
            </w:tcBorders>
            <w:shd w:val="clear" w:color="auto" w:fill="auto"/>
            <w:vAlign w:val="center"/>
          </w:tcPr>
          <w:p w14:paraId="362BAE94">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充分调研</w:t>
            </w:r>
          </w:p>
        </w:tc>
        <w:tc>
          <w:tcPr>
            <w:tcW w:w="610" w:type="pct"/>
            <w:tcBorders>
              <w:top w:val="single" w:color="auto" w:sz="4" w:space="0"/>
              <w:left w:val="nil"/>
              <w:bottom w:val="single" w:color="auto" w:sz="4" w:space="0"/>
              <w:right w:val="single" w:color="auto" w:sz="4" w:space="0"/>
            </w:tcBorders>
            <w:shd w:val="clear" w:color="auto" w:fill="auto"/>
            <w:vAlign w:val="center"/>
          </w:tcPr>
          <w:p w14:paraId="53A13FCC">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r>
      <w:tr w14:paraId="567F7036">
        <w:tblPrEx>
          <w:tblCellMar>
            <w:top w:w="57" w:type="dxa"/>
            <w:left w:w="57" w:type="dxa"/>
            <w:bottom w:w="57" w:type="dxa"/>
            <w:right w:w="57" w:type="dxa"/>
          </w:tblCellMar>
        </w:tblPrEx>
        <w:trPr>
          <w:trHeight w:val="90" w:hRule="atLeast"/>
          <w:jc w:val="center"/>
        </w:trPr>
        <w:tc>
          <w:tcPr>
            <w:tcW w:w="2733" w:type="pct"/>
            <w:tcBorders>
              <w:top w:val="single" w:color="auto" w:sz="4" w:space="0"/>
              <w:left w:val="single" w:color="auto" w:sz="4" w:space="0"/>
              <w:bottom w:val="single" w:color="auto" w:sz="4" w:space="0"/>
              <w:right w:val="single" w:color="auto" w:sz="4" w:space="0"/>
            </w:tcBorders>
            <w:shd w:val="clear" w:color="auto" w:fill="auto"/>
            <w:vAlign w:val="center"/>
          </w:tcPr>
          <w:p w14:paraId="4EEAEB43">
            <w:pPr>
              <w:widowControl/>
              <w:spacing w:line="300" w:lineRule="exact"/>
              <w:ind w:firstLine="420" w:firstLineChars="200"/>
              <w:jc w:val="left"/>
              <w:rPr>
                <w:rFonts w:hint="default" w:hAnsi="仿宋" w:cs="宋体"/>
                <w:color w:val="000000"/>
                <w:kern w:val="2"/>
                <w:sz w:val="21"/>
                <w:lang w:val="en-US" w:eastAsia="zh-CN"/>
              </w:rPr>
            </w:pPr>
            <w:r>
              <w:rPr>
                <w:rFonts w:hint="default" w:hAnsi="仿宋" w:cs="宋体"/>
                <w:color w:val="000000"/>
                <w:kern w:val="2"/>
                <w:sz w:val="21"/>
                <w:lang w:val="en-US" w:eastAsia="zh-CN"/>
              </w:rPr>
              <w:t>A132.立项程序规范性</w:t>
            </w:r>
          </w:p>
        </w:tc>
        <w:tc>
          <w:tcPr>
            <w:tcW w:w="677" w:type="pct"/>
            <w:tcBorders>
              <w:top w:val="single" w:color="auto" w:sz="4" w:space="0"/>
              <w:left w:val="nil"/>
              <w:bottom w:val="single" w:color="auto" w:sz="4" w:space="0"/>
              <w:right w:val="single" w:color="auto" w:sz="4" w:space="0"/>
            </w:tcBorders>
            <w:shd w:val="clear" w:color="auto" w:fill="auto"/>
            <w:vAlign w:val="center"/>
          </w:tcPr>
          <w:p w14:paraId="06194AEF">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978" w:type="pct"/>
            <w:tcBorders>
              <w:top w:val="single" w:color="auto" w:sz="4" w:space="0"/>
              <w:left w:val="nil"/>
              <w:bottom w:val="single" w:color="auto" w:sz="4" w:space="0"/>
              <w:right w:val="single" w:color="auto" w:sz="4" w:space="0"/>
            </w:tcBorders>
            <w:shd w:val="clear" w:color="auto" w:fill="auto"/>
            <w:vAlign w:val="center"/>
          </w:tcPr>
          <w:p w14:paraId="1077856F">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规范</w:t>
            </w:r>
          </w:p>
        </w:tc>
        <w:tc>
          <w:tcPr>
            <w:tcW w:w="610" w:type="pct"/>
            <w:tcBorders>
              <w:top w:val="single" w:color="auto" w:sz="4" w:space="0"/>
              <w:left w:val="nil"/>
              <w:bottom w:val="single" w:color="auto" w:sz="4" w:space="0"/>
              <w:right w:val="single" w:color="auto" w:sz="4" w:space="0"/>
            </w:tcBorders>
            <w:shd w:val="clear" w:color="auto" w:fill="auto"/>
            <w:vAlign w:val="center"/>
          </w:tcPr>
          <w:p w14:paraId="18B243AB">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r>
      <w:tr w14:paraId="2978E023">
        <w:tblPrEx>
          <w:tblCellMar>
            <w:top w:w="57" w:type="dxa"/>
            <w:left w:w="57" w:type="dxa"/>
            <w:bottom w:w="57" w:type="dxa"/>
            <w:right w:w="57" w:type="dxa"/>
          </w:tblCellMar>
        </w:tblPrEx>
        <w:trPr>
          <w:trHeight w:val="90" w:hRule="atLeast"/>
          <w:jc w:val="center"/>
        </w:trPr>
        <w:tc>
          <w:tcPr>
            <w:tcW w:w="2733" w:type="pct"/>
            <w:tcBorders>
              <w:top w:val="single" w:color="auto" w:sz="4" w:space="0"/>
              <w:left w:val="single" w:color="auto" w:sz="4" w:space="0"/>
              <w:bottom w:val="single" w:color="auto" w:sz="4" w:space="0"/>
              <w:right w:val="single" w:color="auto" w:sz="4" w:space="0"/>
            </w:tcBorders>
            <w:shd w:val="clear" w:color="auto" w:fill="auto"/>
            <w:vAlign w:val="center"/>
          </w:tcPr>
          <w:p w14:paraId="434AF0CB">
            <w:pPr>
              <w:widowControl/>
              <w:spacing w:line="300" w:lineRule="exact"/>
              <w:ind w:firstLine="420" w:firstLineChars="200"/>
              <w:jc w:val="center"/>
              <w:rPr>
                <w:rFonts w:hint="default" w:hAnsi="仿宋" w:cs="宋体"/>
                <w:color w:val="000000"/>
                <w:kern w:val="2"/>
                <w:sz w:val="21"/>
                <w:lang w:val="en-US" w:eastAsia="zh-CN"/>
              </w:rPr>
            </w:pPr>
            <w:r>
              <w:rPr>
                <w:rFonts w:hint="eastAsia" w:hAnsi="仿宋" w:cs="宋体"/>
                <w:color w:val="000000"/>
                <w:kern w:val="2"/>
                <w:sz w:val="21"/>
                <w:lang w:val="en-US" w:eastAsia="zh-CN"/>
              </w:rPr>
              <w:t>合计</w:t>
            </w:r>
          </w:p>
        </w:tc>
        <w:tc>
          <w:tcPr>
            <w:tcW w:w="677" w:type="pct"/>
            <w:tcBorders>
              <w:top w:val="single" w:color="auto" w:sz="4" w:space="0"/>
              <w:left w:val="nil"/>
              <w:bottom w:val="single" w:color="auto" w:sz="4" w:space="0"/>
              <w:right w:val="single" w:color="auto" w:sz="4" w:space="0"/>
            </w:tcBorders>
            <w:shd w:val="clear" w:color="auto" w:fill="auto"/>
            <w:vAlign w:val="center"/>
          </w:tcPr>
          <w:p w14:paraId="7BCCFFE2">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8</w:t>
            </w:r>
          </w:p>
        </w:tc>
        <w:tc>
          <w:tcPr>
            <w:tcW w:w="978" w:type="pct"/>
            <w:tcBorders>
              <w:top w:val="single" w:color="auto" w:sz="4" w:space="0"/>
              <w:left w:val="nil"/>
              <w:bottom w:val="single" w:color="auto" w:sz="4" w:space="0"/>
              <w:right w:val="single" w:color="auto" w:sz="4" w:space="0"/>
            </w:tcBorders>
            <w:shd w:val="clear" w:color="auto" w:fill="auto"/>
            <w:vAlign w:val="center"/>
          </w:tcPr>
          <w:p w14:paraId="5212F3A7">
            <w:pPr>
              <w:widowControl/>
              <w:spacing w:line="300" w:lineRule="exact"/>
              <w:jc w:val="center"/>
              <w:rPr>
                <w:rFonts w:hint="eastAsia" w:hAnsi="仿宋" w:cs="宋体"/>
                <w:color w:val="000000"/>
                <w:kern w:val="2"/>
                <w:sz w:val="21"/>
                <w:szCs w:val="22"/>
                <w:lang w:val="en-US" w:eastAsia="zh-CN" w:bidi="ar-SA"/>
              </w:rPr>
            </w:pPr>
          </w:p>
        </w:tc>
        <w:tc>
          <w:tcPr>
            <w:tcW w:w="610" w:type="pct"/>
            <w:tcBorders>
              <w:top w:val="single" w:color="auto" w:sz="4" w:space="0"/>
              <w:left w:val="nil"/>
              <w:bottom w:val="single" w:color="auto" w:sz="4" w:space="0"/>
              <w:right w:val="single" w:color="auto" w:sz="4" w:space="0"/>
            </w:tcBorders>
            <w:shd w:val="clear" w:color="auto" w:fill="auto"/>
            <w:vAlign w:val="center"/>
          </w:tcPr>
          <w:p w14:paraId="62C2D768">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8</w:t>
            </w:r>
          </w:p>
        </w:tc>
      </w:tr>
    </w:tbl>
    <w:p w14:paraId="48870DEC">
      <w:pPr>
        <w:numPr>
          <w:ilvl w:val="0"/>
          <w:numId w:val="0"/>
        </w:numPr>
        <w:spacing w:line="579" w:lineRule="exact"/>
        <w:ind w:firstLine="586" w:firstLineChars="2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A11.与部门中长期规划目标适应性</w:t>
      </w:r>
    </w:p>
    <w:p w14:paraId="771C823F">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cs="Times New Roman"/>
          <w:spacing w:val="6"/>
          <w:kern w:val="0"/>
          <w:sz w:val="28"/>
          <w:szCs w:val="28"/>
          <w:highlight w:val="none"/>
          <w:u w:val="single"/>
          <w:lang w:val="en-US" w:eastAsia="zh-CN" w:bidi="ar-SA"/>
        </w:rPr>
        <w:t>A111.与部门中长期规划目标匹配性</w:t>
      </w:r>
      <w:r>
        <w:rPr>
          <w:rFonts w:hint="eastAsia" w:ascii="仿宋_GB2312" w:hAnsi="仿宋" w:eastAsia="仿宋_GB2312" w:cs="Times New Roman"/>
          <w:spacing w:val="6"/>
          <w:kern w:val="0"/>
          <w:sz w:val="28"/>
          <w:szCs w:val="28"/>
          <w:highlight w:val="none"/>
          <w:u w:val="none"/>
          <w:lang w:val="en-US" w:eastAsia="zh-CN" w:bidi="ar-SA"/>
        </w:rPr>
        <w:t>：</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为贯彻落实《云南省环境保护厅关于印发&lt;云南省环境保护“十三五”规划纲要&gt;的通知》（云环发〔2016〕68号）文件精神，昆明市生态环境局盘龙分局按照《规划纲要》结合市级有关环保规划、实施方案、实施细则的要求，编制完善了“十三五”期间本辖区的环境保护规划，加大对环境保护工作的投入力度，努力形成“政府主导、市场运作、社会参与”的多元化投入机制。而</w:t>
      </w:r>
      <w:r>
        <w:rPr>
          <w:rFonts w:hint="eastAsia" w:ascii="仿宋_GB2312" w:hAnsi="仿宋" w:eastAsia="仿宋_GB2312"/>
          <w:color w:val="000000" w:themeColor="text1"/>
          <w:spacing w:val="6"/>
          <w:kern w:val="0"/>
          <w:sz w:val="28"/>
          <w:szCs w:val="28"/>
          <w:highlight w:val="none"/>
          <w:lang w:val="zh-CN" w:eastAsia="zh-CN"/>
          <w14:textFill>
            <w14:solidFill>
              <w14:schemeClr w14:val="tx1"/>
            </w14:solidFill>
          </w14:textFill>
        </w:rPr>
        <w:t>环保宣教及绿色创建活动</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是“十三五”规划中的一项重点工作。</w:t>
      </w:r>
      <w:r>
        <w:rPr>
          <w:rFonts w:hint="eastAsia" w:ascii="仿宋_GB2312" w:hAnsi="仿宋" w:eastAsia="仿宋_GB2312"/>
          <w:spacing w:val="6"/>
          <w:kern w:val="0"/>
          <w:sz w:val="28"/>
          <w:szCs w:val="28"/>
          <w:highlight w:val="none"/>
          <w:lang w:val="en-US" w:eastAsia="zh-CN"/>
        </w:rPr>
        <w:t>本项目实施符合计划中确定的中长期规划目标。</w:t>
      </w:r>
    </w:p>
    <w:p w14:paraId="0FA18D5A">
      <w:pPr>
        <w:numPr>
          <w:ilvl w:val="0"/>
          <w:numId w:val="0"/>
        </w:numPr>
        <w:spacing w:line="579" w:lineRule="exact"/>
        <w:ind w:firstLine="292" w:firstLineChars="100"/>
        <w:outlineLvl w:val="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15943B01">
      <w:pPr>
        <w:numPr>
          <w:ilvl w:val="0"/>
          <w:numId w:val="0"/>
        </w:numPr>
        <w:spacing w:line="579" w:lineRule="exact"/>
        <w:ind w:firstLine="586" w:firstLineChars="200"/>
        <w:outlineLvl w:val="0"/>
        <w:rPr>
          <w:rFonts w:hint="default" w:ascii="仿宋_GB2312" w:hAnsi="仿宋" w:eastAsia="仿宋_GB2312"/>
          <w:b/>
          <w:bCs/>
          <w:spacing w:val="6"/>
          <w:kern w:val="0"/>
          <w:sz w:val="28"/>
          <w:szCs w:val="28"/>
          <w:highlight w:val="none"/>
          <w:lang w:val="en-US" w:eastAsia="zh-CN"/>
        </w:rPr>
      </w:pPr>
      <w:r>
        <w:rPr>
          <w:rFonts w:hint="default" w:ascii="仿宋_GB2312" w:hAnsi="仿宋" w:eastAsia="仿宋_GB2312"/>
          <w:b/>
          <w:bCs/>
          <w:spacing w:val="6"/>
          <w:kern w:val="0"/>
          <w:sz w:val="28"/>
          <w:szCs w:val="28"/>
          <w:highlight w:val="none"/>
          <w:lang w:val="en-US" w:eastAsia="zh-CN"/>
        </w:rPr>
        <w:t>A12.立项依据充分性</w:t>
      </w:r>
    </w:p>
    <w:p w14:paraId="3E612402">
      <w:pPr>
        <w:spacing w:line="579" w:lineRule="exact"/>
        <w:ind w:firstLine="584" w:firstLineChars="200"/>
        <w:rPr>
          <w:rFonts w:hint="eastAsia" w:ascii="仿宋_GB2312" w:hAnsi="仿宋" w:eastAsia="仿宋_GB2312"/>
          <w:spacing w:val="6"/>
          <w:kern w:val="0"/>
          <w:sz w:val="28"/>
          <w:szCs w:val="28"/>
          <w:highlight w:val="none"/>
          <w:u w:val="none"/>
          <w:lang w:val="en-US" w:eastAsia="zh-CN"/>
        </w:rPr>
      </w:pPr>
      <w:r>
        <w:rPr>
          <w:rFonts w:hint="default" w:ascii="仿宋_GB2312" w:hAnsi="仿宋" w:eastAsia="仿宋_GB2312"/>
          <w:spacing w:val="6"/>
          <w:kern w:val="0"/>
          <w:sz w:val="28"/>
          <w:szCs w:val="28"/>
          <w:highlight w:val="none"/>
          <w:u w:val="single"/>
          <w:lang w:val="en-US" w:eastAsia="zh-CN"/>
        </w:rPr>
        <w:t>A121.与市政府相关规划、决策匹配性</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spacing w:val="6"/>
          <w:kern w:val="0"/>
          <w:sz w:val="28"/>
          <w:szCs w:val="28"/>
          <w:highlight w:val="none"/>
          <w:lang w:val="en-US" w:eastAsia="zh-CN"/>
        </w:rPr>
        <w:t>本项目根据</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昆明市环保局于每年3月初下发的</w:t>
      </w:r>
      <w:r>
        <w:rPr>
          <w:rFonts w:hint="eastAsia" w:ascii="仿宋_GB2312" w:eastAsia="仿宋_GB2312"/>
          <w:sz w:val="32"/>
          <w:szCs w:val="32"/>
        </w:rPr>
        <w:t>《</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年度昆明市环境保护宣教工作要点》文件设立，该文根据目前环境保护的严峻形势和建设生态文明的重大战略意义，结合我市环境管理工作的要点和特点，对当年环保宣教工作进行总体安排部署。2016年下发的《全国环境宣传教育纲要（2016-2020）》，对“十三五”期间的环境宣传教育工作提出了总体要求。其中，“六·五”世界环境日为国际性纪念日，每年均有世界主题、中国主题，直至云南主题和昆明主题等。昆明市环保局每年都会在“宣教工作要点”中，对当年“六·五”世界环境日主题及系列宣传活动作动员并确定工作重点，同时还以专项工作通知的形式进行安排部署。绿色系列（学校、社区、环境教育基地、国际生态学校）创建是环境保护工作的重要组成部分，每年3至5月份，云南省环保厅和昆明市环保局都会分别发文安排、布置当年的创建工作，包括明确创建名额、培训要求和验收方式等。故</w:t>
      </w:r>
      <w:r>
        <w:rPr>
          <w:rFonts w:hint="eastAsia" w:ascii="仿宋_GB2312" w:hAnsi="仿宋" w:eastAsia="仿宋_GB2312"/>
          <w:spacing w:val="6"/>
          <w:kern w:val="0"/>
          <w:sz w:val="28"/>
          <w:szCs w:val="28"/>
          <w:highlight w:val="none"/>
          <w:lang w:val="en-US" w:eastAsia="zh-CN"/>
        </w:rPr>
        <w:t>本项目的实施</w:t>
      </w:r>
      <w:r>
        <w:rPr>
          <w:rFonts w:hint="default" w:ascii="仿宋_GB2312" w:hAnsi="仿宋" w:eastAsia="仿宋_GB2312"/>
          <w:spacing w:val="6"/>
          <w:kern w:val="0"/>
          <w:sz w:val="28"/>
          <w:szCs w:val="28"/>
          <w:highlight w:val="none"/>
          <w:u w:val="none"/>
          <w:lang w:val="en-US" w:eastAsia="zh-CN"/>
        </w:rPr>
        <w:t>与市政府相关规划、决策</w:t>
      </w:r>
      <w:r>
        <w:rPr>
          <w:rFonts w:hint="eastAsia" w:ascii="仿宋_GB2312" w:hAnsi="仿宋" w:eastAsia="仿宋_GB2312"/>
          <w:spacing w:val="6"/>
          <w:kern w:val="0"/>
          <w:sz w:val="28"/>
          <w:szCs w:val="28"/>
          <w:highlight w:val="none"/>
          <w:u w:val="none"/>
          <w:lang w:val="en-US" w:eastAsia="zh-CN"/>
        </w:rPr>
        <w:t>相</w:t>
      </w:r>
      <w:r>
        <w:rPr>
          <w:rFonts w:hint="default" w:ascii="仿宋_GB2312" w:hAnsi="仿宋" w:eastAsia="仿宋_GB2312"/>
          <w:spacing w:val="6"/>
          <w:kern w:val="0"/>
          <w:sz w:val="28"/>
          <w:szCs w:val="28"/>
          <w:highlight w:val="none"/>
          <w:u w:val="none"/>
          <w:lang w:val="en-US" w:eastAsia="zh-CN"/>
        </w:rPr>
        <w:t>匹配</w:t>
      </w:r>
      <w:r>
        <w:rPr>
          <w:rFonts w:hint="eastAsia" w:ascii="仿宋_GB2312" w:hAnsi="仿宋" w:eastAsia="仿宋_GB2312"/>
          <w:spacing w:val="6"/>
          <w:kern w:val="0"/>
          <w:sz w:val="28"/>
          <w:szCs w:val="28"/>
          <w:highlight w:val="none"/>
          <w:u w:val="none"/>
          <w:lang w:val="en-US" w:eastAsia="zh-CN"/>
        </w:rPr>
        <w:t>。</w:t>
      </w:r>
    </w:p>
    <w:p w14:paraId="389A6980">
      <w:pPr>
        <w:numPr>
          <w:ilvl w:val="0"/>
          <w:numId w:val="0"/>
        </w:num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451BFAE3">
      <w:pPr>
        <w:spacing w:line="579" w:lineRule="exact"/>
        <w:ind w:firstLine="584" w:firstLineChars="200"/>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default" w:ascii="仿宋_GB2312" w:hAnsi="仿宋" w:eastAsia="仿宋_GB2312"/>
          <w:spacing w:val="6"/>
          <w:kern w:val="0"/>
          <w:sz w:val="28"/>
          <w:szCs w:val="28"/>
          <w:highlight w:val="none"/>
          <w:u w:val="single"/>
          <w:lang w:val="en-US" w:eastAsia="zh-CN"/>
        </w:rPr>
        <w:t>A122.与部门职责适应性</w:t>
      </w:r>
      <w:r>
        <w:rPr>
          <w:rFonts w:hint="eastAsia" w:ascii="仿宋_GB2312" w:hAnsi="仿宋" w:eastAsia="仿宋_GB2312"/>
          <w:spacing w:val="6"/>
          <w:kern w:val="0"/>
          <w:sz w:val="28"/>
          <w:szCs w:val="28"/>
          <w:highlight w:val="none"/>
          <w:u w:val="none"/>
          <w:lang w:val="en-US" w:eastAsia="zh-CN"/>
        </w:rPr>
        <w:t>：根据</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昆明市盘龙区人民政府办公室 《</w:t>
      </w:r>
      <w:r>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t>关于印发</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&lt;昆明市生态环境局盘龙分局</w:t>
      </w:r>
      <w:r>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t>主要职责内设机构和人员编制规定</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&gt;</w:t>
      </w:r>
      <w:r>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t>的通知</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w:t>
      </w:r>
      <w:r>
        <w:rPr>
          <w:rFonts w:hint="eastAsia" w:ascii="仿宋_GB2312" w:hAnsi="仿宋" w:eastAsia="仿宋_GB2312"/>
          <w:spacing w:val="6"/>
          <w:kern w:val="0"/>
          <w:sz w:val="28"/>
          <w:szCs w:val="28"/>
          <w:highlight w:val="none"/>
          <w:lang w:val="en-US" w:eastAsia="zh-CN"/>
        </w:rPr>
        <w:t>（盘政办通〔2010〕125 号）文件规定，其</w:t>
      </w:r>
      <w:r>
        <w:rPr>
          <w:rFonts w:hint="eastAsia" w:ascii="仿宋_GB2312" w:hAnsi="仿宋" w:eastAsia="仿宋_GB2312"/>
          <w:spacing w:val="6"/>
          <w:kern w:val="0"/>
          <w:sz w:val="28"/>
          <w:szCs w:val="28"/>
          <w:highlight w:val="none"/>
          <w:u w:val="none"/>
          <w:lang w:val="en-US" w:eastAsia="zh-CN"/>
        </w:rPr>
        <w:t>主要职责其中一条为：负责</w:t>
      </w:r>
      <w:r>
        <w:rPr>
          <w:rFonts w:hint="eastAsia" w:ascii="仿宋_GB2312" w:hAnsi="仿宋" w:eastAsia="仿宋_GB2312"/>
          <w:spacing w:val="6"/>
          <w:kern w:val="0"/>
          <w:sz w:val="28"/>
          <w:szCs w:val="28"/>
          <w:highlight w:val="none"/>
          <w:lang w:val="en-US" w:eastAsia="zh-CN"/>
        </w:rPr>
        <w:t>组织开展多层次、</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多形式的环保宣传教育，宣传普及 环境科学知识和环境保护法律知识；推动公众和非政府组织参与 环境保护活动。项目实施与</w:t>
      </w:r>
      <w:r>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t>部门职责</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相</w:t>
      </w:r>
      <w:r>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t>适应</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w:t>
      </w:r>
    </w:p>
    <w:p w14:paraId="648589F9">
      <w:pPr>
        <w:numPr>
          <w:ilvl w:val="0"/>
          <w:numId w:val="0"/>
        </w:numPr>
        <w:spacing w:line="579" w:lineRule="exact"/>
        <w:ind w:firstLine="584" w:firstLineChars="200"/>
        <w:jc w:val="both"/>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7BFDA0D2">
      <w:pPr>
        <w:numPr>
          <w:ilvl w:val="0"/>
          <w:numId w:val="0"/>
        </w:numPr>
        <w:spacing w:line="579" w:lineRule="exact"/>
        <w:ind w:firstLine="586" w:firstLineChars="200"/>
        <w:outlineLvl w:val="0"/>
        <w:rPr>
          <w:rFonts w:hint="default" w:ascii="仿宋_GB2312" w:hAnsi="仿宋" w:eastAsia="仿宋_GB2312"/>
          <w:b/>
          <w:bCs/>
          <w:spacing w:val="6"/>
          <w:kern w:val="0"/>
          <w:sz w:val="28"/>
          <w:szCs w:val="28"/>
          <w:highlight w:val="none"/>
          <w:lang w:val="en-US" w:eastAsia="zh-CN"/>
        </w:rPr>
      </w:pPr>
      <w:r>
        <w:rPr>
          <w:rFonts w:hint="default" w:ascii="仿宋_GB2312" w:hAnsi="仿宋" w:eastAsia="仿宋_GB2312"/>
          <w:b/>
          <w:bCs/>
          <w:spacing w:val="6"/>
          <w:kern w:val="0"/>
          <w:sz w:val="28"/>
          <w:szCs w:val="28"/>
          <w:highlight w:val="none"/>
          <w:lang w:val="en-US" w:eastAsia="zh-CN"/>
        </w:rPr>
        <w:t>A13.项目立项规范性</w:t>
      </w:r>
    </w:p>
    <w:p w14:paraId="461EE8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41" w:beforeAutospacing="0" w:after="141" w:afterAutospacing="0" w:line="288" w:lineRule="atLeast"/>
        <w:ind w:left="0" w:right="0" w:firstLine="584" w:firstLineChars="200"/>
        <w:jc w:val="left"/>
        <w:rPr>
          <w:rFonts w:hint="default" w:ascii="仿宋_GB2312" w:hAnsi="仿宋" w:eastAsia="仿宋_GB2312"/>
          <w:spacing w:val="6"/>
          <w:kern w:val="0"/>
          <w:sz w:val="28"/>
          <w:szCs w:val="28"/>
          <w:highlight w:val="none"/>
          <w:lang w:val="en-US" w:eastAsia="zh-CN"/>
        </w:rPr>
      </w:pPr>
      <w:r>
        <w:rPr>
          <w:rFonts w:hint="default" w:ascii="仿宋_GB2312" w:hAnsi="仿宋" w:eastAsia="仿宋_GB2312"/>
          <w:b w:val="0"/>
          <w:bCs w:val="0"/>
          <w:spacing w:val="6"/>
          <w:kern w:val="0"/>
          <w:sz w:val="28"/>
          <w:szCs w:val="28"/>
          <w:highlight w:val="none"/>
          <w:u w:val="single"/>
          <w:lang w:val="en-US" w:eastAsia="zh-CN"/>
        </w:rPr>
        <w:t>A131.前期调研情况</w:t>
      </w:r>
      <w:r>
        <w:rPr>
          <w:rFonts w:hint="eastAsia" w:ascii="仿宋_GB2312" w:hAnsi="仿宋" w:eastAsia="仿宋_GB2312"/>
          <w:b w:val="0"/>
          <w:bCs w:val="0"/>
          <w:spacing w:val="6"/>
          <w:kern w:val="0"/>
          <w:sz w:val="28"/>
          <w:szCs w:val="28"/>
          <w:highlight w:val="none"/>
          <w:u w:val="none"/>
          <w:lang w:val="en-US" w:eastAsia="zh-CN"/>
        </w:rPr>
        <w:t>：在每年宣传活动举办前昆明市生态环境局盘龙分局均会提前根据目前环境保护的严峻形势和建设生态文明的重大战略意义，结合盘龙区环境管理工作的要点和特点，对当年环保宣教工作进行总体安排部署，并提前组织相关人员对活动地点、策划、物资采购、服务采购等进行落实确认，确保相关活动得以如期举行。针对绿色系列创建工作，年初，由盘龙环境分局牵头，联合区教育局和有关街道办事处对具有创建意向的学校、社区进行现场查看和比选，经过认真比选与审核确定申报创建的单位，并积极组织参加2019年省级绿色创建培训。故项</w:t>
      </w:r>
      <w:r>
        <w:rPr>
          <w:rFonts w:hint="eastAsia" w:ascii="仿宋_GB2312" w:hAnsi="仿宋" w:eastAsia="仿宋_GB2312" w:cs="Times New Roman"/>
          <w:b w:val="0"/>
          <w:bCs w:val="0"/>
          <w:color w:val="000000" w:themeColor="text1"/>
          <w:spacing w:val="6"/>
          <w:kern w:val="0"/>
          <w:sz w:val="28"/>
          <w:szCs w:val="28"/>
          <w:highlight w:val="none"/>
          <w:lang w:val="en-US" w:eastAsia="zh-CN" w:bidi="ar-SA"/>
          <w14:textFill>
            <w14:solidFill>
              <w14:schemeClr w14:val="tx1"/>
            </w14:solidFill>
          </w14:textFill>
        </w:rPr>
        <w:t>目前期调研充分。</w:t>
      </w:r>
    </w:p>
    <w:p w14:paraId="1DB3FFF2">
      <w:p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79BE58F3">
      <w:pPr>
        <w:numPr>
          <w:ilvl w:val="0"/>
          <w:numId w:val="0"/>
        </w:numPr>
        <w:spacing w:line="579" w:lineRule="exact"/>
        <w:ind w:firstLine="584" w:firstLineChars="200"/>
        <w:outlineLvl w:val="0"/>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default" w:ascii="仿宋_GB2312" w:hAnsi="仿宋" w:eastAsia="仿宋_GB2312"/>
          <w:b w:val="0"/>
          <w:bCs w:val="0"/>
          <w:spacing w:val="6"/>
          <w:kern w:val="0"/>
          <w:sz w:val="28"/>
          <w:szCs w:val="28"/>
          <w:highlight w:val="none"/>
          <w:u w:val="single"/>
          <w:lang w:val="en-US" w:eastAsia="zh-CN"/>
        </w:rPr>
        <w:t>A132.立项程序规范性</w:t>
      </w:r>
      <w:r>
        <w:rPr>
          <w:rFonts w:hint="eastAsia" w:ascii="仿宋_GB2312" w:hAnsi="仿宋" w:eastAsia="仿宋_GB2312"/>
          <w:b w:val="0"/>
          <w:bCs w:val="0"/>
          <w:spacing w:val="6"/>
          <w:kern w:val="0"/>
          <w:sz w:val="28"/>
          <w:szCs w:val="28"/>
          <w:highlight w:val="none"/>
          <w:u w:val="none"/>
          <w:lang w:val="en-US" w:eastAsia="zh-CN"/>
        </w:rPr>
        <w:t>：本项目为延续性项目，2016年下发的</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全国环境宣传教育纲要（2016-2020）》（环宣教〔2016〕38号），对“十三五”期间的环境宣传教育工作提出了总体要求，为贯彻落实《全国环境宣传教育纲要（2016-2020）》（环宣教〔2016〕38号）文件精神，进一步加强生态环境保护宣传教育工作，牢固树立绿色发展理念，坚持“绿水青山就是金山银山”重要思想，全面推进生态文明建设。昆明市生态环境局盘龙分局依据党中央、国务院关于推进生态文明建设、加强环境保护的新要求和“十三五”时期环境保护的新部署，特设立此项目，项目立项程序规范。</w:t>
      </w:r>
    </w:p>
    <w:p w14:paraId="1D5D4BB2">
      <w:pPr>
        <w:numPr>
          <w:ilvl w:val="0"/>
          <w:numId w:val="0"/>
        </w:num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6E300AC2">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（2）项目目标</w:t>
      </w:r>
    </w:p>
    <w:p w14:paraId="264B15B9">
      <w:pPr>
        <w:spacing w:line="590" w:lineRule="exact"/>
        <w:ind w:firstLine="584" w:firstLineChars="200"/>
        <w:rPr>
          <w:color w:val="000000"/>
          <w:spacing w:val="0"/>
          <w:w w:val="100"/>
          <w:position w:val="0"/>
          <w:lang w:val="zh-CN" w:eastAsia="zh-CN" w:bidi="zh-CN"/>
        </w:rPr>
      </w:pPr>
      <w:r>
        <w:rPr>
          <w:rFonts w:hint="eastAsia" w:ascii="仿宋_GB2312" w:hAnsi="仿宋" w:eastAsia="仿宋_GB2312"/>
          <w:spacing w:val="6"/>
          <w:kern w:val="0"/>
          <w:sz w:val="28"/>
          <w:szCs w:val="28"/>
          <w:highlight w:val="none"/>
          <w:lang w:val="en-US" w:eastAsia="zh-CN"/>
        </w:rPr>
        <w:t>主要考核项目绩效目标设定的合理性，设定的绩效目标是否与事业发展规划相关、设定的绩效目标是否完整地反应预期产出和效果、设定的绩效目标是否与年度预算相匹配，绩效指标设定的明确性，是否将绩效目标细化分解为清晰、可衡量的绩效指标，设定的绩效指标是否与年度工作任务相对应。各指标权重分值、业绩值及得分情况详见表5。</w:t>
      </w:r>
    </w:p>
    <w:p w14:paraId="2FCDAED5">
      <w:pPr>
        <w:jc w:val="center"/>
        <w:rPr>
          <w:rFonts w:ascii="黑体" w:hAnsi="黑体" w:eastAsia="黑体"/>
          <w:kern w:val="2"/>
          <w:sz w:val="24"/>
          <w:szCs w:val="24"/>
        </w:rPr>
      </w:pPr>
      <w:r>
        <w:rPr>
          <w:rFonts w:hint="eastAsia" w:ascii="黑体" w:hAnsi="黑体" w:eastAsia="黑体"/>
          <w:kern w:val="2"/>
          <w:sz w:val="24"/>
          <w:szCs w:val="24"/>
        </w:rPr>
        <w:t>表</w:t>
      </w:r>
      <w:r>
        <w:rPr>
          <w:rFonts w:hint="eastAsia" w:ascii="黑体" w:hAnsi="黑体" w:eastAsia="黑体"/>
          <w:kern w:val="2"/>
          <w:sz w:val="24"/>
          <w:szCs w:val="24"/>
          <w:lang w:val="en-US" w:eastAsia="zh-CN"/>
        </w:rPr>
        <w:t>5项目目标类指标评分表</w:t>
      </w:r>
    </w:p>
    <w:tbl>
      <w:tblPr>
        <w:tblStyle w:val="8"/>
        <w:tblW w:w="8845" w:type="dxa"/>
        <w:jc w:val="center"/>
        <w:tblLayout w:type="fixed"/>
        <w:tblCellMar>
          <w:top w:w="57" w:type="dxa"/>
          <w:left w:w="57" w:type="dxa"/>
          <w:bottom w:w="57" w:type="dxa"/>
          <w:right w:w="57" w:type="dxa"/>
        </w:tblCellMar>
      </w:tblPr>
      <w:tblGrid>
        <w:gridCol w:w="5149"/>
        <w:gridCol w:w="1104"/>
        <w:gridCol w:w="1596"/>
        <w:gridCol w:w="996"/>
      </w:tblGrid>
      <w:tr w14:paraId="7EEB4E0E">
        <w:tblPrEx>
          <w:tblCellMar>
            <w:top w:w="57" w:type="dxa"/>
            <w:left w:w="57" w:type="dxa"/>
            <w:bottom w:w="57" w:type="dxa"/>
            <w:right w:w="57" w:type="dxa"/>
          </w:tblCellMar>
        </w:tblPrEx>
        <w:trPr>
          <w:trHeight w:val="174" w:hRule="atLeast"/>
          <w:tblHeader/>
          <w:jc w:val="center"/>
        </w:trPr>
        <w:tc>
          <w:tcPr>
            <w:tcW w:w="5149" w:type="dxa"/>
            <w:tcBorders>
              <w:top w:val="single" w:color="auto" w:sz="4" w:space="0"/>
              <w:left w:val="single" w:color="auto" w:sz="4" w:space="0"/>
              <w:bottom w:val="single" w:color="auto" w:sz="4" w:space="0"/>
              <w:right w:val="single" w:color="auto" w:sz="4" w:space="0"/>
            </w:tcBorders>
            <w:shd w:val="clear" w:color="auto" w:fill="auto"/>
            <w:vAlign w:val="center"/>
          </w:tcPr>
          <w:p w14:paraId="03033B06">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指标名称</w:t>
            </w:r>
          </w:p>
        </w:tc>
        <w:tc>
          <w:tcPr>
            <w:tcW w:w="1104" w:type="dxa"/>
            <w:tcBorders>
              <w:top w:val="single" w:color="auto" w:sz="4" w:space="0"/>
              <w:left w:val="nil"/>
              <w:bottom w:val="single" w:color="auto" w:sz="4" w:space="0"/>
              <w:right w:val="single" w:color="auto" w:sz="4" w:space="0"/>
            </w:tcBorders>
            <w:shd w:val="clear" w:color="auto" w:fill="auto"/>
            <w:vAlign w:val="center"/>
          </w:tcPr>
          <w:p w14:paraId="5B9009BB">
            <w:pPr>
              <w:widowControl/>
              <w:spacing w:line="300" w:lineRule="exact"/>
              <w:jc w:val="center"/>
              <w:rPr>
                <w:rFonts w:hint="eastAsia" w:hAnsi="仿宋" w:eastAsia="宋体" w:cs="宋体"/>
                <w:b/>
                <w:bCs/>
                <w:color w:val="000000"/>
                <w:kern w:val="2"/>
                <w:sz w:val="21"/>
                <w:lang w:eastAsia="zh-CN"/>
              </w:rPr>
            </w:pPr>
            <w:r>
              <w:rPr>
                <w:rFonts w:hint="eastAsia" w:hAnsi="仿宋" w:cs="宋体"/>
                <w:b/>
                <w:bCs/>
                <w:color w:val="000000"/>
                <w:kern w:val="2"/>
                <w:sz w:val="21"/>
              </w:rPr>
              <w:t>指标</w:t>
            </w:r>
            <w:r>
              <w:rPr>
                <w:rFonts w:hint="eastAsia" w:hAnsi="仿宋" w:cs="宋体"/>
                <w:b/>
                <w:bCs/>
                <w:color w:val="000000"/>
                <w:kern w:val="2"/>
                <w:sz w:val="21"/>
                <w:lang w:val="en-US" w:eastAsia="zh-CN"/>
              </w:rPr>
              <w:t>权重</w:t>
            </w:r>
          </w:p>
        </w:tc>
        <w:tc>
          <w:tcPr>
            <w:tcW w:w="1596" w:type="dxa"/>
            <w:tcBorders>
              <w:top w:val="single" w:color="auto" w:sz="4" w:space="0"/>
              <w:left w:val="nil"/>
              <w:bottom w:val="single" w:color="auto" w:sz="4" w:space="0"/>
              <w:right w:val="single" w:color="auto" w:sz="4" w:space="0"/>
            </w:tcBorders>
            <w:shd w:val="clear" w:color="auto" w:fill="auto"/>
            <w:vAlign w:val="center"/>
          </w:tcPr>
          <w:p w14:paraId="5E5C2989">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业绩值</w:t>
            </w:r>
          </w:p>
        </w:tc>
        <w:tc>
          <w:tcPr>
            <w:tcW w:w="996" w:type="dxa"/>
            <w:tcBorders>
              <w:top w:val="single" w:color="auto" w:sz="4" w:space="0"/>
              <w:left w:val="nil"/>
              <w:bottom w:val="single" w:color="auto" w:sz="4" w:space="0"/>
              <w:right w:val="single" w:color="auto" w:sz="4" w:space="0"/>
            </w:tcBorders>
            <w:shd w:val="clear" w:color="auto" w:fill="auto"/>
            <w:vAlign w:val="center"/>
          </w:tcPr>
          <w:p w14:paraId="6A17530A">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实际得分</w:t>
            </w:r>
          </w:p>
        </w:tc>
      </w:tr>
      <w:tr w14:paraId="044689BD">
        <w:tblPrEx>
          <w:tblCellMar>
            <w:top w:w="57" w:type="dxa"/>
            <w:left w:w="57" w:type="dxa"/>
            <w:bottom w:w="57" w:type="dxa"/>
            <w:right w:w="57" w:type="dxa"/>
          </w:tblCellMar>
        </w:tblPrEx>
        <w:trPr>
          <w:trHeight w:val="90" w:hRule="atLeast"/>
          <w:jc w:val="center"/>
        </w:trPr>
        <w:tc>
          <w:tcPr>
            <w:tcW w:w="5149" w:type="dxa"/>
            <w:tcBorders>
              <w:top w:val="nil"/>
              <w:left w:val="single" w:color="auto" w:sz="4" w:space="0"/>
              <w:bottom w:val="single" w:color="auto" w:sz="4" w:space="0"/>
              <w:right w:val="single" w:color="auto" w:sz="4" w:space="0"/>
            </w:tcBorders>
            <w:shd w:val="clear" w:color="auto" w:fill="auto"/>
            <w:vAlign w:val="center"/>
          </w:tcPr>
          <w:p w14:paraId="45F0F19B">
            <w:pPr>
              <w:widowControl/>
              <w:spacing w:line="300" w:lineRule="exact"/>
              <w:jc w:val="both"/>
              <w:rPr>
                <w:rFonts w:hint="default" w:hAnsi="仿宋" w:cs="宋体"/>
                <w:color w:val="000000"/>
                <w:kern w:val="2"/>
                <w:sz w:val="21"/>
                <w:lang w:val="en-US"/>
              </w:rPr>
            </w:pPr>
            <w:r>
              <w:rPr>
                <w:rFonts w:hint="default" w:hAnsi="仿宋" w:cs="宋体"/>
                <w:color w:val="000000"/>
                <w:kern w:val="2"/>
                <w:sz w:val="21"/>
                <w:lang w:val="en-US"/>
              </w:rPr>
              <w:t>A21.绩效目标设定的合理性</w:t>
            </w:r>
          </w:p>
        </w:tc>
        <w:tc>
          <w:tcPr>
            <w:tcW w:w="1104" w:type="dxa"/>
            <w:tcBorders>
              <w:top w:val="nil"/>
              <w:left w:val="nil"/>
              <w:bottom w:val="single" w:color="auto" w:sz="4" w:space="0"/>
              <w:right w:val="single" w:color="auto" w:sz="4" w:space="0"/>
            </w:tcBorders>
            <w:shd w:val="clear" w:color="auto" w:fill="auto"/>
            <w:vAlign w:val="center"/>
          </w:tcPr>
          <w:p w14:paraId="2598911C">
            <w:pPr>
              <w:widowControl/>
              <w:spacing w:line="300" w:lineRule="exact"/>
              <w:jc w:val="center"/>
              <w:rPr>
                <w:rFonts w:hint="default" w:hAnsi="仿宋" w:eastAsia="宋体" w:cs="宋体"/>
                <w:color w:val="000000"/>
                <w:kern w:val="2"/>
                <w:sz w:val="21"/>
                <w:lang w:val="en-US" w:eastAsia="zh-CN"/>
              </w:rPr>
            </w:pPr>
          </w:p>
        </w:tc>
        <w:tc>
          <w:tcPr>
            <w:tcW w:w="1596" w:type="dxa"/>
            <w:tcBorders>
              <w:top w:val="nil"/>
              <w:left w:val="nil"/>
              <w:bottom w:val="single" w:color="auto" w:sz="4" w:space="0"/>
              <w:right w:val="single" w:color="auto" w:sz="4" w:space="0"/>
            </w:tcBorders>
            <w:shd w:val="clear" w:color="auto" w:fill="auto"/>
            <w:vAlign w:val="center"/>
          </w:tcPr>
          <w:p w14:paraId="0F27A165">
            <w:pPr>
              <w:widowControl/>
              <w:spacing w:line="300" w:lineRule="exact"/>
              <w:jc w:val="center"/>
              <w:rPr>
                <w:rFonts w:hint="default" w:hAnsi="仿宋" w:eastAsia="宋体" w:cs="宋体"/>
                <w:color w:val="000000"/>
                <w:kern w:val="2"/>
                <w:sz w:val="21"/>
                <w:lang w:val="en-US" w:eastAsia="zh-CN"/>
              </w:rPr>
            </w:pPr>
          </w:p>
        </w:tc>
        <w:tc>
          <w:tcPr>
            <w:tcW w:w="996" w:type="dxa"/>
            <w:tcBorders>
              <w:top w:val="nil"/>
              <w:left w:val="nil"/>
              <w:bottom w:val="single" w:color="auto" w:sz="4" w:space="0"/>
              <w:right w:val="single" w:color="auto" w:sz="4" w:space="0"/>
            </w:tcBorders>
            <w:shd w:val="clear" w:color="auto" w:fill="auto"/>
            <w:vAlign w:val="center"/>
          </w:tcPr>
          <w:p w14:paraId="326D9120">
            <w:pPr>
              <w:widowControl/>
              <w:spacing w:line="300" w:lineRule="exact"/>
              <w:jc w:val="center"/>
              <w:rPr>
                <w:rFonts w:hint="default" w:hAnsi="仿宋" w:eastAsia="宋体" w:cs="宋体"/>
                <w:color w:val="000000"/>
                <w:kern w:val="2"/>
                <w:sz w:val="21"/>
                <w:lang w:val="en-US" w:eastAsia="zh-CN"/>
              </w:rPr>
            </w:pPr>
          </w:p>
        </w:tc>
      </w:tr>
      <w:tr w14:paraId="3B4C7AF0">
        <w:tblPrEx>
          <w:tblCellMar>
            <w:top w:w="57" w:type="dxa"/>
            <w:left w:w="57" w:type="dxa"/>
            <w:bottom w:w="57" w:type="dxa"/>
            <w:right w:w="57" w:type="dxa"/>
          </w:tblCellMar>
        </w:tblPrEx>
        <w:trPr>
          <w:trHeight w:val="90" w:hRule="atLeast"/>
          <w:jc w:val="center"/>
        </w:trPr>
        <w:tc>
          <w:tcPr>
            <w:tcW w:w="5149" w:type="dxa"/>
            <w:tcBorders>
              <w:top w:val="nil"/>
              <w:left w:val="single" w:color="auto" w:sz="4" w:space="0"/>
              <w:bottom w:val="single" w:color="auto" w:sz="4" w:space="0"/>
              <w:right w:val="single" w:color="auto" w:sz="4" w:space="0"/>
            </w:tcBorders>
            <w:shd w:val="clear" w:color="auto" w:fill="auto"/>
            <w:vAlign w:val="center"/>
          </w:tcPr>
          <w:p w14:paraId="176F301C">
            <w:pPr>
              <w:widowControl/>
              <w:spacing w:line="300" w:lineRule="exact"/>
              <w:ind w:firstLine="420" w:firstLineChars="200"/>
              <w:jc w:val="both"/>
              <w:rPr>
                <w:rFonts w:hint="default" w:hAnsi="仿宋" w:cs="宋体"/>
                <w:color w:val="000000"/>
                <w:kern w:val="2"/>
                <w:sz w:val="21"/>
                <w:lang w:val="en-US"/>
              </w:rPr>
            </w:pPr>
            <w:r>
              <w:rPr>
                <w:rFonts w:hint="default" w:hAnsi="仿宋" w:cs="宋体"/>
                <w:color w:val="000000"/>
                <w:kern w:val="2"/>
                <w:sz w:val="21"/>
                <w:lang w:val="en-US"/>
              </w:rPr>
              <w:t>A211.绩效目标相关性</w:t>
            </w:r>
          </w:p>
        </w:tc>
        <w:tc>
          <w:tcPr>
            <w:tcW w:w="1104" w:type="dxa"/>
            <w:tcBorders>
              <w:top w:val="nil"/>
              <w:left w:val="nil"/>
              <w:bottom w:val="single" w:color="auto" w:sz="4" w:space="0"/>
              <w:right w:val="single" w:color="auto" w:sz="4" w:space="0"/>
            </w:tcBorders>
            <w:shd w:val="clear" w:color="auto" w:fill="auto"/>
            <w:vAlign w:val="center"/>
          </w:tcPr>
          <w:p w14:paraId="3DC7F9BF">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2</w:t>
            </w:r>
          </w:p>
        </w:tc>
        <w:tc>
          <w:tcPr>
            <w:tcW w:w="1596" w:type="dxa"/>
            <w:tcBorders>
              <w:top w:val="nil"/>
              <w:left w:val="nil"/>
              <w:bottom w:val="single" w:color="auto" w:sz="4" w:space="0"/>
              <w:right w:val="single" w:color="auto" w:sz="4" w:space="0"/>
            </w:tcBorders>
            <w:shd w:val="clear" w:color="auto" w:fill="auto"/>
            <w:vAlign w:val="center"/>
          </w:tcPr>
          <w:p w14:paraId="4ADF59C0">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相关</w:t>
            </w:r>
          </w:p>
        </w:tc>
        <w:tc>
          <w:tcPr>
            <w:tcW w:w="996" w:type="dxa"/>
            <w:tcBorders>
              <w:top w:val="nil"/>
              <w:left w:val="nil"/>
              <w:bottom w:val="single" w:color="auto" w:sz="4" w:space="0"/>
              <w:right w:val="single" w:color="auto" w:sz="4" w:space="0"/>
            </w:tcBorders>
            <w:shd w:val="clear" w:color="auto" w:fill="auto"/>
            <w:vAlign w:val="center"/>
          </w:tcPr>
          <w:p w14:paraId="2E7BA6BA">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2</w:t>
            </w:r>
          </w:p>
        </w:tc>
      </w:tr>
      <w:tr w14:paraId="7DE53EC0">
        <w:tblPrEx>
          <w:tblCellMar>
            <w:top w:w="57" w:type="dxa"/>
            <w:left w:w="57" w:type="dxa"/>
            <w:bottom w:w="57" w:type="dxa"/>
            <w:right w:w="57" w:type="dxa"/>
          </w:tblCellMar>
        </w:tblPrEx>
        <w:trPr>
          <w:trHeight w:val="90" w:hRule="atLeast"/>
          <w:jc w:val="center"/>
        </w:trPr>
        <w:tc>
          <w:tcPr>
            <w:tcW w:w="5149" w:type="dxa"/>
            <w:tcBorders>
              <w:top w:val="nil"/>
              <w:left w:val="single" w:color="auto" w:sz="4" w:space="0"/>
              <w:bottom w:val="single" w:color="auto" w:sz="4" w:space="0"/>
              <w:right w:val="single" w:color="auto" w:sz="4" w:space="0"/>
            </w:tcBorders>
            <w:shd w:val="clear" w:color="auto" w:fill="auto"/>
            <w:vAlign w:val="center"/>
          </w:tcPr>
          <w:p w14:paraId="5C5E5F9E">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A212.绩效目标完整性</w:t>
            </w:r>
          </w:p>
        </w:tc>
        <w:tc>
          <w:tcPr>
            <w:tcW w:w="1104" w:type="dxa"/>
            <w:tcBorders>
              <w:top w:val="nil"/>
              <w:left w:val="nil"/>
              <w:bottom w:val="single" w:color="auto" w:sz="4" w:space="0"/>
              <w:right w:val="single" w:color="auto" w:sz="4" w:space="0"/>
            </w:tcBorders>
            <w:shd w:val="clear" w:color="auto" w:fill="auto"/>
            <w:vAlign w:val="center"/>
          </w:tcPr>
          <w:p w14:paraId="5F60E4F6">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1596" w:type="dxa"/>
            <w:tcBorders>
              <w:top w:val="nil"/>
              <w:left w:val="nil"/>
              <w:bottom w:val="single" w:color="auto" w:sz="4" w:space="0"/>
              <w:right w:val="single" w:color="auto" w:sz="4" w:space="0"/>
            </w:tcBorders>
            <w:shd w:val="clear" w:color="auto" w:fill="auto"/>
            <w:vAlign w:val="center"/>
          </w:tcPr>
          <w:p w14:paraId="2307ECEB">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完整</w:t>
            </w:r>
          </w:p>
        </w:tc>
        <w:tc>
          <w:tcPr>
            <w:tcW w:w="996" w:type="dxa"/>
            <w:tcBorders>
              <w:top w:val="nil"/>
              <w:left w:val="nil"/>
              <w:bottom w:val="single" w:color="auto" w:sz="4" w:space="0"/>
              <w:right w:val="single" w:color="auto" w:sz="4" w:space="0"/>
            </w:tcBorders>
            <w:shd w:val="clear" w:color="auto" w:fill="auto"/>
            <w:vAlign w:val="center"/>
          </w:tcPr>
          <w:p w14:paraId="70AF3F4D">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r>
      <w:tr w14:paraId="3698AA74">
        <w:tblPrEx>
          <w:tblCellMar>
            <w:top w:w="57" w:type="dxa"/>
            <w:left w:w="57" w:type="dxa"/>
            <w:bottom w:w="57" w:type="dxa"/>
            <w:right w:w="57" w:type="dxa"/>
          </w:tblCellMar>
        </w:tblPrEx>
        <w:trPr>
          <w:trHeight w:val="90" w:hRule="atLeast"/>
          <w:jc w:val="center"/>
        </w:trPr>
        <w:tc>
          <w:tcPr>
            <w:tcW w:w="5149" w:type="dxa"/>
            <w:tcBorders>
              <w:top w:val="single" w:color="auto" w:sz="4" w:space="0"/>
              <w:left w:val="single" w:color="auto" w:sz="4" w:space="0"/>
              <w:bottom w:val="single" w:color="auto" w:sz="4" w:space="0"/>
              <w:right w:val="single" w:color="auto" w:sz="4" w:space="0"/>
            </w:tcBorders>
            <w:shd w:val="clear" w:color="auto" w:fill="auto"/>
            <w:vAlign w:val="center"/>
          </w:tcPr>
          <w:p w14:paraId="39CF59D6">
            <w:pPr>
              <w:widowControl/>
              <w:spacing w:line="300" w:lineRule="exact"/>
              <w:ind w:firstLine="420" w:firstLineChars="200"/>
              <w:jc w:val="left"/>
              <w:rPr>
                <w:rFonts w:hint="default" w:hAnsi="仿宋" w:cs="宋体"/>
                <w:color w:val="000000"/>
                <w:kern w:val="2"/>
                <w:sz w:val="21"/>
                <w:lang w:val="en-US" w:eastAsia="zh-CN"/>
              </w:rPr>
            </w:pPr>
            <w:r>
              <w:rPr>
                <w:rFonts w:hint="default" w:hAnsi="仿宋" w:cs="宋体"/>
                <w:color w:val="000000"/>
                <w:kern w:val="2"/>
                <w:sz w:val="21"/>
                <w:lang w:val="en-US" w:eastAsia="zh-CN"/>
              </w:rPr>
              <w:t>A213.目标与预算的匹配性</w:t>
            </w:r>
          </w:p>
        </w:tc>
        <w:tc>
          <w:tcPr>
            <w:tcW w:w="1104" w:type="dxa"/>
            <w:tcBorders>
              <w:top w:val="single" w:color="auto" w:sz="4" w:space="0"/>
              <w:left w:val="nil"/>
              <w:bottom w:val="single" w:color="auto" w:sz="4" w:space="0"/>
              <w:right w:val="single" w:color="auto" w:sz="4" w:space="0"/>
            </w:tcBorders>
            <w:shd w:val="clear" w:color="auto" w:fill="auto"/>
            <w:vAlign w:val="center"/>
          </w:tcPr>
          <w:p w14:paraId="1DD686A7">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1596" w:type="dxa"/>
            <w:tcBorders>
              <w:top w:val="single" w:color="auto" w:sz="4" w:space="0"/>
              <w:left w:val="nil"/>
              <w:bottom w:val="single" w:color="auto" w:sz="4" w:space="0"/>
              <w:right w:val="single" w:color="auto" w:sz="4" w:space="0"/>
            </w:tcBorders>
            <w:shd w:val="clear" w:color="auto" w:fill="auto"/>
            <w:vAlign w:val="center"/>
          </w:tcPr>
          <w:p w14:paraId="76AB4C71">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匹配</w:t>
            </w:r>
          </w:p>
        </w:tc>
        <w:tc>
          <w:tcPr>
            <w:tcW w:w="996" w:type="dxa"/>
            <w:tcBorders>
              <w:top w:val="single" w:color="auto" w:sz="4" w:space="0"/>
              <w:left w:val="nil"/>
              <w:bottom w:val="single" w:color="auto" w:sz="4" w:space="0"/>
              <w:right w:val="single" w:color="auto" w:sz="4" w:space="0"/>
            </w:tcBorders>
            <w:shd w:val="clear" w:color="auto" w:fill="auto"/>
            <w:vAlign w:val="center"/>
          </w:tcPr>
          <w:p w14:paraId="1C16F953">
            <w:pPr>
              <w:widowControl/>
              <w:spacing w:line="300" w:lineRule="exact"/>
              <w:jc w:val="center"/>
              <w:rPr>
                <w:rFonts w:hint="default" w:hAnsi="仿宋" w:cs="宋体"/>
                <w:color w:val="000000"/>
                <w:kern w:val="2"/>
                <w:sz w:val="21"/>
                <w:szCs w:val="22"/>
                <w:highlight w:val="none"/>
                <w:lang w:val="en-US" w:eastAsia="zh-CN" w:bidi="ar-SA"/>
              </w:rPr>
            </w:pPr>
            <w:r>
              <w:rPr>
                <w:rFonts w:hint="eastAsia" w:hAnsi="仿宋" w:cs="宋体"/>
                <w:color w:val="000000"/>
                <w:kern w:val="2"/>
                <w:sz w:val="21"/>
                <w:szCs w:val="22"/>
                <w:highlight w:val="none"/>
                <w:lang w:val="en-US" w:eastAsia="zh-CN" w:bidi="ar-SA"/>
              </w:rPr>
              <w:t>2</w:t>
            </w:r>
          </w:p>
        </w:tc>
      </w:tr>
      <w:tr w14:paraId="07DBA3F4">
        <w:tblPrEx>
          <w:tblCellMar>
            <w:top w:w="57" w:type="dxa"/>
            <w:left w:w="57" w:type="dxa"/>
            <w:bottom w:w="57" w:type="dxa"/>
            <w:right w:w="57" w:type="dxa"/>
          </w:tblCellMar>
        </w:tblPrEx>
        <w:trPr>
          <w:trHeight w:val="90" w:hRule="atLeast"/>
          <w:jc w:val="center"/>
        </w:trPr>
        <w:tc>
          <w:tcPr>
            <w:tcW w:w="5149" w:type="dxa"/>
            <w:tcBorders>
              <w:top w:val="single" w:color="auto" w:sz="4" w:space="0"/>
              <w:left w:val="single" w:color="auto" w:sz="4" w:space="0"/>
              <w:bottom w:val="single" w:color="auto" w:sz="4" w:space="0"/>
              <w:right w:val="single" w:color="auto" w:sz="4" w:space="0"/>
            </w:tcBorders>
            <w:shd w:val="clear" w:color="auto" w:fill="auto"/>
            <w:vAlign w:val="center"/>
          </w:tcPr>
          <w:p w14:paraId="7575A250">
            <w:pPr>
              <w:widowControl/>
              <w:spacing w:line="300" w:lineRule="exact"/>
              <w:jc w:val="left"/>
              <w:rPr>
                <w:rFonts w:hint="default" w:hAnsi="仿宋" w:cs="宋体"/>
                <w:color w:val="000000"/>
                <w:kern w:val="2"/>
                <w:sz w:val="21"/>
                <w:lang w:val="en-US" w:eastAsia="zh-CN"/>
              </w:rPr>
            </w:pPr>
            <w:r>
              <w:rPr>
                <w:rFonts w:hint="default" w:hAnsi="仿宋" w:cs="宋体"/>
                <w:color w:val="000000"/>
                <w:kern w:val="2"/>
                <w:sz w:val="21"/>
                <w:lang w:val="en-US" w:eastAsia="zh-CN"/>
              </w:rPr>
              <w:t>A22.绩效指标设定的明确性</w:t>
            </w:r>
          </w:p>
        </w:tc>
        <w:tc>
          <w:tcPr>
            <w:tcW w:w="1104" w:type="dxa"/>
            <w:tcBorders>
              <w:top w:val="single" w:color="auto" w:sz="4" w:space="0"/>
              <w:left w:val="nil"/>
              <w:bottom w:val="single" w:color="auto" w:sz="4" w:space="0"/>
              <w:right w:val="single" w:color="auto" w:sz="4" w:space="0"/>
            </w:tcBorders>
            <w:shd w:val="clear" w:color="auto" w:fill="auto"/>
            <w:vAlign w:val="center"/>
          </w:tcPr>
          <w:p w14:paraId="6DB57CBC">
            <w:pPr>
              <w:widowControl/>
              <w:spacing w:line="300" w:lineRule="exact"/>
              <w:jc w:val="center"/>
              <w:rPr>
                <w:rFonts w:hint="default" w:hAnsi="仿宋" w:cs="宋体"/>
                <w:color w:val="000000"/>
                <w:kern w:val="2"/>
                <w:sz w:val="21"/>
                <w:szCs w:val="22"/>
                <w:lang w:val="en-US" w:eastAsia="zh-CN" w:bidi="ar-SA"/>
              </w:rPr>
            </w:pPr>
          </w:p>
        </w:tc>
        <w:tc>
          <w:tcPr>
            <w:tcW w:w="1596" w:type="dxa"/>
            <w:tcBorders>
              <w:top w:val="single" w:color="auto" w:sz="4" w:space="0"/>
              <w:left w:val="nil"/>
              <w:bottom w:val="single" w:color="auto" w:sz="4" w:space="0"/>
              <w:right w:val="single" w:color="auto" w:sz="4" w:space="0"/>
            </w:tcBorders>
            <w:shd w:val="clear" w:color="auto" w:fill="auto"/>
            <w:vAlign w:val="center"/>
          </w:tcPr>
          <w:p w14:paraId="7916C4F6">
            <w:pPr>
              <w:widowControl/>
              <w:spacing w:line="300" w:lineRule="exact"/>
              <w:jc w:val="center"/>
              <w:rPr>
                <w:rFonts w:hint="default" w:hAnsi="仿宋" w:cs="宋体"/>
                <w:color w:val="000000"/>
                <w:kern w:val="2"/>
                <w:sz w:val="21"/>
                <w:szCs w:val="22"/>
                <w:lang w:val="en-US" w:eastAsia="zh-CN" w:bidi="ar-SA"/>
              </w:rPr>
            </w:pPr>
          </w:p>
        </w:tc>
        <w:tc>
          <w:tcPr>
            <w:tcW w:w="996" w:type="dxa"/>
            <w:tcBorders>
              <w:top w:val="single" w:color="auto" w:sz="4" w:space="0"/>
              <w:left w:val="nil"/>
              <w:bottom w:val="single" w:color="auto" w:sz="4" w:space="0"/>
              <w:right w:val="single" w:color="auto" w:sz="4" w:space="0"/>
            </w:tcBorders>
            <w:shd w:val="clear" w:color="auto" w:fill="auto"/>
            <w:vAlign w:val="center"/>
          </w:tcPr>
          <w:p w14:paraId="73A8A956">
            <w:pPr>
              <w:widowControl/>
              <w:spacing w:line="300" w:lineRule="exact"/>
              <w:jc w:val="center"/>
              <w:rPr>
                <w:rFonts w:hint="default" w:hAnsi="仿宋" w:cs="宋体"/>
                <w:color w:val="000000"/>
                <w:kern w:val="2"/>
                <w:sz w:val="21"/>
                <w:szCs w:val="22"/>
                <w:lang w:val="en-US" w:eastAsia="zh-CN" w:bidi="ar-SA"/>
              </w:rPr>
            </w:pPr>
          </w:p>
        </w:tc>
      </w:tr>
      <w:tr w14:paraId="28DE97E5">
        <w:tblPrEx>
          <w:tblCellMar>
            <w:top w:w="57" w:type="dxa"/>
            <w:left w:w="57" w:type="dxa"/>
            <w:bottom w:w="57" w:type="dxa"/>
            <w:right w:w="57" w:type="dxa"/>
          </w:tblCellMar>
        </w:tblPrEx>
        <w:trPr>
          <w:trHeight w:val="90" w:hRule="atLeast"/>
          <w:jc w:val="center"/>
        </w:trPr>
        <w:tc>
          <w:tcPr>
            <w:tcW w:w="5149" w:type="dxa"/>
            <w:tcBorders>
              <w:top w:val="single" w:color="auto" w:sz="4" w:space="0"/>
              <w:left w:val="single" w:color="auto" w:sz="4" w:space="0"/>
              <w:bottom w:val="single" w:color="auto" w:sz="4" w:space="0"/>
              <w:right w:val="single" w:color="auto" w:sz="4" w:space="0"/>
            </w:tcBorders>
            <w:shd w:val="clear" w:color="auto" w:fill="auto"/>
            <w:vAlign w:val="center"/>
          </w:tcPr>
          <w:p w14:paraId="1978E67D">
            <w:pPr>
              <w:widowControl/>
              <w:spacing w:line="300" w:lineRule="exact"/>
              <w:ind w:firstLine="420" w:firstLineChars="200"/>
              <w:jc w:val="left"/>
              <w:rPr>
                <w:rFonts w:hint="default" w:hAnsi="仿宋" w:cs="宋体"/>
                <w:color w:val="000000"/>
                <w:kern w:val="2"/>
                <w:sz w:val="21"/>
                <w:lang w:val="en-US" w:eastAsia="zh-CN"/>
              </w:rPr>
            </w:pPr>
            <w:r>
              <w:rPr>
                <w:rFonts w:hint="default" w:hAnsi="仿宋" w:cs="宋体"/>
                <w:color w:val="000000"/>
                <w:kern w:val="2"/>
                <w:sz w:val="21"/>
                <w:lang w:val="en-US" w:eastAsia="zh-CN"/>
              </w:rPr>
              <w:t>A221.指标细化分解情况</w:t>
            </w:r>
          </w:p>
        </w:tc>
        <w:tc>
          <w:tcPr>
            <w:tcW w:w="1104" w:type="dxa"/>
            <w:tcBorders>
              <w:top w:val="single" w:color="auto" w:sz="4" w:space="0"/>
              <w:left w:val="nil"/>
              <w:bottom w:val="single" w:color="auto" w:sz="4" w:space="0"/>
              <w:right w:val="single" w:color="auto" w:sz="4" w:space="0"/>
            </w:tcBorders>
            <w:shd w:val="clear" w:color="auto" w:fill="auto"/>
            <w:vAlign w:val="center"/>
          </w:tcPr>
          <w:p w14:paraId="5D2D2060">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c>
          <w:tcPr>
            <w:tcW w:w="1596" w:type="dxa"/>
            <w:tcBorders>
              <w:top w:val="single" w:color="auto" w:sz="4" w:space="0"/>
              <w:left w:val="nil"/>
              <w:bottom w:val="single" w:color="auto" w:sz="4" w:space="0"/>
              <w:right w:val="single" w:color="auto" w:sz="4" w:space="0"/>
            </w:tcBorders>
            <w:shd w:val="clear" w:color="auto" w:fill="auto"/>
            <w:vAlign w:val="center"/>
          </w:tcPr>
          <w:p w14:paraId="790707C6">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完成</w:t>
            </w:r>
          </w:p>
        </w:tc>
        <w:tc>
          <w:tcPr>
            <w:tcW w:w="996" w:type="dxa"/>
            <w:tcBorders>
              <w:top w:val="single" w:color="auto" w:sz="4" w:space="0"/>
              <w:left w:val="nil"/>
              <w:bottom w:val="single" w:color="auto" w:sz="4" w:space="0"/>
              <w:right w:val="single" w:color="auto" w:sz="4" w:space="0"/>
            </w:tcBorders>
            <w:shd w:val="clear" w:color="auto" w:fill="auto"/>
            <w:vAlign w:val="center"/>
          </w:tcPr>
          <w:p w14:paraId="3FE6ADC4">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r>
      <w:tr w14:paraId="728A8388">
        <w:tblPrEx>
          <w:tblCellMar>
            <w:top w:w="57" w:type="dxa"/>
            <w:left w:w="57" w:type="dxa"/>
            <w:bottom w:w="57" w:type="dxa"/>
            <w:right w:w="57" w:type="dxa"/>
          </w:tblCellMar>
        </w:tblPrEx>
        <w:trPr>
          <w:trHeight w:val="90" w:hRule="atLeast"/>
          <w:jc w:val="center"/>
        </w:trPr>
        <w:tc>
          <w:tcPr>
            <w:tcW w:w="5149" w:type="dxa"/>
            <w:tcBorders>
              <w:top w:val="single" w:color="auto" w:sz="4" w:space="0"/>
              <w:left w:val="single" w:color="auto" w:sz="4" w:space="0"/>
              <w:bottom w:val="single" w:color="auto" w:sz="4" w:space="0"/>
              <w:right w:val="single" w:color="auto" w:sz="4" w:space="0"/>
            </w:tcBorders>
            <w:shd w:val="clear" w:color="auto" w:fill="auto"/>
            <w:vAlign w:val="center"/>
          </w:tcPr>
          <w:p w14:paraId="6CA2B1CA">
            <w:pPr>
              <w:widowControl/>
              <w:spacing w:line="300" w:lineRule="exact"/>
              <w:ind w:firstLine="420" w:firstLineChars="200"/>
              <w:jc w:val="left"/>
              <w:rPr>
                <w:rFonts w:hint="default" w:hAnsi="仿宋" w:cs="宋体"/>
                <w:color w:val="000000"/>
                <w:kern w:val="2"/>
                <w:sz w:val="21"/>
                <w:lang w:val="en-US" w:eastAsia="zh-CN"/>
              </w:rPr>
            </w:pPr>
            <w:r>
              <w:rPr>
                <w:rFonts w:hint="default" w:hAnsi="仿宋" w:cs="宋体"/>
                <w:color w:val="000000"/>
                <w:kern w:val="2"/>
                <w:sz w:val="21"/>
                <w:lang w:val="en-US" w:eastAsia="zh-CN"/>
              </w:rPr>
              <w:t>A222.指标与目标的匹配性</w:t>
            </w:r>
          </w:p>
        </w:tc>
        <w:tc>
          <w:tcPr>
            <w:tcW w:w="1104" w:type="dxa"/>
            <w:tcBorders>
              <w:top w:val="single" w:color="auto" w:sz="4" w:space="0"/>
              <w:left w:val="nil"/>
              <w:bottom w:val="single" w:color="auto" w:sz="4" w:space="0"/>
              <w:right w:val="single" w:color="auto" w:sz="4" w:space="0"/>
            </w:tcBorders>
            <w:shd w:val="clear" w:color="auto" w:fill="auto"/>
            <w:vAlign w:val="center"/>
          </w:tcPr>
          <w:p w14:paraId="78477D99">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c>
          <w:tcPr>
            <w:tcW w:w="1596" w:type="dxa"/>
            <w:tcBorders>
              <w:top w:val="single" w:color="auto" w:sz="4" w:space="0"/>
              <w:left w:val="nil"/>
              <w:bottom w:val="single" w:color="auto" w:sz="4" w:space="0"/>
              <w:right w:val="single" w:color="auto" w:sz="4" w:space="0"/>
            </w:tcBorders>
            <w:shd w:val="clear" w:color="auto" w:fill="auto"/>
            <w:vAlign w:val="center"/>
          </w:tcPr>
          <w:p w14:paraId="3FA23C38">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匹配</w:t>
            </w:r>
          </w:p>
        </w:tc>
        <w:tc>
          <w:tcPr>
            <w:tcW w:w="996" w:type="dxa"/>
            <w:tcBorders>
              <w:top w:val="single" w:color="auto" w:sz="4" w:space="0"/>
              <w:left w:val="nil"/>
              <w:bottom w:val="single" w:color="auto" w:sz="4" w:space="0"/>
              <w:right w:val="single" w:color="auto" w:sz="4" w:space="0"/>
            </w:tcBorders>
            <w:shd w:val="clear" w:color="auto" w:fill="auto"/>
            <w:vAlign w:val="center"/>
          </w:tcPr>
          <w:p w14:paraId="64E15C8F">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r>
      <w:tr w14:paraId="296C4D48">
        <w:tblPrEx>
          <w:tblCellMar>
            <w:top w:w="57" w:type="dxa"/>
            <w:left w:w="57" w:type="dxa"/>
            <w:bottom w:w="57" w:type="dxa"/>
            <w:right w:w="57" w:type="dxa"/>
          </w:tblCellMar>
        </w:tblPrEx>
        <w:trPr>
          <w:trHeight w:val="90" w:hRule="atLeast"/>
          <w:jc w:val="center"/>
        </w:trPr>
        <w:tc>
          <w:tcPr>
            <w:tcW w:w="5149" w:type="dxa"/>
            <w:tcBorders>
              <w:top w:val="single" w:color="auto" w:sz="4" w:space="0"/>
              <w:left w:val="single" w:color="auto" w:sz="4" w:space="0"/>
              <w:bottom w:val="single" w:color="auto" w:sz="4" w:space="0"/>
              <w:right w:val="single" w:color="auto" w:sz="4" w:space="0"/>
            </w:tcBorders>
            <w:shd w:val="clear" w:color="auto" w:fill="auto"/>
            <w:vAlign w:val="center"/>
          </w:tcPr>
          <w:p w14:paraId="1A67D15A">
            <w:pPr>
              <w:widowControl/>
              <w:spacing w:line="300" w:lineRule="exact"/>
              <w:ind w:firstLine="420" w:firstLineChars="200"/>
              <w:jc w:val="center"/>
              <w:rPr>
                <w:rFonts w:hint="default" w:hAnsi="仿宋" w:cs="宋体"/>
                <w:color w:val="000000"/>
                <w:kern w:val="2"/>
                <w:sz w:val="21"/>
                <w:lang w:val="en-US" w:eastAsia="zh-CN"/>
              </w:rPr>
            </w:pPr>
            <w:r>
              <w:rPr>
                <w:rFonts w:hint="eastAsia" w:hAnsi="仿宋" w:cs="宋体"/>
                <w:color w:val="000000"/>
                <w:kern w:val="2"/>
                <w:sz w:val="21"/>
                <w:lang w:val="en-US" w:eastAsia="zh-CN"/>
              </w:rPr>
              <w:t>合计</w:t>
            </w:r>
          </w:p>
        </w:tc>
        <w:tc>
          <w:tcPr>
            <w:tcW w:w="1104" w:type="dxa"/>
            <w:tcBorders>
              <w:top w:val="single" w:color="auto" w:sz="4" w:space="0"/>
              <w:left w:val="nil"/>
              <w:bottom w:val="single" w:color="auto" w:sz="4" w:space="0"/>
              <w:right w:val="single" w:color="auto" w:sz="4" w:space="0"/>
            </w:tcBorders>
            <w:shd w:val="clear" w:color="auto" w:fill="auto"/>
            <w:vAlign w:val="center"/>
          </w:tcPr>
          <w:p w14:paraId="2A8CB7C7">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12</w:t>
            </w:r>
          </w:p>
        </w:tc>
        <w:tc>
          <w:tcPr>
            <w:tcW w:w="1596" w:type="dxa"/>
            <w:tcBorders>
              <w:top w:val="single" w:color="auto" w:sz="4" w:space="0"/>
              <w:left w:val="nil"/>
              <w:bottom w:val="single" w:color="auto" w:sz="4" w:space="0"/>
              <w:right w:val="single" w:color="auto" w:sz="4" w:space="0"/>
            </w:tcBorders>
            <w:shd w:val="clear" w:color="auto" w:fill="auto"/>
            <w:vAlign w:val="center"/>
          </w:tcPr>
          <w:p w14:paraId="0BB47572">
            <w:pPr>
              <w:widowControl/>
              <w:spacing w:line="300" w:lineRule="exact"/>
              <w:jc w:val="center"/>
              <w:rPr>
                <w:rFonts w:hint="eastAsia" w:hAnsi="仿宋" w:cs="宋体"/>
                <w:color w:val="000000"/>
                <w:kern w:val="2"/>
                <w:sz w:val="21"/>
                <w:szCs w:val="22"/>
                <w:lang w:val="en-US" w:eastAsia="zh-CN" w:bidi="ar-SA"/>
              </w:rPr>
            </w:pPr>
          </w:p>
        </w:tc>
        <w:tc>
          <w:tcPr>
            <w:tcW w:w="996" w:type="dxa"/>
            <w:tcBorders>
              <w:top w:val="single" w:color="auto" w:sz="4" w:space="0"/>
              <w:left w:val="nil"/>
              <w:bottom w:val="single" w:color="auto" w:sz="4" w:space="0"/>
              <w:right w:val="single" w:color="auto" w:sz="4" w:space="0"/>
            </w:tcBorders>
            <w:shd w:val="clear" w:color="auto" w:fill="auto"/>
            <w:vAlign w:val="center"/>
          </w:tcPr>
          <w:p w14:paraId="23A917A7">
            <w:pPr>
              <w:widowControl/>
              <w:spacing w:line="300" w:lineRule="exact"/>
              <w:jc w:val="center"/>
              <w:rPr>
                <w:rFonts w:hint="default" w:hAnsi="仿宋" w:cs="宋体"/>
                <w:color w:val="000000"/>
                <w:kern w:val="2"/>
                <w:sz w:val="21"/>
                <w:szCs w:val="22"/>
                <w:highlight w:val="none"/>
                <w:lang w:val="en-US" w:eastAsia="zh-CN" w:bidi="ar-SA"/>
              </w:rPr>
            </w:pPr>
            <w:r>
              <w:rPr>
                <w:rFonts w:hint="eastAsia" w:hAnsi="仿宋" w:cs="宋体"/>
                <w:color w:val="000000"/>
                <w:kern w:val="2"/>
                <w:sz w:val="21"/>
                <w:szCs w:val="22"/>
                <w:highlight w:val="none"/>
                <w:lang w:val="en-US" w:eastAsia="zh-CN" w:bidi="ar-SA"/>
              </w:rPr>
              <w:t>12</w:t>
            </w:r>
          </w:p>
        </w:tc>
      </w:tr>
    </w:tbl>
    <w:p w14:paraId="417524CA">
      <w:pPr>
        <w:numPr>
          <w:ilvl w:val="0"/>
          <w:numId w:val="0"/>
        </w:numPr>
        <w:spacing w:line="579" w:lineRule="exact"/>
        <w:ind w:firstLine="293" w:firstLineChars="1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A</w:t>
      </w:r>
      <w:r>
        <w:rPr>
          <w:rFonts w:hint="eastAsia" w:ascii="仿宋_GB2312" w:hAnsi="仿宋" w:eastAsia="仿宋_GB2312" w:cs="Times New Roman"/>
          <w:b/>
          <w:bCs/>
          <w:spacing w:val="6"/>
          <w:kern w:val="0"/>
          <w:sz w:val="28"/>
          <w:szCs w:val="28"/>
          <w:highlight w:val="none"/>
          <w:u w:val="none"/>
          <w:lang w:val="en-US" w:eastAsia="zh-CN" w:bidi="ar-SA"/>
        </w:rPr>
        <w:t>2</w:t>
      </w:r>
      <w:r>
        <w:rPr>
          <w:rFonts w:hint="default" w:ascii="仿宋_GB2312" w:hAnsi="仿宋" w:eastAsia="仿宋_GB2312" w:cs="Times New Roman"/>
          <w:b/>
          <w:bCs/>
          <w:spacing w:val="6"/>
          <w:kern w:val="0"/>
          <w:sz w:val="28"/>
          <w:szCs w:val="28"/>
          <w:highlight w:val="none"/>
          <w:u w:val="none"/>
          <w:lang w:val="en-US" w:eastAsia="zh-CN" w:bidi="ar-SA"/>
        </w:rPr>
        <w:t>1.绩效目标设定的合理性</w:t>
      </w:r>
    </w:p>
    <w:p w14:paraId="3803BD8B">
      <w:pPr>
        <w:spacing w:line="579" w:lineRule="exact"/>
        <w:ind w:firstLine="292" w:firstLineChars="100"/>
        <w:rPr>
          <w:rFonts w:hint="default" w:ascii="仿宋_GB2312" w:hAnsi="仿宋" w:eastAsia="仿宋_GB2312"/>
          <w:b w:val="0"/>
          <w:bCs w:val="0"/>
          <w:spacing w:val="6"/>
          <w:kern w:val="0"/>
          <w:sz w:val="28"/>
          <w:szCs w:val="28"/>
          <w:highlight w:val="none"/>
          <w:u w:val="none"/>
          <w:lang w:val="en-US" w:eastAsia="zh-CN"/>
        </w:rPr>
      </w:pPr>
      <w:r>
        <w:rPr>
          <w:rFonts w:hint="default" w:ascii="仿宋_GB2312" w:hAnsi="仿宋" w:eastAsia="仿宋_GB2312"/>
          <w:b w:val="0"/>
          <w:bCs w:val="0"/>
          <w:spacing w:val="6"/>
          <w:kern w:val="0"/>
          <w:sz w:val="28"/>
          <w:szCs w:val="28"/>
          <w:highlight w:val="none"/>
          <w:u w:val="single"/>
          <w:lang w:val="en-US" w:eastAsia="zh-CN"/>
        </w:rPr>
        <w:t>A211.绩效目标相关性</w:t>
      </w:r>
      <w:r>
        <w:rPr>
          <w:rFonts w:hint="eastAsia" w:ascii="仿宋_GB2312" w:hAnsi="仿宋" w:eastAsia="仿宋_GB2312"/>
          <w:spacing w:val="6"/>
          <w:kern w:val="0"/>
          <w:sz w:val="28"/>
          <w:szCs w:val="28"/>
          <w:highlight w:val="none"/>
          <w:lang w:val="en-US" w:eastAsia="zh-CN"/>
        </w:rPr>
        <w:t>：</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根据《环保宣教及绿色创建活动经费项目支出绩效目标申报表》，该项目年初目标为：</w:t>
      </w:r>
      <w:r>
        <w:rPr>
          <w:rFonts w:hint="eastAsia" w:ascii="仿宋_GB2312" w:hAnsi="仿宋" w:eastAsia="仿宋_GB2312"/>
          <w:spacing w:val="6"/>
          <w:kern w:val="0"/>
          <w:sz w:val="28"/>
          <w:szCs w:val="28"/>
          <w:highlight w:val="none"/>
          <w:lang w:val="en-US" w:eastAsia="zh-CN"/>
        </w:rPr>
        <w:t>2019年逐步力提高公众的环保意识，推动公众积极参与环境保护，广泛发动社会公众参与生态文明建设，从自己做起，用实际行动共筑生态家园；组织、指导辖区中小学校、社区、单位开展各级“绿色学校”、“绿色社区”、环境教育基地和国际生态学校的申报与创建，督促已创成的各级学校、社区、单位做好巩固、提高及复核工作，倡导、实践节能减排的绿色生产生活方式；逐步增强环境管理与生态建设新闻宣传的覆盖力与传播力，营造全社会共同参与生态文明建设的良好氛围。年初设定的绩效目标与事业发展规划相关。</w:t>
      </w:r>
    </w:p>
    <w:p w14:paraId="1E95CF24">
      <w:pPr>
        <w:numPr>
          <w:ilvl w:val="0"/>
          <w:numId w:val="0"/>
        </w:num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12B4CFE0">
      <w:pPr>
        <w:numPr>
          <w:ilvl w:val="0"/>
          <w:numId w:val="0"/>
        </w:numPr>
        <w:spacing w:line="579" w:lineRule="exact"/>
        <w:ind w:firstLine="584" w:firstLineChars="200"/>
        <w:outlineLvl w:val="0"/>
        <w:rPr>
          <w:rFonts w:hint="eastAsia" w:ascii="仿宋_GB2312" w:hAnsi="仿宋" w:eastAsia="仿宋_GB2312"/>
          <w:b w:val="0"/>
          <w:bCs w:val="0"/>
          <w:spacing w:val="6"/>
          <w:kern w:val="0"/>
          <w:sz w:val="28"/>
          <w:szCs w:val="28"/>
          <w:highlight w:val="none"/>
          <w:u w:val="none"/>
          <w:lang w:val="en-US" w:eastAsia="zh-CN"/>
        </w:rPr>
      </w:pPr>
      <w:r>
        <w:rPr>
          <w:rFonts w:hint="default" w:ascii="仿宋_GB2312" w:hAnsi="仿宋" w:eastAsia="仿宋_GB2312"/>
          <w:spacing w:val="6"/>
          <w:kern w:val="0"/>
          <w:sz w:val="28"/>
          <w:szCs w:val="28"/>
          <w:highlight w:val="none"/>
          <w:u w:val="single"/>
          <w:lang w:val="en-US" w:eastAsia="zh-CN"/>
        </w:rPr>
        <w:t>A212.绩效目标完整性</w:t>
      </w:r>
      <w:r>
        <w:rPr>
          <w:rFonts w:hint="eastAsia" w:ascii="仿宋_GB2312" w:hAnsi="仿宋" w:eastAsia="仿宋_GB2312"/>
          <w:spacing w:val="6"/>
          <w:kern w:val="0"/>
          <w:sz w:val="28"/>
          <w:szCs w:val="28"/>
          <w:highlight w:val="none"/>
          <w:u w:val="none"/>
          <w:lang w:val="en-US" w:eastAsia="zh-CN"/>
        </w:rPr>
        <w:t>：根据</w:t>
      </w:r>
      <w:r>
        <w:rPr>
          <w:rFonts w:hint="eastAsia" w:ascii="仿宋_GB2312" w:hAnsi="仿宋" w:eastAsia="仿宋_GB2312"/>
          <w:b w:val="0"/>
          <w:bCs w:val="0"/>
          <w:spacing w:val="6"/>
          <w:kern w:val="0"/>
          <w:sz w:val="28"/>
          <w:szCs w:val="28"/>
          <w:highlight w:val="none"/>
          <w:u w:val="none"/>
          <w:lang w:val="en-US" w:eastAsia="zh-CN"/>
        </w:rPr>
        <w:t>项目在立项时设定的绩效目标和项目实施内容，本项目设定的绩效目标能够完整地反应预期产出和效果。</w:t>
      </w:r>
    </w:p>
    <w:p w14:paraId="6AA170F6">
      <w:pPr>
        <w:numPr>
          <w:ilvl w:val="0"/>
          <w:numId w:val="0"/>
        </w:num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209489AA">
      <w:pPr>
        <w:numPr>
          <w:ilvl w:val="0"/>
          <w:numId w:val="0"/>
        </w:num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default" w:ascii="仿宋_GB2312" w:hAnsi="仿宋" w:eastAsia="仿宋_GB2312"/>
          <w:b w:val="0"/>
          <w:bCs w:val="0"/>
          <w:spacing w:val="6"/>
          <w:kern w:val="0"/>
          <w:sz w:val="28"/>
          <w:szCs w:val="28"/>
          <w:highlight w:val="none"/>
          <w:u w:val="single"/>
          <w:lang w:val="en-US" w:eastAsia="zh-CN"/>
        </w:rPr>
        <w:t>A213.目标与预算的匹配性</w:t>
      </w:r>
      <w:r>
        <w:rPr>
          <w:rFonts w:hint="eastAsia" w:ascii="仿宋_GB2312" w:hAnsi="仿宋" w:eastAsia="仿宋_GB2312"/>
          <w:b w:val="0"/>
          <w:bCs w:val="0"/>
          <w:spacing w:val="6"/>
          <w:kern w:val="0"/>
          <w:sz w:val="28"/>
          <w:szCs w:val="28"/>
          <w:highlight w:val="none"/>
          <w:u w:val="none"/>
          <w:lang w:val="en-US" w:eastAsia="zh-CN"/>
        </w:rPr>
        <w:t>：</w:t>
      </w:r>
      <w:r>
        <w:rPr>
          <w:rFonts w:hint="eastAsia" w:ascii="仿宋_GB2312" w:hAnsi="仿宋" w:eastAsia="仿宋_GB2312"/>
          <w:spacing w:val="6"/>
          <w:kern w:val="0"/>
          <w:sz w:val="28"/>
          <w:szCs w:val="28"/>
          <w:highlight w:val="none"/>
          <w:lang w:val="en-US" w:eastAsia="zh-CN"/>
        </w:rPr>
        <w:t>为完成项目在立项时设定的绩效目标，根据项目经费开支明细表测算，共需30万元完成此项目，年初预算安排财政资金30万元，实际支出30万元，未出现缺口资金，故目标与预算安匹配。</w:t>
      </w:r>
    </w:p>
    <w:p w14:paraId="3BC2E65F">
      <w:pPr>
        <w:numPr>
          <w:ilvl w:val="0"/>
          <w:numId w:val="0"/>
        </w:num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037A8FB9">
      <w:pPr>
        <w:numPr>
          <w:ilvl w:val="0"/>
          <w:numId w:val="0"/>
        </w:numPr>
        <w:spacing w:line="579" w:lineRule="exact"/>
        <w:ind w:firstLine="293" w:firstLineChars="100"/>
        <w:outlineLvl w:val="0"/>
        <w:rPr>
          <w:rFonts w:hint="default" w:ascii="仿宋_GB2312" w:hAnsi="仿宋" w:eastAsia="仿宋_GB2312"/>
          <w:b w:val="0"/>
          <w:bCs w:val="0"/>
          <w:spacing w:val="6"/>
          <w:kern w:val="0"/>
          <w:sz w:val="28"/>
          <w:szCs w:val="28"/>
          <w:highlight w:val="none"/>
          <w:u w:val="none"/>
          <w:lang w:val="en-US" w:eastAsia="zh-CN"/>
        </w:rPr>
      </w:pPr>
      <w:r>
        <w:rPr>
          <w:rFonts w:hint="default" w:ascii="仿宋_GB2312" w:hAnsi="仿宋" w:eastAsia="仿宋_GB2312" w:cs="Times New Roman"/>
          <w:b/>
          <w:bCs/>
          <w:spacing w:val="6"/>
          <w:kern w:val="0"/>
          <w:sz w:val="28"/>
          <w:szCs w:val="28"/>
          <w:highlight w:val="none"/>
          <w:u w:val="none"/>
          <w:lang w:val="en-US" w:eastAsia="zh-CN" w:bidi="ar-SA"/>
        </w:rPr>
        <w:t>A22.绩效指标设定的明确性</w:t>
      </w:r>
    </w:p>
    <w:p w14:paraId="4CE4DAC1">
      <w:pPr>
        <w:numPr>
          <w:ilvl w:val="0"/>
          <w:numId w:val="0"/>
        </w:numPr>
        <w:spacing w:line="579" w:lineRule="exact"/>
        <w:ind w:firstLine="292" w:firstLineChars="100"/>
        <w:outlineLvl w:val="0"/>
        <w:rPr>
          <w:rFonts w:hint="eastAsia" w:ascii="仿宋_GB2312" w:hAnsi="仿宋" w:eastAsia="仿宋_GB2312"/>
          <w:b w:val="0"/>
          <w:bCs w:val="0"/>
          <w:spacing w:val="6"/>
          <w:kern w:val="0"/>
          <w:sz w:val="28"/>
          <w:szCs w:val="28"/>
          <w:highlight w:val="none"/>
          <w:u w:val="none"/>
          <w:lang w:val="en-US" w:eastAsia="zh-CN"/>
        </w:rPr>
      </w:pPr>
      <w:r>
        <w:rPr>
          <w:rFonts w:hint="eastAsia" w:ascii="仿宋_GB2312" w:hAnsi="仿宋" w:eastAsia="仿宋_GB2312"/>
          <w:b w:val="0"/>
          <w:bCs w:val="0"/>
          <w:spacing w:val="6"/>
          <w:kern w:val="0"/>
          <w:sz w:val="28"/>
          <w:szCs w:val="28"/>
          <w:highlight w:val="none"/>
          <w:u w:val="single"/>
          <w:lang w:val="en-US" w:eastAsia="zh-CN"/>
        </w:rPr>
        <w:t>A221.指标细化分解情况</w:t>
      </w:r>
      <w:r>
        <w:rPr>
          <w:rFonts w:hint="eastAsia" w:ascii="仿宋_GB2312" w:hAnsi="仿宋" w:eastAsia="仿宋_GB2312"/>
          <w:b w:val="0"/>
          <w:bCs w:val="0"/>
          <w:spacing w:val="6"/>
          <w:kern w:val="0"/>
          <w:sz w:val="28"/>
          <w:szCs w:val="28"/>
          <w:highlight w:val="none"/>
          <w:u w:val="none"/>
          <w:lang w:val="en-US" w:eastAsia="zh-CN"/>
        </w:rPr>
        <w:t>：昆明市生态环境局盘龙分局将绩效目标细化分解为清晰、可衡量的绩效指标。具体情况如下：</w:t>
      </w:r>
    </w:p>
    <w:p w14:paraId="6FF23F36">
      <w:pPr>
        <w:numPr>
          <w:ilvl w:val="0"/>
          <w:numId w:val="0"/>
        </w:numPr>
        <w:spacing w:line="579" w:lineRule="exact"/>
        <w:ind w:firstLine="584" w:firstLineChars="200"/>
        <w:outlineLvl w:val="0"/>
        <w:rPr>
          <w:rFonts w:hint="eastAsia" w:ascii="仿宋_GB2312" w:hAnsi="仿宋" w:eastAsia="仿宋_GB2312"/>
          <w:b w:val="0"/>
          <w:bCs w:val="0"/>
          <w:spacing w:val="6"/>
          <w:kern w:val="0"/>
          <w:sz w:val="28"/>
          <w:szCs w:val="28"/>
          <w:highlight w:val="none"/>
          <w:u w:val="none"/>
          <w:lang w:val="en-US" w:eastAsia="zh-CN"/>
        </w:rPr>
      </w:pPr>
      <w:r>
        <w:rPr>
          <w:rFonts w:hint="eastAsia" w:ascii="仿宋_GB2312" w:hAnsi="仿宋" w:eastAsia="仿宋_GB2312"/>
          <w:b w:val="0"/>
          <w:bCs w:val="0"/>
          <w:spacing w:val="6"/>
          <w:kern w:val="0"/>
          <w:sz w:val="28"/>
          <w:szCs w:val="28"/>
          <w:highlight w:val="none"/>
          <w:u w:val="none"/>
          <w:lang w:val="en-US" w:eastAsia="zh-CN"/>
        </w:rPr>
        <w:t>1.产出指标：</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开展环保宣教活动3—4次；创建省、市级绿色学校4—5所；创建省、市级绿色社区3—4个；创建国际生态学校1个创建省、市级绿色学校、创建省、市级绿色社区、创建国际生态学校通过省级及市级相关部门考核验收；按照市级下达的主题及目标，圆满完成“六·五”世界环境日主题活动</w:t>
      </w:r>
      <w:r>
        <w:rPr>
          <w:rFonts w:hint="eastAsia" w:ascii="仿宋_GB2312" w:hAnsi="仿宋" w:eastAsia="仿宋_GB2312"/>
          <w:spacing w:val="6"/>
          <w:kern w:val="0"/>
          <w:sz w:val="28"/>
          <w:szCs w:val="28"/>
          <w:highlight w:val="none"/>
          <w:lang w:val="en-US" w:eastAsia="zh-CN"/>
        </w:rPr>
        <w:t>。绩效目标设置与事业发展规划相适应；按照省、市、区三级下达的各项任务，完成“两微”及各公众平台信息发布及宣传；按时举办相关宣传活动；项目成本控制在30万元以内</w:t>
      </w:r>
      <w:r>
        <w:rPr>
          <w:rFonts w:hint="eastAsia" w:ascii="仿宋_GB2312" w:hAnsi="仿宋" w:eastAsia="仿宋_GB2312"/>
          <w:b w:val="0"/>
          <w:bCs w:val="0"/>
          <w:spacing w:val="6"/>
          <w:kern w:val="0"/>
          <w:sz w:val="28"/>
          <w:szCs w:val="28"/>
          <w:highlight w:val="none"/>
          <w:u w:val="none"/>
          <w:lang w:val="en-US" w:eastAsia="zh-CN"/>
        </w:rPr>
        <w:t>。</w:t>
      </w:r>
    </w:p>
    <w:p w14:paraId="6CC8CEC0">
      <w:pPr>
        <w:numPr>
          <w:ilvl w:val="0"/>
          <w:numId w:val="0"/>
        </w:numPr>
        <w:spacing w:line="579" w:lineRule="exact"/>
        <w:ind w:firstLine="584" w:firstLineChars="200"/>
        <w:outlineLvl w:val="0"/>
        <w:rPr>
          <w:rFonts w:hint="eastAsia" w:ascii="仿宋_GB2312" w:hAnsi="仿宋" w:eastAsia="仿宋_GB2312"/>
          <w:b w:val="0"/>
          <w:bCs w:val="0"/>
          <w:spacing w:val="6"/>
          <w:kern w:val="0"/>
          <w:sz w:val="28"/>
          <w:szCs w:val="28"/>
          <w:highlight w:val="none"/>
          <w:u w:val="none"/>
          <w:lang w:val="en-US" w:eastAsia="zh-CN"/>
        </w:rPr>
      </w:pPr>
      <w:r>
        <w:rPr>
          <w:rFonts w:hint="eastAsia" w:ascii="仿宋_GB2312" w:hAnsi="仿宋" w:eastAsia="仿宋_GB2312"/>
          <w:b w:val="0"/>
          <w:bCs w:val="0"/>
          <w:spacing w:val="6"/>
          <w:kern w:val="0"/>
          <w:sz w:val="28"/>
          <w:szCs w:val="28"/>
          <w:highlight w:val="none"/>
          <w:u w:val="none"/>
          <w:lang w:val="en-US" w:eastAsia="zh-CN"/>
        </w:rPr>
        <w:t>2.效果指标：控制环保宣教及绿色创建各项行政开支，不超成本运行，经费节支率不低于0.3%；通过环保宣教和绿色创建活动，有效提高公众环境保护意识，促进环境保护工作，减少环境污染治理投入，投入产出比不低于1.2；公众关注环保、参与环保的主动性逐渐提高；通过各级绿色创建和各种环保宣教活动的开展，广泛凝聚社会共识，营造全社会共同关注、参与生态文明建设、改善环境质量、推动绿色发展的良好氛围；公众生产生活环境取得较好转变；公众共建天蓝地绿水净的生态宜居城市的积极主动性逐渐提高；学生带动家庭践行节能减排，社区带动全社会践行节能减排成效明显；群众满意率达80%以上；学校、社区满意率100%。</w:t>
      </w:r>
    </w:p>
    <w:p w14:paraId="64154105">
      <w:pPr>
        <w:numPr>
          <w:ilvl w:val="0"/>
          <w:numId w:val="0"/>
        </w:num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该项指标满分3分，根据评分标准得3分。</w:t>
      </w:r>
    </w:p>
    <w:p w14:paraId="633B3E6F">
      <w:pPr>
        <w:numPr>
          <w:ilvl w:val="0"/>
          <w:numId w:val="0"/>
        </w:numPr>
        <w:spacing w:line="579" w:lineRule="exact"/>
        <w:ind w:left="279" w:leftChars="133" w:firstLine="292" w:firstLineChars="100"/>
        <w:outlineLvl w:val="0"/>
        <w:rPr>
          <w:rFonts w:hint="default" w:ascii="仿宋_GB2312" w:hAnsi="仿宋" w:eastAsia="仿宋_GB2312"/>
          <w:spacing w:val="6"/>
          <w:kern w:val="0"/>
          <w:sz w:val="28"/>
          <w:szCs w:val="28"/>
          <w:highlight w:val="none"/>
          <w:lang w:val="en-US" w:eastAsia="zh-CN"/>
        </w:rPr>
      </w:pPr>
      <w:r>
        <w:rPr>
          <w:rFonts w:hint="default" w:ascii="仿宋_GB2312" w:hAnsi="仿宋" w:eastAsia="仿宋_GB2312"/>
          <w:b w:val="0"/>
          <w:bCs w:val="0"/>
          <w:spacing w:val="6"/>
          <w:kern w:val="0"/>
          <w:sz w:val="28"/>
          <w:szCs w:val="28"/>
          <w:highlight w:val="none"/>
          <w:u w:val="single"/>
          <w:lang w:val="en-US" w:eastAsia="zh-CN"/>
        </w:rPr>
        <w:t>A222.指标与目标的匹配性</w:t>
      </w:r>
      <w:r>
        <w:rPr>
          <w:rFonts w:hint="eastAsia" w:ascii="仿宋_GB2312" w:hAnsi="仿宋" w:eastAsia="仿宋_GB2312"/>
          <w:b w:val="0"/>
          <w:bCs w:val="0"/>
          <w:spacing w:val="6"/>
          <w:kern w:val="0"/>
          <w:sz w:val="28"/>
          <w:szCs w:val="28"/>
          <w:highlight w:val="none"/>
          <w:u w:val="none"/>
          <w:lang w:val="en-US" w:eastAsia="zh-CN"/>
        </w:rPr>
        <w:t>：昆明市生态环境局盘龙分局根据年初设置的绩效目标进行细化分解，细化分解后的</w:t>
      </w:r>
      <w:r>
        <w:rPr>
          <w:rFonts w:hint="eastAsia" w:ascii="仿宋_GB2312" w:hAnsi="仿宋" w:eastAsia="仿宋_GB2312"/>
          <w:spacing w:val="6"/>
          <w:kern w:val="0"/>
          <w:sz w:val="28"/>
          <w:szCs w:val="28"/>
          <w:highlight w:val="none"/>
          <w:lang w:val="en-US" w:eastAsia="zh-CN"/>
        </w:rPr>
        <w:t>绩效指标能够直接反映出预期目标。</w:t>
      </w:r>
    </w:p>
    <w:p w14:paraId="3AA313E8">
      <w:pPr>
        <w:numPr>
          <w:ilvl w:val="0"/>
          <w:numId w:val="0"/>
        </w:num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该项指标满分3分，根据评分标准得3分。</w:t>
      </w:r>
    </w:p>
    <w:p w14:paraId="006779AE">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2.项目管理</w:t>
      </w:r>
    </w:p>
    <w:p w14:paraId="166E4CB3">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项目管理包括投入管理、财务管理和项目实施三方面内容，由9个三级指标构成，共细化分解为9个四级指标。权重分为20分，实际得分20分，得分率为100%。</w:t>
      </w:r>
    </w:p>
    <w:p w14:paraId="54E0BD8F">
      <w:pPr>
        <w:numPr>
          <w:ilvl w:val="0"/>
          <w:numId w:val="7"/>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投入管理</w:t>
      </w:r>
    </w:p>
    <w:p w14:paraId="434C49C1">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主要考核项目预算编制是否充分、合理的预计项目支出并完整反应，预算调整时是否按照相关规定执行调整程序，项目预算执行的进度是否达到95%以上。各指标权重分值、业绩值及得分情况详见表6。</w:t>
      </w:r>
    </w:p>
    <w:p w14:paraId="39502533">
      <w:pPr>
        <w:jc w:val="center"/>
        <w:rPr>
          <w:rFonts w:ascii="黑体" w:hAnsi="黑体" w:eastAsia="黑体"/>
          <w:kern w:val="2"/>
          <w:sz w:val="24"/>
          <w:szCs w:val="24"/>
        </w:rPr>
      </w:pPr>
      <w:r>
        <w:rPr>
          <w:rFonts w:hint="eastAsia" w:ascii="黑体" w:hAnsi="黑体" w:eastAsia="黑体"/>
          <w:kern w:val="2"/>
          <w:sz w:val="24"/>
          <w:szCs w:val="24"/>
        </w:rPr>
        <w:t>表</w:t>
      </w:r>
      <w:r>
        <w:rPr>
          <w:rFonts w:hint="eastAsia" w:ascii="黑体" w:hAnsi="黑体" w:eastAsia="黑体"/>
          <w:kern w:val="2"/>
          <w:sz w:val="24"/>
          <w:szCs w:val="24"/>
          <w:lang w:val="en-US" w:eastAsia="zh-CN"/>
        </w:rPr>
        <w:t>6 投入管理类指标评分表</w:t>
      </w:r>
    </w:p>
    <w:tbl>
      <w:tblPr>
        <w:tblStyle w:val="8"/>
        <w:tblW w:w="4998" w:type="pct"/>
        <w:jc w:val="center"/>
        <w:tblLayout w:type="autofit"/>
        <w:tblCellMar>
          <w:top w:w="57" w:type="dxa"/>
          <w:left w:w="57" w:type="dxa"/>
          <w:bottom w:w="57" w:type="dxa"/>
          <w:right w:w="57" w:type="dxa"/>
        </w:tblCellMar>
      </w:tblPr>
      <w:tblGrid>
        <w:gridCol w:w="4901"/>
        <w:gridCol w:w="1049"/>
        <w:gridCol w:w="1519"/>
        <w:gridCol w:w="948"/>
      </w:tblGrid>
      <w:tr w14:paraId="04797C3D">
        <w:tblPrEx>
          <w:tblCellMar>
            <w:top w:w="57" w:type="dxa"/>
            <w:left w:w="57" w:type="dxa"/>
            <w:bottom w:w="57" w:type="dxa"/>
            <w:right w:w="57" w:type="dxa"/>
          </w:tblCellMar>
        </w:tblPrEx>
        <w:trPr>
          <w:trHeight w:val="174" w:hRule="atLeast"/>
          <w:tblHeader/>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6C99E5A6">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指标名称</w:t>
            </w:r>
          </w:p>
        </w:tc>
        <w:tc>
          <w:tcPr>
            <w:tcW w:w="623" w:type="pct"/>
            <w:tcBorders>
              <w:top w:val="single" w:color="auto" w:sz="4" w:space="0"/>
              <w:left w:val="nil"/>
              <w:bottom w:val="single" w:color="auto" w:sz="4" w:space="0"/>
              <w:right w:val="single" w:color="auto" w:sz="4" w:space="0"/>
            </w:tcBorders>
            <w:shd w:val="clear" w:color="auto" w:fill="auto"/>
            <w:vAlign w:val="center"/>
          </w:tcPr>
          <w:p w14:paraId="487B3C98">
            <w:pPr>
              <w:widowControl/>
              <w:spacing w:line="300" w:lineRule="exact"/>
              <w:jc w:val="center"/>
              <w:rPr>
                <w:rFonts w:hint="eastAsia" w:hAnsi="仿宋" w:eastAsia="宋体" w:cs="宋体"/>
                <w:b/>
                <w:bCs/>
                <w:color w:val="000000"/>
                <w:kern w:val="2"/>
                <w:sz w:val="21"/>
                <w:lang w:eastAsia="zh-CN"/>
              </w:rPr>
            </w:pPr>
            <w:r>
              <w:rPr>
                <w:rFonts w:hint="eastAsia" w:hAnsi="仿宋" w:cs="宋体"/>
                <w:b/>
                <w:bCs/>
                <w:color w:val="000000"/>
                <w:kern w:val="2"/>
                <w:sz w:val="21"/>
              </w:rPr>
              <w:t>指标</w:t>
            </w:r>
            <w:r>
              <w:rPr>
                <w:rFonts w:hint="eastAsia" w:hAnsi="仿宋" w:cs="宋体"/>
                <w:b/>
                <w:bCs/>
                <w:color w:val="000000"/>
                <w:kern w:val="2"/>
                <w:sz w:val="21"/>
                <w:lang w:val="en-US" w:eastAsia="zh-CN"/>
              </w:rPr>
              <w:t>权重</w:t>
            </w:r>
          </w:p>
        </w:tc>
        <w:tc>
          <w:tcPr>
            <w:tcW w:w="902" w:type="pct"/>
            <w:tcBorders>
              <w:top w:val="single" w:color="auto" w:sz="4" w:space="0"/>
              <w:left w:val="nil"/>
              <w:bottom w:val="single" w:color="auto" w:sz="4" w:space="0"/>
              <w:right w:val="single" w:color="auto" w:sz="4" w:space="0"/>
            </w:tcBorders>
            <w:shd w:val="clear" w:color="auto" w:fill="auto"/>
            <w:vAlign w:val="center"/>
          </w:tcPr>
          <w:p w14:paraId="7852BE81">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业绩值</w:t>
            </w:r>
          </w:p>
        </w:tc>
        <w:tc>
          <w:tcPr>
            <w:tcW w:w="563" w:type="pct"/>
            <w:tcBorders>
              <w:top w:val="single" w:color="auto" w:sz="4" w:space="0"/>
              <w:left w:val="nil"/>
              <w:bottom w:val="single" w:color="auto" w:sz="4" w:space="0"/>
              <w:right w:val="single" w:color="auto" w:sz="4" w:space="0"/>
            </w:tcBorders>
            <w:shd w:val="clear" w:color="auto" w:fill="auto"/>
            <w:vAlign w:val="center"/>
          </w:tcPr>
          <w:p w14:paraId="2E98947D">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实际得分</w:t>
            </w:r>
          </w:p>
        </w:tc>
      </w:tr>
      <w:tr w14:paraId="35621F69">
        <w:tblPrEx>
          <w:tblCellMar>
            <w:top w:w="57" w:type="dxa"/>
            <w:left w:w="57" w:type="dxa"/>
            <w:bottom w:w="57" w:type="dxa"/>
            <w:right w:w="57" w:type="dxa"/>
          </w:tblCellMar>
        </w:tblPrEx>
        <w:trPr>
          <w:trHeight w:val="90" w:hRule="atLeast"/>
          <w:jc w:val="center"/>
        </w:trPr>
        <w:tc>
          <w:tcPr>
            <w:tcW w:w="2911" w:type="pct"/>
            <w:tcBorders>
              <w:top w:val="nil"/>
              <w:left w:val="single" w:color="auto" w:sz="4" w:space="0"/>
              <w:bottom w:val="single" w:color="auto" w:sz="4" w:space="0"/>
              <w:right w:val="single" w:color="auto" w:sz="4" w:space="0"/>
            </w:tcBorders>
            <w:shd w:val="clear" w:color="auto" w:fill="auto"/>
            <w:vAlign w:val="center"/>
          </w:tcPr>
          <w:p w14:paraId="6B1D2881">
            <w:pPr>
              <w:widowControl/>
              <w:spacing w:line="300" w:lineRule="exact"/>
              <w:jc w:val="both"/>
              <w:rPr>
                <w:rFonts w:hint="default" w:hAnsi="仿宋" w:cs="宋体"/>
                <w:color w:val="000000"/>
                <w:kern w:val="2"/>
                <w:sz w:val="21"/>
                <w:lang w:val="en-US"/>
              </w:rPr>
            </w:pPr>
            <w:r>
              <w:rPr>
                <w:rFonts w:hint="default" w:hAnsi="仿宋" w:cs="宋体"/>
                <w:color w:val="000000"/>
                <w:kern w:val="2"/>
                <w:sz w:val="21"/>
                <w:lang w:val="en-US"/>
              </w:rPr>
              <w:t>B11.预算编制合理性</w:t>
            </w:r>
          </w:p>
        </w:tc>
        <w:tc>
          <w:tcPr>
            <w:tcW w:w="623" w:type="pct"/>
            <w:tcBorders>
              <w:top w:val="nil"/>
              <w:left w:val="nil"/>
              <w:bottom w:val="single" w:color="auto" w:sz="4" w:space="0"/>
              <w:right w:val="single" w:color="auto" w:sz="4" w:space="0"/>
            </w:tcBorders>
            <w:shd w:val="clear" w:color="auto" w:fill="auto"/>
            <w:vAlign w:val="center"/>
          </w:tcPr>
          <w:p w14:paraId="30C56972">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c>
          <w:tcPr>
            <w:tcW w:w="902" w:type="pct"/>
            <w:tcBorders>
              <w:top w:val="nil"/>
              <w:left w:val="nil"/>
              <w:bottom w:val="single" w:color="auto" w:sz="4" w:space="0"/>
              <w:right w:val="single" w:color="auto" w:sz="4" w:space="0"/>
            </w:tcBorders>
            <w:shd w:val="clear" w:color="auto" w:fill="auto"/>
            <w:vAlign w:val="center"/>
          </w:tcPr>
          <w:p w14:paraId="2CAD1FBB">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合理</w:t>
            </w:r>
          </w:p>
        </w:tc>
        <w:tc>
          <w:tcPr>
            <w:tcW w:w="563" w:type="pct"/>
            <w:tcBorders>
              <w:top w:val="nil"/>
              <w:left w:val="nil"/>
              <w:bottom w:val="single" w:color="auto" w:sz="4" w:space="0"/>
              <w:right w:val="single" w:color="auto" w:sz="4" w:space="0"/>
            </w:tcBorders>
            <w:shd w:val="clear" w:color="auto" w:fill="auto"/>
            <w:vAlign w:val="center"/>
          </w:tcPr>
          <w:p w14:paraId="3057AF35">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r>
      <w:tr w14:paraId="3E85EB2D">
        <w:tblPrEx>
          <w:tblCellMar>
            <w:top w:w="57" w:type="dxa"/>
            <w:left w:w="57" w:type="dxa"/>
            <w:bottom w:w="57" w:type="dxa"/>
            <w:right w:w="57" w:type="dxa"/>
          </w:tblCellMar>
        </w:tblPrEx>
        <w:trPr>
          <w:trHeight w:val="90" w:hRule="atLeast"/>
          <w:jc w:val="center"/>
        </w:trPr>
        <w:tc>
          <w:tcPr>
            <w:tcW w:w="2911" w:type="pct"/>
            <w:tcBorders>
              <w:top w:val="nil"/>
              <w:left w:val="single" w:color="auto" w:sz="4" w:space="0"/>
              <w:bottom w:val="single" w:color="auto" w:sz="4" w:space="0"/>
              <w:right w:val="single" w:color="auto" w:sz="4" w:space="0"/>
            </w:tcBorders>
            <w:shd w:val="clear" w:color="auto" w:fill="auto"/>
            <w:vAlign w:val="center"/>
          </w:tcPr>
          <w:p w14:paraId="02B5A669">
            <w:pPr>
              <w:widowControl/>
              <w:spacing w:line="300" w:lineRule="exact"/>
              <w:jc w:val="both"/>
              <w:rPr>
                <w:rFonts w:hint="default" w:hAnsi="仿宋" w:cs="宋体"/>
                <w:color w:val="000000"/>
                <w:kern w:val="2"/>
                <w:sz w:val="21"/>
                <w:lang w:val="en-US"/>
              </w:rPr>
            </w:pPr>
            <w:r>
              <w:rPr>
                <w:rFonts w:hint="default" w:hAnsi="仿宋" w:cs="宋体"/>
                <w:color w:val="000000"/>
                <w:kern w:val="2"/>
                <w:sz w:val="21"/>
                <w:lang w:val="en-US"/>
              </w:rPr>
              <w:t>B12.预算调整规范性</w:t>
            </w:r>
          </w:p>
        </w:tc>
        <w:tc>
          <w:tcPr>
            <w:tcW w:w="623" w:type="pct"/>
            <w:tcBorders>
              <w:top w:val="nil"/>
              <w:left w:val="nil"/>
              <w:bottom w:val="single" w:color="auto" w:sz="4" w:space="0"/>
              <w:right w:val="single" w:color="auto" w:sz="4" w:space="0"/>
            </w:tcBorders>
            <w:shd w:val="clear" w:color="auto" w:fill="auto"/>
            <w:vAlign w:val="center"/>
          </w:tcPr>
          <w:p w14:paraId="398772C0">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c>
          <w:tcPr>
            <w:tcW w:w="902" w:type="pct"/>
            <w:tcBorders>
              <w:top w:val="nil"/>
              <w:left w:val="nil"/>
              <w:bottom w:val="single" w:color="auto" w:sz="4" w:space="0"/>
              <w:right w:val="single" w:color="auto" w:sz="4" w:space="0"/>
            </w:tcBorders>
            <w:shd w:val="clear" w:color="auto" w:fill="auto"/>
            <w:vAlign w:val="center"/>
          </w:tcPr>
          <w:p w14:paraId="0B9C9EF3">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规范</w:t>
            </w:r>
          </w:p>
        </w:tc>
        <w:tc>
          <w:tcPr>
            <w:tcW w:w="563" w:type="pct"/>
            <w:tcBorders>
              <w:top w:val="nil"/>
              <w:left w:val="nil"/>
              <w:bottom w:val="single" w:color="auto" w:sz="4" w:space="0"/>
              <w:right w:val="single" w:color="auto" w:sz="4" w:space="0"/>
            </w:tcBorders>
            <w:shd w:val="clear" w:color="auto" w:fill="auto"/>
            <w:vAlign w:val="center"/>
          </w:tcPr>
          <w:p w14:paraId="7938F283">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r>
      <w:tr w14:paraId="402116F4">
        <w:tblPrEx>
          <w:tblCellMar>
            <w:top w:w="57" w:type="dxa"/>
            <w:left w:w="57" w:type="dxa"/>
            <w:bottom w:w="57" w:type="dxa"/>
            <w:right w:w="57" w:type="dxa"/>
          </w:tblCellMar>
        </w:tblPrEx>
        <w:trPr>
          <w:trHeight w:val="90" w:hRule="atLeast"/>
          <w:jc w:val="center"/>
        </w:trPr>
        <w:tc>
          <w:tcPr>
            <w:tcW w:w="2911" w:type="pct"/>
            <w:tcBorders>
              <w:top w:val="nil"/>
              <w:left w:val="single" w:color="auto" w:sz="4" w:space="0"/>
              <w:bottom w:val="single" w:color="auto" w:sz="4" w:space="0"/>
              <w:right w:val="single" w:color="auto" w:sz="4" w:space="0"/>
            </w:tcBorders>
            <w:shd w:val="clear" w:color="auto" w:fill="auto"/>
            <w:vAlign w:val="center"/>
          </w:tcPr>
          <w:p w14:paraId="63ECAE5D">
            <w:pPr>
              <w:widowControl/>
              <w:spacing w:line="300" w:lineRule="exact"/>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B13.预算执行率</w:t>
            </w:r>
          </w:p>
        </w:tc>
        <w:tc>
          <w:tcPr>
            <w:tcW w:w="623" w:type="pct"/>
            <w:tcBorders>
              <w:top w:val="nil"/>
              <w:left w:val="nil"/>
              <w:bottom w:val="single" w:color="auto" w:sz="4" w:space="0"/>
              <w:right w:val="single" w:color="auto" w:sz="4" w:space="0"/>
            </w:tcBorders>
            <w:shd w:val="clear" w:color="auto" w:fill="auto"/>
            <w:vAlign w:val="center"/>
          </w:tcPr>
          <w:p w14:paraId="3FA8A136">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902" w:type="pct"/>
            <w:tcBorders>
              <w:top w:val="nil"/>
              <w:left w:val="nil"/>
              <w:bottom w:val="single" w:color="auto" w:sz="4" w:space="0"/>
              <w:right w:val="single" w:color="auto" w:sz="4" w:space="0"/>
            </w:tcBorders>
            <w:shd w:val="clear" w:color="auto" w:fill="auto"/>
            <w:vAlign w:val="center"/>
          </w:tcPr>
          <w:p w14:paraId="34CF150E">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100%</w:t>
            </w:r>
          </w:p>
        </w:tc>
        <w:tc>
          <w:tcPr>
            <w:tcW w:w="563" w:type="pct"/>
            <w:tcBorders>
              <w:top w:val="nil"/>
              <w:left w:val="nil"/>
              <w:bottom w:val="single" w:color="auto" w:sz="4" w:space="0"/>
              <w:right w:val="single" w:color="auto" w:sz="4" w:space="0"/>
            </w:tcBorders>
            <w:shd w:val="clear" w:color="auto" w:fill="auto"/>
            <w:vAlign w:val="center"/>
          </w:tcPr>
          <w:p w14:paraId="50D634C4">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r>
      <w:tr w14:paraId="39291D61">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5C3E9D13">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合计</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4C5F7B2A">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4</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2F9F9654">
            <w:pPr>
              <w:widowControl/>
              <w:spacing w:line="300" w:lineRule="exact"/>
              <w:jc w:val="center"/>
              <w:rPr>
                <w:rFonts w:hint="eastAsia" w:hAnsi="仿宋" w:cs="宋体"/>
                <w:color w:val="000000"/>
                <w:kern w:val="2"/>
                <w:sz w:val="21"/>
                <w:szCs w:val="22"/>
                <w:lang w:val="en-US" w:eastAsia="zh-CN" w:bidi="ar-SA"/>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6E75B7F5">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4</w:t>
            </w:r>
          </w:p>
        </w:tc>
      </w:tr>
    </w:tbl>
    <w:p w14:paraId="7E43D546">
      <w:pPr>
        <w:numPr>
          <w:ilvl w:val="0"/>
          <w:numId w:val="0"/>
        </w:numPr>
        <w:spacing w:line="579" w:lineRule="exact"/>
        <w:ind w:firstLine="293" w:firstLineChars="1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B11.预算编制合理性</w:t>
      </w:r>
    </w:p>
    <w:p w14:paraId="089CE0F7">
      <w:pPr>
        <w:numPr>
          <w:ilvl w:val="0"/>
          <w:numId w:val="0"/>
        </w:numPr>
        <w:spacing w:line="579" w:lineRule="exact"/>
        <w:ind w:firstLine="584" w:firstLineChars="200"/>
        <w:outlineLvl w:val="0"/>
        <w:rPr>
          <w:rFonts w:hint="eastAsia" w:ascii="仿宋_GB2312" w:hAnsi="仿宋" w:eastAsia="仿宋_GB2312"/>
          <w:color w:val="00B0F0"/>
          <w:spacing w:val="6"/>
          <w:kern w:val="0"/>
          <w:sz w:val="28"/>
          <w:szCs w:val="28"/>
          <w:highlight w:val="none"/>
          <w:lang w:val="en-US" w:eastAsia="zh-CN"/>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B11.预算编制合理性</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w:t>
      </w:r>
      <w:r>
        <w:rPr>
          <w:rFonts w:hint="eastAsia" w:ascii="仿宋_GB2312" w:hAnsi="仿宋" w:eastAsia="仿宋_GB2312"/>
          <w:spacing w:val="6"/>
          <w:kern w:val="0"/>
          <w:sz w:val="28"/>
          <w:szCs w:val="28"/>
          <w:highlight w:val="none"/>
          <w:lang w:val="en-US" w:eastAsia="zh-CN"/>
        </w:rPr>
        <w:t>根据项目经费开支明细表测算，共需30万元完成此项目，年初预算安排财政资金30万元，实际支出30万元，未出现缺口资金，故预算编制合理。</w:t>
      </w:r>
    </w:p>
    <w:p w14:paraId="07E84A1F">
      <w:pPr>
        <w:numPr>
          <w:ilvl w:val="0"/>
          <w:numId w:val="0"/>
        </w:numPr>
        <w:spacing w:line="579" w:lineRule="exact"/>
        <w:ind w:firstLine="584" w:firstLineChars="200"/>
        <w:outlineLvl w:val="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cs="Times New Roman"/>
          <w:color w:val="000000" w:themeColor="text1"/>
          <w:spacing w:val="6"/>
          <w:kern w:val="0"/>
          <w:sz w:val="28"/>
          <w:szCs w:val="28"/>
          <w:highlight w:val="none"/>
          <w:lang w:val="en-US" w:eastAsia="zh-CN"/>
          <w14:textFill>
            <w14:solidFill>
              <w14:schemeClr w14:val="tx1"/>
            </w14:solidFill>
          </w14:textFill>
        </w:rPr>
        <w:t>该项指标满分1分，根据评分标准得1分。</w:t>
      </w:r>
    </w:p>
    <w:p w14:paraId="33DE3B5F">
      <w:pPr>
        <w:numPr>
          <w:ilvl w:val="0"/>
          <w:numId w:val="0"/>
        </w:numPr>
        <w:spacing w:line="579" w:lineRule="exact"/>
        <w:ind w:firstLine="293" w:firstLineChars="1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B12.预算调整规范性</w:t>
      </w:r>
    </w:p>
    <w:p w14:paraId="1D150CA8">
      <w:pPr>
        <w:numPr>
          <w:ilvl w:val="0"/>
          <w:numId w:val="0"/>
        </w:numPr>
        <w:spacing w:line="590" w:lineRule="exact"/>
        <w:ind w:firstLine="292" w:firstLineChars="100"/>
        <w:rPr>
          <w:rFonts w:hint="default" w:ascii="仿宋_GB2312" w:hAnsi="仿宋" w:eastAsia="仿宋_GB2312"/>
          <w:spacing w:val="6"/>
          <w:kern w:val="0"/>
          <w:sz w:val="28"/>
          <w:szCs w:val="28"/>
          <w:highlight w:val="none"/>
          <w:u w:val="none"/>
          <w:lang w:val="en-US" w:eastAsia="zh-CN"/>
        </w:rPr>
      </w:pPr>
      <w:r>
        <w:rPr>
          <w:rFonts w:hint="default" w:ascii="仿宋_GB2312" w:hAnsi="仿宋" w:eastAsia="仿宋_GB2312"/>
          <w:spacing w:val="6"/>
          <w:kern w:val="0"/>
          <w:sz w:val="28"/>
          <w:szCs w:val="28"/>
          <w:highlight w:val="none"/>
          <w:u w:val="single"/>
          <w:lang w:val="en-US" w:eastAsia="zh-CN"/>
        </w:rPr>
        <w:t>B12.预算调整规范性</w:t>
      </w:r>
      <w:r>
        <w:rPr>
          <w:rFonts w:hint="eastAsia" w:ascii="仿宋_GB2312" w:hAnsi="仿宋" w:eastAsia="仿宋_GB2312"/>
          <w:spacing w:val="6"/>
          <w:kern w:val="0"/>
          <w:sz w:val="28"/>
          <w:szCs w:val="28"/>
          <w:highlight w:val="none"/>
          <w:u w:val="none"/>
          <w:lang w:val="en-US" w:eastAsia="zh-CN"/>
        </w:rPr>
        <w:t>：本项目未进行预算调整。</w:t>
      </w:r>
    </w:p>
    <w:p w14:paraId="5DEA1797">
      <w:pPr>
        <w:numPr>
          <w:ilvl w:val="0"/>
          <w:numId w:val="0"/>
        </w:numPr>
        <w:spacing w:line="590" w:lineRule="exact"/>
        <w:ind w:firstLine="584" w:firstLineChars="200"/>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42A2E840">
      <w:pPr>
        <w:numPr>
          <w:ilvl w:val="0"/>
          <w:numId w:val="0"/>
        </w:numPr>
        <w:spacing w:line="579" w:lineRule="exact"/>
        <w:ind w:firstLine="293" w:firstLineChars="1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B13.预算执行率</w:t>
      </w:r>
    </w:p>
    <w:p w14:paraId="3E258BD8">
      <w:pPr>
        <w:numPr>
          <w:ilvl w:val="0"/>
          <w:numId w:val="0"/>
        </w:numPr>
        <w:spacing w:line="579" w:lineRule="exact"/>
        <w:ind w:firstLine="584" w:firstLineChars="200"/>
        <w:outlineLvl w:val="0"/>
        <w:rPr>
          <w:rFonts w:hint="eastAsia" w:ascii="仿宋_GB2312" w:hAnsi="仿宋" w:eastAsia="仿宋_GB2312"/>
          <w:color w:val="00B0F0"/>
          <w:spacing w:val="6"/>
          <w:kern w:val="0"/>
          <w:sz w:val="28"/>
          <w:szCs w:val="28"/>
          <w:highlight w:val="none"/>
          <w:u w:val="none"/>
          <w:lang w:val="en-US" w:eastAsia="zh-CN"/>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B13.预算执行率</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spacing w:val="6"/>
          <w:kern w:val="0"/>
          <w:sz w:val="28"/>
          <w:szCs w:val="28"/>
          <w:highlight w:val="none"/>
          <w:lang w:val="en-US" w:eastAsia="zh-CN"/>
        </w:rPr>
        <w:t>年初预算安排财政资金30万元，</w:t>
      </w:r>
      <w:r>
        <w:rPr>
          <w:rFonts w:hint="default" w:ascii="仿宋_GB2312" w:hAnsi="仿宋" w:eastAsia="仿宋_GB2312"/>
          <w:spacing w:val="6"/>
          <w:kern w:val="0"/>
          <w:sz w:val="28"/>
          <w:szCs w:val="28"/>
          <w:highlight w:val="none"/>
          <w:lang w:val="en-US" w:eastAsia="zh-CN"/>
        </w:rPr>
        <w:t>截至201</w:t>
      </w:r>
      <w:r>
        <w:rPr>
          <w:rFonts w:hint="eastAsia" w:ascii="仿宋_GB2312" w:hAnsi="仿宋" w:eastAsia="仿宋_GB2312"/>
          <w:spacing w:val="6"/>
          <w:kern w:val="0"/>
          <w:sz w:val="28"/>
          <w:szCs w:val="28"/>
          <w:highlight w:val="none"/>
          <w:lang w:val="en-US" w:eastAsia="zh-CN"/>
        </w:rPr>
        <w:t>9</w:t>
      </w:r>
      <w:r>
        <w:rPr>
          <w:rFonts w:hint="default" w:ascii="仿宋_GB2312" w:hAnsi="仿宋" w:eastAsia="仿宋_GB2312"/>
          <w:spacing w:val="6"/>
          <w:kern w:val="0"/>
          <w:sz w:val="28"/>
          <w:szCs w:val="28"/>
          <w:highlight w:val="none"/>
          <w:lang w:val="en-US" w:eastAsia="zh-CN"/>
        </w:rPr>
        <w:t>年</w:t>
      </w:r>
      <w:r>
        <w:rPr>
          <w:rFonts w:hint="eastAsia" w:ascii="仿宋_GB2312" w:hAnsi="仿宋" w:eastAsia="仿宋_GB2312"/>
          <w:spacing w:val="6"/>
          <w:kern w:val="0"/>
          <w:sz w:val="28"/>
          <w:szCs w:val="28"/>
          <w:highlight w:val="none"/>
          <w:lang w:val="en-US" w:eastAsia="zh-CN"/>
        </w:rPr>
        <w:t>12</w:t>
      </w:r>
      <w:r>
        <w:rPr>
          <w:rFonts w:hint="default" w:ascii="仿宋_GB2312" w:hAnsi="仿宋" w:eastAsia="仿宋_GB2312"/>
          <w:spacing w:val="6"/>
          <w:kern w:val="0"/>
          <w:sz w:val="28"/>
          <w:szCs w:val="28"/>
          <w:highlight w:val="none"/>
          <w:lang w:val="en-US" w:eastAsia="zh-CN"/>
        </w:rPr>
        <w:t>月31日</w:t>
      </w:r>
      <w:r>
        <w:rPr>
          <w:rFonts w:hint="eastAsia" w:ascii="仿宋_GB2312" w:hAnsi="仿宋" w:eastAsia="仿宋_GB2312"/>
          <w:spacing w:val="6"/>
          <w:kern w:val="0"/>
          <w:sz w:val="28"/>
          <w:szCs w:val="28"/>
          <w:highlight w:val="none"/>
          <w:lang w:val="en-US" w:eastAsia="zh-CN"/>
        </w:rPr>
        <w:t>资金共计使用30万元</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，资金使用率为100%。</w:t>
      </w:r>
    </w:p>
    <w:p w14:paraId="4A4A4FC2">
      <w:pPr>
        <w:spacing w:line="579" w:lineRule="exact"/>
        <w:ind w:firstLine="584" w:firstLineChars="200"/>
        <w:rPr>
          <w:rFonts w:hint="default" w:ascii="仿宋_GB2312" w:hAnsi="仿宋" w:eastAsia="仿宋_GB2312"/>
          <w:color w:val="00B0F0"/>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484625F4">
      <w:pPr>
        <w:numPr>
          <w:ilvl w:val="0"/>
          <w:numId w:val="7"/>
        </w:numPr>
        <w:spacing w:line="590" w:lineRule="exact"/>
        <w:ind w:left="0" w:leftChars="0"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财务管理</w:t>
      </w:r>
    </w:p>
    <w:p w14:paraId="6A234CC0">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主要考核项目资金使用是否符合预算批复的用途，是否存在截留、挤占、挪用、虚列支出等情况，项目的财务制度是否健全、完善、有效，资金拨付是否具有完整的审批程序和手续，是否符合相关制度规定。各指标权重分值、业绩值及得分情况详见表7。</w:t>
      </w:r>
    </w:p>
    <w:p w14:paraId="76374146">
      <w:pPr>
        <w:jc w:val="both"/>
        <w:rPr>
          <w:rFonts w:hint="eastAsia" w:ascii="黑体" w:hAnsi="黑体" w:eastAsia="黑体"/>
          <w:kern w:val="2"/>
          <w:sz w:val="24"/>
          <w:szCs w:val="24"/>
        </w:rPr>
      </w:pPr>
    </w:p>
    <w:p w14:paraId="3F5B56A6">
      <w:pPr>
        <w:jc w:val="center"/>
        <w:rPr>
          <w:rFonts w:hint="eastAsia" w:ascii="黑体" w:hAnsi="黑体" w:eastAsia="黑体"/>
          <w:kern w:val="2"/>
          <w:sz w:val="24"/>
          <w:szCs w:val="24"/>
        </w:rPr>
      </w:pPr>
    </w:p>
    <w:p w14:paraId="4C883E27">
      <w:pPr>
        <w:jc w:val="center"/>
        <w:rPr>
          <w:rFonts w:ascii="黑体" w:hAnsi="黑体" w:eastAsia="黑体"/>
          <w:kern w:val="2"/>
          <w:sz w:val="24"/>
          <w:szCs w:val="24"/>
        </w:rPr>
      </w:pPr>
      <w:r>
        <w:rPr>
          <w:rFonts w:hint="eastAsia" w:ascii="黑体" w:hAnsi="黑体" w:eastAsia="黑体"/>
          <w:kern w:val="2"/>
          <w:sz w:val="24"/>
          <w:szCs w:val="24"/>
        </w:rPr>
        <w:t>表</w:t>
      </w:r>
      <w:r>
        <w:rPr>
          <w:rFonts w:hint="eastAsia" w:ascii="黑体" w:hAnsi="黑体" w:eastAsia="黑体"/>
          <w:kern w:val="2"/>
          <w:sz w:val="24"/>
          <w:szCs w:val="24"/>
          <w:lang w:val="en-US" w:eastAsia="zh-CN"/>
        </w:rPr>
        <w:t>7 财务管理类指标评分表</w:t>
      </w:r>
    </w:p>
    <w:tbl>
      <w:tblPr>
        <w:tblStyle w:val="8"/>
        <w:tblW w:w="4998" w:type="pct"/>
        <w:jc w:val="center"/>
        <w:tblLayout w:type="autofit"/>
        <w:tblCellMar>
          <w:top w:w="57" w:type="dxa"/>
          <w:left w:w="57" w:type="dxa"/>
          <w:bottom w:w="57" w:type="dxa"/>
          <w:right w:w="57" w:type="dxa"/>
        </w:tblCellMar>
      </w:tblPr>
      <w:tblGrid>
        <w:gridCol w:w="4901"/>
        <w:gridCol w:w="1049"/>
        <w:gridCol w:w="1519"/>
        <w:gridCol w:w="948"/>
      </w:tblGrid>
      <w:tr w14:paraId="006680AC">
        <w:tblPrEx>
          <w:tblCellMar>
            <w:top w:w="57" w:type="dxa"/>
            <w:left w:w="57" w:type="dxa"/>
            <w:bottom w:w="57" w:type="dxa"/>
            <w:right w:w="57" w:type="dxa"/>
          </w:tblCellMar>
        </w:tblPrEx>
        <w:trPr>
          <w:trHeight w:val="174" w:hRule="atLeast"/>
          <w:tblHeader/>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2E96C19E">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指标名称</w:t>
            </w:r>
          </w:p>
        </w:tc>
        <w:tc>
          <w:tcPr>
            <w:tcW w:w="623" w:type="pct"/>
            <w:tcBorders>
              <w:top w:val="single" w:color="auto" w:sz="4" w:space="0"/>
              <w:left w:val="nil"/>
              <w:bottom w:val="single" w:color="auto" w:sz="4" w:space="0"/>
              <w:right w:val="single" w:color="auto" w:sz="4" w:space="0"/>
            </w:tcBorders>
            <w:shd w:val="clear" w:color="auto" w:fill="auto"/>
            <w:vAlign w:val="center"/>
          </w:tcPr>
          <w:p w14:paraId="7505EF2C">
            <w:pPr>
              <w:widowControl/>
              <w:spacing w:line="300" w:lineRule="exact"/>
              <w:jc w:val="center"/>
              <w:rPr>
                <w:rFonts w:hint="eastAsia" w:hAnsi="仿宋" w:eastAsia="宋体" w:cs="宋体"/>
                <w:b/>
                <w:bCs/>
                <w:color w:val="000000"/>
                <w:kern w:val="2"/>
                <w:sz w:val="21"/>
                <w:lang w:eastAsia="zh-CN"/>
              </w:rPr>
            </w:pPr>
            <w:r>
              <w:rPr>
                <w:rFonts w:hint="eastAsia" w:hAnsi="仿宋" w:cs="宋体"/>
                <w:b/>
                <w:bCs/>
                <w:color w:val="000000"/>
                <w:kern w:val="2"/>
                <w:sz w:val="21"/>
              </w:rPr>
              <w:t>指标</w:t>
            </w:r>
            <w:r>
              <w:rPr>
                <w:rFonts w:hint="eastAsia" w:hAnsi="仿宋" w:cs="宋体"/>
                <w:b/>
                <w:bCs/>
                <w:color w:val="000000"/>
                <w:kern w:val="2"/>
                <w:sz w:val="21"/>
                <w:lang w:val="en-US" w:eastAsia="zh-CN"/>
              </w:rPr>
              <w:t>权重</w:t>
            </w:r>
          </w:p>
        </w:tc>
        <w:tc>
          <w:tcPr>
            <w:tcW w:w="902" w:type="pct"/>
            <w:tcBorders>
              <w:top w:val="single" w:color="auto" w:sz="4" w:space="0"/>
              <w:left w:val="nil"/>
              <w:bottom w:val="single" w:color="auto" w:sz="4" w:space="0"/>
              <w:right w:val="single" w:color="auto" w:sz="4" w:space="0"/>
            </w:tcBorders>
            <w:shd w:val="clear" w:color="auto" w:fill="auto"/>
            <w:vAlign w:val="center"/>
          </w:tcPr>
          <w:p w14:paraId="54BDBA4C">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业绩值</w:t>
            </w:r>
          </w:p>
        </w:tc>
        <w:tc>
          <w:tcPr>
            <w:tcW w:w="563" w:type="pct"/>
            <w:tcBorders>
              <w:top w:val="single" w:color="auto" w:sz="4" w:space="0"/>
              <w:left w:val="nil"/>
              <w:bottom w:val="single" w:color="auto" w:sz="4" w:space="0"/>
              <w:right w:val="single" w:color="auto" w:sz="4" w:space="0"/>
            </w:tcBorders>
            <w:shd w:val="clear" w:color="auto" w:fill="auto"/>
            <w:vAlign w:val="center"/>
          </w:tcPr>
          <w:p w14:paraId="161F36B8">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实际得分</w:t>
            </w:r>
          </w:p>
        </w:tc>
      </w:tr>
      <w:tr w14:paraId="6BD7355A">
        <w:tblPrEx>
          <w:tblCellMar>
            <w:top w:w="57" w:type="dxa"/>
            <w:left w:w="57" w:type="dxa"/>
            <w:bottom w:w="57" w:type="dxa"/>
            <w:right w:w="57" w:type="dxa"/>
          </w:tblCellMar>
        </w:tblPrEx>
        <w:trPr>
          <w:trHeight w:val="90" w:hRule="atLeast"/>
          <w:jc w:val="center"/>
        </w:trPr>
        <w:tc>
          <w:tcPr>
            <w:tcW w:w="2911" w:type="pct"/>
            <w:tcBorders>
              <w:top w:val="nil"/>
              <w:left w:val="single" w:color="auto" w:sz="4" w:space="0"/>
              <w:bottom w:val="single" w:color="auto" w:sz="4" w:space="0"/>
              <w:right w:val="single" w:color="auto" w:sz="4" w:space="0"/>
            </w:tcBorders>
            <w:shd w:val="clear" w:color="auto" w:fill="auto"/>
            <w:vAlign w:val="center"/>
          </w:tcPr>
          <w:p w14:paraId="7625D918">
            <w:pPr>
              <w:widowControl/>
              <w:spacing w:line="300" w:lineRule="exact"/>
              <w:jc w:val="both"/>
              <w:rPr>
                <w:rFonts w:hint="default" w:hAnsi="仿宋" w:cs="宋体"/>
                <w:color w:val="000000"/>
                <w:kern w:val="2"/>
                <w:sz w:val="21"/>
                <w:lang w:val="en-US"/>
              </w:rPr>
            </w:pPr>
            <w:r>
              <w:rPr>
                <w:rFonts w:hint="default" w:hAnsi="仿宋" w:cs="宋体"/>
                <w:color w:val="000000"/>
                <w:kern w:val="2"/>
                <w:sz w:val="21"/>
                <w:lang w:val="en-US"/>
              </w:rPr>
              <w:t>B21.资金使用情况</w:t>
            </w:r>
          </w:p>
        </w:tc>
        <w:tc>
          <w:tcPr>
            <w:tcW w:w="623" w:type="pct"/>
            <w:tcBorders>
              <w:top w:val="nil"/>
              <w:left w:val="nil"/>
              <w:bottom w:val="single" w:color="auto" w:sz="4" w:space="0"/>
              <w:right w:val="single" w:color="auto" w:sz="4" w:space="0"/>
            </w:tcBorders>
            <w:shd w:val="clear" w:color="auto" w:fill="auto"/>
            <w:vAlign w:val="center"/>
          </w:tcPr>
          <w:p w14:paraId="76EE7B3D">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2</w:t>
            </w:r>
          </w:p>
        </w:tc>
        <w:tc>
          <w:tcPr>
            <w:tcW w:w="902" w:type="pct"/>
            <w:tcBorders>
              <w:top w:val="nil"/>
              <w:left w:val="nil"/>
              <w:bottom w:val="single" w:color="auto" w:sz="4" w:space="0"/>
              <w:right w:val="single" w:color="auto" w:sz="4" w:space="0"/>
            </w:tcBorders>
            <w:shd w:val="clear" w:color="auto" w:fill="auto"/>
            <w:vAlign w:val="center"/>
          </w:tcPr>
          <w:p w14:paraId="03BBFF66">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符合相关规定</w:t>
            </w:r>
          </w:p>
        </w:tc>
        <w:tc>
          <w:tcPr>
            <w:tcW w:w="563" w:type="pct"/>
            <w:tcBorders>
              <w:top w:val="nil"/>
              <w:left w:val="nil"/>
              <w:bottom w:val="single" w:color="auto" w:sz="4" w:space="0"/>
              <w:right w:val="single" w:color="auto" w:sz="4" w:space="0"/>
            </w:tcBorders>
            <w:shd w:val="clear" w:color="auto" w:fill="auto"/>
            <w:vAlign w:val="center"/>
          </w:tcPr>
          <w:p w14:paraId="1F419C0C">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2</w:t>
            </w:r>
          </w:p>
        </w:tc>
      </w:tr>
      <w:tr w14:paraId="175F2057">
        <w:tblPrEx>
          <w:tblCellMar>
            <w:top w:w="57" w:type="dxa"/>
            <w:left w:w="57" w:type="dxa"/>
            <w:bottom w:w="57" w:type="dxa"/>
            <w:right w:w="57" w:type="dxa"/>
          </w:tblCellMar>
        </w:tblPrEx>
        <w:trPr>
          <w:trHeight w:val="90" w:hRule="atLeast"/>
          <w:jc w:val="center"/>
        </w:trPr>
        <w:tc>
          <w:tcPr>
            <w:tcW w:w="2911" w:type="pct"/>
            <w:tcBorders>
              <w:top w:val="nil"/>
              <w:left w:val="single" w:color="auto" w:sz="4" w:space="0"/>
              <w:bottom w:val="single" w:color="auto" w:sz="4" w:space="0"/>
              <w:right w:val="single" w:color="auto" w:sz="4" w:space="0"/>
            </w:tcBorders>
            <w:shd w:val="clear" w:color="auto" w:fill="auto"/>
            <w:vAlign w:val="center"/>
          </w:tcPr>
          <w:p w14:paraId="4982F15F">
            <w:pPr>
              <w:widowControl/>
              <w:spacing w:line="300" w:lineRule="exact"/>
              <w:jc w:val="both"/>
              <w:rPr>
                <w:rFonts w:hint="default" w:hAnsi="仿宋" w:cs="宋体"/>
                <w:color w:val="000000"/>
                <w:kern w:val="2"/>
                <w:sz w:val="21"/>
                <w:lang w:val="en-US"/>
              </w:rPr>
            </w:pPr>
            <w:r>
              <w:rPr>
                <w:rFonts w:hint="default" w:hAnsi="仿宋" w:cs="宋体"/>
                <w:color w:val="000000"/>
                <w:kern w:val="2"/>
                <w:sz w:val="21"/>
                <w:lang w:val="en-US"/>
              </w:rPr>
              <w:t>B22.财务管理制度健全性</w:t>
            </w:r>
          </w:p>
        </w:tc>
        <w:tc>
          <w:tcPr>
            <w:tcW w:w="623" w:type="pct"/>
            <w:tcBorders>
              <w:top w:val="nil"/>
              <w:left w:val="nil"/>
              <w:bottom w:val="single" w:color="auto" w:sz="4" w:space="0"/>
              <w:right w:val="single" w:color="auto" w:sz="4" w:space="0"/>
            </w:tcBorders>
            <w:shd w:val="clear" w:color="auto" w:fill="auto"/>
            <w:vAlign w:val="center"/>
          </w:tcPr>
          <w:p w14:paraId="689E9A8A">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c>
          <w:tcPr>
            <w:tcW w:w="902" w:type="pct"/>
            <w:tcBorders>
              <w:top w:val="nil"/>
              <w:left w:val="nil"/>
              <w:bottom w:val="single" w:color="auto" w:sz="4" w:space="0"/>
              <w:right w:val="single" w:color="auto" w:sz="4" w:space="0"/>
            </w:tcBorders>
            <w:shd w:val="clear" w:color="auto" w:fill="auto"/>
            <w:vAlign w:val="center"/>
          </w:tcPr>
          <w:p w14:paraId="359B76E5">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健全</w:t>
            </w:r>
          </w:p>
        </w:tc>
        <w:tc>
          <w:tcPr>
            <w:tcW w:w="563" w:type="pct"/>
            <w:tcBorders>
              <w:top w:val="nil"/>
              <w:left w:val="nil"/>
              <w:bottom w:val="single" w:color="auto" w:sz="4" w:space="0"/>
              <w:right w:val="single" w:color="auto" w:sz="4" w:space="0"/>
            </w:tcBorders>
            <w:shd w:val="clear" w:color="auto" w:fill="auto"/>
            <w:vAlign w:val="center"/>
          </w:tcPr>
          <w:p w14:paraId="68457A3B">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r>
      <w:tr w14:paraId="00D68B90">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38537A7A">
            <w:pPr>
              <w:widowControl/>
              <w:spacing w:line="300" w:lineRule="exact"/>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B23.财务监控有效性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00722544">
            <w:pPr>
              <w:widowControl/>
              <w:spacing w:line="300" w:lineRule="exact"/>
              <w:jc w:val="center"/>
              <w:rPr>
                <w:rFonts w:hint="default" w:ascii="Calibri" w:hAnsi="仿宋" w:eastAsia="宋体" w:cs="宋体"/>
                <w:color w:val="000000"/>
                <w:kern w:val="2"/>
                <w:sz w:val="21"/>
                <w:szCs w:val="22"/>
                <w:lang w:val="en-US" w:eastAsia="zh-CN" w:bidi="ar-SA"/>
              </w:rPr>
            </w:pP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47D022F4">
            <w:pPr>
              <w:widowControl/>
              <w:spacing w:line="300" w:lineRule="exact"/>
              <w:jc w:val="center"/>
              <w:rPr>
                <w:rFonts w:hint="default" w:ascii="Calibri" w:hAnsi="仿宋" w:eastAsia="宋体" w:cs="宋体"/>
                <w:color w:val="000000"/>
                <w:kern w:val="2"/>
                <w:sz w:val="21"/>
                <w:szCs w:val="22"/>
                <w:lang w:val="en-US" w:eastAsia="zh-CN" w:bidi="ar-SA"/>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11D6B03F">
            <w:pPr>
              <w:widowControl/>
              <w:spacing w:line="300" w:lineRule="exact"/>
              <w:jc w:val="center"/>
              <w:rPr>
                <w:rFonts w:hint="default" w:ascii="Calibri" w:hAnsi="仿宋" w:eastAsia="宋体" w:cs="宋体"/>
                <w:color w:val="000000"/>
                <w:kern w:val="2"/>
                <w:sz w:val="21"/>
                <w:szCs w:val="22"/>
                <w:lang w:val="en-US" w:eastAsia="zh-CN" w:bidi="ar-SA"/>
              </w:rPr>
            </w:pPr>
          </w:p>
        </w:tc>
      </w:tr>
      <w:tr w14:paraId="1612C289">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3D60F8C0">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B231.资金拨付程序完整性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1F8601B1">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21BC4469">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完整</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3E5BCB20">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r>
      <w:tr w14:paraId="409BC751">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30A81E63">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B232财务制度执行有效性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1A5C7BCE">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7BCA58A1">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有效</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3074B093">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r>
      <w:tr w14:paraId="6092F103">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72C8E4AA">
            <w:pPr>
              <w:widowControl/>
              <w:spacing w:line="300" w:lineRule="exact"/>
              <w:ind w:firstLine="420" w:firstLineChars="200"/>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合计</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04A827CB">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6</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3C7BF3DD">
            <w:pPr>
              <w:widowControl/>
              <w:spacing w:line="300" w:lineRule="exact"/>
              <w:jc w:val="center"/>
              <w:rPr>
                <w:rFonts w:hint="eastAsia" w:hAnsi="仿宋" w:cs="宋体"/>
                <w:color w:val="000000"/>
                <w:kern w:val="2"/>
                <w:sz w:val="21"/>
                <w:szCs w:val="22"/>
                <w:lang w:val="en-US" w:eastAsia="zh-CN" w:bidi="ar-SA"/>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54A3DD16">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6</w:t>
            </w:r>
          </w:p>
        </w:tc>
      </w:tr>
    </w:tbl>
    <w:p w14:paraId="30208CB7">
      <w:pPr>
        <w:numPr>
          <w:ilvl w:val="0"/>
          <w:numId w:val="0"/>
        </w:numPr>
        <w:spacing w:line="579" w:lineRule="exact"/>
        <w:ind w:firstLine="293" w:firstLineChars="1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B21.资金使用情况</w:t>
      </w:r>
    </w:p>
    <w:p w14:paraId="4AA22D67">
      <w:pPr>
        <w:spacing w:line="579" w:lineRule="exact"/>
        <w:ind w:firstLine="292" w:firstLineChars="100"/>
        <w:rPr>
          <w:rFonts w:hint="eastAsia" w:ascii="仿宋_GB2312" w:hAnsi="仿宋" w:eastAsia="仿宋_GB2312"/>
          <w:spacing w:val="6"/>
          <w:kern w:val="0"/>
          <w:sz w:val="28"/>
          <w:szCs w:val="28"/>
          <w:highlight w:val="none"/>
          <w:lang w:val="en-US" w:eastAsia="zh-CN"/>
        </w:rPr>
      </w:pPr>
      <w:r>
        <w:rPr>
          <w:rFonts w:hint="default" w:ascii="仿宋_GB2312" w:hAnsi="仿宋" w:eastAsia="仿宋_GB2312"/>
          <w:spacing w:val="6"/>
          <w:kern w:val="0"/>
          <w:sz w:val="28"/>
          <w:szCs w:val="28"/>
          <w:highlight w:val="none"/>
          <w:u w:val="single"/>
          <w:lang w:val="en-US" w:eastAsia="zh-CN"/>
        </w:rPr>
        <w:t>B21.资金使用情况</w:t>
      </w:r>
      <w:r>
        <w:rPr>
          <w:rFonts w:hint="eastAsia" w:ascii="仿宋_GB2312" w:hAnsi="仿宋" w:eastAsia="仿宋_GB2312"/>
          <w:spacing w:val="6"/>
          <w:kern w:val="0"/>
          <w:sz w:val="28"/>
          <w:szCs w:val="28"/>
          <w:highlight w:val="none"/>
          <w:lang w:val="en-US" w:eastAsia="zh-CN"/>
        </w:rPr>
        <w:t>：通过查阅项目预算批复、项目原始凭证、支付指令、合同等相关资料，本项目资金使用符合预算批复的用途，不存在截留、挤占、挪用、虚列支出等情况。</w:t>
      </w:r>
    </w:p>
    <w:p w14:paraId="1D24CBDD">
      <w:pPr>
        <w:numPr>
          <w:ilvl w:val="0"/>
          <w:numId w:val="0"/>
        </w:numPr>
        <w:spacing w:line="590"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201825DB">
      <w:pPr>
        <w:numPr>
          <w:ilvl w:val="0"/>
          <w:numId w:val="0"/>
        </w:numPr>
        <w:spacing w:line="579" w:lineRule="exact"/>
        <w:ind w:firstLine="293" w:firstLineChars="1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B22.财务管理制度健全性</w:t>
      </w:r>
    </w:p>
    <w:p w14:paraId="36EF7C0F">
      <w:pPr>
        <w:jc w:val="left"/>
        <w:rPr>
          <w:rFonts w:hint="eastAsia" w:ascii="仿宋_GB2312" w:hAnsi="仿宋" w:eastAsia="仿宋_GB2312"/>
          <w:spacing w:val="6"/>
          <w:kern w:val="0"/>
          <w:sz w:val="28"/>
          <w:szCs w:val="28"/>
          <w:highlight w:val="none"/>
          <w:lang w:val="en-US" w:eastAsia="zh-CN"/>
        </w:rPr>
      </w:pPr>
      <w:r>
        <w:rPr>
          <w:rFonts w:hint="default" w:ascii="仿宋_GB2312" w:hAnsi="仿宋" w:eastAsia="仿宋_GB2312"/>
          <w:spacing w:val="6"/>
          <w:kern w:val="0"/>
          <w:sz w:val="28"/>
          <w:szCs w:val="28"/>
          <w:highlight w:val="none"/>
          <w:u w:val="single"/>
          <w:lang w:val="en-US" w:eastAsia="zh-CN"/>
        </w:rPr>
        <w:t>B22.财务管理制度健全性</w:t>
      </w:r>
      <w:r>
        <w:rPr>
          <w:rFonts w:hint="eastAsia" w:ascii="仿宋_GB2312" w:hAnsi="仿宋" w:eastAsia="仿宋_GB2312"/>
          <w:spacing w:val="6"/>
          <w:kern w:val="0"/>
          <w:sz w:val="28"/>
          <w:szCs w:val="28"/>
          <w:highlight w:val="none"/>
          <w:lang w:val="en-US" w:eastAsia="zh-CN"/>
        </w:rPr>
        <w:t>：</w:t>
      </w:r>
      <w:r>
        <w:rPr>
          <w:rFonts w:hint="eastAsia" w:ascii="仿宋_GB2312" w:hAnsi="仿宋" w:eastAsia="仿宋_GB2312"/>
          <w:b w:val="0"/>
          <w:bCs w:val="0"/>
          <w:spacing w:val="6"/>
          <w:kern w:val="0"/>
          <w:sz w:val="28"/>
          <w:szCs w:val="28"/>
          <w:highlight w:val="none"/>
          <w:u w:val="none"/>
          <w:lang w:val="en-US" w:eastAsia="zh-CN"/>
        </w:rPr>
        <w:t>昆明市生态环境局盘龙分局</w:t>
      </w:r>
      <w:r>
        <w:rPr>
          <w:rFonts w:hint="eastAsia" w:ascii="仿宋_GB2312" w:hAnsi="仿宋" w:eastAsia="仿宋_GB2312"/>
          <w:spacing w:val="6"/>
          <w:kern w:val="0"/>
          <w:sz w:val="28"/>
          <w:szCs w:val="28"/>
          <w:highlight w:val="none"/>
          <w:lang w:val="en-US" w:eastAsia="zh-CN"/>
        </w:rPr>
        <w:t>在资金管理上，严格按照《大额资金使用管理制度》、《经费支出管理办法》、《昆明市生态环境局盘龙分局收支管理内部控制流程》对该项目资金进行全过程跟踪管理，项目财务管理办法符合相关财务会计制度的规定，未发现需要完善的风险控制环节。</w:t>
      </w:r>
    </w:p>
    <w:p w14:paraId="32E98184">
      <w:p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3C563F0E">
      <w:pPr>
        <w:numPr>
          <w:ilvl w:val="0"/>
          <w:numId w:val="0"/>
        </w:numPr>
        <w:spacing w:line="579" w:lineRule="exact"/>
        <w:ind w:firstLine="293" w:firstLineChars="1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B23.财务监控有效性</w:t>
      </w:r>
    </w:p>
    <w:p w14:paraId="05606A7B">
      <w:pPr>
        <w:ind w:firstLine="292" w:firstLineChars="100"/>
        <w:rPr>
          <w:rFonts w:hint="eastAsia" w:ascii="仿宋_GB2312" w:hAnsi="仿宋" w:eastAsia="仿宋_GB2312"/>
          <w:spacing w:val="6"/>
          <w:kern w:val="0"/>
          <w:sz w:val="28"/>
          <w:szCs w:val="28"/>
          <w:highlight w:val="none"/>
          <w:lang w:val="zh-CN" w:eastAsia="zh-CN"/>
        </w:rPr>
      </w:pPr>
      <w:r>
        <w:rPr>
          <w:rFonts w:hint="eastAsia" w:ascii="仿宋_GB2312" w:hAnsi="仿宋" w:eastAsia="仿宋_GB2312"/>
          <w:spacing w:val="6"/>
          <w:kern w:val="0"/>
          <w:sz w:val="28"/>
          <w:szCs w:val="28"/>
          <w:highlight w:val="none"/>
          <w:u w:val="single"/>
          <w:lang w:val="en-US" w:eastAsia="zh-CN"/>
        </w:rPr>
        <w:t>B231.资金拨付程序完整性</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spacing w:val="6"/>
          <w:kern w:val="0"/>
          <w:sz w:val="28"/>
          <w:szCs w:val="28"/>
          <w:highlight w:val="none"/>
          <w:lang w:val="zh-CN" w:eastAsia="zh-CN"/>
        </w:rPr>
        <w:t>本项目的资金拨付程序为</w:t>
      </w:r>
      <w:r>
        <w:rPr>
          <w:rFonts w:hint="eastAsia" w:ascii="仿宋_GB2312" w:hAnsi="仿宋" w:eastAsia="仿宋_GB2312"/>
          <w:b w:val="0"/>
          <w:bCs w:val="0"/>
          <w:spacing w:val="6"/>
          <w:kern w:val="0"/>
          <w:sz w:val="28"/>
          <w:szCs w:val="28"/>
          <w:highlight w:val="none"/>
          <w:u w:val="none"/>
          <w:lang w:val="en-US" w:eastAsia="zh-CN"/>
        </w:rPr>
        <w:t>昆明市生态环境局盘龙分局</w:t>
      </w:r>
      <w:r>
        <w:rPr>
          <w:rFonts w:hint="eastAsia" w:ascii="仿宋_GB2312" w:hAnsi="仿宋" w:eastAsia="仿宋_GB2312"/>
          <w:spacing w:val="6"/>
          <w:kern w:val="0"/>
          <w:sz w:val="28"/>
          <w:szCs w:val="28"/>
          <w:highlight w:val="none"/>
          <w:lang w:val="en-US" w:eastAsia="zh-CN"/>
        </w:rPr>
        <w:t>根据项目合同及用款申请</w:t>
      </w:r>
      <w:r>
        <w:rPr>
          <w:rFonts w:hint="eastAsia" w:ascii="仿宋_GB2312" w:hAnsi="仿宋" w:eastAsia="仿宋_GB2312"/>
          <w:spacing w:val="6"/>
          <w:kern w:val="0"/>
          <w:sz w:val="28"/>
          <w:szCs w:val="28"/>
          <w:highlight w:val="none"/>
          <w:lang w:val="zh-CN" w:eastAsia="zh-CN"/>
        </w:rPr>
        <w:t>填写付款申请书，经分管领导复核签字后，交单位负责人审批，财务科支付资金，通过查阅相关的申请审批材料,资金拨付各环节程序完整。</w:t>
      </w:r>
    </w:p>
    <w:p w14:paraId="629422EA">
      <w:pPr>
        <w:spacing w:line="579" w:lineRule="exact"/>
        <w:ind w:firstLine="584" w:firstLineChars="200"/>
        <w:outlineLvl w:val="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62F2AE0E">
      <w:pPr>
        <w:spacing w:line="579" w:lineRule="exact"/>
        <w:ind w:firstLine="584" w:firstLineChars="200"/>
        <w:rPr>
          <w:rFonts w:hint="eastAsia" w:ascii="仿宋_GB2312" w:hAnsi="仿宋" w:eastAsia="仿宋_GB2312"/>
          <w:spacing w:val="6"/>
          <w:kern w:val="0"/>
          <w:sz w:val="28"/>
          <w:szCs w:val="28"/>
          <w:highlight w:val="none"/>
          <w:lang w:val="zh-CN" w:eastAsia="zh-CN"/>
        </w:rPr>
      </w:pPr>
      <w:r>
        <w:rPr>
          <w:rFonts w:hint="default" w:ascii="仿宋_GB2312" w:hAnsi="仿宋" w:eastAsia="仿宋_GB2312"/>
          <w:spacing w:val="6"/>
          <w:kern w:val="0"/>
          <w:sz w:val="28"/>
          <w:szCs w:val="28"/>
          <w:highlight w:val="none"/>
          <w:u w:val="single"/>
          <w:lang w:val="en-US" w:eastAsia="zh-CN"/>
        </w:rPr>
        <w:t>B232财务制度执行有效性</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spacing w:val="6"/>
          <w:kern w:val="0"/>
          <w:sz w:val="28"/>
          <w:szCs w:val="28"/>
          <w:highlight w:val="none"/>
          <w:lang w:val="zh-CN" w:eastAsia="zh-CN"/>
        </w:rPr>
        <w:t>根据</w:t>
      </w:r>
      <w:r>
        <w:rPr>
          <w:rFonts w:hint="eastAsia" w:ascii="仿宋_GB2312" w:hAnsi="仿宋" w:eastAsia="仿宋_GB2312"/>
          <w:spacing w:val="6"/>
          <w:kern w:val="0"/>
          <w:sz w:val="28"/>
          <w:szCs w:val="28"/>
          <w:highlight w:val="none"/>
          <w:lang w:val="en-US" w:eastAsia="zh-CN"/>
        </w:rPr>
        <w:t>财务</w:t>
      </w:r>
      <w:r>
        <w:rPr>
          <w:rFonts w:hint="eastAsia" w:ascii="仿宋_GB2312" w:hAnsi="仿宋" w:eastAsia="仿宋_GB2312"/>
          <w:spacing w:val="6"/>
          <w:kern w:val="0"/>
          <w:sz w:val="28"/>
          <w:szCs w:val="28"/>
          <w:highlight w:val="none"/>
          <w:lang w:val="zh-CN" w:eastAsia="zh-CN"/>
        </w:rPr>
        <w:t>制度中的规定,项目组查 阅了相关的资料，相关制度规定</w:t>
      </w:r>
      <w:r>
        <w:rPr>
          <w:rFonts w:hint="eastAsia" w:ascii="仿宋_GB2312" w:hAnsi="仿宋" w:eastAsia="仿宋_GB2312"/>
          <w:spacing w:val="6"/>
          <w:kern w:val="0"/>
          <w:sz w:val="28"/>
          <w:szCs w:val="28"/>
          <w:highlight w:val="none"/>
          <w:lang w:val="en-US" w:eastAsia="zh-CN"/>
        </w:rPr>
        <w:t>均</w:t>
      </w:r>
      <w:r>
        <w:rPr>
          <w:rFonts w:hint="eastAsia" w:ascii="仿宋_GB2312" w:hAnsi="仿宋" w:eastAsia="仿宋_GB2312"/>
          <w:spacing w:val="6"/>
          <w:kern w:val="0"/>
          <w:sz w:val="28"/>
          <w:szCs w:val="28"/>
          <w:highlight w:val="none"/>
          <w:lang w:val="zh-CN" w:eastAsia="zh-CN"/>
        </w:rPr>
        <w:t>得到有效执行。</w:t>
      </w:r>
    </w:p>
    <w:p w14:paraId="51876FA2">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6047C87F">
      <w:pPr>
        <w:numPr>
          <w:ilvl w:val="0"/>
          <w:numId w:val="7"/>
        </w:numPr>
        <w:spacing w:line="590" w:lineRule="exact"/>
        <w:ind w:left="0" w:leftChars="0" w:firstLine="584" w:firstLineChars="200"/>
        <w:rPr>
          <w:rFonts w:hint="default" w:ascii="仿宋_GB2312" w:hAnsi="仿宋" w:eastAsia="仿宋_GB2312"/>
          <w:spacing w:val="6"/>
          <w:kern w:val="0"/>
          <w:sz w:val="28"/>
          <w:szCs w:val="28"/>
          <w:highlight w:val="none"/>
          <w:lang w:val="en-US" w:eastAsia="zh-CN"/>
        </w:rPr>
      </w:pPr>
      <w:r>
        <w:rPr>
          <w:rFonts w:hint="default" w:ascii="仿宋_GB2312" w:hAnsi="仿宋" w:eastAsia="仿宋_GB2312"/>
          <w:spacing w:val="6"/>
          <w:kern w:val="0"/>
          <w:sz w:val="28"/>
          <w:szCs w:val="28"/>
          <w:highlight w:val="none"/>
          <w:lang w:val="en-US" w:eastAsia="zh-CN"/>
        </w:rPr>
        <w:t>项目实施</w:t>
      </w:r>
    </w:p>
    <w:p w14:paraId="1746A97E">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主要考核项目实施单位为保障项目顺利实施制订的与项目直接相关的业务管理制度是否健全、完善和有效，主管部门为保障项目顺利实施采取的监管措施是否明确，是否存在需要完善的风险控制环节，项目实施单位制订的管理制度是否有效执行，主管部门所制订的监管措施是否有效执行，与项目相关的合同是否有效执行，项目实施过程中的相关台账记录是否完整，并符合要求，政府采购是否符合中央、省、市的相关要求，采购流程是否符合相关规定。各指标权重分值、业绩值及得分情况详见表8。</w:t>
      </w:r>
    </w:p>
    <w:p w14:paraId="5BF5582D">
      <w:pPr>
        <w:jc w:val="center"/>
        <w:rPr>
          <w:rFonts w:ascii="黑体" w:hAnsi="黑体" w:eastAsia="黑体"/>
          <w:kern w:val="2"/>
          <w:sz w:val="24"/>
          <w:szCs w:val="24"/>
        </w:rPr>
      </w:pPr>
      <w:r>
        <w:rPr>
          <w:rFonts w:hint="eastAsia" w:ascii="黑体" w:hAnsi="黑体" w:eastAsia="黑体"/>
          <w:kern w:val="2"/>
          <w:sz w:val="24"/>
          <w:szCs w:val="24"/>
        </w:rPr>
        <w:t>表</w:t>
      </w:r>
      <w:r>
        <w:rPr>
          <w:rFonts w:hint="eastAsia" w:ascii="黑体" w:hAnsi="黑体" w:eastAsia="黑体"/>
          <w:kern w:val="2"/>
          <w:sz w:val="24"/>
          <w:szCs w:val="24"/>
          <w:lang w:val="en-US" w:eastAsia="zh-CN"/>
        </w:rPr>
        <w:t>8 项目实施类指标评分表</w:t>
      </w:r>
    </w:p>
    <w:tbl>
      <w:tblPr>
        <w:tblStyle w:val="8"/>
        <w:tblW w:w="4998" w:type="pct"/>
        <w:jc w:val="center"/>
        <w:tblLayout w:type="autofit"/>
        <w:tblCellMar>
          <w:top w:w="57" w:type="dxa"/>
          <w:left w:w="57" w:type="dxa"/>
          <w:bottom w:w="57" w:type="dxa"/>
          <w:right w:w="57" w:type="dxa"/>
        </w:tblCellMar>
      </w:tblPr>
      <w:tblGrid>
        <w:gridCol w:w="4901"/>
        <w:gridCol w:w="1049"/>
        <w:gridCol w:w="1519"/>
        <w:gridCol w:w="948"/>
      </w:tblGrid>
      <w:tr w14:paraId="68B96888">
        <w:tblPrEx>
          <w:tblCellMar>
            <w:top w:w="57" w:type="dxa"/>
            <w:left w:w="57" w:type="dxa"/>
            <w:bottom w:w="57" w:type="dxa"/>
            <w:right w:w="57" w:type="dxa"/>
          </w:tblCellMar>
        </w:tblPrEx>
        <w:trPr>
          <w:trHeight w:val="174" w:hRule="atLeast"/>
          <w:tblHeader/>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6F39743C">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指标名称</w:t>
            </w:r>
          </w:p>
        </w:tc>
        <w:tc>
          <w:tcPr>
            <w:tcW w:w="623" w:type="pct"/>
            <w:tcBorders>
              <w:top w:val="single" w:color="auto" w:sz="4" w:space="0"/>
              <w:left w:val="nil"/>
              <w:bottom w:val="single" w:color="auto" w:sz="4" w:space="0"/>
              <w:right w:val="single" w:color="auto" w:sz="4" w:space="0"/>
            </w:tcBorders>
            <w:shd w:val="clear" w:color="auto" w:fill="auto"/>
            <w:vAlign w:val="center"/>
          </w:tcPr>
          <w:p w14:paraId="344F83C2">
            <w:pPr>
              <w:widowControl/>
              <w:spacing w:line="300" w:lineRule="exact"/>
              <w:jc w:val="center"/>
              <w:rPr>
                <w:rFonts w:hint="eastAsia" w:hAnsi="仿宋" w:eastAsia="宋体" w:cs="宋体"/>
                <w:b/>
                <w:bCs/>
                <w:color w:val="000000"/>
                <w:kern w:val="2"/>
                <w:sz w:val="21"/>
                <w:lang w:eastAsia="zh-CN"/>
              </w:rPr>
            </w:pPr>
            <w:r>
              <w:rPr>
                <w:rFonts w:hint="eastAsia" w:hAnsi="仿宋" w:cs="宋体"/>
                <w:b/>
                <w:bCs/>
                <w:color w:val="000000"/>
                <w:kern w:val="2"/>
                <w:sz w:val="21"/>
              </w:rPr>
              <w:t>指标</w:t>
            </w:r>
            <w:r>
              <w:rPr>
                <w:rFonts w:hint="eastAsia" w:hAnsi="仿宋" w:cs="宋体"/>
                <w:b/>
                <w:bCs/>
                <w:color w:val="000000"/>
                <w:kern w:val="2"/>
                <w:sz w:val="21"/>
                <w:lang w:val="en-US" w:eastAsia="zh-CN"/>
              </w:rPr>
              <w:t>权重</w:t>
            </w:r>
          </w:p>
        </w:tc>
        <w:tc>
          <w:tcPr>
            <w:tcW w:w="902" w:type="pct"/>
            <w:tcBorders>
              <w:top w:val="single" w:color="auto" w:sz="4" w:space="0"/>
              <w:left w:val="nil"/>
              <w:bottom w:val="single" w:color="auto" w:sz="4" w:space="0"/>
              <w:right w:val="single" w:color="auto" w:sz="4" w:space="0"/>
            </w:tcBorders>
            <w:shd w:val="clear" w:color="auto" w:fill="auto"/>
            <w:vAlign w:val="center"/>
          </w:tcPr>
          <w:p w14:paraId="0FC5654C">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业绩值</w:t>
            </w:r>
          </w:p>
        </w:tc>
        <w:tc>
          <w:tcPr>
            <w:tcW w:w="563" w:type="pct"/>
            <w:tcBorders>
              <w:top w:val="single" w:color="auto" w:sz="4" w:space="0"/>
              <w:left w:val="nil"/>
              <w:bottom w:val="single" w:color="auto" w:sz="4" w:space="0"/>
              <w:right w:val="single" w:color="auto" w:sz="4" w:space="0"/>
            </w:tcBorders>
            <w:shd w:val="clear" w:color="auto" w:fill="auto"/>
            <w:vAlign w:val="center"/>
          </w:tcPr>
          <w:p w14:paraId="127871EA">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实际得分</w:t>
            </w:r>
          </w:p>
        </w:tc>
      </w:tr>
      <w:tr w14:paraId="2FC35ABA">
        <w:tblPrEx>
          <w:tblCellMar>
            <w:top w:w="57" w:type="dxa"/>
            <w:left w:w="57" w:type="dxa"/>
            <w:bottom w:w="57" w:type="dxa"/>
            <w:right w:w="57" w:type="dxa"/>
          </w:tblCellMar>
        </w:tblPrEx>
        <w:trPr>
          <w:trHeight w:val="500" w:hRule="atLeast"/>
          <w:jc w:val="center"/>
        </w:trPr>
        <w:tc>
          <w:tcPr>
            <w:tcW w:w="2911" w:type="pct"/>
            <w:tcBorders>
              <w:top w:val="nil"/>
              <w:left w:val="single" w:color="auto" w:sz="4" w:space="0"/>
              <w:bottom w:val="single" w:color="auto" w:sz="4" w:space="0"/>
              <w:right w:val="single" w:color="auto" w:sz="4" w:space="0"/>
            </w:tcBorders>
            <w:shd w:val="clear" w:color="auto" w:fill="auto"/>
            <w:vAlign w:val="center"/>
          </w:tcPr>
          <w:p w14:paraId="42B23DAD">
            <w:pPr>
              <w:widowControl/>
              <w:spacing w:line="300" w:lineRule="exact"/>
              <w:jc w:val="both"/>
              <w:rPr>
                <w:rFonts w:hint="default" w:hAnsi="仿宋" w:cs="宋体"/>
                <w:color w:val="000000"/>
                <w:kern w:val="2"/>
                <w:sz w:val="21"/>
                <w:lang w:val="en-US"/>
              </w:rPr>
            </w:pPr>
            <w:r>
              <w:rPr>
                <w:rFonts w:hint="default" w:hAnsi="仿宋" w:cs="宋体"/>
                <w:color w:val="000000"/>
                <w:kern w:val="2"/>
                <w:sz w:val="21"/>
                <w:lang w:val="en-US"/>
              </w:rPr>
              <w:t>B31.项目管理制度健全性</w:t>
            </w:r>
          </w:p>
        </w:tc>
        <w:tc>
          <w:tcPr>
            <w:tcW w:w="623" w:type="pct"/>
            <w:tcBorders>
              <w:top w:val="nil"/>
              <w:left w:val="nil"/>
              <w:bottom w:val="single" w:color="auto" w:sz="4" w:space="0"/>
              <w:right w:val="single" w:color="auto" w:sz="4" w:space="0"/>
            </w:tcBorders>
            <w:shd w:val="clear" w:color="auto" w:fill="auto"/>
            <w:vAlign w:val="center"/>
          </w:tcPr>
          <w:p w14:paraId="71C7698C">
            <w:pPr>
              <w:widowControl/>
              <w:spacing w:line="300" w:lineRule="exact"/>
              <w:jc w:val="center"/>
              <w:rPr>
                <w:rFonts w:hint="default" w:hAnsi="仿宋" w:eastAsia="宋体" w:cs="宋体"/>
                <w:color w:val="000000"/>
                <w:kern w:val="2"/>
                <w:sz w:val="21"/>
                <w:lang w:val="en-US" w:eastAsia="zh-CN"/>
              </w:rPr>
            </w:pPr>
          </w:p>
        </w:tc>
        <w:tc>
          <w:tcPr>
            <w:tcW w:w="902" w:type="pct"/>
            <w:tcBorders>
              <w:top w:val="nil"/>
              <w:left w:val="nil"/>
              <w:bottom w:val="single" w:color="auto" w:sz="4" w:space="0"/>
              <w:right w:val="single" w:color="auto" w:sz="4" w:space="0"/>
            </w:tcBorders>
            <w:shd w:val="clear" w:color="auto" w:fill="auto"/>
            <w:vAlign w:val="center"/>
          </w:tcPr>
          <w:p w14:paraId="4AC3AF39">
            <w:pPr>
              <w:widowControl/>
              <w:spacing w:line="300" w:lineRule="exact"/>
              <w:jc w:val="center"/>
              <w:rPr>
                <w:rFonts w:hint="default" w:hAnsi="仿宋" w:eastAsia="宋体" w:cs="宋体"/>
                <w:color w:val="000000"/>
                <w:kern w:val="2"/>
                <w:sz w:val="21"/>
                <w:lang w:val="en-US" w:eastAsia="zh-CN"/>
              </w:rPr>
            </w:pPr>
          </w:p>
        </w:tc>
        <w:tc>
          <w:tcPr>
            <w:tcW w:w="563" w:type="pct"/>
            <w:tcBorders>
              <w:top w:val="nil"/>
              <w:left w:val="nil"/>
              <w:bottom w:val="single" w:color="auto" w:sz="4" w:space="0"/>
              <w:right w:val="single" w:color="auto" w:sz="4" w:space="0"/>
            </w:tcBorders>
            <w:shd w:val="clear" w:color="auto" w:fill="auto"/>
            <w:vAlign w:val="center"/>
          </w:tcPr>
          <w:p w14:paraId="04A49CF3">
            <w:pPr>
              <w:widowControl/>
              <w:spacing w:line="300" w:lineRule="exact"/>
              <w:jc w:val="center"/>
              <w:rPr>
                <w:rFonts w:hint="default" w:hAnsi="仿宋" w:eastAsia="宋体" w:cs="宋体"/>
                <w:color w:val="000000"/>
                <w:kern w:val="2"/>
                <w:sz w:val="21"/>
                <w:lang w:val="en-US" w:eastAsia="zh-CN"/>
              </w:rPr>
            </w:pPr>
          </w:p>
        </w:tc>
      </w:tr>
      <w:tr w14:paraId="461F90C5">
        <w:tblPrEx>
          <w:tblCellMar>
            <w:top w:w="57" w:type="dxa"/>
            <w:left w:w="57" w:type="dxa"/>
            <w:bottom w:w="57" w:type="dxa"/>
            <w:right w:w="57" w:type="dxa"/>
          </w:tblCellMar>
        </w:tblPrEx>
        <w:trPr>
          <w:trHeight w:val="90" w:hRule="atLeast"/>
          <w:jc w:val="center"/>
        </w:trPr>
        <w:tc>
          <w:tcPr>
            <w:tcW w:w="2911" w:type="pct"/>
            <w:tcBorders>
              <w:top w:val="nil"/>
              <w:left w:val="single" w:color="auto" w:sz="4" w:space="0"/>
              <w:bottom w:val="single" w:color="auto" w:sz="4" w:space="0"/>
              <w:right w:val="single" w:color="auto" w:sz="4" w:space="0"/>
            </w:tcBorders>
            <w:shd w:val="clear" w:color="auto" w:fill="auto"/>
            <w:vAlign w:val="center"/>
          </w:tcPr>
          <w:p w14:paraId="258A6884">
            <w:pPr>
              <w:widowControl/>
              <w:spacing w:line="300" w:lineRule="exact"/>
              <w:ind w:firstLine="420" w:firstLineChars="200"/>
              <w:jc w:val="both"/>
              <w:rPr>
                <w:rFonts w:hint="default" w:hAnsi="仿宋" w:cs="宋体"/>
                <w:color w:val="000000"/>
                <w:kern w:val="2"/>
                <w:sz w:val="21"/>
                <w:lang w:val="en-US"/>
              </w:rPr>
            </w:pPr>
            <w:r>
              <w:rPr>
                <w:rFonts w:hint="default" w:hAnsi="仿宋" w:cs="宋体"/>
                <w:color w:val="000000"/>
                <w:kern w:val="2"/>
                <w:sz w:val="21"/>
                <w:lang w:val="en-US"/>
              </w:rPr>
              <w:t>B311.项目实施单位管理制度健全性</w:t>
            </w:r>
          </w:p>
        </w:tc>
        <w:tc>
          <w:tcPr>
            <w:tcW w:w="623" w:type="pct"/>
            <w:tcBorders>
              <w:top w:val="nil"/>
              <w:left w:val="nil"/>
              <w:bottom w:val="single" w:color="auto" w:sz="4" w:space="0"/>
              <w:right w:val="single" w:color="auto" w:sz="4" w:space="0"/>
            </w:tcBorders>
            <w:shd w:val="clear" w:color="auto" w:fill="auto"/>
            <w:vAlign w:val="center"/>
          </w:tcPr>
          <w:p w14:paraId="277F3A8D">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c>
          <w:tcPr>
            <w:tcW w:w="902" w:type="pct"/>
            <w:tcBorders>
              <w:top w:val="nil"/>
              <w:left w:val="nil"/>
              <w:bottom w:val="single" w:color="auto" w:sz="4" w:space="0"/>
              <w:right w:val="single" w:color="auto" w:sz="4" w:space="0"/>
            </w:tcBorders>
            <w:shd w:val="clear" w:color="auto" w:fill="auto"/>
            <w:vAlign w:val="center"/>
          </w:tcPr>
          <w:p w14:paraId="47A2F542">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健全</w:t>
            </w:r>
          </w:p>
        </w:tc>
        <w:tc>
          <w:tcPr>
            <w:tcW w:w="563" w:type="pct"/>
            <w:tcBorders>
              <w:top w:val="nil"/>
              <w:left w:val="nil"/>
              <w:bottom w:val="single" w:color="auto" w:sz="4" w:space="0"/>
              <w:right w:val="single" w:color="auto" w:sz="4" w:space="0"/>
            </w:tcBorders>
            <w:shd w:val="clear" w:color="auto" w:fill="auto"/>
            <w:vAlign w:val="center"/>
          </w:tcPr>
          <w:p w14:paraId="44A75EC9">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1</w:t>
            </w:r>
          </w:p>
        </w:tc>
      </w:tr>
      <w:tr w14:paraId="053E1D12">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7B653278">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B312.管理方监管措施健全性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5C26E27C">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38B32050">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健全</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748358C6">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r>
      <w:tr w14:paraId="65C83D82">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13009262">
            <w:pPr>
              <w:widowControl/>
              <w:spacing w:line="300" w:lineRule="exact"/>
              <w:jc w:val="left"/>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B32.项目管理制度执行有效性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3BF0E6B2">
            <w:pPr>
              <w:widowControl/>
              <w:spacing w:line="300" w:lineRule="exact"/>
              <w:jc w:val="center"/>
              <w:rPr>
                <w:rFonts w:hint="default" w:hAnsi="仿宋" w:cs="宋体"/>
                <w:color w:val="000000"/>
                <w:kern w:val="2"/>
                <w:sz w:val="21"/>
                <w:szCs w:val="22"/>
                <w:lang w:val="en-US" w:eastAsia="zh-CN" w:bidi="ar-SA"/>
              </w:rPr>
            </w:pP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12BF4E7C">
            <w:pPr>
              <w:widowControl/>
              <w:spacing w:line="300" w:lineRule="exact"/>
              <w:jc w:val="center"/>
              <w:rPr>
                <w:rFonts w:hint="default" w:hAnsi="仿宋" w:cs="宋体"/>
                <w:color w:val="000000"/>
                <w:kern w:val="2"/>
                <w:sz w:val="21"/>
                <w:szCs w:val="22"/>
                <w:lang w:val="en-US" w:eastAsia="zh-CN" w:bidi="ar-SA"/>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12227E39">
            <w:pPr>
              <w:widowControl/>
              <w:spacing w:line="300" w:lineRule="exact"/>
              <w:jc w:val="center"/>
              <w:rPr>
                <w:rFonts w:hint="default" w:hAnsi="仿宋" w:cs="宋体"/>
                <w:color w:val="000000"/>
                <w:kern w:val="2"/>
                <w:sz w:val="21"/>
                <w:szCs w:val="22"/>
                <w:lang w:val="en-US" w:eastAsia="zh-CN" w:bidi="ar-SA"/>
              </w:rPr>
            </w:pPr>
          </w:p>
        </w:tc>
      </w:tr>
      <w:tr w14:paraId="719701B8">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43C0F3D6">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B321.项目实施单位管理制度执行情况</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317ADE04">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33638B94">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全部执行</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5A5A6107">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r>
      <w:tr w14:paraId="595082B8">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7E1EE0BA">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B322.监管措施执行情况</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11DB833C">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1BED9B9A">
            <w:pPr>
              <w:widowControl/>
              <w:spacing w:line="300" w:lineRule="exact"/>
              <w:jc w:val="center"/>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全部执行</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7BC45D72">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r>
      <w:tr w14:paraId="382A6674">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34CB6068">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B323.合同执行情况</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5AA52883">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2A61D604">
            <w:pPr>
              <w:widowControl/>
              <w:spacing w:line="300" w:lineRule="exact"/>
              <w:jc w:val="center"/>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全部执行</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382289F0">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r>
      <w:tr w14:paraId="18DDDDEA">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272155E6">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B324.台账记录规范性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01458868">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43D35D25">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规范</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40C20D81">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r>
      <w:tr w14:paraId="0336A4C8">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196B411D">
            <w:pPr>
              <w:widowControl/>
              <w:spacing w:line="300" w:lineRule="exact"/>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B33</w:t>
            </w:r>
            <w:r>
              <w:rPr>
                <w:rFonts w:hint="eastAsia" w:hAnsi="仿宋" w:cs="宋体"/>
                <w:color w:val="000000"/>
                <w:kern w:val="2"/>
                <w:sz w:val="21"/>
                <w:szCs w:val="22"/>
                <w:lang w:val="en-US" w:eastAsia="zh-CN" w:bidi="ar-SA"/>
              </w:rPr>
              <w:t>.</w:t>
            </w:r>
            <w:r>
              <w:rPr>
                <w:rFonts w:hint="default" w:ascii="Calibri" w:hAnsi="仿宋" w:eastAsia="宋体" w:cs="宋体"/>
                <w:color w:val="000000"/>
                <w:kern w:val="2"/>
                <w:sz w:val="21"/>
                <w:szCs w:val="22"/>
                <w:lang w:val="en-US" w:eastAsia="zh-CN" w:bidi="ar-SA"/>
              </w:rPr>
              <w:t>政府采购规范性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0C31AD32">
            <w:pPr>
              <w:widowControl/>
              <w:spacing w:line="300" w:lineRule="exact"/>
              <w:jc w:val="center"/>
              <w:rPr>
                <w:rFonts w:hint="eastAsia" w:hAnsi="仿宋" w:cs="宋体"/>
                <w:color w:val="000000"/>
                <w:kern w:val="2"/>
                <w:sz w:val="21"/>
                <w:szCs w:val="22"/>
                <w:lang w:val="en-US" w:eastAsia="zh-CN" w:bidi="ar-SA"/>
              </w:rPr>
            </w:pP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1A142117">
            <w:pPr>
              <w:widowControl/>
              <w:spacing w:line="300" w:lineRule="exact"/>
              <w:jc w:val="center"/>
              <w:rPr>
                <w:rFonts w:hint="eastAsia" w:hAnsi="仿宋" w:cs="宋体"/>
                <w:color w:val="000000"/>
                <w:kern w:val="2"/>
                <w:sz w:val="21"/>
                <w:szCs w:val="22"/>
                <w:lang w:val="en-US" w:eastAsia="zh-CN" w:bidi="ar-SA"/>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03DD39D7">
            <w:pPr>
              <w:widowControl/>
              <w:spacing w:line="300" w:lineRule="exact"/>
              <w:jc w:val="center"/>
              <w:rPr>
                <w:rFonts w:hint="eastAsia" w:hAnsi="仿宋" w:cs="宋体"/>
                <w:color w:val="000000"/>
                <w:kern w:val="2"/>
                <w:sz w:val="21"/>
                <w:szCs w:val="22"/>
                <w:lang w:val="en-US" w:eastAsia="zh-CN" w:bidi="ar-SA"/>
              </w:rPr>
            </w:pPr>
          </w:p>
        </w:tc>
      </w:tr>
      <w:tr w14:paraId="2503A071">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16C75B67">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B331.采购方式合规性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2052348C">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2A80B8AB">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合规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50D43168">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r>
      <w:tr w14:paraId="7DF08DD1">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63CCD71C">
            <w:pPr>
              <w:widowControl/>
              <w:spacing w:line="300" w:lineRule="exact"/>
              <w:ind w:firstLine="420" w:firstLineChars="200"/>
              <w:jc w:val="both"/>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B332.采购流程规范性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62BBFECD">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5AE1BA7F">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规范</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45EF7A5C">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1</w:t>
            </w:r>
          </w:p>
        </w:tc>
      </w:tr>
      <w:tr w14:paraId="17AEE645">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316D2BD9">
            <w:pPr>
              <w:widowControl/>
              <w:spacing w:line="300" w:lineRule="exact"/>
              <w:ind w:firstLine="420" w:firstLineChars="200"/>
              <w:jc w:val="center"/>
              <w:rPr>
                <w:rFonts w:hint="eastAsia"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合计</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259053DE">
            <w:pPr>
              <w:widowControl/>
              <w:spacing w:line="300" w:lineRule="exact"/>
              <w:jc w:val="center"/>
              <w:rPr>
                <w:rFonts w:hint="eastAsia"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10</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57F3480B">
            <w:pPr>
              <w:widowControl/>
              <w:spacing w:line="300" w:lineRule="exact"/>
              <w:jc w:val="center"/>
              <w:rPr>
                <w:rFonts w:hint="eastAsia" w:ascii="Calibri" w:hAnsi="仿宋" w:eastAsia="宋体" w:cs="宋体"/>
                <w:color w:val="000000"/>
                <w:kern w:val="2"/>
                <w:sz w:val="21"/>
                <w:szCs w:val="22"/>
                <w:lang w:val="en-US" w:eastAsia="zh-CN" w:bidi="ar-SA"/>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4FF15078">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10</w:t>
            </w:r>
          </w:p>
        </w:tc>
      </w:tr>
    </w:tbl>
    <w:p w14:paraId="26243B18">
      <w:pPr>
        <w:numPr>
          <w:ilvl w:val="0"/>
          <w:numId w:val="0"/>
        </w:numPr>
        <w:spacing w:line="579" w:lineRule="exact"/>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B31.项目管理制度健全性</w:t>
      </w:r>
    </w:p>
    <w:p w14:paraId="32655902">
      <w:pPr>
        <w:ind w:firstLine="292" w:firstLineChars="100"/>
        <w:rPr>
          <w:rFonts w:hint="default" w:ascii="仿宋_GB2312" w:hAnsi="仿宋" w:eastAsia="仿宋_GB2312"/>
          <w:spacing w:val="6"/>
          <w:kern w:val="0"/>
          <w:sz w:val="28"/>
          <w:szCs w:val="28"/>
          <w:highlight w:val="none"/>
          <w:lang w:val="en-US" w:eastAsia="zh-CN"/>
        </w:rPr>
      </w:pPr>
      <w:r>
        <w:rPr>
          <w:rFonts w:hint="default" w:ascii="仿宋_GB2312" w:hAnsi="仿宋" w:eastAsia="仿宋_GB2312"/>
          <w:spacing w:val="6"/>
          <w:kern w:val="0"/>
          <w:sz w:val="28"/>
          <w:szCs w:val="28"/>
          <w:highlight w:val="none"/>
          <w:u w:val="single"/>
          <w:lang w:val="en-US" w:eastAsia="zh-CN"/>
        </w:rPr>
        <w:t>B311.项目实施单位管理制度健全性</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spacing w:val="6"/>
          <w:kern w:val="0"/>
          <w:sz w:val="28"/>
          <w:szCs w:val="28"/>
          <w:highlight w:val="none"/>
          <w:lang w:val="zh-CN" w:eastAsia="zh-CN"/>
        </w:rPr>
        <w:t>本次评价主要考察了</w:t>
      </w:r>
      <w:r>
        <w:rPr>
          <w:rFonts w:hint="eastAsia" w:ascii="仿宋_GB2312" w:hAnsi="仿宋" w:eastAsia="仿宋_GB2312"/>
          <w:spacing w:val="6"/>
          <w:kern w:val="0"/>
          <w:sz w:val="28"/>
          <w:szCs w:val="28"/>
          <w:highlight w:val="none"/>
          <w:lang w:val="en-US" w:eastAsia="zh-CN"/>
        </w:rPr>
        <w:t>昆明市生态环境局盘龙分局</w:t>
      </w:r>
      <w:r>
        <w:rPr>
          <w:rFonts w:hint="eastAsia" w:ascii="仿宋_GB2312" w:hAnsi="仿宋" w:eastAsia="仿宋_GB2312"/>
          <w:spacing w:val="6"/>
          <w:kern w:val="0"/>
          <w:sz w:val="28"/>
          <w:szCs w:val="28"/>
          <w:highlight w:val="none"/>
          <w:lang w:val="zh-CN" w:eastAsia="zh-CN"/>
        </w:rPr>
        <w:t>的管理制度是否健全。</w:t>
      </w:r>
      <w:r>
        <w:rPr>
          <w:rFonts w:hint="eastAsia" w:ascii="仿宋_GB2312" w:hAnsi="仿宋" w:eastAsia="仿宋_GB2312"/>
          <w:spacing w:val="6"/>
          <w:kern w:val="0"/>
          <w:sz w:val="28"/>
          <w:szCs w:val="28"/>
          <w:highlight w:val="none"/>
          <w:lang w:val="en-US" w:eastAsia="zh-CN"/>
        </w:rPr>
        <w:t>在项目管理上，在项目管理上，为确保该项目顺利实施，昆明市生态环境局盘龙分局政宣科按照《昆明市“美丽中国，我是行动者”主题实践活动实施方案》、《关于开展2018年环境保护宣传进机关、进家庭、进学校、进社区、进企业“五进”活动的通知》和《关于开展2018年昆明市绿色学校、绿色社区、绿色家庭、环境教育基地创建申报工作的通知》要求和精神，结合盘龙区实际以及往年工作经验，认真制定了2019年度环保宣教工作计划和绿色创建计划，明确了工作重点、工作内容和完成时限等。项目管理制度健全。</w:t>
      </w:r>
    </w:p>
    <w:p w14:paraId="4C847F78">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6DCE1790">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default" w:ascii="仿宋_GB2312" w:hAnsi="仿宋" w:eastAsia="仿宋_GB2312"/>
          <w:spacing w:val="6"/>
          <w:kern w:val="0"/>
          <w:sz w:val="28"/>
          <w:szCs w:val="28"/>
          <w:highlight w:val="none"/>
          <w:u w:val="single"/>
          <w:lang w:val="en-US" w:eastAsia="zh-CN"/>
        </w:rPr>
        <w:t>B312.管理方监管措施健全性</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spacing w:val="6"/>
          <w:kern w:val="0"/>
          <w:sz w:val="28"/>
          <w:szCs w:val="28"/>
          <w:highlight w:val="none"/>
          <w:lang w:val="en-US" w:eastAsia="zh-CN"/>
        </w:rPr>
        <w:t>昆明市生态环境局盘龙分局在年中进行项目实施评估，以根据实际及时调整工作目标和方法等，精细开展各项工作，确保项目实施效益最大化，成本最小化。项目完成后开展了绩效评估，为来年该项目的继续实施提供经验借鉴和数据支持。</w:t>
      </w:r>
      <w:r>
        <w:rPr>
          <w:rFonts w:hint="eastAsia" w:ascii="仿宋_GB2312" w:hAnsi="仿宋" w:eastAsia="仿宋_GB2312"/>
          <w:spacing w:val="6"/>
          <w:kern w:val="0"/>
          <w:sz w:val="28"/>
          <w:szCs w:val="28"/>
          <w:highlight w:val="none"/>
          <w:u w:val="none"/>
          <w:lang w:val="en-US" w:eastAsia="zh-CN"/>
        </w:rPr>
        <w:t xml:space="preserve">监管措施明确、完善。 </w:t>
      </w:r>
    </w:p>
    <w:p w14:paraId="0CC14F56">
      <w:pPr>
        <w:numPr>
          <w:ilvl w:val="0"/>
          <w:numId w:val="0"/>
        </w:numPr>
        <w:spacing w:line="590"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1C116A25">
      <w:pPr>
        <w:numPr>
          <w:ilvl w:val="0"/>
          <w:numId w:val="0"/>
        </w:numPr>
        <w:spacing w:line="579" w:lineRule="exact"/>
        <w:ind w:firstLine="293" w:firstLineChars="1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B32.项目管理制度执行有效性</w:t>
      </w:r>
    </w:p>
    <w:p w14:paraId="149F8179">
      <w:pPr>
        <w:pStyle w:val="15"/>
        <w:keepNext w:val="0"/>
        <w:keepLines w:val="0"/>
        <w:widowControl w:val="0"/>
        <w:shd w:val="clear" w:color="auto" w:fill="auto"/>
        <w:bidi w:val="0"/>
        <w:spacing w:before="0" w:after="0" w:line="624" w:lineRule="exact"/>
        <w:ind w:right="0" w:firstLine="292" w:firstLineChars="100"/>
        <w:jc w:val="both"/>
        <w:rPr>
          <w:rFonts w:hint="eastAsia" w:ascii="仿宋_GB2312" w:hAnsi="仿宋" w:eastAsia="仿宋_GB2312" w:cs="Times New Roman"/>
          <w:spacing w:val="6"/>
          <w:kern w:val="0"/>
          <w:sz w:val="28"/>
          <w:szCs w:val="28"/>
          <w:highlight w:val="none"/>
          <w:u w:val="none"/>
          <w:lang w:val="en-US" w:eastAsia="zh-CN" w:bidi="ar-SA"/>
        </w:rPr>
      </w:pPr>
      <w:r>
        <w:rPr>
          <w:rFonts w:hint="default" w:ascii="仿宋_GB2312" w:hAnsi="仿宋" w:eastAsia="仿宋_GB2312"/>
          <w:spacing w:val="6"/>
          <w:kern w:val="0"/>
          <w:sz w:val="28"/>
          <w:szCs w:val="28"/>
          <w:highlight w:val="none"/>
          <w:u w:val="single"/>
          <w:lang w:val="en-US" w:eastAsia="zh-CN"/>
        </w:rPr>
        <w:t>B321.项目实施单位管理制度执行情况</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cs="Times New Roman"/>
          <w:spacing w:val="6"/>
          <w:kern w:val="0"/>
          <w:sz w:val="28"/>
          <w:szCs w:val="28"/>
          <w:highlight w:val="none"/>
          <w:u w:val="none"/>
          <w:lang w:val="zh-CN" w:eastAsia="zh-CN" w:bidi="ar-SA"/>
        </w:rPr>
        <w:t>通过实地调查、现场查阅资料，</w:t>
      </w:r>
      <w:r>
        <w:rPr>
          <w:rFonts w:hint="eastAsia" w:ascii="仿宋_GB2312" w:hAnsi="仿宋" w:eastAsia="仿宋_GB2312" w:cs="Times New Roman"/>
          <w:spacing w:val="6"/>
          <w:kern w:val="0"/>
          <w:sz w:val="28"/>
          <w:szCs w:val="28"/>
          <w:highlight w:val="none"/>
          <w:u w:val="none"/>
          <w:lang w:val="en-US" w:eastAsia="zh-CN" w:bidi="ar-SA"/>
        </w:rPr>
        <w:t>项目实施</w:t>
      </w:r>
      <w:r>
        <w:rPr>
          <w:rFonts w:hint="eastAsia" w:ascii="仿宋_GB2312" w:hAnsi="仿宋" w:eastAsia="仿宋_GB2312" w:cs="Times New Roman"/>
          <w:spacing w:val="6"/>
          <w:kern w:val="0"/>
          <w:sz w:val="28"/>
          <w:szCs w:val="28"/>
          <w:highlight w:val="none"/>
          <w:u w:val="none"/>
          <w:lang w:val="zh-CN" w:eastAsia="zh-CN" w:bidi="ar-SA"/>
        </w:rPr>
        <w:t>单位制订的管理制度均已得到有效执行，相关记录较为规范，考核办法已得到有效应用。</w:t>
      </w:r>
    </w:p>
    <w:p w14:paraId="7E9BA347">
      <w:pPr>
        <w:numPr>
          <w:ilvl w:val="0"/>
          <w:numId w:val="0"/>
        </w:numPr>
        <w:spacing w:line="590" w:lineRule="exact"/>
        <w:ind w:firstLine="584" w:firstLineChars="200"/>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22E89001">
      <w:pPr>
        <w:spacing w:line="579" w:lineRule="exact"/>
        <w:ind w:firstLine="584" w:firstLineChars="200"/>
        <w:rPr>
          <w:rFonts w:hint="eastAsia" w:ascii="仿宋_GB2312" w:hAnsi="仿宋" w:eastAsia="仿宋_GB2312" w:cs="Times New Roman"/>
          <w:spacing w:val="6"/>
          <w:kern w:val="0"/>
          <w:sz w:val="28"/>
          <w:szCs w:val="28"/>
          <w:highlight w:val="none"/>
          <w:u w:val="none"/>
          <w:lang w:val="zh-CN" w:eastAsia="zh-CN" w:bidi="ar-SA"/>
        </w:rPr>
      </w:pPr>
      <w:r>
        <w:rPr>
          <w:rFonts w:hint="default" w:ascii="仿宋_GB2312" w:hAnsi="仿宋" w:eastAsia="仿宋_GB2312"/>
          <w:spacing w:val="6"/>
          <w:kern w:val="0"/>
          <w:sz w:val="28"/>
          <w:szCs w:val="28"/>
          <w:highlight w:val="none"/>
          <w:u w:val="single"/>
          <w:lang w:val="en-US" w:eastAsia="zh-CN"/>
        </w:rPr>
        <w:t>B322.监管措施执行情况</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cs="Times New Roman"/>
          <w:spacing w:val="6"/>
          <w:kern w:val="0"/>
          <w:sz w:val="28"/>
          <w:szCs w:val="28"/>
          <w:highlight w:val="none"/>
          <w:u w:val="none"/>
          <w:lang w:val="zh-CN" w:eastAsia="zh-CN" w:bidi="ar-SA"/>
        </w:rPr>
        <w:t>通过实地调查、现场查阅资料，</w:t>
      </w:r>
      <w:r>
        <w:rPr>
          <w:rFonts w:hint="eastAsia" w:ascii="仿宋_GB2312" w:hAnsi="仿宋" w:eastAsia="仿宋_GB2312" w:cs="Times New Roman"/>
          <w:spacing w:val="6"/>
          <w:kern w:val="0"/>
          <w:sz w:val="28"/>
          <w:szCs w:val="28"/>
          <w:highlight w:val="none"/>
          <w:u w:val="none"/>
          <w:lang w:val="en-US" w:eastAsia="zh-CN" w:bidi="ar-SA"/>
        </w:rPr>
        <w:t>项目</w:t>
      </w:r>
      <w:r>
        <w:rPr>
          <w:rFonts w:hint="eastAsia" w:ascii="仿宋_GB2312" w:hAnsi="仿宋" w:eastAsia="仿宋_GB2312" w:cs="Times New Roman"/>
          <w:spacing w:val="6"/>
          <w:kern w:val="0"/>
          <w:sz w:val="28"/>
          <w:szCs w:val="28"/>
          <w:highlight w:val="none"/>
          <w:u w:val="none"/>
          <w:lang w:val="zh-CN" w:eastAsia="zh-CN" w:bidi="ar-SA"/>
        </w:rPr>
        <w:t>单位均已及时提交相关台账、日报表、月报表等材料，</w:t>
      </w:r>
      <w:r>
        <w:rPr>
          <w:rFonts w:hint="eastAsia" w:ascii="仿宋_GB2312" w:hAnsi="仿宋" w:eastAsia="仿宋_GB2312" w:cs="Times New Roman"/>
          <w:spacing w:val="6"/>
          <w:kern w:val="0"/>
          <w:sz w:val="28"/>
          <w:szCs w:val="28"/>
          <w:highlight w:val="none"/>
          <w:u w:val="none"/>
          <w:lang w:val="en-US" w:eastAsia="zh-CN" w:bidi="ar-SA"/>
        </w:rPr>
        <w:t>项目人</w:t>
      </w:r>
      <w:r>
        <w:rPr>
          <w:rFonts w:hint="eastAsia" w:ascii="仿宋_GB2312" w:hAnsi="仿宋" w:eastAsia="仿宋_GB2312" w:cs="Times New Roman"/>
          <w:spacing w:val="6"/>
          <w:kern w:val="0"/>
          <w:sz w:val="28"/>
          <w:szCs w:val="28"/>
          <w:highlight w:val="none"/>
          <w:u w:val="none"/>
          <w:lang w:val="zh-CN" w:eastAsia="zh-CN" w:bidi="ar-SA"/>
        </w:rPr>
        <w:t>员也有效执行各项日常管理和监管工作。</w:t>
      </w:r>
    </w:p>
    <w:p w14:paraId="161FBB49">
      <w:pPr>
        <w:numPr>
          <w:ilvl w:val="0"/>
          <w:numId w:val="0"/>
        </w:numPr>
        <w:spacing w:line="590" w:lineRule="exact"/>
        <w:ind w:firstLine="584" w:firstLineChars="200"/>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0967B0D3">
      <w:pPr>
        <w:pStyle w:val="15"/>
        <w:keepNext w:val="0"/>
        <w:keepLines w:val="0"/>
        <w:widowControl w:val="0"/>
        <w:shd w:val="clear" w:color="auto" w:fill="auto"/>
        <w:bidi w:val="0"/>
        <w:spacing w:before="0" w:after="0" w:line="624" w:lineRule="exact"/>
        <w:ind w:left="0" w:right="0" w:firstLine="580"/>
        <w:jc w:val="both"/>
      </w:pPr>
      <w:r>
        <w:rPr>
          <w:rFonts w:hint="default" w:ascii="仿宋_GB2312" w:hAnsi="仿宋" w:eastAsia="仿宋_GB2312"/>
          <w:spacing w:val="6"/>
          <w:kern w:val="0"/>
          <w:sz w:val="28"/>
          <w:szCs w:val="28"/>
          <w:highlight w:val="none"/>
          <w:u w:val="single"/>
          <w:lang w:val="en-US" w:eastAsia="zh-CN"/>
        </w:rPr>
        <w:t>B323.合同执行情况</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cs="Times New Roman"/>
          <w:spacing w:val="6"/>
          <w:kern w:val="0"/>
          <w:sz w:val="28"/>
          <w:szCs w:val="28"/>
          <w:highlight w:val="none"/>
          <w:u w:val="none"/>
          <w:lang w:val="zh-CN" w:eastAsia="zh-CN" w:bidi="ar-SA"/>
        </w:rPr>
        <w:t>通过梳理各子项目合同约定内容和实际实施情况，本项目各项合同中规定的工作职责、服务内容、质量要求等内容均已有效执行。</w:t>
      </w:r>
    </w:p>
    <w:p w14:paraId="21173C93">
      <w:pPr>
        <w:numPr>
          <w:ilvl w:val="0"/>
          <w:numId w:val="0"/>
        </w:numPr>
        <w:spacing w:line="590" w:lineRule="exact"/>
        <w:ind w:firstLine="584" w:firstLineChars="200"/>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该项指标满分2分，根据评分标准得2分。</w:t>
      </w:r>
    </w:p>
    <w:p w14:paraId="5E2F3D95">
      <w:pPr>
        <w:spacing w:line="579" w:lineRule="exact"/>
        <w:ind w:firstLine="584" w:firstLineChars="200"/>
        <w:rPr>
          <w:rFonts w:hint="default" w:ascii="仿宋_GB2312" w:hAnsi="仿宋" w:eastAsia="仿宋_GB2312" w:cs="Times New Roman"/>
          <w:spacing w:val="6"/>
          <w:kern w:val="0"/>
          <w:sz w:val="28"/>
          <w:szCs w:val="28"/>
          <w:highlight w:val="none"/>
          <w:u w:val="none"/>
          <w:lang w:val="en-US" w:eastAsia="zh-CN" w:bidi="ar-SA"/>
        </w:rPr>
      </w:pPr>
      <w:r>
        <w:rPr>
          <w:rFonts w:hint="default" w:ascii="仿宋_GB2312" w:hAnsi="仿宋" w:eastAsia="仿宋_GB2312"/>
          <w:spacing w:val="6"/>
          <w:kern w:val="0"/>
          <w:sz w:val="28"/>
          <w:szCs w:val="28"/>
          <w:highlight w:val="none"/>
          <w:u w:val="single"/>
          <w:lang w:val="en-US" w:eastAsia="zh-CN"/>
        </w:rPr>
        <w:t>B324.台账记录规范性</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cs="Times New Roman"/>
          <w:spacing w:val="6"/>
          <w:kern w:val="0"/>
          <w:sz w:val="28"/>
          <w:szCs w:val="28"/>
          <w:highlight w:val="none"/>
          <w:u w:val="none"/>
          <w:lang w:val="zh-CN" w:eastAsia="zh-CN" w:bidi="ar-SA"/>
        </w:rPr>
        <w:t>通过查阅</w:t>
      </w:r>
      <w:r>
        <w:rPr>
          <w:rFonts w:hint="eastAsia" w:ascii="仿宋_GB2312" w:hAnsi="仿宋" w:eastAsia="仿宋_GB2312" w:cs="Times New Roman"/>
          <w:spacing w:val="6"/>
          <w:kern w:val="0"/>
          <w:sz w:val="28"/>
          <w:szCs w:val="28"/>
          <w:highlight w:val="none"/>
          <w:u w:val="none"/>
          <w:lang w:val="en-US" w:eastAsia="zh-CN" w:bidi="ar-SA"/>
        </w:rPr>
        <w:t>污水处理</w:t>
      </w:r>
      <w:r>
        <w:rPr>
          <w:rFonts w:hint="eastAsia" w:ascii="仿宋_GB2312" w:hAnsi="仿宋" w:eastAsia="仿宋_GB2312" w:cs="Times New Roman"/>
          <w:spacing w:val="6"/>
          <w:kern w:val="0"/>
          <w:sz w:val="28"/>
          <w:szCs w:val="28"/>
          <w:highlight w:val="none"/>
          <w:u w:val="none"/>
          <w:lang w:val="zh-CN" w:eastAsia="zh-CN" w:bidi="ar-SA"/>
        </w:rPr>
        <w:t>台账记录，本项目各环节均已做了详细的台账记录，记录内容符合相关法律法规和主管部门的要求，</w:t>
      </w:r>
      <w:r>
        <w:rPr>
          <w:rFonts w:hint="eastAsia" w:ascii="仿宋_GB2312" w:hAnsi="仿宋" w:eastAsia="仿宋_GB2312" w:cs="Times New Roman"/>
          <w:spacing w:val="6"/>
          <w:kern w:val="0"/>
          <w:sz w:val="28"/>
          <w:szCs w:val="28"/>
          <w:highlight w:val="none"/>
          <w:u w:val="none"/>
          <w:lang w:val="en-US" w:eastAsia="zh-CN" w:bidi="ar-SA"/>
        </w:rPr>
        <w:t>项目资金支付情况清晰明了。</w:t>
      </w:r>
    </w:p>
    <w:p w14:paraId="16E6E444">
      <w:pPr>
        <w:numPr>
          <w:ilvl w:val="0"/>
          <w:numId w:val="0"/>
        </w:numPr>
        <w:spacing w:line="590" w:lineRule="exact"/>
        <w:ind w:firstLine="584" w:firstLineChars="200"/>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1B8287C5">
      <w:pPr>
        <w:numPr>
          <w:ilvl w:val="0"/>
          <w:numId w:val="0"/>
        </w:numPr>
        <w:spacing w:line="579" w:lineRule="exact"/>
        <w:ind w:firstLine="293" w:firstLineChars="1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B33.政府采购规范性</w:t>
      </w:r>
    </w:p>
    <w:p w14:paraId="4E4283F4">
      <w:pPr>
        <w:spacing w:line="579" w:lineRule="exact"/>
        <w:ind w:firstLine="292" w:firstLineChars="100"/>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B331.采购方式合规性</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昆明市生态环境局盘龙分局通过公开招投标、邀标、询价比选等方式开展本项目政府采购。采购方式符合中央、省、市的相关要求。</w:t>
      </w:r>
    </w:p>
    <w:p w14:paraId="53F37584">
      <w:pPr>
        <w:spacing w:line="579" w:lineRule="exact"/>
        <w:ind w:firstLine="292" w:firstLineChars="1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该项指标满分1分，根据评分标准得1分。</w:t>
      </w:r>
    </w:p>
    <w:p w14:paraId="1D45FF98">
      <w:pPr>
        <w:spacing w:line="579" w:lineRule="exact"/>
        <w:ind w:firstLine="584" w:firstLineChars="200"/>
        <w:rPr>
          <w:rFonts w:hint="eastAsia" w:ascii="仿宋_GB2312" w:hAnsi="仿宋" w:eastAsia="仿宋_GB2312" w:cs="Times New Roman"/>
          <w:spacing w:val="6"/>
          <w:kern w:val="0"/>
          <w:sz w:val="28"/>
          <w:szCs w:val="28"/>
          <w:highlight w:val="none"/>
          <w:u w:val="none"/>
          <w:lang w:val="en-US" w:eastAsia="zh-CN" w:bidi="ar-SA"/>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B332.采购流程规范性</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昆明市生态环境局盘龙分局针对政府采购，严格按照</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cs="Times New Roman"/>
          <w:spacing w:val="6"/>
          <w:kern w:val="0"/>
          <w:sz w:val="28"/>
          <w:szCs w:val="28"/>
          <w:highlight w:val="none"/>
          <w:u w:val="none"/>
          <w:lang w:val="en-US" w:eastAsia="zh-CN" w:bidi="ar-SA"/>
        </w:rPr>
        <w:t>昆明市生态环境局盘龙分局采购管理内部控制流程（修订稿）》执行，采购流程符合相关规定。</w:t>
      </w:r>
    </w:p>
    <w:p w14:paraId="64F2CF26">
      <w:pPr>
        <w:numPr>
          <w:ilvl w:val="0"/>
          <w:numId w:val="0"/>
        </w:numPr>
        <w:spacing w:line="590" w:lineRule="exact"/>
        <w:ind w:firstLine="584" w:firstLineChars="200"/>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2ADD76F7">
      <w:pPr>
        <w:spacing w:line="579" w:lineRule="exact"/>
        <w:ind w:firstLine="584" w:firstLineChars="200"/>
        <w:rPr>
          <w:rFonts w:hint="eastAsia"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u w:val="none"/>
          <w:lang w:val="en-US" w:eastAsia="zh-CN"/>
        </w:rPr>
        <w:t>3.项目绩效</w:t>
      </w:r>
    </w:p>
    <w:p w14:paraId="272D1A6E">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项目</w:t>
      </w:r>
      <w:r>
        <w:rPr>
          <w:rFonts w:hint="eastAsia" w:ascii="仿宋_GB2312" w:hAnsi="仿宋" w:eastAsia="仿宋_GB2312"/>
          <w:spacing w:val="6"/>
          <w:kern w:val="0"/>
          <w:sz w:val="28"/>
          <w:szCs w:val="28"/>
          <w:highlight w:val="none"/>
          <w:u w:val="none"/>
          <w:lang w:val="en-US" w:eastAsia="zh-CN"/>
        </w:rPr>
        <w:t>绩效</w:t>
      </w:r>
      <w:r>
        <w:rPr>
          <w:rFonts w:hint="eastAsia" w:ascii="仿宋_GB2312" w:hAnsi="仿宋" w:eastAsia="仿宋_GB2312"/>
          <w:spacing w:val="6"/>
          <w:kern w:val="0"/>
          <w:sz w:val="28"/>
          <w:szCs w:val="28"/>
          <w:highlight w:val="none"/>
          <w:lang w:val="en-US" w:eastAsia="zh-CN"/>
        </w:rPr>
        <w:t>包括</w:t>
      </w:r>
      <w:r>
        <w:rPr>
          <w:rFonts w:hint="eastAsia" w:ascii="仿宋_GB2312" w:hAnsi="仿宋" w:eastAsia="仿宋_GB2312"/>
          <w:spacing w:val="6"/>
          <w:kern w:val="0"/>
          <w:sz w:val="28"/>
          <w:szCs w:val="28"/>
          <w:highlight w:val="none"/>
          <w:u w:val="none"/>
          <w:lang w:val="en-US" w:eastAsia="zh-CN"/>
        </w:rPr>
        <w:t>项目产出</w:t>
      </w:r>
      <w:r>
        <w:rPr>
          <w:rFonts w:hint="eastAsia" w:ascii="仿宋_GB2312" w:hAnsi="仿宋" w:eastAsia="仿宋_GB2312"/>
          <w:spacing w:val="6"/>
          <w:kern w:val="0"/>
          <w:sz w:val="28"/>
          <w:szCs w:val="28"/>
          <w:highlight w:val="none"/>
          <w:lang w:val="en-US" w:eastAsia="zh-CN"/>
        </w:rPr>
        <w:t>和项目效益两方面内容，由7个三级指标构成，共细化分解为14个四级指标。权重分为60分，实际得分56.8分，得分率为94.67%。</w:t>
      </w:r>
    </w:p>
    <w:p w14:paraId="53474D64">
      <w:pPr>
        <w:numPr>
          <w:ilvl w:val="0"/>
          <w:numId w:val="8"/>
        </w:num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项目产出</w:t>
      </w:r>
    </w:p>
    <w:p w14:paraId="263464B0">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主要考核2019年环保宣教及绿色创建活动经费项目环保宣教活动举办次数、“六·五”环境日活动完成情况、创建省、市级绿色社区、学校数、创建国际生态学校、绿色创建示范点数、绿色创建培训情况、考核验收通过率、完成及时率、成本控制情况。各指标权重分值、业绩值及得分情况详见表9。</w:t>
      </w:r>
    </w:p>
    <w:p w14:paraId="5C7B40EF">
      <w:pPr>
        <w:jc w:val="center"/>
        <w:rPr>
          <w:rFonts w:ascii="黑体" w:hAnsi="黑体" w:eastAsia="黑体"/>
          <w:kern w:val="2"/>
          <w:sz w:val="24"/>
          <w:szCs w:val="24"/>
        </w:rPr>
      </w:pPr>
      <w:r>
        <w:rPr>
          <w:rFonts w:hint="eastAsia" w:ascii="黑体" w:hAnsi="黑体" w:eastAsia="黑体"/>
          <w:kern w:val="2"/>
          <w:sz w:val="24"/>
          <w:szCs w:val="24"/>
        </w:rPr>
        <w:t>表</w:t>
      </w:r>
      <w:r>
        <w:rPr>
          <w:rFonts w:hint="eastAsia" w:ascii="黑体" w:hAnsi="黑体" w:eastAsia="黑体"/>
          <w:kern w:val="2"/>
          <w:sz w:val="24"/>
          <w:szCs w:val="24"/>
          <w:lang w:val="en-US" w:eastAsia="zh-CN"/>
        </w:rPr>
        <w:t>10 项目产出类指标评分表</w:t>
      </w:r>
    </w:p>
    <w:tbl>
      <w:tblPr>
        <w:tblStyle w:val="8"/>
        <w:tblW w:w="4998" w:type="pct"/>
        <w:jc w:val="center"/>
        <w:tblLayout w:type="autofit"/>
        <w:tblCellMar>
          <w:top w:w="57" w:type="dxa"/>
          <w:left w:w="57" w:type="dxa"/>
          <w:bottom w:w="57" w:type="dxa"/>
          <w:right w:w="57" w:type="dxa"/>
        </w:tblCellMar>
      </w:tblPr>
      <w:tblGrid>
        <w:gridCol w:w="4998"/>
        <w:gridCol w:w="1069"/>
        <w:gridCol w:w="1549"/>
        <w:gridCol w:w="801"/>
      </w:tblGrid>
      <w:tr w14:paraId="665FFADA">
        <w:tblPrEx>
          <w:tblCellMar>
            <w:top w:w="57" w:type="dxa"/>
            <w:left w:w="57" w:type="dxa"/>
            <w:bottom w:w="57" w:type="dxa"/>
            <w:right w:w="57" w:type="dxa"/>
          </w:tblCellMar>
        </w:tblPrEx>
        <w:trPr>
          <w:trHeight w:val="824" w:hRule="atLeast"/>
          <w:tblHeader/>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6836620F">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指标名称</w:t>
            </w:r>
          </w:p>
        </w:tc>
        <w:tc>
          <w:tcPr>
            <w:tcW w:w="635" w:type="pct"/>
            <w:tcBorders>
              <w:top w:val="single" w:color="auto" w:sz="4" w:space="0"/>
              <w:left w:val="nil"/>
              <w:bottom w:val="single" w:color="auto" w:sz="4" w:space="0"/>
              <w:right w:val="single" w:color="auto" w:sz="4" w:space="0"/>
            </w:tcBorders>
            <w:shd w:val="clear" w:color="auto" w:fill="auto"/>
            <w:vAlign w:val="center"/>
          </w:tcPr>
          <w:p w14:paraId="48DEB325">
            <w:pPr>
              <w:widowControl/>
              <w:spacing w:line="300" w:lineRule="exact"/>
              <w:jc w:val="center"/>
              <w:rPr>
                <w:rFonts w:hint="eastAsia" w:hAnsi="仿宋" w:eastAsia="宋体" w:cs="宋体"/>
                <w:b/>
                <w:bCs/>
                <w:color w:val="000000"/>
                <w:kern w:val="2"/>
                <w:sz w:val="21"/>
                <w:lang w:eastAsia="zh-CN"/>
              </w:rPr>
            </w:pPr>
            <w:r>
              <w:rPr>
                <w:rFonts w:hint="eastAsia" w:hAnsi="仿宋" w:cs="宋体"/>
                <w:b/>
                <w:bCs/>
                <w:color w:val="000000"/>
                <w:kern w:val="2"/>
                <w:sz w:val="21"/>
              </w:rPr>
              <w:t>指标</w:t>
            </w:r>
            <w:r>
              <w:rPr>
                <w:rFonts w:hint="eastAsia" w:hAnsi="仿宋" w:cs="宋体"/>
                <w:b/>
                <w:bCs/>
                <w:color w:val="000000"/>
                <w:kern w:val="2"/>
                <w:sz w:val="21"/>
                <w:lang w:val="en-US" w:eastAsia="zh-CN"/>
              </w:rPr>
              <w:t>权重</w:t>
            </w:r>
          </w:p>
        </w:tc>
        <w:tc>
          <w:tcPr>
            <w:tcW w:w="920" w:type="pct"/>
            <w:tcBorders>
              <w:top w:val="single" w:color="auto" w:sz="4" w:space="0"/>
              <w:left w:val="nil"/>
              <w:bottom w:val="single" w:color="auto" w:sz="4" w:space="0"/>
              <w:right w:val="single" w:color="auto" w:sz="4" w:space="0"/>
            </w:tcBorders>
            <w:shd w:val="clear" w:color="auto" w:fill="auto"/>
            <w:vAlign w:val="center"/>
          </w:tcPr>
          <w:p w14:paraId="2C2B5C6C">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业绩值</w:t>
            </w:r>
          </w:p>
        </w:tc>
        <w:tc>
          <w:tcPr>
            <w:tcW w:w="475" w:type="pct"/>
            <w:tcBorders>
              <w:top w:val="single" w:color="auto" w:sz="4" w:space="0"/>
              <w:left w:val="nil"/>
              <w:bottom w:val="single" w:color="auto" w:sz="4" w:space="0"/>
              <w:right w:val="single" w:color="auto" w:sz="4" w:space="0"/>
            </w:tcBorders>
            <w:shd w:val="clear" w:color="auto" w:fill="auto"/>
            <w:vAlign w:val="center"/>
          </w:tcPr>
          <w:p w14:paraId="44EFF2CB">
            <w:pPr>
              <w:widowControl/>
              <w:spacing w:line="300" w:lineRule="exact"/>
              <w:jc w:val="center"/>
              <w:rPr>
                <w:rFonts w:hint="eastAsia" w:hAnsi="仿宋" w:cs="宋体"/>
                <w:b/>
                <w:bCs/>
                <w:color w:val="000000"/>
                <w:kern w:val="2"/>
                <w:sz w:val="21"/>
                <w:lang w:val="en-US" w:eastAsia="zh-CN"/>
              </w:rPr>
            </w:pPr>
            <w:r>
              <w:rPr>
                <w:rFonts w:hint="eastAsia" w:hAnsi="仿宋" w:cs="宋体"/>
                <w:b/>
                <w:bCs/>
                <w:color w:val="000000"/>
                <w:kern w:val="2"/>
                <w:sz w:val="21"/>
                <w:lang w:val="en-US" w:eastAsia="zh-CN"/>
              </w:rPr>
              <w:t>实际</w:t>
            </w:r>
          </w:p>
          <w:p w14:paraId="0CCE961F">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得分</w:t>
            </w:r>
          </w:p>
        </w:tc>
      </w:tr>
      <w:tr w14:paraId="2F9E9BCF">
        <w:tblPrEx>
          <w:tblCellMar>
            <w:top w:w="57" w:type="dxa"/>
            <w:left w:w="57" w:type="dxa"/>
            <w:bottom w:w="57" w:type="dxa"/>
            <w:right w:w="57" w:type="dxa"/>
          </w:tblCellMar>
        </w:tblPrEx>
        <w:trPr>
          <w:trHeight w:val="534" w:hRule="atLeast"/>
          <w:jc w:val="center"/>
        </w:trPr>
        <w:tc>
          <w:tcPr>
            <w:tcW w:w="2968" w:type="pct"/>
            <w:tcBorders>
              <w:top w:val="nil"/>
              <w:left w:val="single" w:color="auto" w:sz="4" w:space="0"/>
              <w:bottom w:val="single" w:color="auto" w:sz="4" w:space="0"/>
              <w:right w:val="single" w:color="auto" w:sz="4" w:space="0"/>
            </w:tcBorders>
            <w:shd w:val="clear" w:color="auto" w:fill="auto"/>
            <w:vAlign w:val="center"/>
          </w:tcPr>
          <w:p w14:paraId="1D0A9C8D">
            <w:pPr>
              <w:widowControl/>
              <w:spacing w:line="300" w:lineRule="exact"/>
              <w:jc w:val="both"/>
              <w:rPr>
                <w:rFonts w:hint="default" w:hAnsi="仿宋" w:cs="宋体"/>
                <w:color w:val="000000"/>
                <w:kern w:val="2"/>
                <w:sz w:val="21"/>
                <w:lang w:val="en-US"/>
              </w:rPr>
            </w:pPr>
            <w:r>
              <w:rPr>
                <w:rFonts w:hint="default" w:hAnsi="仿宋" w:cs="宋体"/>
                <w:color w:val="000000"/>
                <w:kern w:val="2"/>
                <w:sz w:val="21"/>
                <w:lang w:val="en-US"/>
              </w:rPr>
              <w:t>C11.环保宣教完成情况</w:t>
            </w:r>
          </w:p>
        </w:tc>
        <w:tc>
          <w:tcPr>
            <w:tcW w:w="635" w:type="pct"/>
            <w:tcBorders>
              <w:top w:val="nil"/>
              <w:left w:val="nil"/>
              <w:bottom w:val="single" w:color="auto" w:sz="4" w:space="0"/>
              <w:right w:val="single" w:color="auto" w:sz="4" w:space="0"/>
            </w:tcBorders>
            <w:shd w:val="clear" w:color="auto" w:fill="auto"/>
            <w:vAlign w:val="center"/>
          </w:tcPr>
          <w:p w14:paraId="07FD5FB2">
            <w:pPr>
              <w:widowControl/>
              <w:spacing w:line="300" w:lineRule="exact"/>
              <w:jc w:val="center"/>
              <w:rPr>
                <w:rFonts w:hint="default" w:hAnsi="仿宋" w:eastAsia="宋体" w:cs="宋体"/>
                <w:color w:val="000000"/>
                <w:kern w:val="2"/>
                <w:sz w:val="21"/>
                <w:lang w:val="en-US" w:eastAsia="zh-CN"/>
              </w:rPr>
            </w:pPr>
          </w:p>
        </w:tc>
        <w:tc>
          <w:tcPr>
            <w:tcW w:w="920" w:type="pct"/>
            <w:tcBorders>
              <w:top w:val="nil"/>
              <w:left w:val="nil"/>
              <w:bottom w:val="single" w:color="auto" w:sz="4" w:space="0"/>
              <w:right w:val="single" w:color="auto" w:sz="4" w:space="0"/>
            </w:tcBorders>
            <w:shd w:val="clear" w:color="auto" w:fill="auto"/>
            <w:vAlign w:val="center"/>
          </w:tcPr>
          <w:p w14:paraId="6E8D3852">
            <w:pPr>
              <w:widowControl/>
              <w:spacing w:line="300" w:lineRule="exact"/>
              <w:jc w:val="center"/>
              <w:rPr>
                <w:rFonts w:hint="default" w:hAnsi="仿宋" w:eastAsia="宋体" w:cs="宋体"/>
                <w:color w:val="000000"/>
                <w:kern w:val="2"/>
                <w:sz w:val="21"/>
                <w:lang w:val="en-US" w:eastAsia="zh-CN"/>
              </w:rPr>
            </w:pPr>
          </w:p>
        </w:tc>
        <w:tc>
          <w:tcPr>
            <w:tcW w:w="475" w:type="pct"/>
            <w:tcBorders>
              <w:top w:val="nil"/>
              <w:left w:val="nil"/>
              <w:bottom w:val="single" w:color="auto" w:sz="4" w:space="0"/>
              <w:right w:val="single" w:color="auto" w:sz="4" w:space="0"/>
            </w:tcBorders>
            <w:shd w:val="clear" w:color="auto" w:fill="auto"/>
            <w:vAlign w:val="center"/>
          </w:tcPr>
          <w:p w14:paraId="6187F925">
            <w:pPr>
              <w:widowControl/>
              <w:spacing w:line="300" w:lineRule="exact"/>
              <w:jc w:val="center"/>
              <w:rPr>
                <w:rFonts w:hint="default" w:hAnsi="仿宋" w:eastAsia="宋体" w:cs="宋体"/>
                <w:color w:val="000000"/>
                <w:kern w:val="2"/>
                <w:sz w:val="21"/>
                <w:lang w:val="en-US" w:eastAsia="zh-CN"/>
              </w:rPr>
            </w:pPr>
          </w:p>
        </w:tc>
      </w:tr>
      <w:tr w14:paraId="4E727CF3">
        <w:tblPrEx>
          <w:tblCellMar>
            <w:top w:w="57" w:type="dxa"/>
            <w:left w:w="57" w:type="dxa"/>
            <w:bottom w:w="57" w:type="dxa"/>
            <w:right w:w="57" w:type="dxa"/>
          </w:tblCellMar>
        </w:tblPrEx>
        <w:trPr>
          <w:trHeight w:val="90" w:hRule="atLeast"/>
          <w:jc w:val="center"/>
        </w:trPr>
        <w:tc>
          <w:tcPr>
            <w:tcW w:w="2968" w:type="pct"/>
            <w:tcBorders>
              <w:top w:val="nil"/>
              <w:left w:val="single" w:color="auto" w:sz="4" w:space="0"/>
              <w:bottom w:val="single" w:color="auto" w:sz="4" w:space="0"/>
              <w:right w:val="single" w:color="auto" w:sz="4" w:space="0"/>
            </w:tcBorders>
            <w:shd w:val="clear" w:color="auto" w:fill="auto"/>
            <w:vAlign w:val="center"/>
          </w:tcPr>
          <w:p w14:paraId="4D25224C">
            <w:pPr>
              <w:widowControl/>
              <w:spacing w:line="300" w:lineRule="exact"/>
              <w:ind w:firstLine="420" w:firstLineChars="200"/>
              <w:jc w:val="both"/>
              <w:rPr>
                <w:rFonts w:hint="default" w:hAnsi="仿宋" w:cs="宋体"/>
                <w:color w:val="000000"/>
                <w:kern w:val="2"/>
                <w:sz w:val="21"/>
                <w:lang w:val="en-US"/>
              </w:rPr>
            </w:pPr>
            <w:r>
              <w:rPr>
                <w:rFonts w:hint="default" w:hAnsi="仿宋" w:cs="宋体"/>
                <w:color w:val="000000"/>
                <w:kern w:val="2"/>
                <w:sz w:val="21"/>
                <w:lang w:val="en-US"/>
              </w:rPr>
              <w:t>C111.环保宣教活动举办次数</w:t>
            </w:r>
          </w:p>
        </w:tc>
        <w:tc>
          <w:tcPr>
            <w:tcW w:w="635" w:type="pct"/>
            <w:tcBorders>
              <w:top w:val="nil"/>
              <w:left w:val="nil"/>
              <w:bottom w:val="single" w:color="auto" w:sz="4" w:space="0"/>
              <w:right w:val="single" w:color="auto" w:sz="4" w:space="0"/>
            </w:tcBorders>
            <w:shd w:val="clear" w:color="auto" w:fill="auto"/>
            <w:vAlign w:val="center"/>
          </w:tcPr>
          <w:p w14:paraId="0DFD4E2B">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5</w:t>
            </w:r>
          </w:p>
        </w:tc>
        <w:tc>
          <w:tcPr>
            <w:tcW w:w="920" w:type="pct"/>
            <w:tcBorders>
              <w:top w:val="nil"/>
              <w:left w:val="nil"/>
              <w:bottom w:val="single" w:color="auto" w:sz="4" w:space="0"/>
              <w:right w:val="single" w:color="auto" w:sz="4" w:space="0"/>
            </w:tcBorders>
            <w:shd w:val="clear" w:color="auto" w:fill="auto"/>
            <w:vAlign w:val="center"/>
          </w:tcPr>
          <w:p w14:paraId="364BD10A">
            <w:pPr>
              <w:widowControl/>
              <w:spacing w:line="300" w:lineRule="exact"/>
              <w:jc w:val="center"/>
              <w:rPr>
                <w:rFonts w:hint="default" w:hAnsi="仿宋" w:eastAsia="宋体" w:cs="宋体"/>
                <w:color w:val="000000"/>
                <w:kern w:val="2"/>
                <w:sz w:val="21"/>
                <w:lang w:val="en-US" w:eastAsia="zh-CN"/>
              </w:rPr>
            </w:pPr>
            <w:r>
              <w:rPr>
                <w:rFonts w:hint="default" w:hAnsi="仿宋" w:eastAsia="宋体" w:cs="宋体"/>
                <w:color w:val="000000"/>
                <w:kern w:val="2"/>
                <w:sz w:val="21"/>
                <w:lang w:val="en-US" w:eastAsia="zh-CN"/>
              </w:rPr>
              <w:t>≥5</w:t>
            </w:r>
            <w:r>
              <w:rPr>
                <w:rFonts w:hint="eastAsia" w:hAnsi="仿宋" w:cs="宋体"/>
                <w:color w:val="000000"/>
                <w:kern w:val="2"/>
                <w:sz w:val="21"/>
                <w:lang w:val="en-US" w:eastAsia="zh-CN"/>
              </w:rPr>
              <w:t>次</w:t>
            </w:r>
          </w:p>
        </w:tc>
        <w:tc>
          <w:tcPr>
            <w:tcW w:w="475" w:type="pct"/>
            <w:tcBorders>
              <w:top w:val="nil"/>
              <w:left w:val="nil"/>
              <w:bottom w:val="single" w:color="auto" w:sz="4" w:space="0"/>
              <w:right w:val="single" w:color="auto" w:sz="4" w:space="0"/>
            </w:tcBorders>
            <w:shd w:val="clear" w:color="auto" w:fill="auto"/>
            <w:vAlign w:val="center"/>
          </w:tcPr>
          <w:p w14:paraId="547BE996">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5</w:t>
            </w:r>
          </w:p>
        </w:tc>
      </w:tr>
      <w:tr w14:paraId="2BA07441">
        <w:tblPrEx>
          <w:tblCellMar>
            <w:top w:w="57" w:type="dxa"/>
            <w:left w:w="57" w:type="dxa"/>
            <w:bottom w:w="57" w:type="dxa"/>
            <w:right w:w="57" w:type="dxa"/>
          </w:tblCellMar>
        </w:tblPrEx>
        <w:trPr>
          <w:trHeight w:val="90" w:hRule="atLeast"/>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172E01C1">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C112“六·五”环境日活动完成情况</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128E54EF">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39042169">
            <w:pPr>
              <w:widowControl/>
              <w:spacing w:line="300" w:lineRule="exact"/>
              <w:jc w:val="center"/>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达到预期目标</w:t>
            </w: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7CE974B7">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r>
      <w:tr w14:paraId="793D90BC">
        <w:tblPrEx>
          <w:tblCellMar>
            <w:top w:w="57" w:type="dxa"/>
            <w:left w:w="57" w:type="dxa"/>
            <w:bottom w:w="57" w:type="dxa"/>
            <w:right w:w="57" w:type="dxa"/>
          </w:tblCellMar>
        </w:tblPrEx>
        <w:trPr>
          <w:trHeight w:val="90" w:hRule="atLeast"/>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349AAF60">
            <w:pPr>
              <w:widowControl/>
              <w:spacing w:line="300" w:lineRule="exact"/>
              <w:jc w:val="left"/>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C13.绿色创建工作完成情况</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72DBC37F">
            <w:pPr>
              <w:widowControl/>
              <w:spacing w:line="300" w:lineRule="exact"/>
              <w:jc w:val="center"/>
              <w:rPr>
                <w:rFonts w:hint="default" w:hAnsi="仿宋" w:cs="宋体"/>
                <w:color w:val="000000"/>
                <w:kern w:val="2"/>
                <w:sz w:val="21"/>
                <w:szCs w:val="22"/>
                <w:lang w:val="en-US" w:eastAsia="zh-CN" w:bidi="ar-SA"/>
              </w:rPr>
            </w:pP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5749FBA1">
            <w:pPr>
              <w:widowControl/>
              <w:spacing w:line="300" w:lineRule="exact"/>
              <w:jc w:val="center"/>
              <w:rPr>
                <w:rFonts w:hint="default" w:hAnsi="仿宋" w:cs="宋体"/>
                <w:color w:val="000000"/>
                <w:kern w:val="2"/>
                <w:sz w:val="21"/>
                <w:szCs w:val="22"/>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0D63DEDF">
            <w:pPr>
              <w:widowControl/>
              <w:spacing w:line="300" w:lineRule="exact"/>
              <w:jc w:val="center"/>
              <w:rPr>
                <w:rFonts w:hint="default" w:hAnsi="仿宋" w:cs="宋体"/>
                <w:color w:val="000000"/>
                <w:kern w:val="2"/>
                <w:sz w:val="21"/>
                <w:szCs w:val="22"/>
                <w:lang w:val="en-US" w:eastAsia="zh-CN" w:bidi="ar-SA"/>
              </w:rPr>
            </w:pPr>
          </w:p>
        </w:tc>
      </w:tr>
      <w:tr w14:paraId="69853A00">
        <w:tblPrEx>
          <w:tblCellMar>
            <w:top w:w="57" w:type="dxa"/>
            <w:left w:w="57" w:type="dxa"/>
            <w:bottom w:w="57" w:type="dxa"/>
            <w:right w:w="57" w:type="dxa"/>
          </w:tblCellMar>
        </w:tblPrEx>
        <w:trPr>
          <w:trHeight w:val="90" w:hRule="atLeast"/>
          <w:jc w:val="center"/>
        </w:trPr>
        <w:tc>
          <w:tcPr>
            <w:tcW w:w="4998" w:type="dxa"/>
            <w:tcBorders>
              <w:top w:val="single" w:color="auto" w:sz="4" w:space="0"/>
              <w:left w:val="single" w:color="auto" w:sz="4" w:space="0"/>
              <w:bottom w:val="single" w:color="auto" w:sz="4" w:space="0"/>
              <w:right w:val="single" w:color="auto" w:sz="4" w:space="0"/>
            </w:tcBorders>
            <w:shd w:val="clear" w:color="auto" w:fill="auto"/>
            <w:vAlign w:val="center"/>
          </w:tcPr>
          <w:p w14:paraId="0ED96897">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C131.创建省、市级绿色社区、学校数</w:t>
            </w:r>
          </w:p>
        </w:tc>
        <w:tc>
          <w:tcPr>
            <w:tcW w:w="1069" w:type="dxa"/>
            <w:tcBorders>
              <w:top w:val="single" w:color="auto" w:sz="4" w:space="0"/>
              <w:left w:val="single" w:color="auto" w:sz="4" w:space="0"/>
              <w:bottom w:val="single" w:color="auto" w:sz="4" w:space="0"/>
              <w:right w:val="single" w:color="auto" w:sz="4" w:space="0"/>
            </w:tcBorders>
            <w:shd w:val="clear" w:color="auto" w:fill="auto"/>
            <w:vAlign w:val="center"/>
          </w:tcPr>
          <w:p w14:paraId="6334ECF1">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5</w:t>
            </w:r>
          </w:p>
        </w:tc>
        <w:tc>
          <w:tcPr>
            <w:tcW w:w="1549" w:type="dxa"/>
            <w:tcBorders>
              <w:top w:val="single" w:color="auto" w:sz="4" w:space="0"/>
              <w:left w:val="single" w:color="auto" w:sz="4" w:space="0"/>
              <w:bottom w:val="single" w:color="auto" w:sz="4" w:space="0"/>
              <w:right w:val="single" w:color="auto" w:sz="4" w:space="0"/>
            </w:tcBorders>
            <w:shd w:val="clear" w:color="auto" w:fill="auto"/>
            <w:vAlign w:val="center"/>
          </w:tcPr>
          <w:p w14:paraId="2D66C843">
            <w:pPr>
              <w:widowControl/>
              <w:spacing w:line="300" w:lineRule="exact"/>
              <w:jc w:val="center"/>
              <w:rPr>
                <w:rFonts w:hint="default" w:hAnsi="仿宋" w:cs="宋体"/>
                <w:color w:val="000000"/>
                <w:kern w:val="2"/>
                <w:sz w:val="21"/>
                <w:szCs w:val="22"/>
                <w:lang w:val="en-US" w:eastAsia="zh-CN" w:bidi="ar-SA"/>
              </w:rPr>
            </w:pPr>
            <w:r>
              <w:rPr>
                <w:rFonts w:hint="default" w:hAnsi="仿宋" w:cs="宋体"/>
                <w:color w:val="000000"/>
                <w:kern w:val="2"/>
                <w:sz w:val="21"/>
                <w:szCs w:val="22"/>
                <w:lang w:val="en-US" w:eastAsia="zh-CN" w:bidi="ar-SA"/>
              </w:rPr>
              <w:t>达到预期目标</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38C3E51A">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5</w:t>
            </w:r>
          </w:p>
        </w:tc>
      </w:tr>
      <w:tr w14:paraId="5F8931C6">
        <w:tblPrEx>
          <w:tblCellMar>
            <w:top w:w="57" w:type="dxa"/>
            <w:left w:w="57" w:type="dxa"/>
            <w:bottom w:w="57" w:type="dxa"/>
            <w:right w:w="57" w:type="dxa"/>
          </w:tblCellMar>
        </w:tblPrEx>
        <w:trPr>
          <w:trHeight w:val="90" w:hRule="atLeast"/>
          <w:jc w:val="center"/>
        </w:trPr>
        <w:tc>
          <w:tcPr>
            <w:tcW w:w="4998" w:type="dxa"/>
            <w:tcBorders>
              <w:top w:val="single" w:color="auto" w:sz="4" w:space="0"/>
              <w:left w:val="single" w:color="auto" w:sz="4" w:space="0"/>
              <w:bottom w:val="single" w:color="auto" w:sz="4" w:space="0"/>
              <w:right w:val="single" w:color="auto" w:sz="4" w:space="0"/>
            </w:tcBorders>
            <w:shd w:val="clear" w:color="auto" w:fill="auto"/>
            <w:vAlign w:val="center"/>
          </w:tcPr>
          <w:p w14:paraId="34E63FE4">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C132.创建国际生态学校、绿色创建示范点数</w:t>
            </w:r>
          </w:p>
        </w:tc>
        <w:tc>
          <w:tcPr>
            <w:tcW w:w="1069" w:type="dxa"/>
            <w:tcBorders>
              <w:top w:val="single" w:color="auto" w:sz="4" w:space="0"/>
              <w:left w:val="single" w:color="auto" w:sz="4" w:space="0"/>
              <w:bottom w:val="single" w:color="auto" w:sz="4" w:space="0"/>
              <w:right w:val="single" w:color="auto" w:sz="4" w:space="0"/>
            </w:tcBorders>
            <w:shd w:val="clear" w:color="auto" w:fill="auto"/>
            <w:vAlign w:val="center"/>
          </w:tcPr>
          <w:p w14:paraId="6DCAB092">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w:t>
            </w:r>
          </w:p>
        </w:tc>
        <w:tc>
          <w:tcPr>
            <w:tcW w:w="1549" w:type="dxa"/>
            <w:tcBorders>
              <w:top w:val="single" w:color="auto" w:sz="4" w:space="0"/>
              <w:left w:val="single" w:color="auto" w:sz="4" w:space="0"/>
              <w:bottom w:val="single" w:color="auto" w:sz="4" w:space="0"/>
              <w:right w:val="single" w:color="auto" w:sz="4" w:space="0"/>
            </w:tcBorders>
            <w:shd w:val="clear" w:color="auto" w:fill="auto"/>
            <w:vAlign w:val="center"/>
          </w:tcPr>
          <w:p w14:paraId="0DBA0CFE">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未完成</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7ECDF313">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0</w:t>
            </w:r>
          </w:p>
        </w:tc>
      </w:tr>
      <w:tr w14:paraId="3F1F66F6">
        <w:tblPrEx>
          <w:tblCellMar>
            <w:top w:w="57" w:type="dxa"/>
            <w:left w:w="57" w:type="dxa"/>
            <w:bottom w:w="57" w:type="dxa"/>
            <w:right w:w="57" w:type="dxa"/>
          </w:tblCellMar>
        </w:tblPrEx>
        <w:trPr>
          <w:trHeight w:val="90" w:hRule="atLeast"/>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694F20CE">
            <w:pPr>
              <w:widowControl/>
              <w:spacing w:line="300" w:lineRule="exact"/>
              <w:ind w:firstLine="420" w:firstLineChars="200"/>
              <w:jc w:val="both"/>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C133.绿色创建培训情况</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4587B35C">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4</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6931A552">
            <w:pPr>
              <w:widowControl/>
              <w:spacing w:line="300" w:lineRule="exact"/>
              <w:jc w:val="center"/>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达到预期目标</w:t>
            </w: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4CFCD89E">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4</w:t>
            </w:r>
          </w:p>
        </w:tc>
      </w:tr>
      <w:tr w14:paraId="2DEA5718">
        <w:tblPrEx>
          <w:tblCellMar>
            <w:top w:w="57" w:type="dxa"/>
            <w:left w:w="57" w:type="dxa"/>
            <w:bottom w:w="57" w:type="dxa"/>
            <w:right w:w="57" w:type="dxa"/>
          </w:tblCellMar>
        </w:tblPrEx>
        <w:trPr>
          <w:trHeight w:val="90" w:hRule="atLeast"/>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42F9422D">
            <w:pPr>
              <w:widowControl/>
              <w:spacing w:line="300" w:lineRule="exact"/>
              <w:ind w:firstLine="420" w:firstLineChars="200"/>
              <w:jc w:val="both"/>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C134.考核验收通过率</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34B1EF88">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5</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537AF177">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通过率=100%</w:t>
            </w: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5EE55AC0">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5</w:t>
            </w:r>
          </w:p>
        </w:tc>
      </w:tr>
      <w:tr w14:paraId="51F24701">
        <w:tblPrEx>
          <w:tblCellMar>
            <w:top w:w="57" w:type="dxa"/>
            <w:left w:w="57" w:type="dxa"/>
            <w:bottom w:w="57" w:type="dxa"/>
            <w:right w:w="57" w:type="dxa"/>
          </w:tblCellMar>
        </w:tblPrEx>
        <w:trPr>
          <w:trHeight w:val="90" w:hRule="atLeast"/>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2B1C3638">
            <w:pPr>
              <w:widowControl/>
              <w:spacing w:line="300" w:lineRule="exact"/>
              <w:jc w:val="both"/>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C14.项目完成及时率</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719EA0DA">
            <w:pPr>
              <w:widowControl/>
              <w:spacing w:line="300" w:lineRule="exact"/>
              <w:jc w:val="center"/>
              <w:rPr>
                <w:rFonts w:hint="eastAsia" w:hAnsi="仿宋" w:cs="宋体"/>
                <w:color w:val="000000"/>
                <w:kern w:val="2"/>
                <w:sz w:val="21"/>
                <w:szCs w:val="22"/>
                <w:lang w:val="en-US" w:eastAsia="zh-CN" w:bidi="ar-SA"/>
              </w:rPr>
            </w:pP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73323218">
            <w:pPr>
              <w:widowControl/>
              <w:spacing w:line="300" w:lineRule="exact"/>
              <w:jc w:val="center"/>
              <w:rPr>
                <w:rFonts w:hint="eastAsia" w:hAnsi="仿宋" w:cs="宋体"/>
                <w:color w:val="000000"/>
                <w:kern w:val="2"/>
                <w:sz w:val="21"/>
                <w:szCs w:val="22"/>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6794A952">
            <w:pPr>
              <w:widowControl/>
              <w:spacing w:line="300" w:lineRule="exact"/>
              <w:jc w:val="center"/>
              <w:rPr>
                <w:rFonts w:hint="eastAsia" w:hAnsi="仿宋" w:cs="宋体"/>
                <w:color w:val="000000"/>
                <w:kern w:val="2"/>
                <w:sz w:val="21"/>
                <w:szCs w:val="22"/>
                <w:lang w:val="en-US" w:eastAsia="zh-CN" w:bidi="ar-SA"/>
              </w:rPr>
            </w:pPr>
          </w:p>
        </w:tc>
      </w:tr>
      <w:tr w14:paraId="1F6A741A">
        <w:tblPrEx>
          <w:tblCellMar>
            <w:top w:w="57" w:type="dxa"/>
            <w:left w:w="57" w:type="dxa"/>
            <w:bottom w:w="57" w:type="dxa"/>
            <w:right w:w="57" w:type="dxa"/>
          </w:tblCellMar>
        </w:tblPrEx>
        <w:trPr>
          <w:trHeight w:val="90" w:hRule="atLeast"/>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5A8C6A68">
            <w:pPr>
              <w:widowControl/>
              <w:spacing w:line="300" w:lineRule="exact"/>
              <w:ind w:firstLine="420" w:firstLineChars="200"/>
              <w:jc w:val="both"/>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C141.完成及时率</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72199599">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321E22E0">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及时</w:t>
            </w: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230CAFFF">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r>
      <w:tr w14:paraId="07A75FE1">
        <w:tblPrEx>
          <w:tblCellMar>
            <w:top w:w="57" w:type="dxa"/>
            <w:left w:w="57" w:type="dxa"/>
            <w:bottom w:w="57" w:type="dxa"/>
            <w:right w:w="57" w:type="dxa"/>
          </w:tblCellMar>
        </w:tblPrEx>
        <w:trPr>
          <w:trHeight w:val="90" w:hRule="atLeast"/>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6B5B3998">
            <w:pPr>
              <w:widowControl/>
              <w:spacing w:line="300" w:lineRule="exact"/>
              <w:jc w:val="both"/>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C15.项目成本控制情况</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526C68ED">
            <w:pPr>
              <w:widowControl/>
              <w:spacing w:line="300" w:lineRule="exact"/>
              <w:jc w:val="center"/>
              <w:rPr>
                <w:rFonts w:hint="eastAsia" w:hAnsi="仿宋" w:cs="宋体"/>
                <w:color w:val="000000"/>
                <w:kern w:val="2"/>
                <w:sz w:val="21"/>
                <w:szCs w:val="22"/>
                <w:lang w:val="en-US" w:eastAsia="zh-CN" w:bidi="ar-SA"/>
              </w:rPr>
            </w:pP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31221E50">
            <w:pPr>
              <w:widowControl/>
              <w:spacing w:line="300" w:lineRule="exact"/>
              <w:jc w:val="center"/>
              <w:rPr>
                <w:rFonts w:hint="eastAsia" w:hAnsi="仿宋" w:cs="宋体"/>
                <w:color w:val="000000"/>
                <w:kern w:val="2"/>
                <w:sz w:val="21"/>
                <w:szCs w:val="22"/>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72546A48">
            <w:pPr>
              <w:widowControl/>
              <w:spacing w:line="300" w:lineRule="exact"/>
              <w:jc w:val="center"/>
              <w:rPr>
                <w:rFonts w:hint="eastAsia" w:hAnsi="仿宋" w:cs="宋体"/>
                <w:color w:val="000000"/>
                <w:kern w:val="2"/>
                <w:sz w:val="21"/>
                <w:szCs w:val="22"/>
                <w:lang w:val="en-US" w:eastAsia="zh-CN" w:bidi="ar-SA"/>
              </w:rPr>
            </w:pPr>
          </w:p>
        </w:tc>
      </w:tr>
      <w:tr w14:paraId="3796C8C4">
        <w:tblPrEx>
          <w:tblCellMar>
            <w:top w:w="57" w:type="dxa"/>
            <w:left w:w="57" w:type="dxa"/>
            <w:bottom w:w="57" w:type="dxa"/>
            <w:right w:w="57" w:type="dxa"/>
          </w:tblCellMar>
        </w:tblPrEx>
        <w:trPr>
          <w:trHeight w:val="90" w:hRule="atLeast"/>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4E4F1DB0">
            <w:pPr>
              <w:widowControl/>
              <w:spacing w:line="300" w:lineRule="exact"/>
              <w:ind w:firstLine="420" w:firstLineChars="200"/>
              <w:jc w:val="both"/>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C151.成本控制情况</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5AEDF4E8">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5E8B9A5D">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有效控制</w:t>
            </w: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6A5EE98C">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3</w:t>
            </w:r>
          </w:p>
        </w:tc>
      </w:tr>
      <w:tr w14:paraId="0E0D2A8B">
        <w:tblPrEx>
          <w:tblCellMar>
            <w:top w:w="57" w:type="dxa"/>
            <w:left w:w="57" w:type="dxa"/>
            <w:bottom w:w="57" w:type="dxa"/>
            <w:right w:w="57" w:type="dxa"/>
          </w:tblCellMar>
        </w:tblPrEx>
        <w:trPr>
          <w:trHeight w:val="90" w:hRule="atLeast"/>
          <w:jc w:val="center"/>
        </w:trPr>
        <w:tc>
          <w:tcPr>
            <w:tcW w:w="2968" w:type="pct"/>
            <w:tcBorders>
              <w:top w:val="single" w:color="auto" w:sz="4" w:space="0"/>
              <w:left w:val="single" w:color="auto" w:sz="4" w:space="0"/>
              <w:bottom w:val="single" w:color="auto" w:sz="4" w:space="0"/>
              <w:right w:val="single" w:color="auto" w:sz="4" w:space="0"/>
            </w:tcBorders>
            <w:shd w:val="clear" w:color="auto" w:fill="auto"/>
            <w:vAlign w:val="center"/>
          </w:tcPr>
          <w:p w14:paraId="11EB8A5A">
            <w:pPr>
              <w:widowControl/>
              <w:spacing w:line="300" w:lineRule="exact"/>
              <w:ind w:firstLine="420" w:firstLineChars="200"/>
              <w:jc w:val="center"/>
              <w:rPr>
                <w:rFonts w:hint="eastAsia"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合计</w:t>
            </w:r>
          </w:p>
        </w:tc>
        <w:tc>
          <w:tcPr>
            <w:tcW w:w="635" w:type="pct"/>
            <w:tcBorders>
              <w:top w:val="single" w:color="auto" w:sz="4" w:space="0"/>
              <w:left w:val="single" w:color="auto" w:sz="4" w:space="0"/>
              <w:bottom w:val="single" w:color="auto" w:sz="4" w:space="0"/>
              <w:right w:val="single" w:color="auto" w:sz="4" w:space="0"/>
            </w:tcBorders>
            <w:shd w:val="clear" w:color="auto" w:fill="auto"/>
            <w:vAlign w:val="center"/>
          </w:tcPr>
          <w:p w14:paraId="678AA36B">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30</w:t>
            </w:r>
          </w:p>
        </w:tc>
        <w:tc>
          <w:tcPr>
            <w:tcW w:w="920" w:type="pct"/>
            <w:tcBorders>
              <w:top w:val="single" w:color="auto" w:sz="4" w:space="0"/>
              <w:left w:val="single" w:color="auto" w:sz="4" w:space="0"/>
              <w:bottom w:val="single" w:color="auto" w:sz="4" w:space="0"/>
              <w:right w:val="single" w:color="auto" w:sz="4" w:space="0"/>
            </w:tcBorders>
            <w:shd w:val="clear" w:color="auto" w:fill="auto"/>
            <w:vAlign w:val="center"/>
          </w:tcPr>
          <w:p w14:paraId="032C4433">
            <w:pPr>
              <w:widowControl/>
              <w:spacing w:line="300" w:lineRule="exact"/>
              <w:jc w:val="center"/>
              <w:rPr>
                <w:rFonts w:hint="eastAsia" w:hAnsi="仿宋" w:cs="宋体"/>
                <w:color w:val="000000"/>
                <w:kern w:val="2"/>
                <w:sz w:val="21"/>
                <w:szCs w:val="22"/>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33C6CED9">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28</w:t>
            </w:r>
          </w:p>
        </w:tc>
      </w:tr>
    </w:tbl>
    <w:p w14:paraId="45C22EB7">
      <w:pPr>
        <w:numPr>
          <w:ilvl w:val="0"/>
          <w:numId w:val="0"/>
        </w:numPr>
        <w:spacing w:line="579" w:lineRule="exact"/>
        <w:ind w:firstLine="293" w:firstLineChars="1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C11.环保宣教完成情况</w:t>
      </w:r>
    </w:p>
    <w:p w14:paraId="53ED99F1">
      <w:pPr>
        <w:spacing w:line="600" w:lineRule="exact"/>
        <w:ind w:firstLine="584" w:firstLineChars="200"/>
        <w:rPr>
          <w:rFonts w:hint="eastAsia" w:ascii="仿宋_GB2312" w:hAnsi="仿宋" w:eastAsia="仿宋_GB2312"/>
          <w:spacing w:val="6"/>
          <w:kern w:val="0"/>
          <w:sz w:val="28"/>
          <w:szCs w:val="28"/>
          <w:highlight w:val="none"/>
          <w:lang w:val="en-US" w:eastAsia="zh-CN"/>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C111.环保宣教活动举办次数</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spacing w:val="6"/>
          <w:kern w:val="0"/>
          <w:sz w:val="28"/>
          <w:szCs w:val="28"/>
          <w:highlight w:val="none"/>
          <w:lang w:val="en-US" w:eastAsia="zh-CN"/>
        </w:rPr>
        <w:t>根据现场评价及相关资料收集，昆明市生态环境局盘龙分局2019年度开展环保宣教活动达到5次，符合预期目标。环保宣教活动开展情况具体为：2019年2月28日，盘龙环境分局联合拓东街道办事处，在真庆文化广场，隆重举办盘龙区“守护昆明蓝天，防治大气污染”主题宣传活动。2019年3月5日，盘龙环境分局全体党员来到真庆观广场，开展关爱山川河流暨学雷锋宣传活动，以发放环保布袋、倡议书及宣传册的形式向市民宣传关爱山川河流、引导市民节约能源、践行绿色消费、选择低碳出行，助人为乐的理念。2019年4月4日上午，盘龙环境分局全体党员和环保志愿者们来到真庆广场，开展“我们的节日•清明节暨扫黑除恶”主题宣传活动，以发送环保布袋、节能减排手册及倡议书的形式向市民倡导过一个文明环保健康的清明节。2019年5月22日是“国际生物多样性日”，为提高社会各界对生物多样性的保护意识，形成公众共同广泛参与的氛围，上午10:00，市生态环境局盘龙分局的工作人员及环保志愿者到桃源广场参与开展“我们的生物多样性.我们的食物.我们的健康”--2019年国际生物多样性日宣传活动。2019年6月2日，在桃源广场举行由盘龙区人民政府主办，昆明市生态环境局盘龙分局承办，昆明市文明行动义工联合会、昆明市盘龙区教育体育局、昆明市盘龙区鼓楼街道办事处等社会企业共同参与的纪念“六.五”世界环境日宣传活动。</w:t>
      </w:r>
    </w:p>
    <w:p w14:paraId="0A9E10DE">
      <w:pPr>
        <w:numPr>
          <w:ilvl w:val="0"/>
          <w:numId w:val="0"/>
        </w:numPr>
        <w:spacing w:line="579"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该项指标满分5分，根据评分标准得5分。</w:t>
      </w:r>
    </w:p>
    <w:p w14:paraId="5DE94336">
      <w:pPr>
        <w:spacing w:line="600" w:lineRule="exact"/>
        <w:ind w:firstLine="584" w:firstLineChars="200"/>
        <w:rPr>
          <w:rFonts w:hint="eastAsia" w:ascii="仿宋_GB2312" w:hAnsi="仿宋" w:eastAsia="仿宋_GB2312"/>
          <w:spacing w:val="6"/>
          <w:kern w:val="0"/>
          <w:sz w:val="28"/>
          <w:szCs w:val="28"/>
          <w:highlight w:val="none"/>
          <w:lang w:val="en-US" w:eastAsia="zh-CN"/>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C112“六·五”环境日活动完成情况</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spacing w:val="6"/>
          <w:kern w:val="0"/>
          <w:sz w:val="28"/>
          <w:szCs w:val="28"/>
          <w:highlight w:val="none"/>
          <w:lang w:val="en-US" w:eastAsia="zh-CN"/>
        </w:rPr>
        <w:t>2019年6月2日，在桃源广场举行由盘龙区人民政府主办，昆明市生态环境局盘龙分局承办的纪念“六.五”世界环境日宣传活动。2019年世界环境日主题是“蓝天保卫战，我是行动者”，中国主题是“美丽中国 我是行动者”。昆明市生态环境局盘龙分局工作人员向市民发放各类环保宣传资料，开展环保法律法规、环保问题咨询以及第二次全国污染源普查知识宣传；为盘龙区中小学代表赠送环保书籍套装；为获得2018年昆明市绿色学校、绿色社区的单位代表和先进个人代表颁奖和授牌；现场展演了“美丽春城·生态昆明——我与滇池有个约”昆明市第四届中小学环保主题诗会获奖优秀节目；中国移动、中国电信、中国铁塔公司工作人员对基站建设、电池回收利用、手机电磁辐射、5G网络等知识进行宣传。昆明源润祥再生资源产业管理有限公司还启动了“美丽中国——我是行动者，拒绝车窗抛物，变废为宝，致敬城市美容师”主题活动。现场环境保护宣传气氛热烈，共计500余市民参与活动，昆明日报及电视台等主流媒体对活动进行了刊载和报道。</w:t>
      </w:r>
    </w:p>
    <w:p w14:paraId="2666CE30">
      <w:pPr>
        <w:numPr>
          <w:ilvl w:val="0"/>
          <w:numId w:val="0"/>
        </w:numPr>
        <w:spacing w:line="579" w:lineRule="exact"/>
        <w:ind w:firstLine="584" w:firstLineChars="200"/>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pPr>
      <w:r>
        <w:rPr>
          <w:rFonts w:hint="eastAsia" w:ascii="仿宋_GB2312" w:hAnsi="仿宋" w:eastAsia="仿宋_GB2312"/>
          <w:spacing w:val="6"/>
          <w:kern w:val="0"/>
          <w:sz w:val="28"/>
          <w:szCs w:val="28"/>
          <w:highlight w:val="none"/>
          <w:lang w:val="en-US" w:eastAsia="zh-CN"/>
        </w:rPr>
        <w:t>该项指标满分3分，根据评分标准得3分。</w:t>
      </w:r>
    </w:p>
    <w:p w14:paraId="4FBCC786">
      <w:pPr>
        <w:numPr>
          <w:ilvl w:val="0"/>
          <w:numId w:val="0"/>
        </w:numPr>
        <w:spacing w:line="579" w:lineRule="exact"/>
        <w:ind w:firstLine="293" w:firstLineChars="1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C13.绿色创建工作完成情况</w:t>
      </w:r>
    </w:p>
    <w:p w14:paraId="1AFDB331">
      <w:pPr>
        <w:spacing w:line="600"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C131.创建省、市级绿色社区、学校数</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:最终创建省、市级绿色学校4所，创建省、市级绿色社区3个。</w:t>
      </w:r>
    </w:p>
    <w:p w14:paraId="2C35629C">
      <w:pPr>
        <w:numPr>
          <w:ilvl w:val="0"/>
          <w:numId w:val="0"/>
        </w:numPr>
        <w:spacing w:line="579"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spacing w:val="6"/>
          <w:kern w:val="0"/>
          <w:sz w:val="28"/>
          <w:szCs w:val="28"/>
          <w:highlight w:val="none"/>
          <w:lang w:val="en-US" w:eastAsia="zh-CN"/>
        </w:rPr>
        <w:t>该项指标满分5分，根据评分标准得5分。</w:t>
      </w:r>
    </w:p>
    <w:p w14:paraId="5E63214C">
      <w:pPr>
        <w:spacing w:line="579" w:lineRule="exact"/>
        <w:ind w:firstLine="584" w:firstLineChars="200"/>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C132.创建国际生态学校、绿色创建示范点数</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:根据现场评价及相关数据汇总，2019年昆明市生态环境局盘龙分局未创建国际生态学校及绿色创建示范点。</w:t>
      </w:r>
    </w:p>
    <w:p w14:paraId="2CC21717">
      <w:pPr>
        <w:numPr>
          <w:ilvl w:val="0"/>
          <w:numId w:val="0"/>
        </w:numPr>
        <w:spacing w:line="579"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spacing w:val="6"/>
          <w:kern w:val="0"/>
          <w:sz w:val="28"/>
          <w:szCs w:val="28"/>
          <w:highlight w:val="none"/>
          <w:lang w:val="en-US" w:eastAsia="zh-CN"/>
        </w:rPr>
        <w:t>该项指标满分2分，根据评分标准得0分。</w:t>
      </w:r>
    </w:p>
    <w:p w14:paraId="48FBF122">
      <w:pPr>
        <w:spacing w:line="579"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C133.绿色创建培训情况</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:2019年</w:t>
      </w:r>
      <w:r>
        <w:rPr>
          <w:rFonts w:hint="eastAsia" w:ascii="仿宋_GB2312" w:hAnsi="仿宋" w:eastAsia="仿宋_GB2312"/>
          <w:spacing w:val="6"/>
          <w:kern w:val="0"/>
          <w:sz w:val="28"/>
          <w:szCs w:val="28"/>
          <w:highlight w:val="none"/>
          <w:lang w:val="en-US" w:eastAsia="zh-CN"/>
        </w:rPr>
        <w:t>4月24日-26日，昆明市生态环境局盘龙分局组</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织3所学校、2家社区参与2019年市级绿色系列创建工作培训。2019年6月11日-14日，由区环保局牵头，联合区教育局和有关街道办事处对5所学校、1家社区进行现场查看和比选，作为2019年市级绿色创建对象参加省级绿色系列创建培训。根据培训记录显示全年累计开展省市级绿色创建暨环保知识培训2次，指导10个学校、社区参加省市级绿色创建。</w:t>
      </w:r>
    </w:p>
    <w:p w14:paraId="25171F07">
      <w:pPr>
        <w:numPr>
          <w:ilvl w:val="0"/>
          <w:numId w:val="0"/>
        </w:numPr>
        <w:spacing w:line="579"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spacing w:val="6"/>
          <w:kern w:val="0"/>
          <w:sz w:val="28"/>
          <w:szCs w:val="28"/>
          <w:highlight w:val="none"/>
          <w:lang w:val="en-US" w:eastAsia="zh-CN"/>
        </w:rPr>
        <w:t>该项指标满分4分，根据评分标准得4分。</w:t>
      </w:r>
    </w:p>
    <w:p w14:paraId="7F5BA93B">
      <w:pPr>
        <w:spacing w:line="579"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C134.考核验收通过率</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根据年度创建省、市级绿色学校；创建省、市级绿色社区申报考核情况统计，2019年昆明市生态环境局盘龙分局共申报4所学校、3家社区参与创建省、市级绿色学校、社区评选，通过相关部门考核验收的学校4所分别为：云南师范大学附属俊发城实验小学、昆明市盘龙区滇源中心学校、昆明市盘龙职业高级中学、盘龙区古幢小学，社区3家分别为：联盟社区、滇源社区、阿子营社区。根据自评价指标体系考核公式：考核验收通过率=通过相关部门考核验收的学校社区数/实际参加考核的学校社区数*100%=/*100%=7/7*100%=100%。</w:t>
      </w:r>
    </w:p>
    <w:p w14:paraId="6E996B14">
      <w:pPr>
        <w:numPr>
          <w:ilvl w:val="0"/>
          <w:numId w:val="0"/>
        </w:numPr>
        <w:spacing w:line="579" w:lineRule="exact"/>
        <w:ind w:firstLine="584" w:firstLineChars="200"/>
        <w:rPr>
          <w:rFonts w:hint="default" w:ascii="仿宋_GB2312" w:hAnsi="仿宋" w:eastAsia="仿宋_GB2312"/>
          <w:color w:val="auto"/>
          <w:spacing w:val="6"/>
          <w:kern w:val="0"/>
          <w:sz w:val="28"/>
          <w:szCs w:val="28"/>
          <w:highlight w:val="none"/>
          <w:u w:val="none"/>
          <w:lang w:val="en-US" w:eastAsia="zh-CN"/>
        </w:rPr>
      </w:pPr>
      <w:r>
        <w:rPr>
          <w:rFonts w:hint="eastAsia" w:ascii="仿宋_GB2312" w:hAnsi="仿宋" w:eastAsia="仿宋_GB2312"/>
          <w:color w:val="auto"/>
          <w:spacing w:val="6"/>
          <w:kern w:val="0"/>
          <w:sz w:val="28"/>
          <w:szCs w:val="28"/>
          <w:highlight w:val="none"/>
          <w:lang w:val="en-US" w:eastAsia="zh-CN"/>
        </w:rPr>
        <w:t>该项指标满分5分，根据评分标准得5分。</w:t>
      </w:r>
    </w:p>
    <w:p w14:paraId="3FD70427">
      <w:pPr>
        <w:numPr>
          <w:ilvl w:val="0"/>
          <w:numId w:val="0"/>
        </w:numPr>
        <w:spacing w:line="579" w:lineRule="exact"/>
        <w:ind w:firstLine="293" w:firstLineChars="1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C14.项目完成及时率</w:t>
      </w:r>
    </w:p>
    <w:p w14:paraId="2F7412B5">
      <w:pPr>
        <w:spacing w:line="579"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C141.完成及时率</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:根据现场评价及活动举办、培训记录等相关佐证材料，2019年昆明市生态环境局盘龙分局环保宣教及绿色创建活动经费项目各类子项目均如期开展按期完成，完成及时率为100%。</w:t>
      </w:r>
    </w:p>
    <w:p w14:paraId="17E4A01A">
      <w:pPr>
        <w:numPr>
          <w:ilvl w:val="0"/>
          <w:numId w:val="0"/>
        </w:numPr>
        <w:spacing w:line="579"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spacing w:val="6"/>
          <w:kern w:val="0"/>
          <w:sz w:val="28"/>
          <w:szCs w:val="28"/>
          <w:highlight w:val="none"/>
          <w:lang w:val="en-US" w:eastAsia="zh-CN"/>
        </w:rPr>
        <w:t>该项指标满分3分，根据评分标准得3分。</w:t>
      </w:r>
    </w:p>
    <w:p w14:paraId="2DD80DA7">
      <w:pPr>
        <w:numPr>
          <w:ilvl w:val="0"/>
          <w:numId w:val="0"/>
        </w:numPr>
        <w:spacing w:line="579" w:lineRule="exact"/>
        <w:ind w:firstLine="293" w:firstLineChars="1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eastAsia" w:ascii="仿宋_GB2312" w:hAnsi="仿宋" w:eastAsia="仿宋_GB2312" w:cs="Times New Roman"/>
          <w:b/>
          <w:bCs/>
          <w:spacing w:val="6"/>
          <w:kern w:val="0"/>
          <w:sz w:val="28"/>
          <w:szCs w:val="28"/>
          <w:highlight w:val="none"/>
          <w:u w:val="none"/>
          <w:lang w:val="en-US" w:eastAsia="zh-CN" w:bidi="ar-SA"/>
        </w:rPr>
        <w:t>C15.项目成本控制情况</w:t>
      </w:r>
    </w:p>
    <w:p w14:paraId="475F5B44">
      <w:pPr>
        <w:spacing w:line="579" w:lineRule="exact"/>
        <w:ind w:firstLine="584" w:firstLineChars="200"/>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C151.成本控制情况</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:根据2019年昆明市生态环境局盘龙分局环保宣教及绿色创建活动经费项目明细账及原始凭证显示，项目累计支出30万元，有效讲成本控制在30万元以内。</w:t>
      </w:r>
    </w:p>
    <w:p w14:paraId="4A628C87">
      <w:pPr>
        <w:numPr>
          <w:ilvl w:val="0"/>
          <w:numId w:val="0"/>
        </w:numPr>
        <w:spacing w:line="579"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spacing w:val="6"/>
          <w:kern w:val="0"/>
          <w:sz w:val="28"/>
          <w:szCs w:val="28"/>
          <w:highlight w:val="none"/>
          <w:lang w:val="en-US" w:eastAsia="zh-CN"/>
        </w:rPr>
        <w:t>该项指标满分3分，根据评分标准得3分。</w:t>
      </w:r>
    </w:p>
    <w:p w14:paraId="6D3A8AE0">
      <w:pPr>
        <w:numPr>
          <w:ilvl w:val="0"/>
          <w:numId w:val="8"/>
        </w:numPr>
        <w:spacing w:line="579" w:lineRule="exact"/>
        <w:ind w:firstLine="584" w:firstLineChars="200"/>
        <w:rPr>
          <w:rFonts w:hint="default" w:ascii="仿宋_GB2312" w:hAnsi="仿宋" w:eastAsia="仿宋_GB2312"/>
          <w:spacing w:val="6"/>
          <w:kern w:val="0"/>
          <w:sz w:val="28"/>
          <w:szCs w:val="28"/>
          <w:highlight w:val="none"/>
          <w:lang w:val="en-US" w:eastAsia="zh-CN"/>
        </w:rPr>
      </w:pPr>
      <w:r>
        <w:rPr>
          <w:rFonts w:hint="default" w:ascii="仿宋_GB2312" w:hAnsi="仿宋" w:eastAsia="仿宋_GB2312"/>
          <w:spacing w:val="6"/>
          <w:kern w:val="0"/>
          <w:sz w:val="28"/>
          <w:szCs w:val="28"/>
          <w:highlight w:val="none"/>
          <w:lang w:val="en-US" w:eastAsia="zh-CN"/>
        </w:rPr>
        <w:t>项目</w:t>
      </w:r>
      <w:r>
        <w:rPr>
          <w:rFonts w:hint="eastAsia" w:ascii="仿宋_GB2312" w:hAnsi="仿宋" w:eastAsia="仿宋_GB2312"/>
          <w:spacing w:val="6"/>
          <w:kern w:val="0"/>
          <w:sz w:val="28"/>
          <w:szCs w:val="28"/>
          <w:highlight w:val="none"/>
          <w:lang w:val="en-US" w:eastAsia="zh-CN"/>
        </w:rPr>
        <w:t>效益</w:t>
      </w:r>
    </w:p>
    <w:p w14:paraId="472022AA">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主要考核通过</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2019年昆明市生态环境局盘龙分局环保宣教及绿色创建活动经费项目</w:t>
      </w:r>
      <w:r>
        <w:rPr>
          <w:rFonts w:hint="eastAsia" w:ascii="仿宋_GB2312" w:hAnsi="仿宋" w:eastAsia="仿宋_GB2312"/>
          <w:spacing w:val="6"/>
          <w:kern w:val="0"/>
          <w:sz w:val="28"/>
          <w:szCs w:val="28"/>
          <w:highlight w:val="none"/>
          <w:lang w:val="en-US" w:eastAsia="zh-CN"/>
        </w:rPr>
        <w:t>实施对区域环境提升、环保宣教活动覆盖情况、群众知晓程度、公众环保参与程度、宣传途径多样性起到的作用及社会群众对本项目的整体满意度。各指标权重分值、业绩值及得分情况详见表11。</w:t>
      </w:r>
    </w:p>
    <w:p w14:paraId="0DCD00B4">
      <w:pPr>
        <w:jc w:val="center"/>
        <w:rPr>
          <w:rFonts w:ascii="黑体" w:hAnsi="黑体" w:eastAsia="黑体"/>
          <w:kern w:val="2"/>
          <w:sz w:val="24"/>
          <w:szCs w:val="24"/>
        </w:rPr>
      </w:pPr>
      <w:r>
        <w:rPr>
          <w:rFonts w:hint="eastAsia" w:ascii="黑体" w:hAnsi="黑体" w:eastAsia="黑体"/>
          <w:kern w:val="2"/>
          <w:sz w:val="24"/>
          <w:szCs w:val="24"/>
        </w:rPr>
        <w:t>表</w:t>
      </w:r>
      <w:r>
        <w:rPr>
          <w:rFonts w:hint="eastAsia" w:ascii="黑体" w:hAnsi="黑体" w:eastAsia="黑体"/>
          <w:kern w:val="2"/>
          <w:sz w:val="24"/>
          <w:szCs w:val="24"/>
          <w:lang w:val="en-US" w:eastAsia="zh-CN"/>
        </w:rPr>
        <w:t>11 项目效益类指标评分表</w:t>
      </w:r>
    </w:p>
    <w:tbl>
      <w:tblPr>
        <w:tblStyle w:val="8"/>
        <w:tblW w:w="4998" w:type="pct"/>
        <w:jc w:val="center"/>
        <w:tblLayout w:type="autofit"/>
        <w:tblCellMar>
          <w:top w:w="57" w:type="dxa"/>
          <w:left w:w="57" w:type="dxa"/>
          <w:bottom w:w="57" w:type="dxa"/>
          <w:right w:w="57" w:type="dxa"/>
        </w:tblCellMar>
      </w:tblPr>
      <w:tblGrid>
        <w:gridCol w:w="4901"/>
        <w:gridCol w:w="1049"/>
        <w:gridCol w:w="1519"/>
        <w:gridCol w:w="948"/>
      </w:tblGrid>
      <w:tr w14:paraId="3138FE55">
        <w:tblPrEx>
          <w:tblCellMar>
            <w:top w:w="57" w:type="dxa"/>
            <w:left w:w="57" w:type="dxa"/>
            <w:bottom w:w="57" w:type="dxa"/>
            <w:right w:w="57" w:type="dxa"/>
          </w:tblCellMar>
        </w:tblPrEx>
        <w:trPr>
          <w:trHeight w:val="174" w:hRule="atLeast"/>
          <w:tblHeader/>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448B5058">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指标名称</w:t>
            </w:r>
          </w:p>
        </w:tc>
        <w:tc>
          <w:tcPr>
            <w:tcW w:w="623" w:type="pct"/>
            <w:tcBorders>
              <w:top w:val="single" w:color="auto" w:sz="4" w:space="0"/>
              <w:left w:val="nil"/>
              <w:bottom w:val="single" w:color="auto" w:sz="4" w:space="0"/>
              <w:right w:val="single" w:color="auto" w:sz="4" w:space="0"/>
            </w:tcBorders>
            <w:shd w:val="clear" w:color="auto" w:fill="auto"/>
            <w:vAlign w:val="center"/>
          </w:tcPr>
          <w:p w14:paraId="446870D0">
            <w:pPr>
              <w:widowControl/>
              <w:spacing w:line="300" w:lineRule="exact"/>
              <w:jc w:val="center"/>
              <w:rPr>
                <w:rFonts w:hint="eastAsia" w:hAnsi="仿宋" w:eastAsia="宋体" w:cs="宋体"/>
                <w:b/>
                <w:bCs/>
                <w:color w:val="000000"/>
                <w:kern w:val="2"/>
                <w:sz w:val="21"/>
                <w:lang w:eastAsia="zh-CN"/>
              </w:rPr>
            </w:pPr>
            <w:r>
              <w:rPr>
                <w:rFonts w:hint="eastAsia" w:hAnsi="仿宋" w:cs="宋体"/>
                <w:b/>
                <w:bCs/>
                <w:color w:val="000000"/>
                <w:kern w:val="2"/>
                <w:sz w:val="21"/>
              </w:rPr>
              <w:t>指标</w:t>
            </w:r>
            <w:r>
              <w:rPr>
                <w:rFonts w:hint="eastAsia" w:hAnsi="仿宋" w:cs="宋体"/>
                <w:b/>
                <w:bCs/>
                <w:color w:val="000000"/>
                <w:kern w:val="2"/>
                <w:sz w:val="21"/>
                <w:lang w:val="en-US" w:eastAsia="zh-CN"/>
              </w:rPr>
              <w:t>权重</w:t>
            </w:r>
          </w:p>
        </w:tc>
        <w:tc>
          <w:tcPr>
            <w:tcW w:w="902" w:type="pct"/>
            <w:tcBorders>
              <w:top w:val="single" w:color="auto" w:sz="4" w:space="0"/>
              <w:left w:val="nil"/>
              <w:bottom w:val="single" w:color="auto" w:sz="4" w:space="0"/>
              <w:right w:val="single" w:color="auto" w:sz="4" w:space="0"/>
            </w:tcBorders>
            <w:shd w:val="clear" w:color="auto" w:fill="auto"/>
            <w:vAlign w:val="center"/>
          </w:tcPr>
          <w:p w14:paraId="61DA4A2D">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业绩值</w:t>
            </w:r>
          </w:p>
        </w:tc>
        <w:tc>
          <w:tcPr>
            <w:tcW w:w="563" w:type="pct"/>
            <w:tcBorders>
              <w:top w:val="single" w:color="auto" w:sz="4" w:space="0"/>
              <w:left w:val="nil"/>
              <w:bottom w:val="single" w:color="auto" w:sz="4" w:space="0"/>
              <w:right w:val="single" w:color="auto" w:sz="4" w:space="0"/>
            </w:tcBorders>
            <w:shd w:val="clear" w:color="auto" w:fill="auto"/>
            <w:vAlign w:val="center"/>
          </w:tcPr>
          <w:p w14:paraId="560A4D76">
            <w:pPr>
              <w:widowControl/>
              <w:spacing w:line="300" w:lineRule="exact"/>
              <w:jc w:val="center"/>
              <w:rPr>
                <w:rFonts w:hint="default" w:hAnsi="仿宋" w:eastAsia="宋体" w:cs="宋体"/>
                <w:b/>
                <w:bCs/>
                <w:color w:val="000000"/>
                <w:kern w:val="2"/>
                <w:sz w:val="21"/>
                <w:lang w:val="en-US" w:eastAsia="zh-CN"/>
              </w:rPr>
            </w:pPr>
            <w:r>
              <w:rPr>
                <w:rFonts w:hint="eastAsia" w:hAnsi="仿宋" w:cs="宋体"/>
                <w:b/>
                <w:bCs/>
                <w:color w:val="000000"/>
                <w:kern w:val="2"/>
                <w:sz w:val="21"/>
                <w:lang w:val="en-US" w:eastAsia="zh-CN"/>
              </w:rPr>
              <w:t>实际得分</w:t>
            </w:r>
          </w:p>
        </w:tc>
      </w:tr>
      <w:tr w14:paraId="3F516943">
        <w:tblPrEx>
          <w:tblCellMar>
            <w:top w:w="57" w:type="dxa"/>
            <w:left w:w="57" w:type="dxa"/>
            <w:bottom w:w="57" w:type="dxa"/>
            <w:right w:w="57" w:type="dxa"/>
          </w:tblCellMar>
        </w:tblPrEx>
        <w:trPr>
          <w:trHeight w:val="90" w:hRule="atLeast"/>
          <w:jc w:val="center"/>
        </w:trPr>
        <w:tc>
          <w:tcPr>
            <w:tcW w:w="2911" w:type="pct"/>
            <w:tcBorders>
              <w:top w:val="nil"/>
              <w:left w:val="single" w:color="auto" w:sz="4" w:space="0"/>
              <w:bottom w:val="single" w:color="auto" w:sz="4" w:space="0"/>
              <w:right w:val="single" w:color="auto" w:sz="4" w:space="0"/>
            </w:tcBorders>
            <w:shd w:val="clear" w:color="auto" w:fill="auto"/>
            <w:vAlign w:val="center"/>
          </w:tcPr>
          <w:p w14:paraId="4D49F288">
            <w:pPr>
              <w:widowControl/>
              <w:spacing w:line="300" w:lineRule="exact"/>
              <w:jc w:val="both"/>
              <w:rPr>
                <w:rFonts w:hint="default" w:hAnsi="仿宋" w:cs="宋体"/>
                <w:color w:val="000000"/>
                <w:kern w:val="2"/>
                <w:sz w:val="21"/>
                <w:lang w:val="en-US"/>
              </w:rPr>
            </w:pPr>
            <w:r>
              <w:rPr>
                <w:rFonts w:hint="default" w:hAnsi="仿宋" w:cs="宋体"/>
                <w:color w:val="000000"/>
                <w:kern w:val="2"/>
                <w:sz w:val="21"/>
                <w:lang w:val="en-US"/>
              </w:rPr>
              <w:t>C21</w:t>
            </w:r>
            <w:r>
              <w:rPr>
                <w:rFonts w:hint="eastAsia" w:hAnsi="仿宋" w:cs="宋体"/>
                <w:color w:val="000000"/>
                <w:kern w:val="2"/>
                <w:sz w:val="21"/>
                <w:lang w:val="en-US" w:eastAsia="zh-CN"/>
              </w:rPr>
              <w:t>.</w:t>
            </w:r>
            <w:r>
              <w:rPr>
                <w:rFonts w:hint="default" w:hAnsi="仿宋" w:cs="宋体"/>
                <w:color w:val="000000"/>
                <w:kern w:val="2"/>
                <w:sz w:val="21"/>
                <w:lang w:val="en-US"/>
              </w:rPr>
              <w:t>生态效益</w:t>
            </w:r>
          </w:p>
        </w:tc>
        <w:tc>
          <w:tcPr>
            <w:tcW w:w="623" w:type="pct"/>
            <w:tcBorders>
              <w:top w:val="nil"/>
              <w:left w:val="nil"/>
              <w:bottom w:val="single" w:color="auto" w:sz="4" w:space="0"/>
              <w:right w:val="single" w:color="auto" w:sz="4" w:space="0"/>
            </w:tcBorders>
            <w:shd w:val="clear" w:color="auto" w:fill="auto"/>
            <w:vAlign w:val="center"/>
          </w:tcPr>
          <w:p w14:paraId="72EFB39E">
            <w:pPr>
              <w:widowControl/>
              <w:spacing w:line="300" w:lineRule="exact"/>
              <w:jc w:val="center"/>
              <w:rPr>
                <w:rFonts w:hint="default" w:hAnsi="仿宋" w:eastAsia="宋体" w:cs="宋体"/>
                <w:color w:val="000000"/>
                <w:kern w:val="2"/>
                <w:sz w:val="21"/>
                <w:lang w:val="en-US" w:eastAsia="zh-CN"/>
              </w:rPr>
            </w:pPr>
          </w:p>
        </w:tc>
        <w:tc>
          <w:tcPr>
            <w:tcW w:w="902" w:type="pct"/>
            <w:tcBorders>
              <w:top w:val="nil"/>
              <w:left w:val="nil"/>
              <w:bottom w:val="single" w:color="auto" w:sz="4" w:space="0"/>
              <w:right w:val="single" w:color="auto" w:sz="4" w:space="0"/>
            </w:tcBorders>
            <w:shd w:val="clear" w:color="auto" w:fill="auto"/>
            <w:vAlign w:val="center"/>
          </w:tcPr>
          <w:p w14:paraId="1DB97492">
            <w:pPr>
              <w:widowControl/>
              <w:spacing w:line="300" w:lineRule="exact"/>
              <w:jc w:val="center"/>
              <w:rPr>
                <w:rFonts w:hint="default" w:hAnsi="仿宋" w:eastAsia="宋体" w:cs="宋体"/>
                <w:color w:val="000000"/>
                <w:kern w:val="2"/>
                <w:sz w:val="21"/>
                <w:lang w:val="en-US" w:eastAsia="zh-CN"/>
              </w:rPr>
            </w:pPr>
          </w:p>
        </w:tc>
        <w:tc>
          <w:tcPr>
            <w:tcW w:w="563" w:type="pct"/>
            <w:tcBorders>
              <w:top w:val="nil"/>
              <w:left w:val="nil"/>
              <w:bottom w:val="single" w:color="auto" w:sz="4" w:space="0"/>
              <w:right w:val="single" w:color="auto" w:sz="4" w:space="0"/>
            </w:tcBorders>
            <w:shd w:val="clear" w:color="auto" w:fill="auto"/>
            <w:vAlign w:val="center"/>
          </w:tcPr>
          <w:p w14:paraId="6CFABE69">
            <w:pPr>
              <w:widowControl/>
              <w:spacing w:line="300" w:lineRule="exact"/>
              <w:jc w:val="center"/>
              <w:rPr>
                <w:rFonts w:hint="default" w:hAnsi="仿宋" w:eastAsia="宋体" w:cs="宋体"/>
                <w:color w:val="000000"/>
                <w:kern w:val="2"/>
                <w:sz w:val="21"/>
                <w:lang w:val="en-US" w:eastAsia="zh-CN"/>
              </w:rPr>
            </w:pPr>
          </w:p>
        </w:tc>
      </w:tr>
      <w:tr w14:paraId="0AE91578">
        <w:tblPrEx>
          <w:tblCellMar>
            <w:top w:w="57" w:type="dxa"/>
            <w:left w:w="57" w:type="dxa"/>
            <w:bottom w:w="57" w:type="dxa"/>
            <w:right w:w="57" w:type="dxa"/>
          </w:tblCellMar>
        </w:tblPrEx>
        <w:trPr>
          <w:trHeight w:val="90" w:hRule="atLeast"/>
          <w:jc w:val="center"/>
        </w:trPr>
        <w:tc>
          <w:tcPr>
            <w:tcW w:w="2911" w:type="pct"/>
            <w:tcBorders>
              <w:top w:val="nil"/>
              <w:left w:val="single" w:color="auto" w:sz="4" w:space="0"/>
              <w:bottom w:val="single" w:color="auto" w:sz="4" w:space="0"/>
              <w:right w:val="single" w:color="auto" w:sz="4" w:space="0"/>
            </w:tcBorders>
            <w:shd w:val="clear" w:color="auto" w:fill="auto"/>
            <w:vAlign w:val="center"/>
          </w:tcPr>
          <w:p w14:paraId="04E1C248">
            <w:pPr>
              <w:widowControl/>
              <w:spacing w:line="300" w:lineRule="exact"/>
              <w:ind w:firstLine="420" w:firstLineChars="200"/>
              <w:jc w:val="both"/>
              <w:rPr>
                <w:rFonts w:hint="default" w:hAnsi="仿宋" w:cs="宋体"/>
                <w:color w:val="000000"/>
                <w:kern w:val="2"/>
                <w:sz w:val="21"/>
                <w:lang w:val="en-US"/>
              </w:rPr>
            </w:pPr>
            <w:r>
              <w:rPr>
                <w:rFonts w:hint="default" w:hAnsi="仿宋" w:cs="宋体"/>
                <w:color w:val="000000"/>
                <w:kern w:val="2"/>
                <w:sz w:val="21"/>
                <w:lang w:val="en-US"/>
              </w:rPr>
              <w:t>C211.区域环境提升性</w:t>
            </w:r>
          </w:p>
        </w:tc>
        <w:tc>
          <w:tcPr>
            <w:tcW w:w="623" w:type="pct"/>
            <w:tcBorders>
              <w:top w:val="nil"/>
              <w:left w:val="nil"/>
              <w:bottom w:val="single" w:color="auto" w:sz="4" w:space="0"/>
              <w:right w:val="single" w:color="auto" w:sz="4" w:space="0"/>
            </w:tcBorders>
            <w:shd w:val="clear" w:color="auto" w:fill="auto"/>
            <w:vAlign w:val="center"/>
          </w:tcPr>
          <w:p w14:paraId="77F962EB">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5</w:t>
            </w:r>
          </w:p>
        </w:tc>
        <w:tc>
          <w:tcPr>
            <w:tcW w:w="902" w:type="pct"/>
            <w:tcBorders>
              <w:top w:val="nil"/>
              <w:left w:val="nil"/>
              <w:bottom w:val="single" w:color="auto" w:sz="4" w:space="0"/>
              <w:right w:val="single" w:color="auto" w:sz="4" w:space="0"/>
            </w:tcBorders>
            <w:shd w:val="clear" w:color="auto" w:fill="auto"/>
            <w:vAlign w:val="center"/>
          </w:tcPr>
          <w:p w14:paraId="1A6853FA">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有效提升</w:t>
            </w:r>
          </w:p>
        </w:tc>
        <w:tc>
          <w:tcPr>
            <w:tcW w:w="563" w:type="pct"/>
            <w:tcBorders>
              <w:top w:val="nil"/>
              <w:left w:val="nil"/>
              <w:bottom w:val="single" w:color="auto" w:sz="4" w:space="0"/>
              <w:right w:val="single" w:color="auto" w:sz="4" w:space="0"/>
            </w:tcBorders>
            <w:shd w:val="clear" w:color="auto" w:fill="auto"/>
            <w:vAlign w:val="center"/>
          </w:tcPr>
          <w:p w14:paraId="36EA4C63">
            <w:pPr>
              <w:widowControl/>
              <w:spacing w:line="300" w:lineRule="exact"/>
              <w:jc w:val="center"/>
              <w:rPr>
                <w:rFonts w:hint="default" w:hAnsi="仿宋" w:eastAsia="宋体" w:cs="宋体"/>
                <w:color w:val="000000"/>
                <w:kern w:val="2"/>
                <w:sz w:val="21"/>
                <w:lang w:val="en-US" w:eastAsia="zh-CN"/>
              </w:rPr>
            </w:pPr>
            <w:r>
              <w:rPr>
                <w:rFonts w:hint="eastAsia" w:hAnsi="仿宋" w:cs="宋体"/>
                <w:color w:val="000000"/>
                <w:kern w:val="2"/>
                <w:sz w:val="21"/>
                <w:lang w:val="en-US" w:eastAsia="zh-CN"/>
              </w:rPr>
              <w:t>5</w:t>
            </w:r>
          </w:p>
        </w:tc>
      </w:tr>
      <w:tr w14:paraId="4F042648">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679D24B4">
            <w:pPr>
              <w:widowControl/>
              <w:spacing w:line="300" w:lineRule="exact"/>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C22.社会效益</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6A50D4D2">
            <w:pPr>
              <w:widowControl/>
              <w:spacing w:line="300" w:lineRule="exact"/>
              <w:jc w:val="center"/>
              <w:rPr>
                <w:rFonts w:hint="default" w:ascii="Calibri" w:hAnsi="仿宋" w:eastAsia="宋体" w:cs="宋体"/>
                <w:color w:val="000000"/>
                <w:kern w:val="2"/>
                <w:sz w:val="21"/>
                <w:szCs w:val="22"/>
                <w:lang w:val="en-US" w:eastAsia="zh-CN" w:bidi="ar-SA"/>
              </w:rPr>
            </w:pP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59BC709B">
            <w:pPr>
              <w:widowControl/>
              <w:spacing w:line="300" w:lineRule="exact"/>
              <w:jc w:val="center"/>
              <w:rPr>
                <w:rFonts w:hint="default" w:ascii="Calibri" w:hAnsi="仿宋" w:eastAsia="宋体" w:cs="宋体"/>
                <w:color w:val="000000"/>
                <w:kern w:val="2"/>
                <w:sz w:val="21"/>
                <w:szCs w:val="22"/>
                <w:lang w:val="en-US" w:eastAsia="zh-CN" w:bidi="ar-SA"/>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374AB3C7">
            <w:pPr>
              <w:widowControl/>
              <w:spacing w:line="300" w:lineRule="exact"/>
              <w:jc w:val="center"/>
              <w:rPr>
                <w:rFonts w:hint="default" w:ascii="Calibri" w:hAnsi="仿宋" w:eastAsia="宋体" w:cs="宋体"/>
                <w:color w:val="000000"/>
                <w:kern w:val="2"/>
                <w:sz w:val="21"/>
                <w:szCs w:val="22"/>
                <w:lang w:val="en-US" w:eastAsia="zh-CN" w:bidi="ar-SA"/>
              </w:rPr>
            </w:pPr>
          </w:p>
        </w:tc>
      </w:tr>
      <w:tr w14:paraId="2C9767C6">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4924DFA6">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C221.环保宣教活动覆盖率</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72D13EFE">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4</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6E2950CA">
            <w:pPr>
              <w:widowControl/>
              <w:spacing w:line="300" w:lineRule="exact"/>
              <w:jc w:val="center"/>
              <w:rPr>
                <w:rFonts w:hint="default" w:hAnsi="仿宋" w:cs="宋体"/>
                <w:color w:val="000000"/>
                <w:kern w:val="2"/>
                <w:sz w:val="21"/>
                <w:szCs w:val="22"/>
                <w:lang w:val="en-US" w:eastAsia="zh-CN" w:bidi="ar-SA"/>
              </w:rPr>
            </w:pPr>
            <w:r>
              <w:rPr>
                <w:rFonts w:hint="default" w:hAnsi="仿宋" w:cs="宋体"/>
                <w:color w:val="000000"/>
                <w:kern w:val="2"/>
                <w:sz w:val="21"/>
                <w:szCs w:val="22"/>
                <w:lang w:val="en-US" w:eastAsia="zh-CN" w:bidi="ar-SA"/>
              </w:rPr>
              <w:t>覆盖率=100%</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6C330A76">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4</w:t>
            </w:r>
          </w:p>
        </w:tc>
      </w:tr>
      <w:tr w14:paraId="77E29CE5">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48251ADB">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C222.群众知晓率</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455CF53A">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6</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74F4140D">
            <w:pPr>
              <w:widowControl/>
              <w:spacing w:line="300" w:lineRule="exact"/>
              <w:jc w:val="center"/>
              <w:rPr>
                <w:rFonts w:hint="default" w:hAnsi="仿宋" w:cs="宋体"/>
                <w:color w:val="000000"/>
                <w:kern w:val="2"/>
                <w:sz w:val="21"/>
                <w:szCs w:val="22"/>
                <w:lang w:val="en-US" w:eastAsia="zh-CN" w:bidi="ar-SA"/>
              </w:rPr>
            </w:pPr>
            <w:r>
              <w:rPr>
                <w:rFonts w:hint="default" w:hAnsi="仿宋" w:cs="宋体"/>
                <w:color w:val="000000"/>
                <w:kern w:val="2"/>
                <w:sz w:val="21"/>
                <w:szCs w:val="22"/>
                <w:lang w:val="en-US" w:eastAsia="zh-CN" w:bidi="ar-SA"/>
              </w:rPr>
              <w:t>知晓率≥90%</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52081D44">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4.8</w:t>
            </w:r>
          </w:p>
        </w:tc>
      </w:tr>
      <w:tr w14:paraId="66CA1DA3">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7DE0DB70">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C223.公众环保参与率</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2B0424DC">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6</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0A8A28AC">
            <w:pPr>
              <w:widowControl/>
              <w:spacing w:line="300" w:lineRule="exact"/>
              <w:jc w:val="center"/>
              <w:rPr>
                <w:rFonts w:hint="default" w:hAnsi="仿宋" w:cs="宋体"/>
                <w:color w:val="000000"/>
                <w:kern w:val="2"/>
                <w:sz w:val="21"/>
                <w:szCs w:val="22"/>
                <w:lang w:val="en-US" w:eastAsia="zh-CN" w:bidi="ar-SA"/>
              </w:rPr>
            </w:pPr>
            <w:r>
              <w:rPr>
                <w:rFonts w:hint="default" w:hAnsi="仿宋" w:cs="宋体"/>
                <w:color w:val="000000"/>
                <w:kern w:val="2"/>
                <w:sz w:val="21"/>
                <w:szCs w:val="22"/>
                <w:lang w:val="en-US" w:eastAsia="zh-CN" w:bidi="ar-SA"/>
              </w:rPr>
              <w:t>参与率≥90%</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1647479A">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6</w:t>
            </w:r>
          </w:p>
        </w:tc>
      </w:tr>
      <w:tr w14:paraId="39B1E983">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50FE7248">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C224.宣传途径多样性</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56688D56">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4</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5FEB63BD">
            <w:pPr>
              <w:widowControl/>
              <w:spacing w:line="300" w:lineRule="exact"/>
              <w:jc w:val="center"/>
              <w:rPr>
                <w:rFonts w:hint="default" w:hAnsi="仿宋" w:cs="宋体"/>
                <w:color w:val="000000"/>
                <w:kern w:val="2"/>
                <w:sz w:val="21"/>
                <w:szCs w:val="22"/>
                <w:lang w:val="en-US" w:eastAsia="zh-CN" w:bidi="ar-SA"/>
              </w:rPr>
            </w:pPr>
            <w:r>
              <w:rPr>
                <w:rFonts w:hint="default" w:hAnsi="仿宋" w:cs="宋体"/>
                <w:color w:val="000000"/>
                <w:kern w:val="2"/>
                <w:sz w:val="21"/>
                <w:szCs w:val="22"/>
                <w:lang w:val="en-US" w:eastAsia="zh-CN" w:bidi="ar-SA"/>
              </w:rPr>
              <w:t>具备多样性</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7F488F08">
            <w:pPr>
              <w:widowControl/>
              <w:spacing w:line="300" w:lineRule="exact"/>
              <w:jc w:val="center"/>
              <w:rPr>
                <w:rFonts w:hint="default" w:hAnsi="仿宋" w:cs="宋体"/>
                <w:color w:val="000000"/>
                <w:kern w:val="2"/>
                <w:sz w:val="21"/>
                <w:szCs w:val="22"/>
                <w:lang w:val="en-US" w:eastAsia="zh-CN" w:bidi="ar-SA"/>
              </w:rPr>
            </w:pPr>
            <w:r>
              <w:rPr>
                <w:rFonts w:hint="eastAsia" w:hAnsi="仿宋" w:cs="宋体"/>
                <w:color w:val="000000"/>
                <w:kern w:val="2"/>
                <w:sz w:val="21"/>
                <w:szCs w:val="22"/>
                <w:lang w:val="en-US" w:eastAsia="zh-CN" w:bidi="ar-SA"/>
              </w:rPr>
              <w:t>4</w:t>
            </w:r>
          </w:p>
        </w:tc>
      </w:tr>
      <w:tr w14:paraId="5268AA41">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39D56247">
            <w:pPr>
              <w:widowControl/>
              <w:spacing w:line="300" w:lineRule="exact"/>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C23.满意度</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63A5A3A0">
            <w:pPr>
              <w:widowControl/>
              <w:spacing w:line="300" w:lineRule="exact"/>
              <w:jc w:val="center"/>
              <w:rPr>
                <w:rFonts w:hint="default" w:hAnsi="仿宋" w:cs="宋体"/>
                <w:color w:val="000000"/>
                <w:kern w:val="2"/>
                <w:sz w:val="21"/>
                <w:szCs w:val="22"/>
                <w:lang w:val="en-US" w:eastAsia="zh-CN" w:bidi="ar-SA"/>
              </w:rPr>
            </w:pP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0FDC4816">
            <w:pPr>
              <w:widowControl/>
              <w:spacing w:line="300" w:lineRule="exact"/>
              <w:jc w:val="center"/>
              <w:rPr>
                <w:rFonts w:hint="default" w:hAnsi="仿宋" w:cs="宋体"/>
                <w:color w:val="000000"/>
                <w:kern w:val="2"/>
                <w:sz w:val="21"/>
                <w:szCs w:val="22"/>
                <w:lang w:val="en-US" w:eastAsia="zh-CN" w:bidi="ar-SA"/>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2CE76919">
            <w:pPr>
              <w:widowControl/>
              <w:spacing w:line="300" w:lineRule="exact"/>
              <w:jc w:val="center"/>
              <w:rPr>
                <w:rFonts w:hint="default" w:hAnsi="仿宋" w:cs="宋体"/>
                <w:color w:val="000000"/>
                <w:kern w:val="2"/>
                <w:sz w:val="21"/>
                <w:szCs w:val="22"/>
                <w:lang w:val="en-US" w:eastAsia="zh-CN" w:bidi="ar-SA"/>
              </w:rPr>
            </w:pPr>
          </w:p>
        </w:tc>
      </w:tr>
      <w:tr w14:paraId="0947A6F4">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0A5AABDB">
            <w:pPr>
              <w:widowControl/>
              <w:spacing w:line="300" w:lineRule="exact"/>
              <w:ind w:firstLine="420" w:firstLineChars="200"/>
              <w:jc w:val="left"/>
              <w:rPr>
                <w:rFonts w:hint="default" w:ascii="Calibri" w:hAnsi="仿宋" w:eastAsia="宋体" w:cs="宋体"/>
                <w:color w:val="000000"/>
                <w:kern w:val="2"/>
                <w:sz w:val="21"/>
                <w:szCs w:val="22"/>
                <w:lang w:val="en-US" w:eastAsia="zh-CN" w:bidi="ar-SA"/>
              </w:rPr>
            </w:pPr>
            <w:r>
              <w:rPr>
                <w:rFonts w:hint="default" w:ascii="Calibri" w:hAnsi="仿宋" w:eastAsia="宋体" w:cs="宋体"/>
                <w:color w:val="000000"/>
                <w:kern w:val="2"/>
                <w:sz w:val="21"/>
                <w:szCs w:val="22"/>
                <w:lang w:val="en-US" w:eastAsia="zh-CN" w:bidi="ar-SA"/>
              </w:rPr>
              <w:t>C231.社会群众满意度</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6DED0C6D">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5</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70B81105">
            <w:pPr>
              <w:widowControl/>
              <w:spacing w:line="300" w:lineRule="exact"/>
              <w:jc w:val="center"/>
              <w:rPr>
                <w:rFonts w:hint="eastAsia" w:ascii="Calibri" w:hAnsi="仿宋" w:eastAsia="宋体" w:cs="宋体"/>
                <w:color w:val="000000"/>
                <w:kern w:val="2"/>
                <w:sz w:val="21"/>
                <w:szCs w:val="22"/>
                <w:lang w:val="en-US" w:eastAsia="zh-CN" w:bidi="ar-SA"/>
              </w:rPr>
            </w:pPr>
            <w:r>
              <w:rPr>
                <w:rFonts w:hint="eastAsia" w:ascii="Calibri" w:hAnsi="仿宋" w:eastAsia="宋体" w:cs="宋体"/>
                <w:color w:val="000000"/>
                <w:kern w:val="2"/>
                <w:sz w:val="21"/>
                <w:szCs w:val="22"/>
                <w:lang w:val="en-US" w:eastAsia="zh-CN" w:bidi="ar-SA"/>
              </w:rPr>
              <w:t>满意度≥90%</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050791BD">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5</w:t>
            </w:r>
          </w:p>
        </w:tc>
      </w:tr>
      <w:tr w14:paraId="45F9AB60">
        <w:tblPrEx>
          <w:tblCellMar>
            <w:top w:w="57" w:type="dxa"/>
            <w:left w:w="57" w:type="dxa"/>
            <w:bottom w:w="57" w:type="dxa"/>
            <w:right w:w="57" w:type="dxa"/>
          </w:tblCellMar>
        </w:tblPrEx>
        <w:trPr>
          <w:trHeight w:val="90" w:hRule="atLeast"/>
          <w:jc w:val="center"/>
        </w:trPr>
        <w:tc>
          <w:tcPr>
            <w:tcW w:w="2911" w:type="pct"/>
            <w:tcBorders>
              <w:top w:val="single" w:color="auto" w:sz="4" w:space="0"/>
              <w:left w:val="single" w:color="auto" w:sz="4" w:space="0"/>
              <w:bottom w:val="single" w:color="auto" w:sz="4" w:space="0"/>
              <w:right w:val="single" w:color="auto" w:sz="4" w:space="0"/>
            </w:tcBorders>
            <w:shd w:val="clear" w:color="auto" w:fill="auto"/>
            <w:vAlign w:val="center"/>
          </w:tcPr>
          <w:p w14:paraId="7989DEB4">
            <w:pPr>
              <w:widowControl/>
              <w:spacing w:line="300" w:lineRule="exact"/>
              <w:ind w:firstLine="420" w:firstLineChars="200"/>
              <w:jc w:val="center"/>
              <w:rPr>
                <w:rFonts w:hint="eastAsia"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合计</w:t>
            </w:r>
          </w:p>
        </w:tc>
        <w:tc>
          <w:tcPr>
            <w:tcW w:w="623" w:type="pct"/>
            <w:tcBorders>
              <w:top w:val="single" w:color="auto" w:sz="4" w:space="0"/>
              <w:left w:val="single" w:color="auto" w:sz="4" w:space="0"/>
              <w:bottom w:val="single" w:color="auto" w:sz="4" w:space="0"/>
              <w:right w:val="single" w:color="auto" w:sz="4" w:space="0"/>
            </w:tcBorders>
            <w:shd w:val="clear" w:color="auto" w:fill="auto"/>
            <w:vAlign w:val="center"/>
          </w:tcPr>
          <w:p w14:paraId="727E5062">
            <w:pPr>
              <w:widowControl/>
              <w:spacing w:line="300" w:lineRule="exact"/>
              <w:jc w:val="center"/>
              <w:rPr>
                <w:rFonts w:hint="default" w:ascii="Calibri" w:hAnsi="仿宋" w:eastAsia="宋体" w:cs="宋体"/>
                <w:color w:val="000000"/>
                <w:kern w:val="2"/>
                <w:sz w:val="21"/>
                <w:szCs w:val="22"/>
                <w:lang w:val="en-US" w:eastAsia="zh-CN" w:bidi="ar-SA"/>
              </w:rPr>
            </w:pPr>
            <w:r>
              <w:rPr>
                <w:rFonts w:hint="eastAsia" w:hAnsi="仿宋" w:cs="宋体"/>
                <w:color w:val="000000"/>
                <w:kern w:val="2"/>
                <w:sz w:val="21"/>
                <w:szCs w:val="22"/>
                <w:lang w:val="en-US" w:eastAsia="zh-CN" w:bidi="ar-SA"/>
              </w:rPr>
              <w:t>30</w:t>
            </w:r>
          </w:p>
        </w:tc>
        <w:tc>
          <w:tcPr>
            <w:tcW w:w="902" w:type="pct"/>
            <w:tcBorders>
              <w:top w:val="single" w:color="auto" w:sz="4" w:space="0"/>
              <w:left w:val="single" w:color="auto" w:sz="4" w:space="0"/>
              <w:bottom w:val="single" w:color="auto" w:sz="4" w:space="0"/>
              <w:right w:val="single" w:color="auto" w:sz="4" w:space="0"/>
            </w:tcBorders>
            <w:shd w:val="clear" w:color="auto" w:fill="auto"/>
            <w:vAlign w:val="center"/>
          </w:tcPr>
          <w:p w14:paraId="7DE27301">
            <w:pPr>
              <w:widowControl/>
              <w:spacing w:line="300" w:lineRule="exact"/>
              <w:jc w:val="center"/>
              <w:rPr>
                <w:rFonts w:hint="eastAsia" w:ascii="Calibri" w:hAnsi="仿宋" w:eastAsia="宋体" w:cs="宋体"/>
                <w:color w:val="000000"/>
                <w:kern w:val="2"/>
                <w:sz w:val="21"/>
                <w:szCs w:val="22"/>
                <w:lang w:val="en-US" w:eastAsia="zh-CN" w:bidi="ar-SA"/>
              </w:rPr>
            </w:pP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14:paraId="37ADA0AF">
            <w:pPr>
              <w:widowControl/>
              <w:spacing w:line="300" w:lineRule="exact"/>
              <w:jc w:val="center"/>
              <w:rPr>
                <w:rFonts w:hint="eastAsia" w:ascii="Calibri" w:hAnsi="仿宋" w:eastAsia="宋体" w:cs="宋体"/>
                <w:color w:val="000000"/>
                <w:kern w:val="2"/>
                <w:sz w:val="21"/>
                <w:szCs w:val="22"/>
                <w:lang w:val="en-US" w:eastAsia="zh-CN" w:bidi="ar-SA"/>
              </w:rPr>
            </w:pPr>
          </w:p>
        </w:tc>
      </w:tr>
    </w:tbl>
    <w:p w14:paraId="5B75ECBA">
      <w:pPr>
        <w:numPr>
          <w:ilvl w:val="0"/>
          <w:numId w:val="0"/>
        </w:numPr>
        <w:spacing w:line="579" w:lineRule="exact"/>
        <w:ind w:firstLine="586" w:firstLineChars="2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C21</w:t>
      </w:r>
      <w:r>
        <w:rPr>
          <w:rFonts w:hint="eastAsia" w:ascii="仿宋_GB2312" w:hAnsi="仿宋" w:eastAsia="仿宋_GB2312" w:cs="Times New Roman"/>
          <w:b/>
          <w:bCs/>
          <w:spacing w:val="6"/>
          <w:kern w:val="0"/>
          <w:sz w:val="28"/>
          <w:szCs w:val="28"/>
          <w:highlight w:val="none"/>
          <w:u w:val="none"/>
          <w:lang w:val="en-US" w:eastAsia="zh-CN" w:bidi="ar-SA"/>
        </w:rPr>
        <w:t>.</w:t>
      </w:r>
      <w:r>
        <w:rPr>
          <w:rFonts w:hint="default" w:ascii="仿宋_GB2312" w:hAnsi="仿宋" w:eastAsia="仿宋_GB2312" w:cs="Times New Roman"/>
          <w:b/>
          <w:bCs/>
          <w:spacing w:val="6"/>
          <w:kern w:val="0"/>
          <w:sz w:val="28"/>
          <w:szCs w:val="28"/>
          <w:highlight w:val="none"/>
          <w:u w:val="none"/>
          <w:lang w:val="en-US" w:eastAsia="zh-CN" w:bidi="ar-SA"/>
        </w:rPr>
        <w:t>生态效益</w:t>
      </w:r>
    </w:p>
    <w:p w14:paraId="4B7B2828">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default" w:ascii="仿宋_GB2312" w:hAnsi="仿宋" w:eastAsia="仿宋_GB2312"/>
          <w:spacing w:val="6"/>
          <w:kern w:val="0"/>
          <w:sz w:val="28"/>
          <w:szCs w:val="28"/>
          <w:highlight w:val="none"/>
          <w:u w:val="single"/>
          <w:lang w:val="en-US" w:eastAsia="zh-CN"/>
        </w:rPr>
        <w:t>C211.区域环境提升性</w:t>
      </w:r>
      <w:r>
        <w:rPr>
          <w:rFonts w:hint="eastAsia" w:ascii="仿宋_GB2312" w:hAnsi="仿宋" w:eastAsia="仿宋_GB2312"/>
          <w:spacing w:val="6"/>
          <w:kern w:val="0"/>
          <w:sz w:val="28"/>
          <w:szCs w:val="28"/>
          <w:highlight w:val="none"/>
          <w:lang w:val="en-US" w:eastAsia="zh-CN"/>
        </w:rPr>
        <w:t>:根据调查问卷第三个问题计算区域环境提升性，60份有效问卷中第三个问题选择A或B视为有效，选择C或D视为无效。根据调查问卷结果显示，第三个问题共60名群众选择A，根据评分标准计算公式：区域环境提升性=社会调查问卷第三问题选A、B份数/有效问卷份数，故区域环境提升性=60/60*100%=100%。</w:t>
      </w:r>
    </w:p>
    <w:p w14:paraId="50288F6C">
      <w:pPr>
        <w:numPr>
          <w:ilvl w:val="0"/>
          <w:numId w:val="0"/>
        </w:numPr>
        <w:spacing w:line="579"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spacing w:val="6"/>
          <w:kern w:val="0"/>
          <w:sz w:val="28"/>
          <w:szCs w:val="28"/>
          <w:highlight w:val="none"/>
          <w:lang w:val="en-US" w:eastAsia="zh-CN"/>
        </w:rPr>
        <w:t>该项指标满分5分，根据评分标准得5分。</w:t>
      </w:r>
    </w:p>
    <w:p w14:paraId="677E0998">
      <w:pPr>
        <w:numPr>
          <w:ilvl w:val="0"/>
          <w:numId w:val="0"/>
        </w:numPr>
        <w:spacing w:line="579" w:lineRule="exact"/>
        <w:ind w:firstLine="586" w:firstLineChars="200"/>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C22.社会效益</w:t>
      </w:r>
    </w:p>
    <w:p w14:paraId="2FCA006B">
      <w:pPr>
        <w:numPr>
          <w:ilvl w:val="0"/>
          <w:numId w:val="0"/>
        </w:numPr>
        <w:spacing w:line="590" w:lineRule="exact"/>
        <w:ind w:firstLine="584" w:firstLineChars="200"/>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spacing w:val="6"/>
          <w:kern w:val="0"/>
          <w:sz w:val="28"/>
          <w:szCs w:val="28"/>
          <w:highlight w:val="none"/>
          <w:u w:val="single"/>
          <w:lang w:val="en-US" w:eastAsia="zh-CN"/>
        </w:rPr>
        <w:t>C221.环保宣教活动覆盖率</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2019年昆明市生态环境局盘龙分局要求辖区内所有街道、社区均开展环保宣教及绿色创建活动，覆盖率达100%。</w:t>
      </w:r>
    </w:p>
    <w:p w14:paraId="28A50C86">
      <w:pPr>
        <w:numPr>
          <w:ilvl w:val="0"/>
          <w:numId w:val="0"/>
        </w:numPr>
        <w:spacing w:line="579" w:lineRule="exact"/>
        <w:ind w:firstLine="584" w:firstLineChars="200"/>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该项指标满分4分，根据评分标准得4分。</w:t>
      </w:r>
    </w:p>
    <w:p w14:paraId="2B69F291">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default" w:ascii="仿宋_GB2312" w:hAnsi="仿宋" w:eastAsia="仿宋_GB2312"/>
          <w:spacing w:val="6"/>
          <w:kern w:val="0"/>
          <w:sz w:val="28"/>
          <w:szCs w:val="28"/>
          <w:highlight w:val="none"/>
          <w:u w:val="single"/>
          <w:lang w:val="en-US" w:eastAsia="zh-CN"/>
        </w:rPr>
        <w:t>C222.群众知晓率</w:t>
      </w:r>
      <w:r>
        <w:rPr>
          <w:rFonts w:hint="eastAsia" w:ascii="仿宋_GB2312" w:hAnsi="仿宋" w:eastAsia="仿宋_GB2312"/>
          <w:spacing w:val="6"/>
          <w:kern w:val="0"/>
          <w:sz w:val="28"/>
          <w:szCs w:val="28"/>
          <w:highlight w:val="none"/>
          <w:u w:val="none"/>
          <w:lang w:val="en-US" w:eastAsia="zh-CN"/>
        </w:rPr>
        <w:t>：根据调查问卷第一个问题计算公众知晓率，60份有效问卷中第一个问题选择A或B视为知晓，选择C或D视为不知晓。</w:t>
      </w:r>
      <w:r>
        <w:rPr>
          <w:rFonts w:hint="eastAsia" w:ascii="仿宋_GB2312" w:hAnsi="仿宋" w:eastAsia="仿宋_GB2312"/>
          <w:spacing w:val="6"/>
          <w:kern w:val="0"/>
          <w:sz w:val="28"/>
          <w:szCs w:val="28"/>
          <w:highlight w:val="none"/>
          <w:lang w:val="en-US" w:eastAsia="zh-CN"/>
        </w:rPr>
        <w:t>根据调查问卷结果显示，有30名群众选择A，23名群众选择B，3名群众选择C，4名群众选择D。根据评分标准计算公式：</w:t>
      </w:r>
      <w:r>
        <w:rPr>
          <w:rFonts w:hint="eastAsia" w:ascii="仿宋_GB2312" w:hAnsi="仿宋" w:eastAsia="仿宋_GB2312"/>
          <w:spacing w:val="6"/>
          <w:kern w:val="0"/>
          <w:sz w:val="28"/>
          <w:szCs w:val="28"/>
          <w:highlight w:val="none"/>
          <w:u w:val="none"/>
          <w:lang w:val="en-US" w:eastAsia="zh-CN"/>
        </w:rPr>
        <w:t>知晓率=社会调查问卷第一问题选A、B份数/有效问卷份数60*100%。</w:t>
      </w:r>
      <w:r>
        <w:rPr>
          <w:rFonts w:hint="eastAsia" w:ascii="仿宋_GB2312" w:hAnsi="仿宋" w:eastAsia="仿宋_GB2312"/>
          <w:spacing w:val="6"/>
          <w:kern w:val="0"/>
          <w:sz w:val="28"/>
          <w:szCs w:val="28"/>
          <w:highlight w:val="none"/>
          <w:lang w:val="en-US" w:eastAsia="zh-CN"/>
        </w:rPr>
        <w:t>故</w:t>
      </w:r>
      <w:r>
        <w:rPr>
          <w:rFonts w:hint="eastAsia" w:ascii="仿宋_GB2312" w:hAnsi="仿宋" w:eastAsia="仿宋_GB2312"/>
          <w:spacing w:val="6"/>
          <w:kern w:val="0"/>
          <w:sz w:val="28"/>
          <w:szCs w:val="28"/>
          <w:highlight w:val="none"/>
          <w:u w:val="none"/>
          <w:lang w:val="en-US" w:eastAsia="zh-CN"/>
        </w:rPr>
        <w:t>知晓率</w:t>
      </w:r>
      <w:r>
        <w:rPr>
          <w:rFonts w:hint="eastAsia" w:ascii="仿宋_GB2312" w:hAnsi="仿宋" w:eastAsia="仿宋_GB2312"/>
          <w:spacing w:val="6"/>
          <w:kern w:val="0"/>
          <w:sz w:val="28"/>
          <w:szCs w:val="28"/>
          <w:highlight w:val="none"/>
          <w:lang w:val="en-US" w:eastAsia="zh-CN"/>
        </w:rPr>
        <w:t>=53/60*100%=88.33%。根据评分标准：知晓率＜90%；每下降5%的知晓率（不足5%按5%计算）扣权重分的20%，故扣除权重分20%既1.2分。</w:t>
      </w:r>
    </w:p>
    <w:p w14:paraId="14BDC99E">
      <w:pPr>
        <w:numPr>
          <w:ilvl w:val="0"/>
          <w:numId w:val="0"/>
        </w:numPr>
        <w:spacing w:line="579" w:lineRule="exact"/>
        <w:ind w:firstLine="584" w:firstLineChars="200"/>
        <w:rPr>
          <w:rFonts w:hint="eastAsia"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该项指标满分6分，根据评分标准得4.8分。</w:t>
      </w:r>
    </w:p>
    <w:p w14:paraId="26469163">
      <w:pPr>
        <w:numPr>
          <w:ilvl w:val="0"/>
          <w:numId w:val="0"/>
        </w:num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default" w:ascii="仿宋_GB2312" w:hAnsi="仿宋" w:eastAsia="仿宋_GB2312"/>
          <w:spacing w:val="6"/>
          <w:kern w:val="0"/>
          <w:sz w:val="28"/>
          <w:szCs w:val="28"/>
          <w:highlight w:val="none"/>
          <w:u w:val="single"/>
          <w:lang w:val="en-US" w:eastAsia="zh-CN"/>
        </w:rPr>
        <w:t>C223.公众环保参与率</w:t>
      </w:r>
      <w:r>
        <w:rPr>
          <w:rFonts w:hint="eastAsia" w:ascii="仿宋_GB2312" w:hAnsi="仿宋" w:eastAsia="仿宋_GB2312"/>
          <w:spacing w:val="6"/>
          <w:kern w:val="0"/>
          <w:sz w:val="28"/>
          <w:szCs w:val="28"/>
          <w:highlight w:val="none"/>
          <w:u w:val="none"/>
          <w:lang w:val="en-US" w:eastAsia="zh-CN"/>
        </w:rPr>
        <w:t>：根据调查问卷第二个问题计算公众知晓率，60份有效问卷中第二个问题选择A或B视为有效，选择C或D视为无效。</w:t>
      </w:r>
      <w:r>
        <w:rPr>
          <w:rFonts w:hint="eastAsia" w:ascii="仿宋_GB2312" w:hAnsi="仿宋" w:eastAsia="仿宋_GB2312"/>
          <w:spacing w:val="6"/>
          <w:kern w:val="0"/>
          <w:sz w:val="28"/>
          <w:szCs w:val="28"/>
          <w:highlight w:val="none"/>
          <w:lang w:val="en-US" w:eastAsia="zh-CN"/>
        </w:rPr>
        <w:t>根据调查问卷结果显示，所有调查市民均选择A，根据评分标准计算公式：</w:t>
      </w:r>
      <w:r>
        <w:rPr>
          <w:rFonts w:hint="eastAsia" w:ascii="仿宋_GB2312" w:hAnsi="仿宋" w:eastAsia="仿宋_GB2312"/>
          <w:spacing w:val="6"/>
          <w:kern w:val="0"/>
          <w:sz w:val="28"/>
          <w:szCs w:val="28"/>
          <w:highlight w:val="none"/>
          <w:u w:val="none"/>
          <w:lang w:val="en-US" w:eastAsia="zh-CN"/>
        </w:rPr>
        <w:t>公众环保参与率=社会调查问卷第二问题选A、B份数/有效问卷份数60*100%。</w:t>
      </w:r>
      <w:r>
        <w:rPr>
          <w:rFonts w:hint="eastAsia" w:ascii="仿宋_GB2312" w:hAnsi="仿宋" w:eastAsia="仿宋_GB2312"/>
          <w:spacing w:val="6"/>
          <w:kern w:val="0"/>
          <w:sz w:val="28"/>
          <w:szCs w:val="28"/>
          <w:highlight w:val="none"/>
          <w:lang w:val="en-US" w:eastAsia="zh-CN"/>
        </w:rPr>
        <w:t>故公众环保参与率=60/60*100%=100%。</w:t>
      </w:r>
    </w:p>
    <w:p w14:paraId="10F933B1">
      <w:pPr>
        <w:numPr>
          <w:ilvl w:val="0"/>
          <w:numId w:val="0"/>
        </w:numPr>
        <w:spacing w:line="579" w:lineRule="exact"/>
        <w:ind w:firstLine="584" w:firstLineChars="200"/>
        <w:rPr>
          <w:rFonts w:hint="eastAsia"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该项指标满分6分，根据评分标准得6分。</w:t>
      </w:r>
    </w:p>
    <w:p w14:paraId="6359BFBB">
      <w:pPr>
        <w:numPr>
          <w:ilvl w:val="0"/>
          <w:numId w:val="0"/>
        </w:numPr>
        <w:spacing w:line="590" w:lineRule="exact"/>
        <w:ind w:firstLine="584" w:firstLineChars="200"/>
        <w:rPr>
          <w:rFonts w:hint="default" w:ascii="仿宋_GB2312" w:hAnsi="仿宋" w:eastAsia="仿宋_GB2312"/>
          <w:spacing w:val="6"/>
          <w:kern w:val="0"/>
          <w:sz w:val="28"/>
          <w:szCs w:val="28"/>
          <w:highlight w:val="none"/>
          <w:u w:val="none"/>
          <w:lang w:val="en-US" w:eastAsia="zh-CN"/>
        </w:rPr>
      </w:pPr>
      <w:r>
        <w:rPr>
          <w:rFonts w:hint="default" w:ascii="仿宋_GB2312" w:hAnsi="仿宋" w:eastAsia="仿宋_GB2312"/>
          <w:spacing w:val="6"/>
          <w:kern w:val="0"/>
          <w:sz w:val="28"/>
          <w:szCs w:val="28"/>
          <w:highlight w:val="none"/>
          <w:u w:val="single"/>
          <w:lang w:val="en-US" w:eastAsia="zh-CN"/>
        </w:rPr>
        <w:t>C224.宣传途径多样性</w:t>
      </w:r>
      <w:r>
        <w:rPr>
          <w:rFonts w:hint="eastAsia" w:ascii="仿宋_GB2312" w:hAnsi="仿宋" w:eastAsia="仿宋_GB2312"/>
          <w:spacing w:val="6"/>
          <w:kern w:val="0"/>
          <w:sz w:val="28"/>
          <w:szCs w:val="28"/>
          <w:highlight w:val="none"/>
          <w:u w:val="none"/>
          <w:lang w:val="en-US" w:eastAsia="zh-CN"/>
        </w:rPr>
        <w:t>：根据现场评价及相关宣传委托合同及自己拨付凭证显示，2019年度昆明市生态环境局盘龙分局各类宣传活动使用活动宣传、主流媒体宣传、微信公众号宣传、发放宣传画宣传手册及培训宣传开展。</w:t>
      </w:r>
    </w:p>
    <w:p w14:paraId="36B9689B">
      <w:pPr>
        <w:numPr>
          <w:ilvl w:val="0"/>
          <w:numId w:val="0"/>
        </w:numPr>
        <w:spacing w:line="579" w:lineRule="exact"/>
        <w:ind w:firstLine="584" w:firstLineChars="200"/>
        <w:rPr>
          <w:rFonts w:hint="eastAsia"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该项指标满分4分，根据评分标准得4分。</w:t>
      </w:r>
    </w:p>
    <w:p w14:paraId="7AABBF8D">
      <w:pPr>
        <w:numPr>
          <w:ilvl w:val="0"/>
          <w:numId w:val="0"/>
        </w:numPr>
        <w:spacing w:line="579" w:lineRule="exact"/>
        <w:ind w:firstLine="586" w:firstLineChars="200"/>
        <w:outlineLvl w:val="0"/>
        <w:rPr>
          <w:rFonts w:hint="eastAsia"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C23.满意度</w:t>
      </w:r>
    </w:p>
    <w:p w14:paraId="04A75D22">
      <w:pPr>
        <w:pStyle w:val="15"/>
        <w:keepNext w:val="0"/>
        <w:keepLines w:val="0"/>
        <w:widowControl w:val="0"/>
        <w:shd w:val="clear" w:color="auto" w:fill="auto"/>
        <w:bidi w:val="0"/>
        <w:spacing w:before="0" w:after="0" w:line="624" w:lineRule="exact"/>
        <w:ind w:left="0" w:right="280" w:firstLine="600"/>
        <w:jc w:val="both"/>
        <w:rPr>
          <w:rFonts w:hint="eastAsia" w:ascii="仿宋_GB2312" w:hAnsi="仿宋" w:eastAsia="仿宋_GB2312" w:cs="Times New Roman"/>
          <w:color w:val="000000" w:themeColor="text1"/>
          <w:spacing w:val="6"/>
          <w:kern w:val="0"/>
          <w:sz w:val="28"/>
          <w:szCs w:val="28"/>
          <w:highlight w:val="none"/>
          <w:u w:val="none"/>
          <w:lang w:val="en-US" w:eastAsia="zh-CN" w:bidi="ar-SA"/>
          <w14:textFill>
            <w14:solidFill>
              <w14:schemeClr w14:val="tx1"/>
            </w14:solidFill>
          </w14:textFill>
        </w:rPr>
      </w:pPr>
      <w:r>
        <w:rPr>
          <w:rFonts w:hint="default" w:ascii="仿宋_GB2312" w:hAnsi="仿宋" w:eastAsia="仿宋_GB2312"/>
          <w:spacing w:val="6"/>
          <w:kern w:val="0"/>
          <w:sz w:val="28"/>
          <w:szCs w:val="28"/>
          <w:highlight w:val="none"/>
          <w:u w:val="single"/>
          <w:lang w:val="en-US" w:eastAsia="zh-CN"/>
        </w:rPr>
        <w:t>C231.社会群众满意度</w:t>
      </w:r>
      <w:r>
        <w:rPr>
          <w:rFonts w:hint="eastAsia" w:ascii="仿宋_GB2312" w:hAnsi="仿宋" w:eastAsia="仿宋_GB2312"/>
          <w:spacing w:val="6"/>
          <w:kern w:val="0"/>
          <w:sz w:val="28"/>
          <w:szCs w:val="28"/>
          <w:highlight w:val="none"/>
          <w:u w:val="none"/>
          <w:lang w:val="en-US" w:eastAsia="zh-CN"/>
        </w:rPr>
        <w:t>：</w:t>
      </w:r>
      <w:r>
        <w:rPr>
          <w:rFonts w:hint="eastAsia" w:ascii="仿宋_GB2312" w:hAnsi="仿宋" w:eastAsia="仿宋_GB2312" w:cs="Times New Roman"/>
          <w:spacing w:val="6"/>
          <w:kern w:val="0"/>
          <w:sz w:val="28"/>
          <w:szCs w:val="28"/>
          <w:highlight w:val="none"/>
          <w:u w:val="none"/>
          <w:lang w:val="zh-CN" w:eastAsia="zh-CN" w:bidi="ar-SA"/>
        </w:rPr>
        <w:t>本次绩效评价过程中</w:t>
      </w:r>
      <w:r>
        <w:rPr>
          <w:rFonts w:hint="eastAsia" w:ascii="仿宋_GB2312" w:hAnsi="仿宋" w:eastAsia="仿宋_GB2312" w:cs="Times New Roman"/>
          <w:color w:val="000000" w:themeColor="text1"/>
          <w:spacing w:val="6"/>
          <w:kern w:val="0"/>
          <w:sz w:val="28"/>
          <w:szCs w:val="28"/>
          <w:highlight w:val="none"/>
          <w:u w:val="none"/>
          <w:lang w:val="zh-CN" w:eastAsia="zh-CN" w:bidi="ar-SA"/>
          <w14:textFill>
            <w14:solidFill>
              <w14:schemeClr w14:val="tx1"/>
            </w14:solidFill>
          </w14:textFill>
        </w:rPr>
        <w:t>，在对</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盘龙区普通市民</w:t>
      </w:r>
      <w:r>
        <w:rPr>
          <w:rFonts w:hint="eastAsia" w:ascii="仿宋_GB2312" w:hAnsi="仿宋" w:eastAsia="仿宋_GB2312" w:cs="Times New Roman"/>
          <w:color w:val="000000" w:themeColor="text1"/>
          <w:spacing w:val="6"/>
          <w:kern w:val="0"/>
          <w:sz w:val="28"/>
          <w:szCs w:val="28"/>
          <w:highlight w:val="none"/>
          <w:u w:val="none"/>
          <w:lang w:val="zh-CN" w:eastAsia="zh-CN" w:bidi="ar-SA"/>
          <w14:textFill>
            <w14:solidFill>
              <w14:schemeClr w14:val="tx1"/>
            </w14:solidFill>
          </w14:textFill>
        </w:rPr>
        <w:t>进行访谈时，就</w:t>
      </w:r>
      <w:r>
        <w:rPr>
          <w:rFonts w:hint="eastAsia" w:ascii="仿宋_GB2312" w:hAnsi="仿宋" w:eastAsia="仿宋_GB2312" w:cs="Times New Roman"/>
          <w:color w:val="000000" w:themeColor="text1"/>
          <w:spacing w:val="6"/>
          <w:kern w:val="0"/>
          <w:sz w:val="28"/>
          <w:szCs w:val="28"/>
          <w:highlight w:val="none"/>
          <w:u w:val="none"/>
          <w:lang w:val="en-US" w:eastAsia="zh-CN" w:bidi="ar-SA"/>
          <w14:textFill>
            <w14:solidFill>
              <w14:schemeClr w14:val="tx1"/>
            </w14:solidFill>
          </w14:textFill>
        </w:rPr>
        <w:t>项目实施的必</w:t>
      </w:r>
      <w:r>
        <w:rPr>
          <w:rFonts w:hint="eastAsia" w:ascii="仿宋_GB2312" w:hAnsi="仿宋" w:eastAsia="仿宋_GB2312" w:cs="Times New Roman"/>
          <w:spacing w:val="6"/>
          <w:kern w:val="0"/>
          <w:sz w:val="28"/>
          <w:szCs w:val="28"/>
          <w:highlight w:val="none"/>
          <w:u w:val="none"/>
          <w:lang w:val="en-US" w:eastAsia="zh-CN" w:bidi="ar-SA"/>
        </w:rPr>
        <w:t>要性、项目实施过程及效果等内容</w:t>
      </w:r>
      <w:r>
        <w:rPr>
          <w:rFonts w:hint="eastAsia" w:ascii="仿宋_GB2312" w:hAnsi="仿宋" w:eastAsia="仿宋_GB2312" w:cs="Times New Roman"/>
          <w:spacing w:val="6"/>
          <w:kern w:val="0"/>
          <w:sz w:val="28"/>
          <w:szCs w:val="28"/>
          <w:highlight w:val="none"/>
          <w:u w:val="none"/>
          <w:lang w:val="zh-CN" w:eastAsia="zh-CN" w:bidi="ar-SA"/>
        </w:rPr>
        <w:t>对</w:t>
      </w:r>
      <w:r>
        <w:rPr>
          <w:rFonts w:hint="eastAsia" w:ascii="仿宋_GB2312" w:hAnsi="仿宋" w:eastAsia="仿宋_GB2312" w:cs="Times New Roman"/>
          <w:spacing w:val="6"/>
          <w:kern w:val="0"/>
          <w:sz w:val="28"/>
          <w:szCs w:val="28"/>
          <w:highlight w:val="none"/>
          <w:u w:val="none"/>
          <w:lang w:val="en-US" w:eastAsia="zh-CN" w:bidi="ar-SA"/>
        </w:rPr>
        <w:t>社会群众</w:t>
      </w:r>
      <w:r>
        <w:rPr>
          <w:rFonts w:hint="eastAsia" w:ascii="仿宋_GB2312" w:hAnsi="仿宋" w:eastAsia="仿宋_GB2312" w:cs="Times New Roman"/>
          <w:spacing w:val="6"/>
          <w:kern w:val="0"/>
          <w:sz w:val="28"/>
          <w:szCs w:val="28"/>
          <w:highlight w:val="none"/>
          <w:u w:val="none"/>
          <w:lang w:val="zh-CN" w:eastAsia="zh-CN" w:bidi="ar-SA"/>
        </w:rPr>
        <w:t>进行了满意度调查。通过对满意度问题进行统计，</w:t>
      </w:r>
      <w:r>
        <w:rPr>
          <w:rFonts w:hint="eastAsia" w:ascii="仿宋_GB2312" w:hAnsi="仿宋" w:eastAsia="仿宋_GB2312" w:cs="Times New Roman"/>
          <w:spacing w:val="6"/>
          <w:kern w:val="0"/>
          <w:sz w:val="28"/>
          <w:szCs w:val="28"/>
          <w:highlight w:val="none"/>
          <w:u w:val="none"/>
          <w:lang w:val="en-US" w:eastAsia="zh-CN" w:bidi="ar-SA"/>
        </w:rPr>
        <w:t>社会群众</w:t>
      </w:r>
      <w:r>
        <w:rPr>
          <w:rFonts w:hint="eastAsia" w:ascii="仿宋_GB2312" w:hAnsi="仿宋" w:eastAsia="仿宋_GB2312" w:cs="Times New Roman"/>
          <w:spacing w:val="6"/>
          <w:kern w:val="0"/>
          <w:sz w:val="28"/>
          <w:szCs w:val="28"/>
          <w:highlight w:val="none"/>
          <w:u w:val="none"/>
          <w:lang w:val="zh-CN" w:eastAsia="zh-CN" w:bidi="ar-SA"/>
        </w:rPr>
        <w:t>平均满</w:t>
      </w:r>
      <w:r>
        <w:rPr>
          <w:rFonts w:hint="eastAsia" w:ascii="仿宋_GB2312" w:hAnsi="仿宋" w:eastAsia="仿宋_GB2312" w:cs="Times New Roman"/>
          <w:color w:val="000000" w:themeColor="text1"/>
          <w:spacing w:val="6"/>
          <w:kern w:val="0"/>
          <w:sz w:val="28"/>
          <w:szCs w:val="28"/>
          <w:highlight w:val="none"/>
          <w:u w:val="none"/>
          <w:lang w:val="zh-CN" w:eastAsia="zh-CN" w:bidi="ar-SA"/>
          <w14:textFill>
            <w14:solidFill>
              <w14:schemeClr w14:val="tx1"/>
            </w14:solidFill>
          </w14:textFill>
        </w:rPr>
        <w:t>意度为</w:t>
      </w:r>
      <w:r>
        <w:rPr>
          <w:rFonts w:hint="eastAsia" w:ascii="仿宋_GB2312" w:hAnsi="仿宋" w:eastAsia="仿宋_GB2312" w:cs="Times New Roman"/>
          <w:color w:val="000000" w:themeColor="text1"/>
          <w:spacing w:val="6"/>
          <w:kern w:val="0"/>
          <w:sz w:val="28"/>
          <w:szCs w:val="28"/>
          <w:highlight w:val="none"/>
          <w:u w:val="none"/>
          <w:lang w:val="en-US" w:eastAsia="zh-CN" w:bidi="ar-SA"/>
          <w14:textFill>
            <w14:solidFill>
              <w14:schemeClr w14:val="tx1"/>
            </w14:solidFill>
          </w14:textFill>
        </w:rPr>
        <w:t>93.33</w:t>
      </w:r>
      <w:r>
        <w:rPr>
          <w:rFonts w:hint="eastAsia" w:ascii="仿宋_GB2312" w:hAnsi="仿宋" w:eastAsia="仿宋_GB2312" w:cs="Times New Roman"/>
          <w:color w:val="000000" w:themeColor="text1"/>
          <w:spacing w:val="6"/>
          <w:kern w:val="0"/>
          <w:sz w:val="28"/>
          <w:szCs w:val="28"/>
          <w:highlight w:val="none"/>
          <w:u w:val="none"/>
          <w:lang w:val="zh-CN" w:eastAsia="zh-CN" w:bidi="ar-SA"/>
          <w14:textFill>
            <w14:solidFill>
              <w14:schemeClr w14:val="tx1"/>
            </w14:solidFill>
          </w14:textFill>
        </w:rPr>
        <w:t>%。</w:t>
      </w:r>
    </w:p>
    <w:p w14:paraId="7D2099D5">
      <w:pPr>
        <w:pStyle w:val="15"/>
        <w:keepNext w:val="0"/>
        <w:keepLines w:val="0"/>
        <w:widowControl w:val="0"/>
        <w:shd w:val="clear" w:color="auto" w:fill="auto"/>
        <w:bidi w:val="0"/>
        <w:spacing w:before="0" w:after="0" w:line="624" w:lineRule="exact"/>
        <w:ind w:left="0" w:right="0" w:firstLine="600"/>
        <w:jc w:val="both"/>
        <w:rPr>
          <w:rFonts w:hint="default" w:hAnsi="仿宋" w:cs="宋体"/>
          <w:color w:val="000000"/>
          <w:kern w:val="2"/>
          <w:sz w:val="21"/>
          <w:szCs w:val="22"/>
          <w:lang w:val="en-US" w:eastAsia="zh-CN" w:bidi="ar-SA"/>
        </w:rPr>
      </w:pPr>
      <w:r>
        <w:rPr>
          <w:rFonts w:hint="eastAsia" w:ascii="仿宋_GB2312" w:hAnsi="仿宋" w:eastAsia="仿宋_GB2312" w:cs="Times New Roman"/>
          <w:spacing w:val="6"/>
          <w:kern w:val="0"/>
          <w:sz w:val="28"/>
          <w:szCs w:val="28"/>
          <w:highlight w:val="none"/>
          <w:u w:val="none"/>
          <w:lang w:val="zh-CN" w:eastAsia="zh-CN" w:bidi="ar-SA"/>
        </w:rPr>
        <w:t>该项指标满分为</w:t>
      </w:r>
      <w:r>
        <w:rPr>
          <w:rFonts w:hint="eastAsia" w:ascii="仿宋_GB2312" w:hAnsi="仿宋" w:eastAsia="仿宋_GB2312" w:cs="Times New Roman"/>
          <w:spacing w:val="6"/>
          <w:kern w:val="0"/>
          <w:sz w:val="28"/>
          <w:szCs w:val="28"/>
          <w:highlight w:val="none"/>
          <w:u w:val="none"/>
          <w:lang w:val="en-US" w:eastAsia="zh-CN" w:bidi="ar-SA"/>
        </w:rPr>
        <w:t>5</w:t>
      </w:r>
      <w:r>
        <w:rPr>
          <w:rFonts w:hint="eastAsia" w:ascii="仿宋_GB2312" w:hAnsi="仿宋" w:eastAsia="仿宋_GB2312" w:cs="Times New Roman"/>
          <w:spacing w:val="6"/>
          <w:kern w:val="0"/>
          <w:sz w:val="28"/>
          <w:szCs w:val="28"/>
          <w:highlight w:val="none"/>
          <w:u w:val="none"/>
          <w:lang w:val="zh-CN" w:eastAsia="zh-CN" w:bidi="ar-SA"/>
        </w:rPr>
        <w:t>分，根据评分标准得</w:t>
      </w:r>
      <w:r>
        <w:rPr>
          <w:rFonts w:hint="eastAsia" w:ascii="仿宋_GB2312" w:hAnsi="仿宋" w:eastAsia="仿宋_GB2312" w:cs="Times New Roman"/>
          <w:spacing w:val="6"/>
          <w:kern w:val="0"/>
          <w:sz w:val="28"/>
          <w:szCs w:val="28"/>
          <w:highlight w:val="none"/>
          <w:u w:val="none"/>
          <w:lang w:val="en-US" w:eastAsia="zh-CN" w:bidi="ar-SA"/>
        </w:rPr>
        <w:t>5</w:t>
      </w:r>
      <w:r>
        <w:rPr>
          <w:rFonts w:hint="eastAsia" w:ascii="仿宋_GB2312" w:hAnsi="仿宋" w:eastAsia="仿宋_GB2312" w:cs="Times New Roman"/>
          <w:spacing w:val="6"/>
          <w:kern w:val="0"/>
          <w:sz w:val="28"/>
          <w:szCs w:val="28"/>
          <w:highlight w:val="none"/>
          <w:u w:val="none"/>
          <w:lang w:val="zh-CN" w:eastAsia="zh-CN" w:bidi="ar-SA"/>
        </w:rPr>
        <w:t>分。</w:t>
      </w:r>
    </w:p>
    <w:p w14:paraId="44D23D25">
      <w:pPr>
        <w:spacing w:line="579" w:lineRule="exact"/>
        <w:ind w:firstLine="600" w:firstLineChars="200"/>
        <w:outlineLvl w:val="0"/>
        <w:rPr>
          <w:rFonts w:hint="eastAsia" w:ascii="黑体" w:hAnsi="黑体" w:eastAsia="黑体" w:cs="宋体"/>
          <w:kern w:val="30"/>
          <w:sz w:val="30"/>
          <w:szCs w:val="30"/>
          <w:highlight w:val="none"/>
          <w:lang w:val="en-US" w:eastAsia="zh-CN"/>
        </w:rPr>
      </w:pPr>
      <w:r>
        <w:rPr>
          <w:rFonts w:hint="eastAsia" w:ascii="黑体" w:hAnsi="黑体" w:eastAsia="黑体" w:cs="宋体"/>
          <w:kern w:val="30"/>
          <w:sz w:val="30"/>
          <w:szCs w:val="30"/>
          <w:highlight w:val="none"/>
          <w:lang w:val="en-US" w:eastAsia="zh-CN"/>
        </w:rPr>
        <w:t>四、主要经验及做法、存在的问题和建议</w:t>
      </w:r>
    </w:p>
    <w:p w14:paraId="42ED0628">
      <w:pPr>
        <w:topLinePunct/>
        <w:spacing w:line="440" w:lineRule="exact"/>
        <w:ind w:firstLine="750" w:firstLineChars="250"/>
        <w:rPr>
          <w:rFonts w:hint="eastAsia" w:ascii="楷体" w:hAnsi="楷体" w:eastAsia="楷体"/>
          <w:kern w:val="30"/>
          <w:sz w:val="30"/>
          <w:szCs w:val="30"/>
          <w:highlight w:val="none"/>
        </w:rPr>
      </w:pPr>
      <w:r>
        <w:rPr>
          <w:rFonts w:hint="eastAsia" w:ascii="楷体" w:hAnsi="楷体" w:eastAsia="楷体"/>
          <w:kern w:val="30"/>
          <w:sz w:val="30"/>
          <w:szCs w:val="30"/>
          <w:highlight w:val="none"/>
        </w:rPr>
        <w:t>（一）主要经验及做法</w:t>
      </w:r>
    </w:p>
    <w:p w14:paraId="522A2EA4">
      <w:pPr>
        <w:spacing w:line="579" w:lineRule="exact"/>
        <w:ind w:firstLine="584" w:firstLineChars="200"/>
        <w:jc w:val="both"/>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广泛开展形式多样的“创模”宣教活动</w:t>
      </w:r>
    </w:p>
    <w:p w14:paraId="4D2DF401">
      <w:pPr>
        <w:spacing w:line="579" w:lineRule="exact"/>
        <w:ind w:firstLine="584" w:firstLineChars="200"/>
        <w:jc w:val="both"/>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2019年昆明市生态环境局盘龙分局广泛开展形式多样的“创模”宣教活动，</w:t>
      </w:r>
    </w:p>
    <w:p w14:paraId="79041E43">
      <w:pPr>
        <w:spacing w:line="600" w:lineRule="exact"/>
        <w:ind w:firstLine="572" w:firstLineChars="196"/>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共举办大型环保宣传教育活动8次，在元宵节宣传活动中，充分展现中华民族传统节日“元宵节”浓重而欢乐的氛围，着力弘扬扶危济困、乐善好施、敦亲睦邻等中华优秀传统美德。在昆明瀑布公园以发送环保布袋、《文明环保过节的倡议书》及宣传册的形式向市民宣传节能减排、低碳过节的理念，过一个文明、环保、安全的元宵节！同时还开展了品汤圆、赏歌舞、猜灯谜、颂祖国等传统民俗文化活动。在近两个小时的活动中，累计发送环保及扫黑除恶宣传资料500余份，既受到了市民的喜爱，也起到了预期宣传效果。在守护昆明蓝天，防治大气污染”主题宣传活动中，现场设立形式丰富的宣传点，通过发放宣传资料、面对面为人民群众宣传、讲解大气污染防治法律法规、治理措施及环境监测等知识，进一步提升了社会公众的大气污染防治意识，凝聚“同呼吸”的共识，增强“共治理”的责任感和使命感。在关爱山川河流暨学雷锋宣传活动中，昆明市生态环境局盘龙分局全体党员同状元楼社区志愿者一起沿金汁河一线清洁美化环境，清扫公共区域垃圾、环境卫生劝导、禁止垂钓劝导等活动，宣传从我做起，从现在做起，做绿色发展理念的传播者、推动者和实践者，以实际行动保护生态环境，给这个春日增添一道美丽的风景线，引导市民共同建设山更绿，水更清，天更蓝的美丽盘龙。在六·五”环境日主题宣传活动中，盘龙环境分局工作人员向市民发放各类环保宣传资料，开展环保法律法规、环保问题咨询以及第二次全国污染源普查知识宣传，现场展演了“美丽春城·生态昆明——我与滇池有个约”昆明市第四届中小学环保主题诗会获奖优秀节目，宣传氛围浓厚；中国移动、中国电信、中国铁塔公司工作人员对基站建设、电池回收利用、手机电磁辐射、5G网络等知识进行宣传。昆明源润祥再生资源产业管理有限公司还启动了“美丽中国——我是行动者，拒绝车窗抛物，变废为宝，致敬城市美容师”主题活动。</w:t>
      </w:r>
    </w:p>
    <w:p w14:paraId="1DC66226">
      <w:pPr>
        <w:spacing w:line="600" w:lineRule="exact"/>
        <w:ind w:firstLine="584" w:firstLineChars="2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昆明市生态环境局盘龙分局通过形式多样的“创模”宣教活动，动员全社会行动起来，共同打赢蓝天保卫战，打好碧水保卫战、扎实推进净土保卫战，让每一个市民用实际行动守护昆明的绿水青山。并有效提高了政府公信力，让广大群众理解政府、支持政府，让市民发声，获市民理解，进一步建立健全环境防治联防联控机制，为建设美丽昆明作出巨大贡献。</w:t>
      </w:r>
    </w:p>
    <w:p w14:paraId="5693C31E">
      <w:pPr>
        <w:topLinePunct/>
        <w:spacing w:line="440" w:lineRule="exact"/>
        <w:ind w:firstLine="750" w:firstLineChars="250"/>
        <w:rPr>
          <w:rFonts w:hint="eastAsia" w:ascii="楷体" w:hAnsi="楷体" w:eastAsia="楷体"/>
          <w:kern w:val="30"/>
          <w:sz w:val="30"/>
          <w:szCs w:val="30"/>
          <w:highlight w:val="none"/>
        </w:rPr>
      </w:pPr>
      <w:r>
        <w:rPr>
          <w:rFonts w:hint="eastAsia" w:ascii="楷体" w:hAnsi="楷体" w:eastAsia="楷体"/>
          <w:kern w:val="30"/>
          <w:sz w:val="30"/>
          <w:szCs w:val="30"/>
          <w:highlight w:val="none"/>
        </w:rPr>
        <w:t>（</w:t>
      </w:r>
      <w:r>
        <w:rPr>
          <w:rFonts w:hint="eastAsia" w:ascii="楷体" w:hAnsi="楷体" w:eastAsia="楷体"/>
          <w:kern w:val="30"/>
          <w:sz w:val="30"/>
          <w:szCs w:val="30"/>
          <w:highlight w:val="none"/>
          <w:lang w:val="en-US" w:eastAsia="zh-CN"/>
        </w:rPr>
        <w:t>二</w:t>
      </w:r>
      <w:r>
        <w:rPr>
          <w:rFonts w:hint="eastAsia" w:ascii="楷体" w:hAnsi="楷体" w:eastAsia="楷体"/>
          <w:kern w:val="30"/>
          <w:sz w:val="30"/>
          <w:szCs w:val="30"/>
          <w:highlight w:val="none"/>
        </w:rPr>
        <w:t>）存在的问题</w:t>
      </w:r>
    </w:p>
    <w:p w14:paraId="28A3BF3F">
      <w:pPr>
        <w:spacing w:line="600" w:lineRule="exact"/>
        <w:ind w:firstLine="584" w:firstLineChars="2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（1）环保宣教未突出亮点</w:t>
      </w:r>
    </w:p>
    <w:p w14:paraId="55384704">
      <w:pPr>
        <w:spacing w:line="600" w:lineRule="exact"/>
        <w:ind w:firstLine="584" w:firstLineChars="200"/>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境保护宣传教育工作应以生态建设、环境管理和节能减排为核心，但区内各类宣教工作要求已经是应接不暇、喧宾夺主，诸如禁毒、食品安全、无烟、维稳、学雷锋、禽流感、我们的节日（传统节日）、宪法日宣传等等。这样一来，昆明市生态环境局盘龙分局本职的环保宣教工作反而是疲于应付、杂乱无章、难出亮点。</w:t>
      </w:r>
    </w:p>
    <w:p w14:paraId="52FCDE19">
      <w:pPr>
        <w:spacing w:line="600" w:lineRule="exact"/>
        <w:ind w:firstLine="584" w:firstLineChars="200"/>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（2）个别年初目标未完成</w:t>
      </w:r>
    </w:p>
    <w:p w14:paraId="2101AA9B">
      <w:pPr>
        <w:spacing w:line="600" w:lineRule="exact"/>
        <w:ind w:firstLine="584" w:firstLineChars="2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根据2019年昆明市生态环境局盘龙分局环保宣教及绿色创建活动经费项目支出绩效目标申报表显示，年初设定目标为创建国际生态学校1所，建设完成绿色创建示范点1个。通过</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现场评价及相关数据汇总，2019年昆明市生态环境局盘龙分局未创建国际生态学校及绿色创建示范点。</w:t>
      </w:r>
    </w:p>
    <w:p w14:paraId="4528F8C6">
      <w:pPr>
        <w:spacing w:line="600" w:lineRule="exact"/>
        <w:ind w:firstLine="600" w:firstLineChars="200"/>
        <w:rPr>
          <w:rFonts w:hint="eastAsia" w:ascii="楷体" w:hAnsi="楷体" w:eastAsia="楷体"/>
          <w:kern w:val="30"/>
          <w:sz w:val="30"/>
          <w:szCs w:val="30"/>
          <w:highlight w:val="none"/>
        </w:rPr>
      </w:pPr>
      <w:r>
        <w:rPr>
          <w:rFonts w:hint="eastAsia" w:ascii="楷体" w:hAnsi="楷体" w:eastAsia="楷体"/>
          <w:kern w:val="30"/>
          <w:sz w:val="30"/>
          <w:szCs w:val="30"/>
          <w:highlight w:val="none"/>
          <w:lang w:val="en-US" w:eastAsia="zh-CN"/>
        </w:rPr>
        <w:t>（三）建议和改进</w:t>
      </w:r>
      <w:r>
        <w:rPr>
          <w:rFonts w:hint="eastAsia" w:ascii="楷体" w:hAnsi="楷体" w:eastAsia="楷体"/>
          <w:kern w:val="30"/>
          <w:sz w:val="30"/>
          <w:szCs w:val="30"/>
          <w:highlight w:val="none"/>
        </w:rPr>
        <w:t>措施</w:t>
      </w:r>
    </w:p>
    <w:p w14:paraId="5ADFC77D">
      <w:pPr>
        <w:spacing w:line="600" w:lineRule="exact"/>
        <w:ind w:firstLine="584" w:firstLineChars="2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（1）</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统筹安排突出职能重点</w:t>
      </w:r>
    </w:p>
    <w:p w14:paraId="7AD7DC11">
      <w:pPr>
        <w:spacing w:line="600" w:lineRule="exact"/>
        <w:ind w:firstLine="584" w:firstLineChars="200"/>
        <w:rPr>
          <w:rFonts w:hint="default"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建议昆明市生态环境局盘龙分局</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根据</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目前环境保护的严峻形势和建设生态文明的重大战略意义，结合本区环境管理工作的要点和特点，对当年环保宣教工作进行统筹安排并上报区政府，在获取相关批复后开展相关项目活动，充分发挥部门职能重点和术业专攻的特点，体现环保宣教的重要性和特色。</w:t>
      </w:r>
    </w:p>
    <w:p w14:paraId="208A54E9">
      <w:pPr>
        <w:spacing w:line="600" w:lineRule="exact"/>
        <w:ind w:firstLine="584" w:firstLineChars="200"/>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（2）合理编制年初目标</w:t>
      </w:r>
    </w:p>
    <w:p w14:paraId="24321319">
      <w:pPr>
        <w:keepNext w:val="0"/>
        <w:keepLines w:val="0"/>
        <w:pageBreakBefore w:val="0"/>
        <w:widowControl w:val="0"/>
        <w:numPr>
          <w:ilvl w:val="0"/>
          <w:numId w:val="0"/>
        </w:numPr>
        <w:kinsoku/>
        <w:wordWrap/>
        <w:overflowPunct/>
        <w:autoSpaceDE/>
        <w:autoSpaceDN/>
        <w:bidi w:val="0"/>
        <w:spacing w:line="360" w:lineRule="auto"/>
        <w:ind w:right="0" w:rightChars="0"/>
        <w:jc w:val="left"/>
        <w:textAlignment w:val="auto"/>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spacing w:val="6"/>
          <w:kern w:val="0"/>
          <w:sz w:val="28"/>
          <w:szCs w:val="28"/>
          <w:highlight w:val="none"/>
          <w:lang w:val="en-US" w:eastAsia="zh-CN"/>
        </w:rPr>
        <w:t>建议</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昆明市生态环境局盘龙分局在编制年初预算申报时，加强前期调研工作，根据往年经验及实际调研国际生态学校绿、色示范点建设进度合理制定项目年初目标，避免项目完工后未达到预期目标情况出现。</w:t>
      </w:r>
    </w:p>
    <w:p w14:paraId="63C46CD1">
      <w:pPr>
        <w:keepNext w:val="0"/>
        <w:keepLines w:val="0"/>
        <w:pageBreakBefore w:val="0"/>
        <w:widowControl w:val="0"/>
        <w:numPr>
          <w:ilvl w:val="0"/>
          <w:numId w:val="0"/>
        </w:numPr>
        <w:kinsoku/>
        <w:wordWrap/>
        <w:overflowPunct/>
        <w:autoSpaceDE/>
        <w:autoSpaceDN/>
        <w:bidi w:val="0"/>
        <w:spacing w:line="360" w:lineRule="auto"/>
        <w:ind w:right="0" w:rightChars="0"/>
        <w:jc w:val="left"/>
        <w:textAlignment w:val="auto"/>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p>
    <w:p w14:paraId="6E5C91C4">
      <w:pPr>
        <w:spacing w:line="590" w:lineRule="exact"/>
        <w:jc w:val="center"/>
        <w:rPr>
          <w:rFonts w:hint="eastAsia" w:ascii="方正小标宋简体" w:hAnsi="Times New Roman" w:eastAsia="方正小标宋简体"/>
          <w:spacing w:val="6"/>
          <w:kern w:val="0"/>
          <w:sz w:val="36"/>
          <w:szCs w:val="36"/>
          <w:lang w:val="en-US" w:eastAsia="zh-CN"/>
        </w:rPr>
      </w:pPr>
      <w:r>
        <w:rPr>
          <w:rFonts w:hint="eastAsia" w:ascii="方正小标宋简体" w:hAnsi="Times New Roman" w:eastAsia="方正小标宋简体"/>
          <w:spacing w:val="6"/>
          <w:kern w:val="0"/>
          <w:sz w:val="36"/>
          <w:szCs w:val="36"/>
          <w:lang w:val="en-US" w:eastAsia="zh-CN"/>
        </w:rPr>
        <w:t>松华坝水库水源保护区水污染治理设施运行管护经费项目支出绩效自评报告</w:t>
      </w:r>
    </w:p>
    <w:p w14:paraId="13A9606C">
      <w:pPr>
        <w:topLinePunct/>
        <w:spacing w:line="579" w:lineRule="exact"/>
        <w:ind w:firstLine="600" w:firstLineChars="200"/>
        <w:rPr>
          <w:rFonts w:ascii="黑体" w:eastAsia="黑体"/>
          <w:sz w:val="30"/>
          <w:szCs w:val="30"/>
        </w:rPr>
      </w:pPr>
      <w:r>
        <w:rPr>
          <w:rFonts w:hint="eastAsia" w:ascii="黑体" w:eastAsia="黑体"/>
          <w:sz w:val="30"/>
          <w:szCs w:val="30"/>
        </w:rPr>
        <w:t>一、项目基本情况</w:t>
      </w:r>
    </w:p>
    <w:p w14:paraId="0E53FCF8">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（一）项目概况</w:t>
      </w:r>
    </w:p>
    <w:p w14:paraId="1A6A9468">
      <w:pPr>
        <w:topLinePunct/>
        <w:spacing w:line="579" w:lineRule="exact"/>
        <w:ind w:firstLine="584" w:firstLineChars="200"/>
        <w:rPr>
          <w:rFonts w:hint="eastAsia" w:ascii="仿宋_GB2312" w:hAnsi="仿宋" w:eastAsia="仿宋_GB2312"/>
          <w:spacing w:val="6"/>
          <w:kern w:val="0"/>
          <w:sz w:val="28"/>
          <w:szCs w:val="28"/>
        </w:rPr>
      </w:pPr>
      <w:r>
        <w:rPr>
          <w:rFonts w:hint="eastAsia" w:ascii="仿宋_GB2312" w:hAnsi="仿宋" w:eastAsia="仿宋_GB2312"/>
          <w:spacing w:val="6"/>
          <w:kern w:val="0"/>
          <w:sz w:val="28"/>
          <w:szCs w:val="28"/>
        </w:rPr>
        <w:t>1.项目立项背景</w:t>
      </w:r>
    </w:p>
    <w:p w14:paraId="2A9AA867">
      <w:pPr>
        <w:topLinePunct/>
        <w:spacing w:line="579" w:lineRule="exact"/>
        <w:ind w:firstLine="584" w:firstLineChars="200"/>
        <w:rPr>
          <w:rFonts w:hint="eastAsia" w:ascii="仿宋_GB2312" w:hAnsi="仿宋" w:eastAsia="仿宋_GB2312" w:cs="Times New Roman"/>
          <w:spacing w:val="6"/>
          <w:kern w:val="0"/>
          <w:sz w:val="28"/>
          <w:szCs w:val="28"/>
        </w:rPr>
      </w:pPr>
      <w:r>
        <w:rPr>
          <w:rFonts w:hint="eastAsia" w:ascii="仿宋_GB2312" w:hAnsi="仿宋" w:eastAsia="仿宋_GB2312" w:cs="Times New Roman"/>
          <w:spacing w:val="6"/>
          <w:kern w:val="0"/>
          <w:sz w:val="28"/>
          <w:szCs w:val="28"/>
        </w:rPr>
        <w:t>松华坝水库是昆明市最重要的城市集中式饮用水源地之一，市委市政府、区委区政府历来高度重视水源地的污染治理、生态保护工作，在滇源、阿子营两个街道交由我区托管后，区委区政府更进一步加大了水源保护区的污染治理力度，投入大量人力、物力、财力开展水环境综合治理工作。其中，区环保局承担了部分工程建设任务，“十二五”期间牵头组织开展了“松华坝水库水源保护区水环境综合整治工程”，“十三五”期间承担了“冷水河沿岸村庄截污工程”、“牧羊河（阿子营段）沿岸村庄截污工程”的建设任务。</w:t>
      </w:r>
    </w:p>
    <w:p w14:paraId="031A416A">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2.项目立项依据</w:t>
      </w:r>
    </w:p>
    <w:p w14:paraId="036801F4">
      <w:pPr>
        <w:topLinePunct/>
        <w:spacing w:line="579" w:lineRule="exact"/>
        <w:ind w:firstLine="584" w:firstLineChars="200"/>
        <w:rPr>
          <w:rFonts w:hint="eastAsia"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rPr>
        <w:t>在相关部门的通力配合下，我局通过承担水环境综合整治工作相关项目，共建设了10座深度污水处理设施，其中有5座经第十五届盘龙区人民政府第67次常务会研究后，交由区建投公司负责运营维护管理，另外5座还未移交运营</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rPr>
        <w:t>根据《昆明市盘龙区关于全面深化区属国有企业改革的实施意见》（盘通〔2017〕14号），区农投公司负责水源区保护与发展产业化项目的投资运营。由于在2016年南营等5座污水处理站建成移交运行时，区农投公司才成立不久，未进行实体运作，暂不具备运营污水处理站的条件，故区政府研究后，明确由区建投公司负责5座污水处理站的运营维护工作。目前区农投公司的内部建设基本到位，有能力承担起相应工作任务，结合松华坝水库水源保护区的实际情况，我局建议将松华集镇污水处理厂以及团结、小营、牧羊、马军污水处理站交由区农投公司负责运营维护；同时将目前由区建投公司负责运营维护的南营、前所、中所、鼠街、侯家营污水处理站也交由区农投公司负责运营维护</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lang w:val="en-US" w:eastAsia="zh-CN"/>
        </w:rPr>
        <w:t>特立此项。</w:t>
      </w:r>
    </w:p>
    <w:p w14:paraId="23EC5945">
      <w:pPr>
        <w:topLinePunct/>
        <w:spacing w:line="579" w:lineRule="exact"/>
        <w:ind w:firstLine="584" w:firstLineChars="200"/>
        <w:rPr>
          <w:rFonts w:hint="eastAsia" w:ascii="仿宋_GB2312" w:hAnsi="仿宋" w:eastAsia="仿宋_GB2312"/>
          <w:spacing w:val="6"/>
          <w:kern w:val="0"/>
          <w:sz w:val="28"/>
          <w:szCs w:val="28"/>
          <w:lang w:eastAsia="zh-CN"/>
        </w:rPr>
      </w:pPr>
      <w:r>
        <w:rPr>
          <w:rFonts w:hint="eastAsia" w:ascii="仿宋_GB2312" w:hAnsi="仿宋" w:eastAsia="仿宋_GB2312"/>
          <w:spacing w:val="6"/>
          <w:kern w:val="0"/>
          <w:sz w:val="28"/>
          <w:szCs w:val="28"/>
        </w:rPr>
        <w:t>3.项目实施情况</w:t>
      </w:r>
    </w:p>
    <w:p w14:paraId="602F78A4">
      <w:pPr>
        <w:topLinePunct/>
        <w:spacing w:line="579" w:lineRule="exact"/>
        <w:ind w:firstLine="584" w:firstLineChars="200"/>
        <w:rPr>
          <w:rFonts w:hint="default"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为</w:t>
      </w:r>
      <w:r>
        <w:rPr>
          <w:rFonts w:hint="eastAsia" w:ascii="仿宋_GB2312" w:hAnsi="仿宋" w:eastAsia="仿宋_GB2312" w:cs="Times New Roman"/>
          <w:spacing w:val="6"/>
          <w:kern w:val="0"/>
          <w:sz w:val="28"/>
          <w:szCs w:val="28"/>
        </w:rPr>
        <w:t>加强松华坝水库水源保护区环境保护和削减污染物入库量工作，确保设施正常运行，切实增强污水处理设施的运行监管，提高污水处理率，</w:t>
      </w:r>
      <w:r>
        <w:rPr>
          <w:rFonts w:hint="eastAsia" w:ascii="仿宋_GB2312" w:hAnsi="仿宋" w:eastAsia="仿宋_GB2312" w:cs="Times New Roman"/>
          <w:spacing w:val="6"/>
          <w:kern w:val="0"/>
          <w:sz w:val="28"/>
          <w:szCs w:val="28"/>
          <w:lang w:val="en-US" w:eastAsia="zh-CN"/>
        </w:rPr>
        <w:t>污水处理设施交由盘龙区农投维护，确保污水处理处理设施运行天数不低于300日，日均污水处理量不低于12000吨，污水处理设施在用率达到100%，有效的改善了冷水河水质，辖区内重点水域水质均高于Ⅴ类。</w:t>
      </w:r>
    </w:p>
    <w:p w14:paraId="121658AD">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截止评价日2019年12月</w:t>
      </w:r>
      <w:r>
        <w:rPr>
          <w:rFonts w:hint="eastAsia" w:ascii="仿宋_GB2312" w:hAnsi="仿宋" w:eastAsia="仿宋_GB2312"/>
          <w:spacing w:val="6"/>
          <w:kern w:val="0"/>
          <w:sz w:val="28"/>
          <w:szCs w:val="28"/>
          <w:lang w:val="en-US" w:eastAsia="zh-CN"/>
        </w:rPr>
        <w:t>31</w:t>
      </w:r>
      <w:r>
        <w:rPr>
          <w:rFonts w:hint="eastAsia" w:ascii="仿宋_GB2312" w:hAnsi="仿宋" w:eastAsia="仿宋_GB2312"/>
          <w:spacing w:val="6"/>
          <w:kern w:val="0"/>
          <w:sz w:val="28"/>
          <w:szCs w:val="28"/>
        </w:rPr>
        <w:t>日</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2019年昆明市生态环境局盘龙分局松华坝水库水源保护区水污染治理设施运行管护经费项目</w:t>
      </w:r>
      <w:r>
        <w:rPr>
          <w:rFonts w:hint="eastAsia" w:ascii="仿宋_GB2312" w:hAnsi="仿宋" w:eastAsia="仿宋_GB2312"/>
          <w:spacing w:val="6"/>
          <w:kern w:val="0"/>
          <w:sz w:val="28"/>
          <w:szCs w:val="28"/>
        </w:rPr>
        <w:t>项目组织管理情况良好，资金拨付及使用流程符合相关规定</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目标均已实现，通过本次项目实施，有效</w:t>
      </w:r>
      <w:r>
        <w:rPr>
          <w:rFonts w:hint="eastAsia" w:ascii="仿宋_GB2312" w:hAnsi="仿宋" w:eastAsia="仿宋_GB2312" w:cs="Times New Roman"/>
          <w:spacing w:val="6"/>
          <w:kern w:val="0"/>
          <w:sz w:val="28"/>
          <w:szCs w:val="28"/>
          <w:lang w:val="en-US" w:eastAsia="zh-CN"/>
        </w:rPr>
        <w:t>对保护松华坝饮用水源地水质安全发挥了积极作用</w:t>
      </w:r>
      <w:r>
        <w:rPr>
          <w:rFonts w:hint="eastAsia" w:ascii="仿宋_GB2312" w:hAnsi="仿宋" w:eastAsia="仿宋_GB2312"/>
          <w:spacing w:val="6"/>
          <w:kern w:val="0"/>
          <w:sz w:val="28"/>
          <w:szCs w:val="28"/>
        </w:rPr>
        <w:t>。</w:t>
      </w:r>
    </w:p>
    <w:p w14:paraId="6498300F">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4.资金来源及使用情况</w:t>
      </w:r>
    </w:p>
    <w:p w14:paraId="37AAC3BF">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（1）资金来源</w:t>
      </w:r>
    </w:p>
    <w:p w14:paraId="7781820C">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根据昆明市</w:t>
      </w:r>
      <w:r>
        <w:rPr>
          <w:rFonts w:hint="eastAsia" w:ascii="仿宋_GB2312" w:hAnsi="仿宋" w:eastAsia="仿宋_GB2312"/>
          <w:spacing w:val="6"/>
          <w:kern w:val="0"/>
          <w:sz w:val="28"/>
          <w:szCs w:val="28"/>
          <w:lang w:val="en-US" w:eastAsia="zh-CN"/>
        </w:rPr>
        <w:t>盘龙区</w:t>
      </w:r>
      <w:r>
        <w:rPr>
          <w:rFonts w:hint="eastAsia" w:ascii="仿宋_GB2312" w:hAnsi="仿宋" w:eastAsia="仿宋_GB2312"/>
          <w:spacing w:val="6"/>
          <w:kern w:val="0"/>
          <w:sz w:val="28"/>
          <w:szCs w:val="28"/>
        </w:rPr>
        <w:t>政府</w:t>
      </w:r>
      <w:r>
        <w:rPr>
          <w:rFonts w:hint="eastAsia" w:ascii="仿宋_GB2312" w:hAnsi="仿宋" w:eastAsia="仿宋_GB2312"/>
          <w:spacing w:val="6"/>
          <w:kern w:val="0"/>
          <w:sz w:val="28"/>
          <w:szCs w:val="28"/>
          <w:lang w:val="en-US" w:eastAsia="zh-CN"/>
        </w:rPr>
        <w:t>出具的</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污水处理设施管护资金测算表</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及</w:t>
      </w:r>
      <w:r>
        <w:rPr>
          <w:rFonts w:hint="eastAsia" w:ascii="仿宋_GB2312" w:hAnsi="仿宋" w:eastAsia="仿宋_GB2312"/>
          <w:spacing w:val="6"/>
          <w:kern w:val="0"/>
          <w:sz w:val="28"/>
          <w:szCs w:val="28"/>
        </w:rPr>
        <w:t>《昆明市</w:t>
      </w:r>
      <w:r>
        <w:rPr>
          <w:rFonts w:hint="eastAsia" w:ascii="仿宋_GB2312" w:hAnsi="仿宋" w:eastAsia="仿宋_GB2312"/>
          <w:spacing w:val="6"/>
          <w:kern w:val="0"/>
          <w:sz w:val="28"/>
          <w:szCs w:val="28"/>
          <w:lang w:val="en-US" w:eastAsia="zh-CN"/>
        </w:rPr>
        <w:t>盘龙区</w:t>
      </w:r>
      <w:r>
        <w:rPr>
          <w:rFonts w:hint="eastAsia" w:ascii="仿宋_GB2312" w:hAnsi="仿宋" w:eastAsia="仿宋_GB2312"/>
          <w:spacing w:val="6"/>
          <w:kern w:val="0"/>
          <w:sz w:val="28"/>
          <w:szCs w:val="28"/>
        </w:rPr>
        <w:t>财政局关于下达</w:t>
      </w:r>
      <w:r>
        <w:rPr>
          <w:rFonts w:hint="eastAsia" w:ascii="仿宋_GB2312" w:hAnsi="仿宋" w:eastAsia="仿宋_GB2312"/>
          <w:spacing w:val="6"/>
          <w:kern w:val="0"/>
          <w:sz w:val="28"/>
          <w:szCs w:val="28"/>
          <w:lang w:val="en-US" w:eastAsia="zh-CN"/>
        </w:rPr>
        <w:t>盘龙区2019年部门预算的批复</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盘财</w:t>
      </w:r>
      <w:r>
        <w:rPr>
          <w:rFonts w:hint="eastAsia" w:ascii="仿宋_GB2312" w:hAnsi="仿宋" w:eastAsia="仿宋_GB2312"/>
          <w:spacing w:val="6"/>
          <w:kern w:val="0"/>
          <w:sz w:val="28"/>
          <w:szCs w:val="28"/>
        </w:rPr>
        <w:t>〔201</w:t>
      </w:r>
      <w:r>
        <w:rPr>
          <w:rFonts w:hint="eastAsia" w:ascii="仿宋_GB2312" w:hAnsi="仿宋" w:eastAsia="仿宋_GB2312"/>
          <w:spacing w:val="6"/>
          <w:kern w:val="0"/>
          <w:sz w:val="28"/>
          <w:szCs w:val="28"/>
          <w:lang w:val="en-US" w:eastAsia="zh-CN"/>
        </w:rPr>
        <w:t>9</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1</w:t>
      </w:r>
      <w:r>
        <w:rPr>
          <w:rFonts w:hint="eastAsia" w:ascii="仿宋_GB2312" w:hAnsi="仿宋" w:eastAsia="仿宋_GB2312"/>
          <w:spacing w:val="6"/>
          <w:kern w:val="0"/>
          <w:sz w:val="28"/>
          <w:szCs w:val="28"/>
        </w:rPr>
        <w:t>号）等文件，该项目合计下达财政资金</w:t>
      </w:r>
      <w:r>
        <w:rPr>
          <w:rFonts w:hint="eastAsia" w:ascii="仿宋_GB2312" w:hAnsi="仿宋" w:eastAsia="仿宋_GB2312"/>
          <w:spacing w:val="6"/>
          <w:kern w:val="0"/>
          <w:sz w:val="28"/>
          <w:szCs w:val="28"/>
          <w:lang w:val="en-US" w:eastAsia="zh-CN"/>
        </w:rPr>
        <w:t>2,101,791</w:t>
      </w:r>
      <w:r>
        <w:rPr>
          <w:rFonts w:hint="eastAsia" w:ascii="仿宋_GB2312" w:hAnsi="仿宋" w:eastAsia="仿宋_GB2312"/>
          <w:spacing w:val="6"/>
          <w:kern w:val="0"/>
          <w:sz w:val="28"/>
          <w:szCs w:val="28"/>
        </w:rPr>
        <w:t>元</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具体详见下表1：</w:t>
      </w:r>
    </w:p>
    <w:p w14:paraId="7F3603AA">
      <w:pPr>
        <w:jc w:val="center"/>
        <w:rPr>
          <w:rFonts w:hint="eastAsia" w:ascii="黑体" w:hAnsi="黑体" w:eastAsia="黑体" w:cs="宋体"/>
          <w:bCs/>
          <w:spacing w:val="6"/>
          <w:sz w:val="24"/>
          <w:szCs w:val="24"/>
          <w:highlight w:val="none"/>
        </w:rPr>
      </w:pPr>
      <w:r>
        <w:rPr>
          <w:rFonts w:hint="eastAsia" w:ascii="黑体" w:hAnsi="黑体" w:eastAsia="黑体" w:cs="宋体"/>
          <w:bCs/>
          <w:spacing w:val="6"/>
          <w:sz w:val="24"/>
          <w:szCs w:val="24"/>
          <w:highlight w:val="none"/>
        </w:rPr>
        <w:t>表1  资金下达情况表</w:t>
      </w:r>
    </w:p>
    <w:tbl>
      <w:tblPr>
        <w:tblStyle w:val="8"/>
        <w:tblW w:w="5000" w:type="pct"/>
        <w:jc w:val="center"/>
        <w:tblLayout w:type="autofit"/>
        <w:tblCellMar>
          <w:top w:w="0" w:type="dxa"/>
          <w:left w:w="0" w:type="dxa"/>
          <w:bottom w:w="0" w:type="dxa"/>
          <w:right w:w="0" w:type="dxa"/>
        </w:tblCellMar>
      </w:tblPr>
      <w:tblGrid>
        <w:gridCol w:w="840"/>
        <w:gridCol w:w="4513"/>
        <w:gridCol w:w="998"/>
        <w:gridCol w:w="1979"/>
      </w:tblGrid>
      <w:tr w14:paraId="15508462">
        <w:tblPrEx>
          <w:tblCellMar>
            <w:top w:w="0" w:type="dxa"/>
            <w:left w:w="0" w:type="dxa"/>
            <w:bottom w:w="0" w:type="dxa"/>
            <w:right w:w="0" w:type="dxa"/>
          </w:tblCellMar>
        </w:tblPrEx>
        <w:trPr>
          <w:trHeight w:val="681" w:hRule="atLeast"/>
          <w:jc w:val="center"/>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C74B17">
            <w:pPr>
              <w:widowControl/>
              <w:spacing w:line="360" w:lineRule="auto"/>
              <w:ind w:firstLine="200"/>
              <w:textAlignment w:val="center"/>
              <w:rPr>
                <w:rFonts w:hint="eastAsia" w:ascii="黑体" w:hAnsi="黑体" w:eastAsia="黑体" w:cs="黑体"/>
                <w:b w:val="0"/>
                <w:bCs/>
                <w:color w:val="000000"/>
                <w:sz w:val="24"/>
                <w:szCs w:val="24"/>
              </w:rPr>
            </w:pPr>
            <w:r>
              <w:rPr>
                <w:rFonts w:hint="eastAsia" w:ascii="黑体" w:hAnsi="黑体" w:eastAsia="黑体" w:cs="黑体"/>
                <w:b w:val="0"/>
                <w:bCs/>
                <w:color w:val="000000"/>
                <w:kern w:val="0"/>
                <w:sz w:val="24"/>
                <w:szCs w:val="24"/>
                <w:lang w:bidi="ar"/>
              </w:rPr>
              <w:t>年度</w:t>
            </w:r>
          </w:p>
        </w:tc>
        <w:tc>
          <w:tcPr>
            <w:tcW w:w="270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BC412F">
            <w:pPr>
              <w:widowControl/>
              <w:spacing w:line="360" w:lineRule="auto"/>
              <w:ind w:firstLine="200"/>
              <w:jc w:val="center"/>
              <w:textAlignment w:val="center"/>
              <w:rPr>
                <w:rFonts w:hint="eastAsia" w:ascii="黑体" w:hAnsi="黑体" w:eastAsia="黑体" w:cs="黑体"/>
                <w:b w:val="0"/>
                <w:bCs/>
                <w:color w:val="000000"/>
                <w:sz w:val="24"/>
                <w:szCs w:val="24"/>
              </w:rPr>
            </w:pPr>
            <w:r>
              <w:rPr>
                <w:rFonts w:hint="eastAsia" w:ascii="黑体" w:hAnsi="黑体" w:eastAsia="黑体" w:cs="黑体"/>
                <w:b w:val="0"/>
                <w:bCs/>
                <w:color w:val="000000"/>
                <w:kern w:val="0"/>
                <w:sz w:val="24"/>
                <w:szCs w:val="24"/>
                <w:lang w:bidi="ar"/>
              </w:rPr>
              <w:t>下达文件</w:t>
            </w:r>
          </w:p>
        </w:tc>
        <w:tc>
          <w:tcPr>
            <w:tcW w:w="59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DB575F">
            <w:pPr>
              <w:widowControl/>
              <w:spacing w:line="360" w:lineRule="auto"/>
              <w:jc w:val="center"/>
              <w:textAlignment w:val="center"/>
              <w:rPr>
                <w:rFonts w:hint="eastAsia" w:ascii="黑体" w:hAnsi="黑体" w:eastAsia="黑体" w:cs="黑体"/>
                <w:b w:val="0"/>
                <w:bCs/>
                <w:color w:val="000000"/>
                <w:sz w:val="24"/>
                <w:szCs w:val="24"/>
              </w:rPr>
            </w:pPr>
            <w:r>
              <w:rPr>
                <w:rFonts w:hint="eastAsia" w:ascii="黑体" w:hAnsi="黑体" w:eastAsia="黑体" w:cs="黑体"/>
                <w:b w:val="0"/>
                <w:bCs/>
                <w:color w:val="000000"/>
                <w:kern w:val="0"/>
                <w:sz w:val="24"/>
                <w:szCs w:val="24"/>
                <w:lang w:bidi="ar"/>
              </w:rPr>
              <w:t>资金性质</w:t>
            </w:r>
          </w:p>
        </w:tc>
        <w:tc>
          <w:tcPr>
            <w:tcW w:w="118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123F91">
            <w:pPr>
              <w:widowControl/>
              <w:spacing w:line="360" w:lineRule="auto"/>
              <w:textAlignment w:val="center"/>
              <w:rPr>
                <w:rFonts w:hint="eastAsia" w:ascii="黑体" w:hAnsi="黑体" w:eastAsia="黑体" w:cs="黑体"/>
                <w:b w:val="0"/>
                <w:bCs/>
                <w:color w:val="000000"/>
                <w:sz w:val="24"/>
                <w:szCs w:val="24"/>
              </w:rPr>
            </w:pPr>
            <w:r>
              <w:rPr>
                <w:rFonts w:hint="eastAsia" w:ascii="黑体" w:hAnsi="黑体" w:eastAsia="黑体" w:cs="黑体"/>
                <w:b w:val="0"/>
                <w:bCs/>
                <w:color w:val="000000"/>
                <w:kern w:val="0"/>
                <w:sz w:val="24"/>
                <w:szCs w:val="24"/>
                <w:lang w:bidi="ar"/>
              </w:rPr>
              <w:t>下达资金（元）</w:t>
            </w:r>
          </w:p>
        </w:tc>
      </w:tr>
      <w:tr w14:paraId="05540D46">
        <w:tblPrEx>
          <w:tblCellMar>
            <w:top w:w="0" w:type="dxa"/>
            <w:left w:w="0" w:type="dxa"/>
            <w:bottom w:w="0" w:type="dxa"/>
            <w:right w:w="0" w:type="dxa"/>
          </w:tblCellMar>
        </w:tblPrEx>
        <w:trPr>
          <w:trHeight w:val="1316" w:hRule="atLeast"/>
          <w:jc w:val="center"/>
        </w:trPr>
        <w:tc>
          <w:tcPr>
            <w:tcW w:w="504"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714207">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2019</w:t>
            </w:r>
          </w:p>
        </w:tc>
        <w:tc>
          <w:tcPr>
            <w:tcW w:w="2708"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9D6964">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2019年昆明市生态环境局盘龙分局松华坝水库水源保护区水污染治理设施运行管护经费项目</w:t>
            </w:r>
          </w:p>
        </w:tc>
        <w:tc>
          <w:tcPr>
            <w:tcW w:w="599"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7FBB78">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区级</w:t>
            </w:r>
          </w:p>
        </w:tc>
        <w:tc>
          <w:tcPr>
            <w:tcW w:w="1187" w:type="pc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6371A3">
            <w:pPr>
              <w:jc w:val="center"/>
              <w:rPr>
                <w:rFonts w:hint="default"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2,101,791</w:t>
            </w:r>
          </w:p>
        </w:tc>
      </w:tr>
    </w:tbl>
    <w:p w14:paraId="599D83EA">
      <w:pPr>
        <w:spacing w:line="579"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rPr>
        <w:t>截止201</w:t>
      </w:r>
      <w:r>
        <w:rPr>
          <w:rFonts w:hint="eastAsia" w:ascii="仿宋_GB2312" w:hAnsi="仿宋" w:eastAsia="仿宋_GB2312"/>
          <w:spacing w:val="6"/>
          <w:kern w:val="0"/>
          <w:sz w:val="28"/>
          <w:szCs w:val="28"/>
          <w:lang w:val="en-US" w:eastAsia="zh-CN"/>
        </w:rPr>
        <w:t>9</w:t>
      </w:r>
      <w:r>
        <w:rPr>
          <w:rFonts w:hint="eastAsia" w:ascii="仿宋_GB2312" w:hAnsi="仿宋" w:eastAsia="仿宋_GB2312"/>
          <w:spacing w:val="6"/>
          <w:kern w:val="0"/>
          <w:sz w:val="28"/>
          <w:szCs w:val="28"/>
        </w:rPr>
        <w:t>年12月31日，财政资金</w:t>
      </w:r>
      <w:r>
        <w:rPr>
          <w:rFonts w:hint="eastAsia" w:ascii="仿宋_GB2312" w:hAnsi="仿宋" w:eastAsia="仿宋_GB2312"/>
          <w:spacing w:val="6"/>
          <w:kern w:val="0"/>
          <w:sz w:val="28"/>
          <w:szCs w:val="28"/>
          <w:lang w:val="en-US" w:eastAsia="zh-CN"/>
        </w:rPr>
        <w:t>2,101,791</w:t>
      </w:r>
      <w:r>
        <w:rPr>
          <w:rFonts w:hint="eastAsia" w:ascii="仿宋_GB2312" w:hAnsi="仿宋" w:eastAsia="仿宋_GB2312"/>
          <w:spacing w:val="6"/>
          <w:kern w:val="0"/>
          <w:sz w:val="28"/>
          <w:szCs w:val="28"/>
        </w:rPr>
        <w:t>元已全部到位</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该资金均用于支付2019年松华坝水库水源保护区污染治理设施运行经费。</w:t>
      </w:r>
    </w:p>
    <w:p w14:paraId="57C3B746">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（2）资金使用情况</w:t>
      </w:r>
    </w:p>
    <w:p w14:paraId="1D921838">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该项目</w:t>
      </w:r>
      <w:r>
        <w:rPr>
          <w:rFonts w:hint="eastAsia" w:ascii="仿宋_GB2312" w:hAnsi="仿宋" w:eastAsia="仿宋_GB2312"/>
          <w:spacing w:val="6"/>
          <w:kern w:val="0"/>
          <w:sz w:val="28"/>
          <w:szCs w:val="28"/>
          <w:lang w:val="en-US" w:eastAsia="zh-CN"/>
        </w:rPr>
        <w:t>年初财政预算2,101,791元</w:t>
      </w:r>
      <w:r>
        <w:rPr>
          <w:rFonts w:hint="eastAsia" w:ascii="仿宋_GB2312" w:hAnsi="仿宋" w:eastAsia="仿宋_GB2312"/>
          <w:spacing w:val="6"/>
          <w:kern w:val="0"/>
          <w:sz w:val="28"/>
          <w:szCs w:val="28"/>
        </w:rPr>
        <w:t>，根据原始材料、支付凭证等统计，2019年昆明市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大气自动站运行维护费项目共实际支出</w:t>
      </w:r>
      <w:r>
        <w:rPr>
          <w:rFonts w:hint="eastAsia" w:ascii="仿宋_GB2312" w:hAnsi="仿宋" w:eastAsia="仿宋_GB2312"/>
          <w:spacing w:val="6"/>
          <w:kern w:val="0"/>
          <w:sz w:val="28"/>
          <w:szCs w:val="28"/>
          <w:lang w:val="en-US" w:eastAsia="zh-CN"/>
        </w:rPr>
        <w:t>1,934,030.66</w:t>
      </w:r>
      <w:r>
        <w:rPr>
          <w:rFonts w:hint="eastAsia" w:ascii="仿宋_GB2312" w:hAnsi="仿宋" w:eastAsia="仿宋_GB2312"/>
          <w:spacing w:val="6"/>
          <w:kern w:val="0"/>
          <w:sz w:val="28"/>
          <w:szCs w:val="28"/>
        </w:rPr>
        <w:t>元，</w:t>
      </w:r>
      <w:r>
        <w:rPr>
          <w:rFonts w:hint="eastAsia" w:ascii="仿宋_GB2312" w:hAnsi="仿宋" w:eastAsia="仿宋_GB2312"/>
          <w:spacing w:val="6"/>
          <w:kern w:val="0"/>
          <w:sz w:val="28"/>
          <w:szCs w:val="28"/>
          <w:lang w:val="en-US" w:eastAsia="zh-CN"/>
        </w:rPr>
        <w:t>因与农投公司相关合同尾款受实际运行情况影响仍未结清，因此实际支出未达预算数。其中1,791元为未申报的额度，目前已退会财政，剩余165,969.34元已通过退额度方式退回财政，</w:t>
      </w:r>
      <w:r>
        <w:rPr>
          <w:rFonts w:hint="eastAsia" w:ascii="仿宋_GB2312" w:hAnsi="仿宋" w:eastAsia="仿宋_GB2312"/>
          <w:spacing w:val="6"/>
          <w:kern w:val="0"/>
          <w:sz w:val="28"/>
          <w:szCs w:val="28"/>
        </w:rPr>
        <w:t>预算执行率为</w:t>
      </w:r>
      <w:r>
        <w:rPr>
          <w:rFonts w:hint="eastAsia" w:ascii="仿宋_GB2312" w:hAnsi="仿宋" w:eastAsia="仿宋_GB2312"/>
          <w:spacing w:val="6"/>
          <w:kern w:val="0"/>
          <w:sz w:val="28"/>
          <w:szCs w:val="28"/>
          <w:lang w:val="en-US" w:eastAsia="zh-CN"/>
        </w:rPr>
        <w:t>92.02</w:t>
      </w:r>
      <w:r>
        <w:rPr>
          <w:rFonts w:hint="eastAsia" w:ascii="仿宋_GB2312" w:hAnsi="仿宋" w:eastAsia="仿宋_GB2312"/>
          <w:spacing w:val="6"/>
          <w:kern w:val="0"/>
          <w:sz w:val="28"/>
          <w:szCs w:val="28"/>
        </w:rPr>
        <w:t>%，资金使用情况详见表2。</w:t>
      </w:r>
    </w:p>
    <w:p w14:paraId="295209D3">
      <w:pPr>
        <w:jc w:val="center"/>
        <w:rPr>
          <w:rFonts w:hint="eastAsia" w:ascii="黑体" w:hAnsi="黑体" w:eastAsia="黑体" w:cs="宋体"/>
          <w:bCs/>
          <w:spacing w:val="6"/>
          <w:sz w:val="24"/>
          <w:szCs w:val="24"/>
          <w:highlight w:val="none"/>
        </w:rPr>
      </w:pPr>
      <w:r>
        <w:rPr>
          <w:rFonts w:hint="eastAsia" w:ascii="黑体" w:hAnsi="黑体" w:eastAsia="黑体" w:cs="宋体"/>
          <w:bCs/>
          <w:spacing w:val="6"/>
          <w:sz w:val="24"/>
          <w:szCs w:val="24"/>
          <w:highlight w:val="none"/>
        </w:rPr>
        <w:t>表2  资金使用情况表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3425"/>
        <w:gridCol w:w="2037"/>
        <w:gridCol w:w="2267"/>
      </w:tblGrid>
      <w:tr w14:paraId="3BB8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jc w:val="center"/>
        </w:trPr>
        <w:tc>
          <w:tcPr>
            <w:tcW w:w="465" w:type="pct"/>
          </w:tcPr>
          <w:p w14:paraId="7697C144">
            <w:p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序号</w:t>
            </w:r>
          </w:p>
        </w:tc>
        <w:tc>
          <w:tcPr>
            <w:tcW w:w="2008" w:type="pct"/>
          </w:tcPr>
          <w:p w14:paraId="50B4BB8E">
            <w:pPr>
              <w:spacing w:line="360" w:lineRule="auto"/>
              <w:jc w:val="center"/>
              <w:rPr>
                <w:rFonts w:hint="eastAsia" w:ascii="黑体" w:hAnsi="黑体" w:eastAsia="黑体" w:cs="黑体"/>
                <w:b w:val="0"/>
                <w:bCs w:val="0"/>
                <w:sz w:val="24"/>
                <w:szCs w:val="24"/>
              </w:rPr>
            </w:pPr>
            <w:r>
              <w:rPr>
                <w:rFonts w:hint="eastAsia" w:ascii="黑体" w:hAnsi="黑体" w:eastAsia="黑体" w:cs="黑体"/>
                <w:b w:val="0"/>
                <w:bCs w:val="0"/>
                <w:sz w:val="24"/>
                <w:szCs w:val="24"/>
              </w:rPr>
              <w:t>项目类别</w:t>
            </w:r>
          </w:p>
        </w:tc>
        <w:tc>
          <w:tcPr>
            <w:tcW w:w="1195" w:type="pct"/>
          </w:tcPr>
          <w:p w14:paraId="244CA33E">
            <w:pPr>
              <w:spacing w:line="360" w:lineRule="auto"/>
              <w:jc w:val="left"/>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预算</w:t>
            </w:r>
            <w:r>
              <w:rPr>
                <w:rFonts w:hint="eastAsia" w:ascii="黑体" w:hAnsi="黑体" w:eastAsia="黑体" w:cs="黑体"/>
                <w:b w:val="0"/>
                <w:bCs w:val="0"/>
                <w:sz w:val="24"/>
                <w:szCs w:val="24"/>
              </w:rPr>
              <w:t>金额（元）</w:t>
            </w:r>
          </w:p>
        </w:tc>
        <w:tc>
          <w:tcPr>
            <w:tcW w:w="1329" w:type="pct"/>
          </w:tcPr>
          <w:p w14:paraId="6B0F6D70">
            <w:pPr>
              <w:spacing w:line="360" w:lineRule="auto"/>
              <w:jc w:val="left"/>
              <w:rPr>
                <w:rFonts w:hint="eastAsia" w:ascii="黑体" w:hAnsi="黑体" w:eastAsia="黑体" w:cs="黑体"/>
                <w:b w:val="0"/>
                <w:bCs w:val="0"/>
                <w:sz w:val="24"/>
                <w:szCs w:val="24"/>
              </w:rPr>
            </w:pPr>
            <w:r>
              <w:rPr>
                <w:rFonts w:hint="eastAsia" w:ascii="黑体" w:hAnsi="黑体" w:eastAsia="黑体" w:cs="黑体"/>
                <w:b w:val="0"/>
                <w:bCs w:val="0"/>
                <w:sz w:val="24"/>
                <w:szCs w:val="24"/>
              </w:rPr>
              <w:t>已</w:t>
            </w:r>
            <w:r>
              <w:rPr>
                <w:rFonts w:hint="eastAsia" w:ascii="黑体" w:hAnsi="黑体" w:eastAsia="黑体" w:cs="黑体"/>
                <w:b w:val="0"/>
                <w:bCs w:val="0"/>
                <w:sz w:val="24"/>
                <w:szCs w:val="24"/>
                <w:lang w:val="en-US" w:eastAsia="zh-CN"/>
              </w:rPr>
              <w:t>支付</w:t>
            </w:r>
            <w:r>
              <w:rPr>
                <w:rFonts w:hint="eastAsia" w:ascii="黑体" w:hAnsi="黑体" w:eastAsia="黑体" w:cs="黑体"/>
                <w:b w:val="0"/>
                <w:bCs w:val="0"/>
                <w:sz w:val="24"/>
                <w:szCs w:val="24"/>
              </w:rPr>
              <w:t>金额（元）</w:t>
            </w:r>
          </w:p>
        </w:tc>
      </w:tr>
      <w:tr w14:paraId="1BA4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tcPr>
          <w:p w14:paraId="04666991">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1</w:t>
            </w:r>
          </w:p>
        </w:tc>
        <w:tc>
          <w:tcPr>
            <w:tcW w:w="2008" w:type="pct"/>
          </w:tcPr>
          <w:p w14:paraId="575BA9ED">
            <w:pPr>
              <w:jc w:val="center"/>
              <w:rPr>
                <w:rFonts w:hint="eastAsia" w:ascii="等线" w:hAnsi="等线" w:eastAsia="等线" w:cs="等线"/>
                <w:i w:val="0"/>
                <w:color w:val="000000"/>
                <w:kern w:val="0"/>
                <w:sz w:val="20"/>
                <w:szCs w:val="20"/>
                <w:highlight w:val="none"/>
                <w:u w:val="none"/>
                <w:lang w:val="en-US" w:eastAsia="zh-CN" w:bidi="ar"/>
              </w:rPr>
            </w:pPr>
            <w:r>
              <w:rPr>
                <w:rFonts w:hint="eastAsia" w:ascii="黑体" w:hAnsi="黑体" w:eastAsia="黑体" w:cs="黑体"/>
                <w:b w:val="0"/>
                <w:bCs w:val="0"/>
                <w:sz w:val="24"/>
                <w:szCs w:val="24"/>
                <w:lang w:val="en-US" w:eastAsia="zh-CN"/>
              </w:rPr>
              <w:t>松华坝水库水源保护区污染治理设施运行经费</w:t>
            </w:r>
          </w:p>
        </w:tc>
        <w:tc>
          <w:tcPr>
            <w:tcW w:w="1195" w:type="pct"/>
          </w:tcPr>
          <w:p w14:paraId="492057DA">
            <w:pPr>
              <w:spacing w:line="480" w:lineRule="auto"/>
              <w:jc w:val="center"/>
              <w:rPr>
                <w:rFonts w:hint="default" w:ascii="等线" w:hAnsi="等线" w:eastAsia="等线" w:cs="等线"/>
                <w:i w:val="0"/>
                <w:color w:val="000000"/>
                <w:kern w:val="0"/>
                <w:sz w:val="22"/>
                <w:szCs w:val="22"/>
                <w:highlight w:val="none"/>
                <w:u w:val="none"/>
                <w:lang w:val="en-US" w:eastAsia="zh-CN" w:bidi="ar"/>
              </w:rPr>
            </w:pPr>
            <w:r>
              <w:rPr>
                <w:rFonts w:hint="eastAsia" w:ascii="等线" w:hAnsi="等线" w:eastAsia="等线" w:cs="等线"/>
                <w:i w:val="0"/>
                <w:color w:val="000000"/>
                <w:kern w:val="0"/>
                <w:sz w:val="22"/>
                <w:szCs w:val="22"/>
                <w:highlight w:val="none"/>
                <w:u w:val="none"/>
                <w:lang w:val="en-US" w:eastAsia="zh-CN" w:bidi="ar"/>
              </w:rPr>
              <w:t>2,101,791</w:t>
            </w:r>
          </w:p>
        </w:tc>
        <w:tc>
          <w:tcPr>
            <w:tcW w:w="1329" w:type="pct"/>
          </w:tcPr>
          <w:p w14:paraId="59D2F2D0">
            <w:pPr>
              <w:spacing w:line="480" w:lineRule="auto"/>
              <w:jc w:val="center"/>
              <w:rPr>
                <w:rFonts w:hint="default" w:ascii="等线" w:hAnsi="等线" w:eastAsia="等线" w:cs="等线"/>
                <w:i w:val="0"/>
                <w:color w:val="000000"/>
                <w:kern w:val="0"/>
                <w:sz w:val="22"/>
                <w:szCs w:val="22"/>
                <w:highlight w:val="none"/>
                <w:u w:val="none"/>
                <w:lang w:val="en-US" w:eastAsia="zh-CN" w:bidi="ar"/>
              </w:rPr>
            </w:pPr>
            <w:r>
              <w:rPr>
                <w:rFonts w:hint="eastAsia" w:ascii="等线" w:hAnsi="等线" w:eastAsia="等线" w:cs="等线"/>
                <w:i w:val="0"/>
                <w:color w:val="000000"/>
                <w:kern w:val="0"/>
                <w:sz w:val="22"/>
                <w:szCs w:val="22"/>
                <w:highlight w:val="none"/>
                <w:u w:val="none"/>
                <w:lang w:val="en-US" w:eastAsia="zh-CN" w:bidi="ar"/>
              </w:rPr>
              <w:t>1,934,030.66</w:t>
            </w:r>
          </w:p>
        </w:tc>
      </w:tr>
      <w:tr w14:paraId="6675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4" w:type="pct"/>
            <w:gridSpan w:val="2"/>
          </w:tcPr>
          <w:p w14:paraId="7E284DBF">
            <w:pPr>
              <w:jc w:val="center"/>
              <w:rPr>
                <w:rFonts w:hint="eastAsia" w:ascii="等线" w:hAnsi="等线" w:eastAsia="等线" w:cs="等线"/>
                <w:i w:val="0"/>
                <w:color w:val="000000"/>
                <w:kern w:val="0"/>
                <w:sz w:val="20"/>
                <w:szCs w:val="20"/>
                <w:highlight w:val="none"/>
                <w:u w:val="none"/>
                <w:lang w:val="en-US" w:eastAsia="zh-CN" w:bidi="ar"/>
              </w:rPr>
            </w:pPr>
            <w:r>
              <w:rPr>
                <w:rFonts w:hint="eastAsia" w:ascii="等线" w:hAnsi="等线" w:eastAsia="等线" w:cs="等线"/>
                <w:i w:val="0"/>
                <w:color w:val="000000"/>
                <w:kern w:val="0"/>
                <w:sz w:val="20"/>
                <w:szCs w:val="20"/>
                <w:highlight w:val="none"/>
                <w:u w:val="none"/>
                <w:lang w:val="en-US" w:eastAsia="zh-CN" w:bidi="ar"/>
              </w:rPr>
              <w:t>合计</w:t>
            </w:r>
          </w:p>
        </w:tc>
        <w:tc>
          <w:tcPr>
            <w:tcW w:w="1195" w:type="pct"/>
          </w:tcPr>
          <w:p w14:paraId="22D5D313">
            <w:pPr>
              <w:jc w:val="center"/>
              <w:rPr>
                <w:rFonts w:hint="eastAsia" w:ascii="等线" w:hAnsi="等线" w:eastAsia="等线" w:cs="等线"/>
                <w:i w:val="0"/>
                <w:color w:val="000000"/>
                <w:kern w:val="0"/>
                <w:sz w:val="22"/>
                <w:szCs w:val="22"/>
                <w:highlight w:val="none"/>
                <w:u w:val="none"/>
                <w:lang w:val="en-US" w:eastAsia="zh-CN" w:bidi="ar"/>
              </w:rPr>
            </w:pPr>
            <w:r>
              <w:rPr>
                <w:rFonts w:hint="eastAsia" w:ascii="等线" w:hAnsi="等线" w:eastAsia="等线" w:cs="等线"/>
                <w:i w:val="0"/>
                <w:color w:val="000000"/>
                <w:kern w:val="0"/>
                <w:sz w:val="22"/>
                <w:szCs w:val="22"/>
                <w:highlight w:val="none"/>
                <w:u w:val="none"/>
                <w:lang w:val="en-US" w:eastAsia="zh-CN" w:bidi="ar"/>
              </w:rPr>
              <w:t>2,101,791</w:t>
            </w:r>
          </w:p>
        </w:tc>
        <w:tc>
          <w:tcPr>
            <w:tcW w:w="1329" w:type="pct"/>
          </w:tcPr>
          <w:p w14:paraId="37F60C34">
            <w:pPr>
              <w:jc w:val="center"/>
              <w:rPr>
                <w:rFonts w:hint="eastAsia" w:ascii="等线" w:hAnsi="等线" w:eastAsia="等线" w:cs="等线"/>
                <w:i w:val="0"/>
                <w:color w:val="000000"/>
                <w:kern w:val="0"/>
                <w:sz w:val="22"/>
                <w:szCs w:val="22"/>
                <w:highlight w:val="none"/>
                <w:u w:val="none"/>
                <w:lang w:val="en-US" w:eastAsia="zh-CN" w:bidi="ar"/>
              </w:rPr>
            </w:pPr>
            <w:r>
              <w:rPr>
                <w:rFonts w:hint="eastAsia" w:ascii="等线" w:hAnsi="等线" w:eastAsia="等线" w:cs="等线"/>
                <w:i w:val="0"/>
                <w:color w:val="000000"/>
                <w:kern w:val="0"/>
                <w:sz w:val="22"/>
                <w:szCs w:val="22"/>
                <w:highlight w:val="none"/>
                <w:u w:val="none"/>
                <w:lang w:val="en-US" w:eastAsia="zh-CN" w:bidi="ar"/>
              </w:rPr>
              <w:t>1,934,030.66</w:t>
            </w:r>
          </w:p>
        </w:tc>
      </w:tr>
    </w:tbl>
    <w:p w14:paraId="180A6621">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5.组织及管理情况</w:t>
      </w:r>
    </w:p>
    <w:p w14:paraId="20D3527C">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（1）项目管理主体</w:t>
      </w:r>
    </w:p>
    <w:p w14:paraId="1B8AD1E8">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项目管理主体为昆明市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，代</w:t>
      </w:r>
      <w:r>
        <w:rPr>
          <w:rFonts w:hint="eastAsia" w:ascii="仿宋_GB2312" w:hAnsi="仿宋" w:eastAsia="仿宋_GB2312"/>
          <w:spacing w:val="6"/>
          <w:kern w:val="0"/>
          <w:sz w:val="28"/>
          <w:szCs w:val="28"/>
          <w:lang w:val="en-US" w:eastAsia="zh-CN"/>
        </w:rPr>
        <w:t>维公司</w:t>
      </w:r>
      <w:r>
        <w:rPr>
          <w:rFonts w:hint="eastAsia" w:ascii="仿宋_GB2312" w:hAnsi="仿宋" w:eastAsia="仿宋_GB2312"/>
          <w:spacing w:val="6"/>
          <w:kern w:val="0"/>
          <w:sz w:val="28"/>
          <w:szCs w:val="28"/>
        </w:rPr>
        <w:t>为</w:t>
      </w:r>
      <w:r>
        <w:rPr>
          <w:rFonts w:hint="eastAsia" w:ascii="仿宋_GB2312" w:hAnsi="仿宋" w:eastAsia="仿宋_GB2312"/>
          <w:spacing w:val="6"/>
          <w:kern w:val="0"/>
          <w:sz w:val="28"/>
          <w:szCs w:val="28"/>
          <w:lang w:val="en-US" w:eastAsia="zh-CN"/>
        </w:rPr>
        <w:t>昆明市盘龙区农业发展投资有限公司</w:t>
      </w:r>
      <w:r>
        <w:rPr>
          <w:rFonts w:hint="eastAsia" w:ascii="仿宋_GB2312" w:hAnsi="仿宋" w:eastAsia="仿宋_GB2312"/>
          <w:spacing w:val="6"/>
          <w:kern w:val="0"/>
          <w:sz w:val="28"/>
          <w:szCs w:val="28"/>
        </w:rPr>
        <w:t>。</w:t>
      </w:r>
    </w:p>
    <w:p w14:paraId="1CC1B0F8">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（2）保障措施</w:t>
      </w:r>
    </w:p>
    <w:p w14:paraId="0EA31342">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按照《</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rPr>
        <w:t>预算管理内部控制流程》、《</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收支</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采购</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国有资产</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建设项目</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合同</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昆明市生态环境局盘龙分局经费支出管理办法</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盘环保</w:t>
      </w:r>
      <w:r>
        <w:rPr>
          <w:rFonts w:hint="eastAsia" w:ascii="仿宋_GB2312" w:hAnsi="仿宋" w:eastAsia="仿宋_GB2312"/>
          <w:spacing w:val="6"/>
          <w:kern w:val="0"/>
          <w:sz w:val="28"/>
          <w:szCs w:val="28"/>
        </w:rPr>
        <w:t>〔201</w:t>
      </w:r>
      <w:r>
        <w:rPr>
          <w:rFonts w:hint="eastAsia" w:ascii="仿宋_GB2312" w:hAnsi="仿宋" w:eastAsia="仿宋_GB2312"/>
          <w:spacing w:val="6"/>
          <w:kern w:val="0"/>
          <w:sz w:val="28"/>
          <w:szCs w:val="28"/>
          <w:lang w:val="en-US" w:eastAsia="zh-CN"/>
        </w:rPr>
        <w:t>7</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30</w:t>
      </w:r>
      <w:r>
        <w:rPr>
          <w:rFonts w:hint="eastAsia" w:ascii="仿宋_GB2312" w:hAnsi="仿宋" w:eastAsia="仿宋_GB2312"/>
          <w:spacing w:val="6"/>
          <w:kern w:val="0"/>
          <w:sz w:val="28"/>
          <w:szCs w:val="28"/>
        </w:rPr>
        <w:t>号）等文件要求，严格执行招投标管理机制、合同管理制和工程监理制等基本建设管理制度。项目资金开支严格按照国家有关财务管理规定单独建账、专人管理、专款专用，并根据度假区财务管理制度执行。</w:t>
      </w:r>
    </w:p>
    <w:p w14:paraId="395BB9B3">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（3）评价相关方</w:t>
      </w:r>
    </w:p>
    <w:p w14:paraId="39C8EF95">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①项目主管</w:t>
      </w:r>
      <w:r>
        <w:rPr>
          <w:rFonts w:hint="eastAsia" w:ascii="仿宋_GB2312" w:hAnsi="仿宋" w:eastAsia="仿宋_GB2312"/>
          <w:spacing w:val="6"/>
          <w:kern w:val="0"/>
          <w:sz w:val="28"/>
          <w:szCs w:val="28"/>
          <w:lang w:val="en-US" w:eastAsia="zh-CN"/>
        </w:rPr>
        <w:t>单位</w:t>
      </w:r>
      <w:r>
        <w:rPr>
          <w:rFonts w:hint="eastAsia" w:ascii="仿宋_GB2312" w:hAnsi="仿宋" w:eastAsia="仿宋_GB2312"/>
          <w:spacing w:val="6"/>
          <w:kern w:val="0"/>
          <w:sz w:val="28"/>
          <w:szCs w:val="28"/>
        </w:rPr>
        <w:t>：昆明市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p>
    <w:p w14:paraId="00C9C0DF">
      <w:pPr>
        <w:spacing w:line="579" w:lineRule="exact"/>
        <w:ind w:firstLine="584" w:firstLineChars="200"/>
        <w:rPr>
          <w:rFonts w:hint="eastAsia"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rPr>
        <w:t>②项目代</w:t>
      </w:r>
      <w:r>
        <w:rPr>
          <w:rFonts w:hint="eastAsia" w:ascii="仿宋_GB2312" w:hAnsi="仿宋" w:eastAsia="仿宋_GB2312"/>
          <w:spacing w:val="6"/>
          <w:kern w:val="0"/>
          <w:sz w:val="28"/>
          <w:szCs w:val="28"/>
          <w:lang w:val="en-US" w:eastAsia="zh-CN"/>
        </w:rPr>
        <w:t>维公司</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昆明市盘龙区农业发展投资有限公司</w:t>
      </w:r>
    </w:p>
    <w:p w14:paraId="70FD4D1C">
      <w:pPr>
        <w:spacing w:line="579" w:lineRule="exact"/>
        <w:ind w:firstLine="584" w:firstLineChars="200"/>
        <w:rPr>
          <w:rFonts w:hint="default" w:ascii="仿宋_GB2312" w:hAnsi="仿宋" w:eastAsia="仿宋_GB2312"/>
          <w:spacing w:val="6"/>
          <w:kern w:val="0"/>
          <w:sz w:val="28"/>
          <w:szCs w:val="28"/>
          <w:lang w:val="en-US" w:eastAsia="zh-CN"/>
        </w:rPr>
      </w:pPr>
      <w:r>
        <w:rPr>
          <w:rFonts w:hint="eastAsia" w:ascii="仿宋_GB2312" w:hAnsi="仿宋" w:eastAsia="仿宋_GB2312"/>
          <w:spacing w:val="6"/>
          <w:kern w:val="0"/>
          <w:sz w:val="28"/>
          <w:szCs w:val="28"/>
        </w:rPr>
        <w:t>③受益对象：</w:t>
      </w:r>
      <w:r>
        <w:rPr>
          <w:rFonts w:hint="eastAsia" w:ascii="仿宋_GB2312" w:hAnsi="仿宋" w:eastAsia="仿宋_GB2312"/>
          <w:spacing w:val="6"/>
          <w:kern w:val="0"/>
          <w:sz w:val="28"/>
          <w:szCs w:val="28"/>
          <w:lang w:val="en-US" w:eastAsia="zh-CN"/>
        </w:rPr>
        <w:t>项目区域内常住居民</w:t>
      </w:r>
    </w:p>
    <w:p w14:paraId="3AFE3564">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（二）绩效目标</w:t>
      </w:r>
    </w:p>
    <w:p w14:paraId="261E027D">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1.预算批复（申报）绩效目标和绩效指标情况</w:t>
      </w:r>
    </w:p>
    <w:p w14:paraId="0B0E9D88">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在年初申报预算时，昆明市生态环境局盘龙分局针对该项目制定的总目标为：</w:t>
      </w:r>
    </w:p>
    <w:p w14:paraId="1A3FE82C">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cs="Times New Roman"/>
          <w:spacing w:val="6"/>
          <w:kern w:val="0"/>
          <w:sz w:val="28"/>
          <w:szCs w:val="28"/>
          <w:highlight w:val="none"/>
          <w:lang w:val="en-US" w:eastAsia="zh-CN"/>
        </w:rPr>
      </w:pPr>
      <w:r>
        <w:rPr>
          <w:rFonts w:hint="eastAsia" w:ascii="仿宋_GB2312" w:hAnsi="仿宋" w:eastAsia="仿宋_GB2312" w:cs="Times New Roman"/>
          <w:spacing w:val="6"/>
          <w:kern w:val="0"/>
          <w:sz w:val="28"/>
          <w:szCs w:val="28"/>
          <w:highlight w:val="none"/>
          <w:lang w:val="en-US" w:eastAsia="zh-CN"/>
        </w:rPr>
        <w:t>2019年10座污水处理设施污水收集处理率≥90%，采用A2O工艺（厌氧-缺氧-好氧法），设计出水水质达《城镇污水处理厂污染物排放标准》GB18918-2002一级A标;2019年10座污水处理设施正常运行，削减了污染物的入库量，有效的改善牧羊河水质，对保护松华坝饮用水源地水质安全发挥了积极作用;2019年当年完成各项考核指标达标。</w:t>
      </w:r>
    </w:p>
    <w:p w14:paraId="0BD8C3EA">
      <w:pPr>
        <w:keepNext w:val="0"/>
        <w:keepLines w:val="0"/>
        <w:pageBreakBefore w:val="0"/>
        <w:widowControl w:val="0"/>
        <w:kinsoku/>
        <w:wordWrap/>
        <w:overflowPunct/>
        <w:topLinePunct w:val="0"/>
        <w:autoSpaceDE/>
        <w:autoSpaceDN/>
        <w:bidi w:val="0"/>
        <w:adjustRightInd/>
        <w:snapToGrid/>
        <w:spacing w:line="579" w:lineRule="exact"/>
        <w:ind w:firstLine="584" w:firstLineChars="200"/>
        <w:jc w:val="both"/>
        <w:textAlignment w:val="auto"/>
        <w:rPr>
          <w:rFonts w:ascii="仿宋_GB2312" w:hAnsi="仿宋" w:eastAsia="仿宋_GB2312"/>
          <w:spacing w:val="6"/>
          <w:kern w:val="0"/>
          <w:sz w:val="28"/>
          <w:szCs w:val="28"/>
        </w:rPr>
      </w:pPr>
      <w:r>
        <w:rPr>
          <w:rFonts w:hint="eastAsia" w:ascii="仿宋_GB2312" w:hAnsi="仿宋" w:eastAsia="仿宋_GB2312"/>
          <w:spacing w:val="6"/>
          <w:kern w:val="0"/>
          <w:sz w:val="28"/>
          <w:szCs w:val="28"/>
        </w:rPr>
        <w:t>2.绩效再评调整后的绩效目标和绩效指标情况</w:t>
      </w:r>
    </w:p>
    <w:p w14:paraId="7A33BAB4">
      <w:pPr>
        <w:keepNext w:val="0"/>
        <w:keepLines w:val="0"/>
        <w:pageBreakBefore w:val="0"/>
        <w:widowControl w:val="0"/>
        <w:kinsoku/>
        <w:wordWrap/>
        <w:overflowPunct/>
        <w:topLinePunct w:val="0"/>
        <w:autoSpaceDE/>
        <w:autoSpaceDN/>
        <w:bidi w:val="0"/>
        <w:adjustRightInd/>
        <w:snapToGrid/>
        <w:spacing w:line="579" w:lineRule="exact"/>
        <w:ind w:firstLine="584" w:firstLineChars="200"/>
        <w:jc w:val="both"/>
        <w:textAlignment w:val="auto"/>
        <w:rPr>
          <w:rFonts w:ascii="仿宋_GB2312" w:hAnsi="仿宋" w:eastAsia="仿宋_GB2312"/>
          <w:spacing w:val="6"/>
          <w:kern w:val="0"/>
          <w:sz w:val="28"/>
          <w:szCs w:val="28"/>
        </w:rPr>
      </w:pPr>
      <w:r>
        <w:rPr>
          <w:rFonts w:hint="eastAsia" w:ascii="仿宋_GB2312" w:hAnsi="仿宋" w:eastAsia="仿宋_GB2312"/>
          <w:spacing w:val="6"/>
          <w:kern w:val="0"/>
          <w:sz w:val="28"/>
          <w:szCs w:val="28"/>
        </w:rPr>
        <w:t>根据对项目立项背景依据、项目可研报告、可研批复等相关资料分析，通过与项目主管单位沟通并结合项目实际情况，采取以下方式进行优化：一是结合《</w:t>
      </w:r>
      <w:r>
        <w:rPr>
          <w:rFonts w:hint="eastAsia" w:ascii="仿宋_GB2312" w:hAnsi="仿宋" w:eastAsia="仿宋_GB2312" w:cs="Times New Roman"/>
          <w:spacing w:val="6"/>
          <w:kern w:val="0"/>
          <w:sz w:val="28"/>
          <w:szCs w:val="28"/>
        </w:rPr>
        <w:t>关于松华坝水库水源保护区水污染治理设施运营管理相关问题的请示</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spacing w:val="6"/>
          <w:kern w:val="0"/>
          <w:sz w:val="28"/>
          <w:szCs w:val="28"/>
        </w:rPr>
        <w:t>、《2019年云南省生态环境监测工作方案》</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云环通〔2019〕50号</w:t>
      </w:r>
      <w:r>
        <w:rPr>
          <w:rFonts w:hint="eastAsia" w:ascii="仿宋_GB2312" w:hAnsi="仿宋" w:eastAsia="仿宋_GB2312"/>
          <w:spacing w:val="6"/>
          <w:kern w:val="0"/>
          <w:sz w:val="28"/>
          <w:szCs w:val="28"/>
          <w:lang w:eastAsia="zh-CN"/>
        </w:rPr>
        <w:t>）、《</w:t>
      </w:r>
      <w:r>
        <w:rPr>
          <w:rFonts w:hint="eastAsia" w:ascii="仿宋_GB2312" w:hAnsi="仿宋" w:eastAsia="仿宋_GB2312" w:cs="Times New Roman"/>
          <w:spacing w:val="6"/>
          <w:kern w:val="0"/>
          <w:sz w:val="28"/>
          <w:szCs w:val="28"/>
        </w:rPr>
        <w:t>村庄生活污水处理工程污水处理站运行管理考核办法（试行）</w:t>
      </w:r>
      <w:r>
        <w:rPr>
          <w:rFonts w:hint="eastAsia" w:ascii="仿宋_GB2312" w:hAnsi="仿宋" w:eastAsia="仿宋_GB2312"/>
          <w:spacing w:val="6"/>
          <w:kern w:val="0"/>
          <w:sz w:val="28"/>
          <w:szCs w:val="28"/>
          <w:lang w:eastAsia="zh-CN"/>
        </w:rPr>
        <w:t>》、《盘龙区村庄生活污水处理站运行管理考核评价标准》</w:t>
      </w:r>
      <w:r>
        <w:rPr>
          <w:rFonts w:hint="eastAsia" w:ascii="仿宋_GB2312" w:hAnsi="仿宋" w:eastAsia="仿宋_GB2312"/>
          <w:spacing w:val="6"/>
          <w:kern w:val="0"/>
          <w:sz w:val="28"/>
          <w:szCs w:val="28"/>
          <w:lang w:val="en-US" w:eastAsia="zh-CN"/>
        </w:rPr>
        <w:t>等</w:t>
      </w:r>
      <w:r>
        <w:rPr>
          <w:rFonts w:hint="eastAsia" w:ascii="仿宋_GB2312" w:hAnsi="仿宋" w:eastAsia="仿宋_GB2312"/>
          <w:spacing w:val="6"/>
          <w:kern w:val="0"/>
          <w:sz w:val="28"/>
          <w:szCs w:val="28"/>
        </w:rPr>
        <w:t>通知文件要求，制定年初项目目标；二是分解制定的项目目标，制定清晰可衡量的绩效指标，优化后的绩效目标及目标完成情况详见表3。</w:t>
      </w:r>
    </w:p>
    <w:p w14:paraId="230571AA">
      <w:pPr>
        <w:jc w:val="center"/>
        <w:rPr>
          <w:rFonts w:hint="eastAsia" w:ascii="黑体" w:hAnsi="黑体" w:eastAsia="黑体" w:cs="宋体"/>
          <w:bCs/>
          <w:spacing w:val="6"/>
          <w:sz w:val="24"/>
          <w:szCs w:val="24"/>
          <w:highlight w:val="none"/>
        </w:rPr>
      </w:pPr>
      <w:r>
        <w:rPr>
          <w:rFonts w:hint="eastAsia" w:ascii="黑体" w:hAnsi="黑体" w:eastAsia="黑体" w:cs="宋体"/>
          <w:bCs/>
          <w:spacing w:val="6"/>
          <w:sz w:val="24"/>
          <w:szCs w:val="24"/>
          <w:highlight w:val="none"/>
        </w:rPr>
        <w:t>表3  绩效目标完成情况表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414"/>
        <w:gridCol w:w="1989"/>
        <w:gridCol w:w="3316"/>
        <w:gridCol w:w="2701"/>
      </w:tblGrid>
      <w:tr w14:paraId="3C45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47" w:hRule="atLeast"/>
          <w:tblHeader/>
          <w:jc w:val="center"/>
        </w:trPr>
        <w:tc>
          <w:tcPr>
            <w:tcW w:w="414" w:type="dxa"/>
            <w:tcBorders>
              <w:top w:val="single" w:color="auto" w:sz="4" w:space="0"/>
            </w:tcBorders>
            <w:vAlign w:val="center"/>
          </w:tcPr>
          <w:p w14:paraId="7F4EDF2C">
            <w:pPr>
              <w:keepNext w:val="0"/>
              <w:keepLines w:val="0"/>
              <w:widowControl/>
              <w:suppressLineNumbers w:val="0"/>
              <w:jc w:val="center"/>
              <w:textAlignment w:val="center"/>
              <w:rPr>
                <w:rFonts w:hint="eastAsia" w:ascii="黑体" w:hAnsi="黑体" w:eastAsia="黑体" w:cs="宋体"/>
                <w:b/>
                <w:bCs w:val="0"/>
                <w:spacing w:val="6"/>
                <w:sz w:val="24"/>
                <w:szCs w:val="24"/>
                <w:highlight w:val="none"/>
                <w:lang w:val="en-US" w:eastAsia="zh-CN"/>
              </w:rPr>
            </w:pPr>
            <w:r>
              <w:rPr>
                <w:rFonts w:hint="eastAsia" w:ascii="仿宋" w:hAnsi="仿宋" w:eastAsia="仿宋" w:cs="仿宋"/>
                <w:b/>
                <w:bCs w:val="0"/>
                <w:i w:val="0"/>
                <w:color w:val="000000"/>
                <w:kern w:val="0"/>
                <w:sz w:val="24"/>
                <w:szCs w:val="24"/>
                <w:u w:val="none"/>
                <w:lang w:val="en-US" w:eastAsia="zh-CN" w:bidi="ar"/>
              </w:rPr>
              <w:t>序号</w:t>
            </w:r>
          </w:p>
        </w:tc>
        <w:tc>
          <w:tcPr>
            <w:tcW w:w="1989" w:type="dxa"/>
            <w:tcBorders>
              <w:top w:val="single" w:color="auto" w:sz="4" w:space="0"/>
            </w:tcBorders>
            <w:vAlign w:val="center"/>
          </w:tcPr>
          <w:p w14:paraId="0A515E81">
            <w:pPr>
              <w:keepNext w:val="0"/>
              <w:keepLines w:val="0"/>
              <w:widowControl/>
              <w:suppressLineNumbers w:val="0"/>
              <w:jc w:val="center"/>
              <w:textAlignment w:val="center"/>
              <w:rPr>
                <w:rFonts w:hint="eastAsia" w:ascii="黑体" w:hAnsi="黑体" w:eastAsia="黑体" w:cs="宋体"/>
                <w:b/>
                <w:bCs w:val="0"/>
                <w:spacing w:val="6"/>
                <w:sz w:val="24"/>
                <w:szCs w:val="24"/>
                <w:highlight w:val="none"/>
                <w:lang w:val="en-US" w:eastAsia="zh-CN"/>
              </w:rPr>
            </w:pPr>
            <w:r>
              <w:rPr>
                <w:rFonts w:hint="eastAsia" w:ascii="仿宋" w:hAnsi="仿宋" w:eastAsia="仿宋" w:cs="仿宋"/>
                <w:b/>
                <w:bCs w:val="0"/>
                <w:i w:val="0"/>
                <w:color w:val="000000"/>
                <w:kern w:val="0"/>
                <w:sz w:val="24"/>
                <w:szCs w:val="24"/>
                <w:u w:val="none"/>
                <w:lang w:val="en-US" w:eastAsia="zh-CN" w:bidi="ar"/>
              </w:rPr>
              <w:t>实施内容</w:t>
            </w:r>
          </w:p>
        </w:tc>
        <w:tc>
          <w:tcPr>
            <w:tcW w:w="3316" w:type="dxa"/>
            <w:tcBorders>
              <w:top w:val="single" w:color="auto" w:sz="4" w:space="0"/>
            </w:tcBorders>
            <w:vAlign w:val="center"/>
          </w:tcPr>
          <w:p w14:paraId="21D4B794">
            <w:pPr>
              <w:keepNext w:val="0"/>
              <w:keepLines w:val="0"/>
              <w:widowControl/>
              <w:suppressLineNumbers w:val="0"/>
              <w:jc w:val="center"/>
              <w:textAlignment w:val="center"/>
              <w:rPr>
                <w:rFonts w:hint="eastAsia" w:ascii="黑体" w:hAnsi="黑体" w:eastAsia="黑体" w:cs="宋体"/>
                <w:b/>
                <w:bCs w:val="0"/>
                <w:spacing w:val="6"/>
                <w:sz w:val="24"/>
                <w:szCs w:val="24"/>
                <w:highlight w:val="none"/>
                <w:lang w:val="en-US" w:eastAsia="zh-CN"/>
              </w:rPr>
            </w:pPr>
            <w:r>
              <w:rPr>
                <w:rFonts w:hint="eastAsia" w:ascii="仿宋" w:hAnsi="仿宋" w:eastAsia="仿宋" w:cs="仿宋"/>
                <w:b/>
                <w:bCs w:val="0"/>
                <w:i w:val="0"/>
                <w:color w:val="000000"/>
                <w:kern w:val="0"/>
                <w:sz w:val="24"/>
                <w:szCs w:val="24"/>
                <w:u w:val="none"/>
                <w:lang w:val="en-US" w:eastAsia="zh-CN" w:bidi="ar"/>
              </w:rPr>
              <w:t>计划完成情况</w:t>
            </w:r>
          </w:p>
        </w:tc>
        <w:tc>
          <w:tcPr>
            <w:tcW w:w="2701" w:type="dxa"/>
            <w:tcBorders>
              <w:top w:val="single" w:color="auto" w:sz="4" w:space="0"/>
            </w:tcBorders>
            <w:vAlign w:val="center"/>
          </w:tcPr>
          <w:p w14:paraId="4D15DC5D">
            <w:pPr>
              <w:keepNext w:val="0"/>
              <w:keepLines w:val="0"/>
              <w:widowControl/>
              <w:suppressLineNumbers w:val="0"/>
              <w:jc w:val="center"/>
              <w:textAlignment w:val="center"/>
              <w:rPr>
                <w:rFonts w:hint="eastAsia" w:ascii="黑体" w:hAnsi="黑体" w:eastAsia="黑体" w:cs="宋体"/>
                <w:b/>
                <w:bCs w:val="0"/>
                <w:spacing w:val="6"/>
                <w:sz w:val="24"/>
                <w:szCs w:val="24"/>
                <w:highlight w:val="none"/>
                <w:lang w:val="en-US" w:eastAsia="zh-CN"/>
              </w:rPr>
            </w:pPr>
            <w:r>
              <w:rPr>
                <w:rFonts w:hint="eastAsia" w:ascii="仿宋" w:hAnsi="仿宋" w:eastAsia="仿宋" w:cs="仿宋"/>
                <w:b/>
                <w:bCs w:val="0"/>
                <w:i w:val="0"/>
                <w:color w:val="000000"/>
                <w:kern w:val="0"/>
                <w:sz w:val="24"/>
                <w:szCs w:val="24"/>
                <w:u w:val="none"/>
                <w:lang w:val="en-US" w:eastAsia="zh-CN" w:bidi="ar"/>
              </w:rPr>
              <w:t>实际完成情况</w:t>
            </w:r>
          </w:p>
        </w:tc>
      </w:tr>
      <w:tr w14:paraId="47EA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85" w:hRule="atLeast"/>
          <w:jc w:val="center"/>
        </w:trPr>
        <w:tc>
          <w:tcPr>
            <w:tcW w:w="414" w:type="dxa"/>
            <w:vAlign w:val="center"/>
          </w:tcPr>
          <w:p w14:paraId="69E49930">
            <w:pPr>
              <w:keepNext w:val="0"/>
              <w:keepLines w:val="0"/>
              <w:widowControl/>
              <w:suppressLineNumbers w:val="0"/>
              <w:jc w:val="center"/>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1</w:t>
            </w:r>
          </w:p>
        </w:tc>
        <w:tc>
          <w:tcPr>
            <w:tcW w:w="1989" w:type="dxa"/>
            <w:vAlign w:val="center"/>
          </w:tcPr>
          <w:p w14:paraId="06F2BC99">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污水处理设施运行天数</w:t>
            </w:r>
          </w:p>
        </w:tc>
        <w:tc>
          <w:tcPr>
            <w:tcW w:w="3316" w:type="dxa"/>
            <w:vAlign w:val="center"/>
          </w:tcPr>
          <w:p w14:paraId="5B1F8A68">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每个松华坝污水处理设施每年运行天数≥300日。</w:t>
            </w:r>
          </w:p>
        </w:tc>
        <w:tc>
          <w:tcPr>
            <w:tcW w:w="2701" w:type="dxa"/>
            <w:vAlign w:val="center"/>
          </w:tcPr>
          <w:p w14:paraId="686B91C4">
            <w:pPr>
              <w:keepNext w:val="0"/>
              <w:keepLines w:val="0"/>
              <w:widowControl/>
              <w:suppressLineNumbers w:val="0"/>
              <w:jc w:val="left"/>
              <w:textAlignment w:val="center"/>
              <w:rPr>
                <w:rFonts w:hint="default"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污水处理站正常运行365天，达到运行天数标准。</w:t>
            </w:r>
          </w:p>
        </w:tc>
      </w:tr>
      <w:tr w14:paraId="351C1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48" w:hRule="atLeast"/>
          <w:jc w:val="center"/>
        </w:trPr>
        <w:tc>
          <w:tcPr>
            <w:tcW w:w="414" w:type="dxa"/>
            <w:vAlign w:val="center"/>
          </w:tcPr>
          <w:p w14:paraId="46D1081C">
            <w:pPr>
              <w:keepNext w:val="0"/>
              <w:keepLines w:val="0"/>
              <w:widowControl/>
              <w:suppressLineNumbers w:val="0"/>
              <w:jc w:val="center"/>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2</w:t>
            </w:r>
          </w:p>
        </w:tc>
        <w:tc>
          <w:tcPr>
            <w:tcW w:w="1989" w:type="dxa"/>
            <w:vAlign w:val="center"/>
          </w:tcPr>
          <w:p w14:paraId="34127E33">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污水处理设施污水处理量</w:t>
            </w:r>
          </w:p>
        </w:tc>
        <w:tc>
          <w:tcPr>
            <w:tcW w:w="3316" w:type="dxa"/>
            <w:vAlign w:val="center"/>
          </w:tcPr>
          <w:p w14:paraId="4ACA90B3">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松华坝污水处理设施2019年完成污水处理≥12000吨。</w:t>
            </w:r>
          </w:p>
        </w:tc>
        <w:tc>
          <w:tcPr>
            <w:tcW w:w="2701" w:type="dxa"/>
            <w:vAlign w:val="center"/>
          </w:tcPr>
          <w:p w14:paraId="517BC3D3">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2019年污水处理站处理污水43800吨，达到每天不低于1200吨每天标准。</w:t>
            </w:r>
          </w:p>
        </w:tc>
      </w:tr>
      <w:tr w14:paraId="2162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48" w:hRule="atLeast"/>
          <w:jc w:val="center"/>
        </w:trPr>
        <w:tc>
          <w:tcPr>
            <w:tcW w:w="414" w:type="dxa"/>
            <w:vAlign w:val="center"/>
          </w:tcPr>
          <w:p w14:paraId="504DEBB5">
            <w:pPr>
              <w:keepNext w:val="0"/>
              <w:keepLines w:val="0"/>
              <w:widowControl/>
              <w:suppressLineNumbers w:val="0"/>
              <w:jc w:val="center"/>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3</w:t>
            </w:r>
          </w:p>
        </w:tc>
        <w:tc>
          <w:tcPr>
            <w:tcW w:w="1989" w:type="dxa"/>
            <w:vAlign w:val="center"/>
          </w:tcPr>
          <w:p w14:paraId="57F70395">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污水处理设施使用率</w:t>
            </w:r>
          </w:p>
        </w:tc>
        <w:tc>
          <w:tcPr>
            <w:tcW w:w="3316" w:type="dxa"/>
            <w:vAlign w:val="center"/>
          </w:tcPr>
          <w:p w14:paraId="173661B3">
            <w:pPr>
              <w:keepNext w:val="0"/>
              <w:keepLines w:val="0"/>
              <w:widowControl/>
              <w:suppressLineNumbers w:val="0"/>
              <w:jc w:val="left"/>
              <w:textAlignment w:val="center"/>
              <w:rPr>
                <w:rFonts w:hint="default"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污水处理设施使用率=100%。</w:t>
            </w:r>
          </w:p>
        </w:tc>
        <w:tc>
          <w:tcPr>
            <w:tcW w:w="2701" w:type="dxa"/>
            <w:vAlign w:val="center"/>
          </w:tcPr>
          <w:p w14:paraId="456E57D5">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污水处理设施使用率=100%。</w:t>
            </w:r>
          </w:p>
        </w:tc>
      </w:tr>
      <w:tr w14:paraId="44FF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248" w:hRule="atLeast"/>
          <w:jc w:val="center"/>
        </w:trPr>
        <w:tc>
          <w:tcPr>
            <w:tcW w:w="414" w:type="dxa"/>
            <w:vAlign w:val="center"/>
          </w:tcPr>
          <w:p w14:paraId="66C86EBA">
            <w:pPr>
              <w:keepNext w:val="0"/>
              <w:keepLines w:val="0"/>
              <w:widowControl/>
              <w:suppressLineNumbers w:val="0"/>
              <w:jc w:val="center"/>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4</w:t>
            </w:r>
          </w:p>
        </w:tc>
        <w:tc>
          <w:tcPr>
            <w:tcW w:w="1989" w:type="dxa"/>
            <w:vAlign w:val="center"/>
          </w:tcPr>
          <w:p w14:paraId="0406781F">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污水处理设施出水达标率</w:t>
            </w:r>
          </w:p>
        </w:tc>
        <w:tc>
          <w:tcPr>
            <w:tcW w:w="3316" w:type="dxa"/>
            <w:vAlign w:val="center"/>
          </w:tcPr>
          <w:p w14:paraId="2733B8D1">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松华坝污水处理设施出水水质达到一级A标及以上。</w:t>
            </w:r>
          </w:p>
        </w:tc>
        <w:tc>
          <w:tcPr>
            <w:tcW w:w="2701" w:type="dxa"/>
            <w:vAlign w:val="center"/>
          </w:tcPr>
          <w:p w14:paraId="4E0B81A1">
            <w:pPr>
              <w:keepNext w:val="0"/>
              <w:keepLines w:val="0"/>
              <w:widowControl/>
              <w:suppressLineNumbers w:val="0"/>
              <w:jc w:val="left"/>
              <w:textAlignment w:val="center"/>
              <w:rPr>
                <w:rFonts w:hint="eastAsia" w:ascii="等线" w:hAnsi="等线" w:eastAsia="等线" w:cs="等线"/>
                <w:b w:val="0"/>
                <w:bCs/>
                <w:i w:val="0"/>
                <w:color w:val="000000"/>
                <w:kern w:val="0"/>
                <w:sz w:val="20"/>
                <w:szCs w:val="20"/>
                <w:highlight w:val="none"/>
                <w:u w:val="none"/>
                <w:lang w:val="en-US" w:eastAsia="zh-CN" w:bidi="ar"/>
              </w:rPr>
            </w:pPr>
            <w:r>
              <w:rPr>
                <w:rFonts w:hint="eastAsia" w:ascii="仿宋" w:hAnsi="仿宋" w:eastAsia="仿宋" w:cs="仿宋"/>
                <w:b w:val="0"/>
                <w:bCs/>
                <w:i w:val="0"/>
                <w:color w:val="000000"/>
                <w:kern w:val="0"/>
                <w:sz w:val="24"/>
                <w:szCs w:val="24"/>
                <w:u w:val="none"/>
                <w:lang w:val="en-US" w:eastAsia="zh-CN" w:bidi="ar"/>
              </w:rPr>
              <w:t>松华坝污水处理设施出水水质达到一级A标及以上。</w:t>
            </w:r>
          </w:p>
        </w:tc>
      </w:tr>
    </w:tbl>
    <w:p w14:paraId="275EC586">
      <w:pPr>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根据上述绩效目标设定的绩效指标详见附件1《2019年昆明市生态环境局盘龙分局松华坝水库水源保护区水污染治理设施运行管护经费项目支出绩效自评指标体系》。</w:t>
      </w:r>
    </w:p>
    <w:p w14:paraId="5C391D31">
      <w:pPr>
        <w:topLinePunct/>
        <w:spacing w:line="579" w:lineRule="exact"/>
        <w:ind w:firstLine="600" w:firstLineChars="200"/>
        <w:rPr>
          <w:rFonts w:ascii="黑体" w:eastAsia="黑体"/>
          <w:sz w:val="30"/>
          <w:szCs w:val="30"/>
        </w:rPr>
      </w:pPr>
      <w:r>
        <w:rPr>
          <w:rFonts w:hint="eastAsia" w:ascii="黑体" w:eastAsia="黑体"/>
          <w:sz w:val="30"/>
          <w:szCs w:val="30"/>
        </w:rPr>
        <w:t>二、绩效评价工作情况</w:t>
      </w:r>
    </w:p>
    <w:p w14:paraId="29328A41">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（一）绩效评价目的</w:t>
      </w:r>
    </w:p>
    <w:p w14:paraId="5BB3B8DE">
      <w:pPr>
        <w:topLinePunct/>
        <w:spacing w:line="579" w:lineRule="exact"/>
        <w:ind w:firstLine="584" w:firstLineChars="200"/>
        <w:rPr>
          <w:rFonts w:ascii="仿宋" w:hAnsi="仿宋" w:eastAsia="仿宋"/>
          <w:kern w:val="30"/>
          <w:sz w:val="28"/>
          <w:szCs w:val="28"/>
        </w:rPr>
      </w:pPr>
      <w:r>
        <w:rPr>
          <w:rFonts w:hint="eastAsia" w:ascii="仿宋_GB2312" w:hAnsi="仿宋" w:eastAsia="仿宋_GB2312"/>
          <w:spacing w:val="6"/>
          <w:kern w:val="0"/>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14:paraId="2C976AC4">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（二）绩效评价工作方案制定过程</w:t>
      </w:r>
    </w:p>
    <w:p w14:paraId="069107CA">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1.前期调研</w:t>
      </w:r>
    </w:p>
    <w:p w14:paraId="7E3B35F2">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通过前期对项目主管单位明市生态环境局盘龙分局及项目代</w:t>
      </w:r>
      <w:r>
        <w:rPr>
          <w:rFonts w:hint="eastAsia" w:ascii="仿宋_GB2312" w:hAnsi="仿宋" w:eastAsia="仿宋_GB2312"/>
          <w:spacing w:val="6"/>
          <w:kern w:val="0"/>
          <w:sz w:val="28"/>
          <w:szCs w:val="28"/>
          <w:lang w:val="en-US" w:eastAsia="zh-CN"/>
        </w:rPr>
        <w:t>维</w:t>
      </w:r>
      <w:r>
        <w:rPr>
          <w:rFonts w:hint="eastAsia" w:ascii="仿宋_GB2312" w:hAnsi="仿宋" w:eastAsia="仿宋_GB2312"/>
          <w:spacing w:val="6"/>
          <w:kern w:val="0"/>
          <w:sz w:val="28"/>
          <w:szCs w:val="28"/>
        </w:rPr>
        <w:t>方</w:t>
      </w:r>
      <w:r>
        <w:rPr>
          <w:rFonts w:hint="eastAsia" w:ascii="仿宋_GB2312" w:hAnsi="仿宋" w:eastAsia="仿宋_GB2312"/>
          <w:spacing w:val="6"/>
          <w:kern w:val="0"/>
          <w:sz w:val="28"/>
          <w:szCs w:val="28"/>
          <w:lang w:val="en-US" w:eastAsia="zh-CN"/>
        </w:rPr>
        <w:t>昆明市盘龙区农业发展投资有限公司</w:t>
      </w:r>
      <w:r>
        <w:rPr>
          <w:rFonts w:hint="eastAsia" w:ascii="仿宋_GB2312" w:hAnsi="仿宋" w:eastAsia="仿宋_GB2312"/>
          <w:spacing w:val="6"/>
          <w:kern w:val="0"/>
          <w:sz w:val="28"/>
          <w:szCs w:val="28"/>
        </w:rPr>
        <w:t>初步了解项目立项背景及依据、组织及管理情况、实施内容、实施计划及完成情况等，并向项目相关单位索要相关文件，通过调研会议等工作的相继开展，进一步了解项目情况。</w:t>
      </w:r>
    </w:p>
    <w:p w14:paraId="3F680DCE">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2.研究文件</w:t>
      </w:r>
    </w:p>
    <w:p w14:paraId="0EFA77AD">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通过前期调研结束后所收集的相关项目资料，通过分析研究相关文件资料，进一步了解项目立项背景及依据、组织及管理情况、实施内容、实施计划及完成情况，绩效目标申报和实现情况，结合项目特点制定适用的评价指标体系。</w:t>
      </w:r>
    </w:p>
    <w:p w14:paraId="6EB522EF">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3.绩效评价指标体系及工作方案的设计</w:t>
      </w:r>
    </w:p>
    <w:p w14:paraId="5C3CE624">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项目评价指标体系主要包括项目决策、项目管理、项目绩效三个方面，包括投入、过程、产出及效益。并根据《昆明市本级部门预算绩效自评管理暂行办法》附件项目支出共性指标体系细化评价指标，使设置的评价指标具有可操作性，能系统反映2019年昆明市生态环境局盘龙分局松华坝水库水源保护区水污染治理设施运行管护经费项目支出所产生的项目效益。指标分值满分为100分。一是项目决策指标：占指标权重20%。含2个二级指标，5个三级指标及10个四级指标。主要从项目与部门中长期规划目标适应性、立项依据充分性、项目立项规范性、绩效目标设定的合理性及绩效指标设定的明确性等方面对项目决策进行评价。二是项目管理指标：占指标权重20%。含3个二级指标，9个三级指标及</w:t>
      </w:r>
      <w:r>
        <w:rPr>
          <w:rFonts w:hint="eastAsia" w:ascii="仿宋_GB2312" w:hAnsi="仿宋" w:eastAsia="仿宋_GB2312"/>
          <w:spacing w:val="6"/>
          <w:kern w:val="0"/>
          <w:sz w:val="28"/>
          <w:szCs w:val="28"/>
          <w:lang w:val="en-US" w:eastAsia="zh-CN"/>
        </w:rPr>
        <w:t>10</w:t>
      </w:r>
      <w:r>
        <w:rPr>
          <w:rFonts w:hint="eastAsia" w:ascii="仿宋_GB2312" w:hAnsi="仿宋" w:eastAsia="仿宋_GB2312"/>
          <w:spacing w:val="6"/>
          <w:kern w:val="0"/>
          <w:sz w:val="28"/>
          <w:szCs w:val="28"/>
        </w:rPr>
        <w:t>个四级指标。主要从预算编制合理性、预算调整规范性、预算执行率、资金使用情况、财务管理制度健全性、财务监控有效性、项目管理制度健全性、项目管理制度执行有效性、绩效自评等方面对项目实施的过程进行评价。三是项目绩效指标：占指标权重60%。含2个二级指标，7个三级指标及1</w:t>
      </w:r>
      <w:r>
        <w:rPr>
          <w:rFonts w:hint="eastAsia" w:ascii="仿宋_GB2312" w:hAnsi="仿宋" w:eastAsia="仿宋_GB2312"/>
          <w:spacing w:val="6"/>
          <w:kern w:val="0"/>
          <w:sz w:val="28"/>
          <w:szCs w:val="28"/>
          <w:lang w:val="en-US" w:eastAsia="zh-CN"/>
        </w:rPr>
        <w:t>2</w:t>
      </w:r>
      <w:r>
        <w:rPr>
          <w:rFonts w:hint="eastAsia" w:ascii="仿宋_GB2312" w:hAnsi="仿宋" w:eastAsia="仿宋_GB2312"/>
          <w:spacing w:val="6"/>
          <w:kern w:val="0"/>
          <w:sz w:val="28"/>
          <w:szCs w:val="28"/>
        </w:rPr>
        <w:t>个四级指标。主要从2019年昆明市生态环境局盘龙分局松华坝水库水源保护区水污染治理设施运行管护经费项目的污水处理设施工作情况、</w:t>
      </w:r>
      <w:r>
        <w:rPr>
          <w:rFonts w:hint="eastAsia" w:ascii="仿宋_GB2312" w:hAnsi="仿宋" w:eastAsia="仿宋_GB2312"/>
          <w:spacing w:val="6"/>
          <w:kern w:val="0"/>
          <w:sz w:val="28"/>
          <w:szCs w:val="28"/>
          <w:lang w:val="en-US" w:eastAsia="zh-CN"/>
        </w:rPr>
        <w:t>项目成本控制率、</w:t>
      </w:r>
      <w:r>
        <w:rPr>
          <w:rFonts w:hint="eastAsia" w:ascii="仿宋_GB2312" w:hAnsi="仿宋" w:eastAsia="仿宋_GB2312"/>
          <w:spacing w:val="6"/>
          <w:kern w:val="0"/>
          <w:sz w:val="28"/>
          <w:szCs w:val="28"/>
        </w:rPr>
        <w:t>项目完成及时性、社会效益、生态效益、社会群众满意度等方面对项目产出及其成效进行评价考核根据评价得分情况，评价结果分为：优、良、中、差四个等级档次，具体等级档次划分如下表4。</w:t>
      </w:r>
    </w:p>
    <w:p w14:paraId="240EEC19">
      <w:pPr>
        <w:spacing w:line="579" w:lineRule="exact"/>
        <w:ind w:firstLine="200"/>
        <w:jc w:val="center"/>
        <w:rPr>
          <w:rFonts w:hint="eastAsia" w:ascii="黑体" w:hAnsi="黑体" w:eastAsia="黑体" w:cs="黑体"/>
          <w:b/>
          <w:spacing w:val="6"/>
          <w:kern w:val="0"/>
          <w:sz w:val="24"/>
          <w:szCs w:val="24"/>
        </w:rPr>
      </w:pPr>
      <w:r>
        <w:rPr>
          <w:rFonts w:hint="eastAsia" w:ascii="黑体" w:hAnsi="黑体" w:eastAsia="黑体" w:cs="黑体"/>
          <w:b/>
          <w:spacing w:val="6"/>
          <w:sz w:val="24"/>
          <w:szCs w:val="24"/>
        </w:rPr>
        <w:t>表4  评分档次划分情况表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1502"/>
        <w:gridCol w:w="2134"/>
        <w:gridCol w:w="2134"/>
        <w:gridCol w:w="1725"/>
      </w:tblGrid>
      <w:tr w14:paraId="2A46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blHeader/>
          <w:jc w:val="center"/>
        </w:trPr>
        <w:tc>
          <w:tcPr>
            <w:tcW w:w="603" w:type="pct"/>
            <w:vAlign w:val="center"/>
          </w:tcPr>
          <w:p w14:paraId="47CF2360">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档次</w:t>
            </w:r>
          </w:p>
        </w:tc>
        <w:tc>
          <w:tcPr>
            <w:tcW w:w="881" w:type="pct"/>
            <w:vAlign w:val="center"/>
          </w:tcPr>
          <w:p w14:paraId="5EB79216">
            <w:pPr>
              <w:spacing w:line="579" w:lineRule="exact"/>
              <w:ind w:firstLine="200"/>
              <w:jc w:val="center"/>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优</w:t>
            </w:r>
          </w:p>
        </w:tc>
        <w:tc>
          <w:tcPr>
            <w:tcW w:w="1252" w:type="pct"/>
            <w:vAlign w:val="center"/>
          </w:tcPr>
          <w:p w14:paraId="65B62E05">
            <w:pPr>
              <w:spacing w:line="579" w:lineRule="exact"/>
              <w:ind w:firstLine="200"/>
              <w:jc w:val="center"/>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良</w:t>
            </w:r>
          </w:p>
        </w:tc>
        <w:tc>
          <w:tcPr>
            <w:tcW w:w="1252" w:type="pct"/>
            <w:vAlign w:val="center"/>
          </w:tcPr>
          <w:p w14:paraId="330FFC35">
            <w:pPr>
              <w:spacing w:line="579" w:lineRule="exact"/>
              <w:ind w:firstLine="200"/>
              <w:jc w:val="center"/>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中</w:t>
            </w:r>
          </w:p>
        </w:tc>
        <w:tc>
          <w:tcPr>
            <w:tcW w:w="1012" w:type="pct"/>
            <w:vAlign w:val="center"/>
          </w:tcPr>
          <w:p w14:paraId="17143F36">
            <w:pPr>
              <w:spacing w:line="579" w:lineRule="exact"/>
              <w:ind w:firstLine="200"/>
              <w:jc w:val="center"/>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差</w:t>
            </w:r>
          </w:p>
        </w:tc>
      </w:tr>
      <w:tr w14:paraId="2D71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03" w:type="pct"/>
            <w:vAlign w:val="center"/>
          </w:tcPr>
          <w:p w14:paraId="61E72CAA">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分值</w:t>
            </w:r>
          </w:p>
        </w:tc>
        <w:tc>
          <w:tcPr>
            <w:tcW w:w="881" w:type="pct"/>
            <w:vAlign w:val="center"/>
          </w:tcPr>
          <w:p w14:paraId="60C8CA7B">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得分≥90</w:t>
            </w:r>
          </w:p>
        </w:tc>
        <w:tc>
          <w:tcPr>
            <w:tcW w:w="1252" w:type="pct"/>
            <w:vAlign w:val="center"/>
          </w:tcPr>
          <w:p w14:paraId="526F70A0">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80≤得分＜90</w:t>
            </w:r>
          </w:p>
        </w:tc>
        <w:tc>
          <w:tcPr>
            <w:tcW w:w="1252" w:type="pct"/>
            <w:vAlign w:val="center"/>
          </w:tcPr>
          <w:p w14:paraId="00FC3C15">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60≤得分＜80</w:t>
            </w:r>
          </w:p>
        </w:tc>
        <w:tc>
          <w:tcPr>
            <w:tcW w:w="1012" w:type="pct"/>
            <w:vAlign w:val="center"/>
          </w:tcPr>
          <w:p w14:paraId="123F6F63">
            <w:pPr>
              <w:spacing w:line="579" w:lineRule="exact"/>
              <w:ind w:firstLine="200"/>
              <w:rPr>
                <w:rFonts w:ascii="仿宋_GB2312" w:hAnsi="仿宋_GB2312" w:eastAsia="仿宋_GB2312" w:cs="仿宋_GB2312"/>
                <w:spacing w:val="6"/>
                <w:kern w:val="0"/>
                <w:sz w:val="28"/>
                <w:szCs w:val="28"/>
              </w:rPr>
            </w:pPr>
            <w:r>
              <w:rPr>
                <w:rFonts w:hint="eastAsia" w:ascii="仿宋_GB2312" w:hAnsi="仿宋_GB2312" w:eastAsia="仿宋_GB2312" w:cs="仿宋_GB2312"/>
                <w:spacing w:val="6"/>
                <w:kern w:val="0"/>
                <w:sz w:val="28"/>
                <w:szCs w:val="28"/>
              </w:rPr>
              <w:t>得分＜60</w:t>
            </w:r>
          </w:p>
        </w:tc>
      </w:tr>
    </w:tbl>
    <w:p w14:paraId="5F744466">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（详见附件1：《201</w:t>
      </w:r>
      <w:r>
        <w:rPr>
          <w:rFonts w:hint="eastAsia" w:ascii="仿宋_GB2312" w:hAnsi="仿宋" w:eastAsia="仿宋_GB2312"/>
          <w:spacing w:val="6"/>
          <w:kern w:val="0"/>
          <w:sz w:val="28"/>
          <w:szCs w:val="28"/>
          <w:lang w:val="en-US" w:eastAsia="zh-CN"/>
        </w:rPr>
        <w:t>9</w:t>
      </w:r>
      <w:r>
        <w:rPr>
          <w:rFonts w:hint="eastAsia" w:ascii="仿宋_GB2312" w:hAnsi="仿宋" w:eastAsia="仿宋_GB2312"/>
          <w:spacing w:val="6"/>
          <w:kern w:val="0"/>
          <w:sz w:val="28"/>
          <w:szCs w:val="28"/>
        </w:rPr>
        <w:t>年松华坝水库水源保护区水污染治理设施运行管护经费项目绩效评价指标体系》）</w:t>
      </w:r>
    </w:p>
    <w:p w14:paraId="592455CD">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（三）绩效评价原则及评价方法</w:t>
      </w:r>
    </w:p>
    <w:p w14:paraId="2810BB69">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1.绩效评价原则</w:t>
      </w:r>
    </w:p>
    <w:p w14:paraId="7C306E62">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本次绩效评价工作坚持科学规范、公开公正、绩效相关等原则。采用以定量评价为主、定性评价为辅、定量与定性相结合的方法进行评价。</w:t>
      </w:r>
    </w:p>
    <w:p w14:paraId="1FC64865">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2.绩效评价方法</w:t>
      </w:r>
    </w:p>
    <w:p w14:paraId="68D261D5">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（1）审阅资料</w:t>
      </w:r>
    </w:p>
    <w:p w14:paraId="7EE0F350">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从各项目实施单位收集与项目预算、管理、绩效相关的评价数据，形成绩效重点评价的基础资料，并对基础资料的真实性、可靠性进行审阅。具体为①对各实施单位上报的自评报告进行认真审阅，核实各项目单位自评工作是否按要求完成，评价完成的效果和质量。收集绩效重点评价的基础数据。②对项目实施单位填报的项目完成情况表、资金使用情况表进行审阅，对异常的资金使用通过实地调查、原始凭证查阅等进行核实。③收集项目绩效的相关资料并结合问卷调查、座谈访谈结果对项目绩效进行客观评价。</w:t>
      </w:r>
    </w:p>
    <w:p w14:paraId="345CB2A9">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（2）现场调研</w:t>
      </w:r>
    </w:p>
    <w:p w14:paraId="60895156">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通过调研，进一步了解部门职能职责、履职情况、项目实施及绩效目标申报和实现情况，结合部门特点制定适用的重点评价指标体系。</w:t>
      </w:r>
    </w:p>
    <w:p w14:paraId="4DFDE397">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（3）实地评价</w:t>
      </w:r>
    </w:p>
    <w:p w14:paraId="47551CA3">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绩效重点评价工作组根据分工，采用资料收集与数据填报、案卷研究、实地调研、座谈会、问卷调查等方式，组织开展实地重点评价。在绩效重点评价实施过程中，根据评价对象的具体情况，设计数据收集表格收集评价数据、资料；同时发放调查问卷调查项目的公众满意度、管理人员意见以及评价相关的信息。</w:t>
      </w:r>
    </w:p>
    <w:p w14:paraId="7D35EA5F">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（四）绩效评价实施过程</w:t>
      </w:r>
    </w:p>
    <w:p w14:paraId="3822D2B9">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1.数据填报和采集</w:t>
      </w:r>
    </w:p>
    <w:p w14:paraId="0136FC9A">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向项目实施单位收集相关项目实施进度资料、项目实施情况、完成情况，结合2019年昆明市生态环境局盘龙分局松华坝水库水源保护区水污染治理设施运行管护经费项目现场核实和查阅台账等结果资料进行分析整理。</w:t>
      </w:r>
    </w:p>
    <w:p w14:paraId="73FB0733">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2.社会调查</w:t>
      </w:r>
    </w:p>
    <w:p w14:paraId="5478E2DD">
      <w:pPr>
        <w:spacing w:line="579"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为充分了解“2019年昆明市生态环境局盘龙分局松华坝水库水源保护区水污染治理设施运行管护经费项目”的实施情况和效果、项目实施结果对项目区域内常住居民的影响程度等，评价组通过对抽查目区域内常住居民常住居民进行调查问卷。</w:t>
      </w:r>
    </w:p>
    <w:p w14:paraId="182FA332">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每个抽样点至少发放60份调查问卷，共发放60份调查问卷，实际有效回收60份，有效回收率达100%。根据调查结果，项目组撰写了受益群众调查问卷汇总分析报告，详见附件4。</w:t>
      </w:r>
    </w:p>
    <w:p w14:paraId="04144D28">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2019年12月，项目组采取一对一现场访谈的形式，对</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环保宣教及绿色创建活动经费项目相关负责人进行了访谈，了解了项目组织、实施和</w:t>
      </w:r>
      <w:r>
        <w:rPr>
          <w:rFonts w:hint="eastAsia" w:ascii="仿宋_GB2312" w:hAnsi="仿宋" w:eastAsia="仿宋_GB2312"/>
          <w:spacing w:val="6"/>
          <w:kern w:val="0"/>
          <w:sz w:val="28"/>
          <w:szCs w:val="28"/>
          <w:highlight w:val="none"/>
          <w:lang w:val="en-US" w:eastAsia="zh-CN"/>
        </w:rPr>
        <w:t>管理的具体情况，并根据访谈情况撰写了访谈汇总分析报告，详见附件3。</w:t>
      </w:r>
    </w:p>
    <w:p w14:paraId="03CFCC5A">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3.数据分析和撰写报告</w:t>
      </w:r>
    </w:p>
    <w:p w14:paraId="5910CB84">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将项目实施处室、主管单位填报的数据结合通过现场勘查采集到的基础数据，通过分析整理对应考核指标从项目立项、绩效目标、投入管理、财务管理、项目实施、项目产出、项目效益等方面逐项考核，并梳理总结相关项目单位的主要经验及做法及存在问题，对应问题给予建议和改进措施，形成最终报告。</w:t>
      </w:r>
    </w:p>
    <w:p w14:paraId="21689607">
      <w:pPr>
        <w:topLinePunct/>
        <w:spacing w:line="579" w:lineRule="exact"/>
        <w:ind w:firstLine="750" w:firstLineChars="250"/>
        <w:rPr>
          <w:rFonts w:ascii="黑体" w:eastAsia="黑体"/>
          <w:sz w:val="30"/>
          <w:szCs w:val="30"/>
        </w:rPr>
      </w:pPr>
      <w:r>
        <w:rPr>
          <w:rFonts w:hint="eastAsia" w:ascii="黑体" w:eastAsia="黑体"/>
          <w:sz w:val="30"/>
          <w:szCs w:val="30"/>
        </w:rPr>
        <w:t>三、评价结论和绩效分析</w:t>
      </w:r>
    </w:p>
    <w:p w14:paraId="12B62A8E">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（一）评价结论</w:t>
      </w:r>
    </w:p>
    <w:p w14:paraId="20AB8EA6">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1.评价结果</w:t>
      </w:r>
    </w:p>
    <w:p w14:paraId="27A7E64D">
      <w:pPr>
        <w:topLinePunct/>
        <w:spacing w:line="579" w:lineRule="exact"/>
        <w:ind w:firstLine="584" w:firstLineChars="200"/>
        <w:rPr>
          <w:rFonts w:ascii="仿宋_GB2312" w:hAnsi="仿宋" w:eastAsia="仿宋_GB2312"/>
          <w:spacing w:val="6"/>
          <w:kern w:val="0"/>
          <w:sz w:val="30"/>
          <w:szCs w:val="30"/>
        </w:rPr>
      </w:pPr>
      <w:r>
        <w:rPr>
          <w:rFonts w:hint="eastAsia" w:ascii="仿宋_GB2312" w:hAnsi="仿宋" w:eastAsia="仿宋_GB2312"/>
          <w:spacing w:val="6"/>
          <w:kern w:val="0"/>
          <w:sz w:val="28"/>
          <w:szCs w:val="28"/>
        </w:rPr>
        <w:t>本次2019年昆明市生态环境局盘龙分局松华坝水库水源保护区水污染治理设施运行管护经费项目</w:t>
      </w:r>
      <w:r>
        <w:rPr>
          <w:rFonts w:hint="eastAsia" w:ascii="仿宋_GB2312" w:hAnsi="仿宋" w:eastAsia="仿宋_GB2312"/>
          <w:spacing w:val="6"/>
          <w:kern w:val="0"/>
          <w:sz w:val="28"/>
          <w:szCs w:val="28"/>
          <w:lang w:val="en-US" w:eastAsia="zh-CN"/>
        </w:rPr>
        <w:t>支出</w:t>
      </w:r>
      <w:r>
        <w:rPr>
          <w:rFonts w:hint="eastAsia" w:ascii="仿宋_GB2312" w:hAnsi="仿宋" w:eastAsia="仿宋_GB2312"/>
          <w:spacing w:val="6"/>
          <w:kern w:val="0"/>
          <w:sz w:val="28"/>
          <w:szCs w:val="28"/>
        </w:rPr>
        <w:t>绩效</w:t>
      </w:r>
      <w:r>
        <w:rPr>
          <w:rFonts w:hint="eastAsia" w:ascii="仿宋_GB2312" w:hAnsi="仿宋" w:eastAsia="仿宋_GB2312"/>
          <w:spacing w:val="6"/>
          <w:kern w:val="0"/>
          <w:sz w:val="28"/>
          <w:szCs w:val="28"/>
          <w:lang w:val="en-US" w:eastAsia="zh-CN"/>
        </w:rPr>
        <w:t>自评</w:t>
      </w:r>
      <w:r>
        <w:rPr>
          <w:rFonts w:hint="eastAsia" w:ascii="仿宋_GB2312" w:hAnsi="仿宋" w:eastAsia="仿宋_GB2312"/>
          <w:spacing w:val="6"/>
          <w:kern w:val="0"/>
          <w:sz w:val="28"/>
          <w:szCs w:val="28"/>
        </w:rPr>
        <w:t>最终得分</w:t>
      </w:r>
      <w:r>
        <w:rPr>
          <w:rFonts w:hint="eastAsia" w:ascii="仿宋_GB2312" w:hAnsi="仿宋" w:eastAsia="仿宋_GB2312"/>
          <w:spacing w:val="6"/>
          <w:kern w:val="0"/>
          <w:sz w:val="28"/>
          <w:szCs w:val="28"/>
          <w:lang w:val="en-US" w:eastAsia="zh-CN"/>
        </w:rPr>
        <w:t>97.7</w:t>
      </w:r>
      <w:r>
        <w:rPr>
          <w:rFonts w:hint="eastAsia" w:ascii="仿宋_GB2312" w:hAnsi="仿宋" w:eastAsia="仿宋_GB2312"/>
          <w:spacing w:val="6"/>
          <w:kern w:val="0"/>
          <w:sz w:val="28"/>
          <w:szCs w:val="28"/>
        </w:rPr>
        <w:t>分，评价结果为“</w:t>
      </w:r>
      <w:r>
        <w:rPr>
          <w:rFonts w:hint="eastAsia" w:ascii="仿宋_GB2312" w:hAnsi="仿宋" w:eastAsia="仿宋_GB2312"/>
          <w:spacing w:val="6"/>
          <w:kern w:val="0"/>
          <w:sz w:val="28"/>
          <w:szCs w:val="28"/>
          <w:lang w:val="en-US" w:eastAsia="zh-CN"/>
        </w:rPr>
        <w:t>优</w:t>
      </w:r>
      <w:r>
        <w:rPr>
          <w:rFonts w:hint="eastAsia" w:ascii="仿宋_GB2312" w:hAnsi="仿宋" w:eastAsia="仿宋_GB2312"/>
          <w:spacing w:val="6"/>
          <w:kern w:val="0"/>
          <w:sz w:val="28"/>
          <w:szCs w:val="28"/>
        </w:rPr>
        <w:t>”，详细各一级指标得分情况详见表5。</w:t>
      </w:r>
    </w:p>
    <w:p w14:paraId="31E6C807">
      <w:pPr>
        <w:jc w:val="center"/>
        <w:rPr>
          <w:rFonts w:hint="eastAsia" w:ascii="黑体" w:hAnsi="黑体" w:eastAsia="黑体"/>
          <w:kern w:val="2"/>
          <w:sz w:val="24"/>
          <w:szCs w:val="24"/>
        </w:rPr>
      </w:pPr>
      <w:r>
        <w:rPr>
          <w:rFonts w:hint="eastAsia" w:ascii="黑体" w:hAnsi="黑体" w:eastAsia="黑体"/>
          <w:kern w:val="2"/>
          <w:sz w:val="24"/>
          <w:szCs w:val="24"/>
        </w:rPr>
        <w:t>表5  201</w:t>
      </w:r>
      <w:r>
        <w:rPr>
          <w:rFonts w:hint="eastAsia" w:ascii="黑体" w:hAnsi="黑体" w:eastAsia="黑体"/>
          <w:kern w:val="2"/>
          <w:sz w:val="24"/>
          <w:szCs w:val="24"/>
          <w:lang w:val="en-US" w:eastAsia="zh-CN"/>
        </w:rPr>
        <w:t>9</w:t>
      </w:r>
      <w:r>
        <w:rPr>
          <w:rFonts w:hint="eastAsia" w:ascii="黑体" w:hAnsi="黑体" w:eastAsia="黑体"/>
          <w:kern w:val="2"/>
          <w:sz w:val="24"/>
          <w:szCs w:val="24"/>
        </w:rPr>
        <w:t>年松华坝水库水源保护区水污染治理设施运行管护经费项目</w:t>
      </w:r>
    </w:p>
    <w:p w14:paraId="2F125E2E">
      <w:pPr>
        <w:jc w:val="center"/>
        <w:rPr>
          <w:rFonts w:hint="eastAsia" w:ascii="黑体" w:hAnsi="黑体" w:eastAsia="黑体"/>
          <w:kern w:val="2"/>
          <w:sz w:val="24"/>
          <w:szCs w:val="24"/>
        </w:rPr>
      </w:pPr>
      <w:r>
        <w:rPr>
          <w:rFonts w:hint="eastAsia" w:ascii="黑体" w:hAnsi="黑体" w:eastAsia="黑体"/>
          <w:kern w:val="2"/>
          <w:sz w:val="24"/>
          <w:szCs w:val="24"/>
        </w:rPr>
        <w:t>绩效重点评价得分情况表</w:t>
      </w:r>
    </w:p>
    <w:tbl>
      <w:tblPr>
        <w:tblStyle w:val="8"/>
        <w:tblW w:w="5000" w:type="pct"/>
        <w:jc w:val="center"/>
        <w:tblLayout w:type="autofit"/>
        <w:tblCellMar>
          <w:top w:w="57" w:type="dxa"/>
          <w:left w:w="57" w:type="dxa"/>
          <w:bottom w:w="57" w:type="dxa"/>
          <w:right w:w="57" w:type="dxa"/>
        </w:tblCellMar>
      </w:tblPr>
      <w:tblGrid>
        <w:gridCol w:w="2105"/>
        <w:gridCol w:w="2105"/>
        <w:gridCol w:w="2105"/>
        <w:gridCol w:w="2105"/>
      </w:tblGrid>
      <w:tr w14:paraId="63247629">
        <w:tblPrEx>
          <w:tblCellMar>
            <w:top w:w="57" w:type="dxa"/>
            <w:left w:w="57" w:type="dxa"/>
            <w:bottom w:w="57" w:type="dxa"/>
            <w:right w:w="57" w:type="dxa"/>
          </w:tblCellMar>
        </w:tblPrEx>
        <w:trPr>
          <w:trHeight w:val="454" w:hRule="atLeast"/>
          <w:tblHeader/>
          <w:jc w:val="center"/>
        </w:trPr>
        <w:tc>
          <w:tcPr>
            <w:tcW w:w="1250" w:type="pct"/>
            <w:tcBorders>
              <w:top w:val="single" w:color="auto" w:sz="4" w:space="0"/>
              <w:left w:val="single" w:color="auto" w:sz="4" w:space="0"/>
              <w:bottom w:val="single" w:color="auto" w:sz="4" w:space="0"/>
              <w:right w:val="single" w:color="auto" w:sz="4" w:space="0"/>
            </w:tcBorders>
            <w:shd w:val="clear" w:color="auto" w:fill="auto"/>
            <w:vAlign w:val="center"/>
          </w:tcPr>
          <w:p w14:paraId="27EBA206">
            <w:pPr>
              <w:jc w:val="center"/>
              <w:rPr>
                <w:rFonts w:hint="eastAsia" w:ascii="宋体" w:hAnsi="宋体" w:eastAsia="宋体" w:cs="宋体"/>
                <w:b/>
                <w:bCs/>
                <w:kern w:val="2"/>
                <w:sz w:val="21"/>
                <w:szCs w:val="21"/>
              </w:rPr>
            </w:pPr>
            <w:r>
              <w:rPr>
                <w:rFonts w:hint="eastAsia" w:ascii="宋体" w:hAnsi="宋体" w:eastAsia="宋体" w:cs="宋体"/>
                <w:b/>
                <w:bCs/>
                <w:kern w:val="2"/>
                <w:sz w:val="21"/>
                <w:szCs w:val="21"/>
              </w:rPr>
              <w:t>一级指标</w:t>
            </w:r>
          </w:p>
        </w:tc>
        <w:tc>
          <w:tcPr>
            <w:tcW w:w="1250" w:type="pct"/>
            <w:tcBorders>
              <w:top w:val="single" w:color="auto" w:sz="4" w:space="0"/>
              <w:left w:val="nil"/>
              <w:bottom w:val="single" w:color="auto" w:sz="4" w:space="0"/>
              <w:right w:val="single" w:color="auto" w:sz="4" w:space="0"/>
            </w:tcBorders>
            <w:shd w:val="clear" w:color="auto" w:fill="auto"/>
            <w:vAlign w:val="center"/>
          </w:tcPr>
          <w:p w14:paraId="09517D0E">
            <w:pPr>
              <w:jc w:val="center"/>
              <w:rPr>
                <w:rFonts w:hint="eastAsia" w:ascii="宋体" w:hAnsi="宋体" w:eastAsia="宋体" w:cs="宋体"/>
                <w:b/>
                <w:bCs/>
                <w:kern w:val="2"/>
                <w:sz w:val="21"/>
                <w:szCs w:val="21"/>
              </w:rPr>
            </w:pPr>
            <w:r>
              <w:rPr>
                <w:rFonts w:hint="eastAsia" w:ascii="宋体" w:hAnsi="宋体" w:eastAsia="宋体" w:cs="宋体"/>
                <w:b/>
                <w:bCs/>
                <w:kern w:val="2"/>
                <w:sz w:val="21"/>
                <w:szCs w:val="21"/>
              </w:rPr>
              <w:t>指标分值</w:t>
            </w:r>
          </w:p>
        </w:tc>
        <w:tc>
          <w:tcPr>
            <w:tcW w:w="1250" w:type="pct"/>
            <w:tcBorders>
              <w:top w:val="single" w:color="auto" w:sz="4" w:space="0"/>
              <w:left w:val="nil"/>
              <w:bottom w:val="single" w:color="auto" w:sz="4" w:space="0"/>
              <w:right w:val="single" w:color="auto" w:sz="4" w:space="0"/>
            </w:tcBorders>
            <w:shd w:val="clear" w:color="auto" w:fill="auto"/>
            <w:vAlign w:val="center"/>
          </w:tcPr>
          <w:p w14:paraId="78510F64">
            <w:pPr>
              <w:jc w:val="center"/>
              <w:rPr>
                <w:rFonts w:hint="eastAsia" w:ascii="宋体" w:hAnsi="宋体" w:eastAsia="宋体" w:cs="宋体"/>
                <w:b/>
                <w:bCs/>
                <w:kern w:val="2"/>
                <w:sz w:val="21"/>
                <w:szCs w:val="21"/>
              </w:rPr>
            </w:pPr>
            <w:r>
              <w:rPr>
                <w:rFonts w:hint="eastAsia" w:ascii="宋体" w:hAnsi="宋体" w:eastAsia="宋体" w:cs="宋体"/>
                <w:b/>
                <w:bCs/>
                <w:kern w:val="2"/>
                <w:sz w:val="21"/>
                <w:szCs w:val="21"/>
              </w:rPr>
              <w:t>评价得分</w:t>
            </w:r>
          </w:p>
        </w:tc>
        <w:tc>
          <w:tcPr>
            <w:tcW w:w="1250" w:type="pct"/>
            <w:tcBorders>
              <w:top w:val="single" w:color="auto" w:sz="4" w:space="0"/>
              <w:left w:val="nil"/>
              <w:bottom w:val="single" w:color="auto" w:sz="4" w:space="0"/>
              <w:right w:val="single" w:color="auto" w:sz="4" w:space="0"/>
            </w:tcBorders>
            <w:shd w:val="clear" w:color="auto" w:fill="auto"/>
            <w:vAlign w:val="center"/>
          </w:tcPr>
          <w:p w14:paraId="07523C4D">
            <w:pPr>
              <w:jc w:val="center"/>
              <w:rPr>
                <w:rFonts w:hint="eastAsia" w:ascii="宋体" w:hAnsi="宋体" w:eastAsia="宋体" w:cs="宋体"/>
                <w:b/>
                <w:bCs/>
                <w:kern w:val="2"/>
                <w:sz w:val="21"/>
                <w:szCs w:val="21"/>
              </w:rPr>
            </w:pPr>
            <w:r>
              <w:rPr>
                <w:rFonts w:hint="eastAsia" w:ascii="宋体" w:hAnsi="宋体" w:eastAsia="宋体" w:cs="宋体"/>
                <w:b/>
                <w:bCs/>
                <w:kern w:val="2"/>
                <w:sz w:val="21"/>
                <w:szCs w:val="21"/>
              </w:rPr>
              <w:t>得分率</w:t>
            </w:r>
          </w:p>
        </w:tc>
      </w:tr>
      <w:tr w14:paraId="444EA14E">
        <w:tblPrEx>
          <w:tblCellMar>
            <w:top w:w="57" w:type="dxa"/>
            <w:left w:w="57" w:type="dxa"/>
            <w:bottom w:w="57" w:type="dxa"/>
            <w:right w:w="57" w:type="dxa"/>
          </w:tblCellMar>
        </w:tblPrEx>
        <w:trPr>
          <w:trHeight w:val="454" w:hRule="atLeast"/>
          <w:jc w:val="center"/>
        </w:trPr>
        <w:tc>
          <w:tcPr>
            <w:tcW w:w="1250" w:type="pct"/>
            <w:tcBorders>
              <w:top w:val="nil"/>
              <w:left w:val="single" w:color="auto" w:sz="4" w:space="0"/>
              <w:bottom w:val="single" w:color="auto" w:sz="4" w:space="0"/>
              <w:right w:val="single" w:color="auto" w:sz="4" w:space="0"/>
            </w:tcBorders>
            <w:shd w:val="clear" w:color="auto" w:fill="auto"/>
            <w:vAlign w:val="center"/>
          </w:tcPr>
          <w:p w14:paraId="72079387">
            <w:pPr>
              <w:widowControl/>
              <w:spacing w:line="300" w:lineRule="exact"/>
              <w:jc w:val="center"/>
              <w:rPr>
                <w:rFonts w:hint="eastAsia" w:ascii="宋体" w:hAnsi="宋体" w:eastAsia="宋体" w:cs="宋体"/>
                <w:color w:val="000000"/>
              </w:rPr>
            </w:pPr>
            <w:r>
              <w:rPr>
                <w:rFonts w:hint="eastAsia" w:ascii="宋体" w:hAnsi="宋体" w:eastAsia="宋体" w:cs="宋体"/>
                <w:color w:val="000000"/>
              </w:rPr>
              <w:t>项目决策</w:t>
            </w:r>
          </w:p>
        </w:tc>
        <w:tc>
          <w:tcPr>
            <w:tcW w:w="1250" w:type="pct"/>
            <w:tcBorders>
              <w:top w:val="nil"/>
              <w:left w:val="nil"/>
              <w:bottom w:val="single" w:color="auto" w:sz="4" w:space="0"/>
              <w:right w:val="single" w:color="auto" w:sz="4" w:space="0"/>
            </w:tcBorders>
            <w:shd w:val="clear" w:color="auto" w:fill="auto"/>
            <w:vAlign w:val="center"/>
          </w:tcPr>
          <w:p w14:paraId="50E8A8AD">
            <w:pPr>
              <w:widowControl/>
              <w:spacing w:line="300" w:lineRule="exact"/>
              <w:jc w:val="center"/>
              <w:rPr>
                <w:rFonts w:hint="eastAsia" w:hAnsi="仿宋" w:cs="宋体"/>
                <w:color w:val="000000"/>
                <w:kern w:val="2"/>
                <w:sz w:val="21"/>
                <w:lang w:val="en-US" w:eastAsia="zh-CN"/>
              </w:rPr>
            </w:pPr>
            <w:r>
              <w:rPr>
                <w:rFonts w:hint="eastAsia" w:hAnsi="仿宋" w:cs="宋体"/>
                <w:color w:val="000000"/>
                <w:kern w:val="2"/>
                <w:sz w:val="21"/>
                <w:lang w:val="en-US" w:eastAsia="zh-CN"/>
              </w:rPr>
              <w:t>20</w:t>
            </w:r>
          </w:p>
        </w:tc>
        <w:tc>
          <w:tcPr>
            <w:tcW w:w="1250" w:type="pct"/>
            <w:tcBorders>
              <w:top w:val="nil"/>
              <w:left w:val="nil"/>
              <w:bottom w:val="single" w:color="auto" w:sz="4" w:space="0"/>
              <w:right w:val="single" w:color="auto" w:sz="4" w:space="0"/>
            </w:tcBorders>
            <w:shd w:val="clear" w:color="auto" w:fill="auto"/>
            <w:vAlign w:val="center"/>
          </w:tcPr>
          <w:p w14:paraId="279E0335">
            <w:pPr>
              <w:widowControl/>
              <w:spacing w:line="300" w:lineRule="exact"/>
              <w:jc w:val="center"/>
              <w:rPr>
                <w:rFonts w:hint="default" w:hAnsi="仿宋" w:cs="宋体"/>
                <w:color w:val="000000"/>
                <w:kern w:val="2"/>
                <w:sz w:val="21"/>
                <w:lang w:val="en-US" w:eastAsia="zh-CN"/>
              </w:rPr>
            </w:pPr>
            <w:r>
              <w:rPr>
                <w:rFonts w:hint="eastAsia" w:hAnsi="仿宋" w:cs="宋体"/>
                <w:color w:val="000000"/>
                <w:kern w:val="2"/>
                <w:sz w:val="21"/>
                <w:lang w:val="en-US" w:eastAsia="zh-CN"/>
              </w:rPr>
              <w:t>20</w:t>
            </w:r>
          </w:p>
        </w:tc>
        <w:tc>
          <w:tcPr>
            <w:tcW w:w="1250" w:type="pct"/>
            <w:tcBorders>
              <w:top w:val="nil"/>
              <w:left w:val="nil"/>
              <w:bottom w:val="single" w:color="auto" w:sz="4" w:space="0"/>
              <w:right w:val="single" w:color="auto" w:sz="4" w:space="0"/>
            </w:tcBorders>
            <w:shd w:val="clear" w:color="auto" w:fill="auto"/>
            <w:vAlign w:val="center"/>
          </w:tcPr>
          <w:p w14:paraId="4EF59F81">
            <w:pPr>
              <w:widowControl/>
              <w:spacing w:line="300" w:lineRule="exact"/>
              <w:jc w:val="center"/>
              <w:rPr>
                <w:rFonts w:hint="eastAsia" w:hAnsi="仿宋" w:cs="宋体"/>
                <w:color w:val="000000"/>
                <w:kern w:val="2"/>
                <w:sz w:val="21"/>
                <w:lang w:val="en-US" w:eastAsia="zh-CN"/>
              </w:rPr>
            </w:pPr>
            <w:r>
              <w:rPr>
                <w:rFonts w:hint="eastAsia" w:hAnsi="仿宋" w:cs="宋体"/>
                <w:color w:val="000000"/>
                <w:kern w:val="2"/>
                <w:sz w:val="21"/>
                <w:lang w:val="en-US" w:eastAsia="zh-CN"/>
              </w:rPr>
              <w:t>100%</w:t>
            </w:r>
          </w:p>
        </w:tc>
      </w:tr>
      <w:tr w14:paraId="2DC8D86B">
        <w:tblPrEx>
          <w:tblCellMar>
            <w:top w:w="57" w:type="dxa"/>
            <w:left w:w="57" w:type="dxa"/>
            <w:bottom w:w="57" w:type="dxa"/>
            <w:right w:w="57" w:type="dxa"/>
          </w:tblCellMar>
        </w:tblPrEx>
        <w:trPr>
          <w:trHeight w:val="454" w:hRule="atLeast"/>
          <w:jc w:val="center"/>
        </w:trPr>
        <w:tc>
          <w:tcPr>
            <w:tcW w:w="1250" w:type="pct"/>
            <w:tcBorders>
              <w:top w:val="nil"/>
              <w:left w:val="single" w:color="auto" w:sz="4" w:space="0"/>
              <w:bottom w:val="single" w:color="auto" w:sz="4" w:space="0"/>
              <w:right w:val="single" w:color="auto" w:sz="4" w:space="0"/>
            </w:tcBorders>
            <w:shd w:val="clear" w:color="auto" w:fill="auto"/>
            <w:vAlign w:val="center"/>
          </w:tcPr>
          <w:p w14:paraId="1022890B">
            <w:pPr>
              <w:widowControl/>
              <w:spacing w:line="300" w:lineRule="exact"/>
              <w:jc w:val="center"/>
              <w:rPr>
                <w:rFonts w:hint="eastAsia" w:ascii="宋体" w:hAnsi="宋体" w:eastAsia="宋体" w:cs="宋体"/>
                <w:color w:val="000000"/>
              </w:rPr>
            </w:pPr>
            <w:r>
              <w:rPr>
                <w:rFonts w:hint="eastAsia" w:ascii="宋体" w:hAnsi="宋体" w:eastAsia="宋体" w:cs="宋体"/>
                <w:color w:val="000000"/>
              </w:rPr>
              <w:t>项目管理</w:t>
            </w:r>
          </w:p>
        </w:tc>
        <w:tc>
          <w:tcPr>
            <w:tcW w:w="1250" w:type="pct"/>
            <w:tcBorders>
              <w:top w:val="nil"/>
              <w:left w:val="nil"/>
              <w:bottom w:val="single" w:color="auto" w:sz="4" w:space="0"/>
              <w:right w:val="single" w:color="auto" w:sz="4" w:space="0"/>
            </w:tcBorders>
            <w:shd w:val="clear" w:color="auto" w:fill="auto"/>
            <w:vAlign w:val="center"/>
          </w:tcPr>
          <w:p w14:paraId="3D74ECD7">
            <w:pPr>
              <w:widowControl/>
              <w:spacing w:line="300" w:lineRule="exact"/>
              <w:jc w:val="center"/>
              <w:rPr>
                <w:rFonts w:hint="eastAsia" w:hAnsi="仿宋" w:cs="宋体"/>
                <w:color w:val="000000"/>
                <w:kern w:val="2"/>
                <w:sz w:val="21"/>
                <w:lang w:val="en-US" w:eastAsia="zh-CN"/>
              </w:rPr>
            </w:pPr>
            <w:r>
              <w:rPr>
                <w:rFonts w:hint="eastAsia" w:hAnsi="仿宋" w:cs="宋体"/>
                <w:color w:val="000000"/>
                <w:kern w:val="2"/>
                <w:sz w:val="21"/>
                <w:lang w:val="en-US" w:eastAsia="zh-CN"/>
              </w:rPr>
              <w:t>20</w:t>
            </w:r>
          </w:p>
        </w:tc>
        <w:tc>
          <w:tcPr>
            <w:tcW w:w="1250" w:type="pct"/>
            <w:tcBorders>
              <w:top w:val="nil"/>
              <w:left w:val="nil"/>
              <w:bottom w:val="single" w:color="auto" w:sz="4" w:space="0"/>
              <w:right w:val="single" w:color="auto" w:sz="4" w:space="0"/>
            </w:tcBorders>
            <w:shd w:val="clear" w:color="auto" w:fill="auto"/>
            <w:vAlign w:val="center"/>
          </w:tcPr>
          <w:p w14:paraId="593F3983">
            <w:pPr>
              <w:widowControl/>
              <w:spacing w:line="300" w:lineRule="exact"/>
              <w:jc w:val="center"/>
              <w:rPr>
                <w:rFonts w:hint="default" w:hAnsi="仿宋" w:cs="宋体"/>
                <w:color w:val="000000"/>
                <w:kern w:val="2"/>
                <w:sz w:val="21"/>
                <w:lang w:val="en-US" w:eastAsia="zh-CN"/>
              </w:rPr>
            </w:pPr>
            <w:r>
              <w:rPr>
                <w:rFonts w:hint="eastAsia" w:hAnsi="仿宋" w:cs="宋体"/>
                <w:color w:val="000000"/>
                <w:kern w:val="2"/>
                <w:sz w:val="21"/>
                <w:lang w:val="en-US" w:eastAsia="zh-CN"/>
              </w:rPr>
              <w:t>19.7</w:t>
            </w:r>
          </w:p>
        </w:tc>
        <w:tc>
          <w:tcPr>
            <w:tcW w:w="1250" w:type="pct"/>
            <w:tcBorders>
              <w:top w:val="nil"/>
              <w:left w:val="nil"/>
              <w:bottom w:val="single" w:color="auto" w:sz="4" w:space="0"/>
              <w:right w:val="single" w:color="auto" w:sz="4" w:space="0"/>
            </w:tcBorders>
            <w:shd w:val="clear" w:color="auto" w:fill="auto"/>
            <w:vAlign w:val="center"/>
          </w:tcPr>
          <w:p w14:paraId="43F530DC">
            <w:pPr>
              <w:widowControl/>
              <w:spacing w:line="300" w:lineRule="exact"/>
              <w:jc w:val="center"/>
              <w:rPr>
                <w:rFonts w:hint="eastAsia" w:hAnsi="仿宋" w:cs="宋体"/>
                <w:color w:val="000000"/>
                <w:kern w:val="2"/>
                <w:sz w:val="21"/>
                <w:lang w:val="en-US" w:eastAsia="zh-CN"/>
              </w:rPr>
            </w:pPr>
            <w:r>
              <w:rPr>
                <w:rFonts w:hint="eastAsia" w:hAnsi="仿宋" w:cs="宋体"/>
                <w:color w:val="000000"/>
                <w:kern w:val="2"/>
                <w:sz w:val="21"/>
                <w:lang w:val="en-US" w:eastAsia="zh-CN"/>
              </w:rPr>
              <w:t>98.5%</w:t>
            </w:r>
          </w:p>
        </w:tc>
      </w:tr>
      <w:tr w14:paraId="398CAE24">
        <w:tblPrEx>
          <w:tblCellMar>
            <w:top w:w="57" w:type="dxa"/>
            <w:left w:w="57" w:type="dxa"/>
            <w:bottom w:w="57" w:type="dxa"/>
            <w:right w:w="57" w:type="dxa"/>
          </w:tblCellMar>
        </w:tblPrEx>
        <w:trPr>
          <w:trHeight w:val="454" w:hRule="atLeast"/>
          <w:jc w:val="center"/>
        </w:trPr>
        <w:tc>
          <w:tcPr>
            <w:tcW w:w="1250" w:type="pct"/>
            <w:tcBorders>
              <w:top w:val="nil"/>
              <w:left w:val="single" w:color="auto" w:sz="4" w:space="0"/>
              <w:bottom w:val="nil"/>
              <w:right w:val="single" w:color="auto" w:sz="4" w:space="0"/>
            </w:tcBorders>
            <w:shd w:val="clear" w:color="auto" w:fill="auto"/>
            <w:vAlign w:val="center"/>
          </w:tcPr>
          <w:p w14:paraId="11434346">
            <w:pPr>
              <w:widowControl/>
              <w:spacing w:line="300" w:lineRule="exact"/>
              <w:jc w:val="center"/>
              <w:rPr>
                <w:rFonts w:hint="eastAsia" w:ascii="宋体" w:hAnsi="宋体" w:eastAsia="宋体" w:cs="宋体"/>
                <w:color w:val="000000"/>
              </w:rPr>
            </w:pPr>
            <w:r>
              <w:rPr>
                <w:rFonts w:hint="eastAsia" w:ascii="宋体" w:hAnsi="宋体" w:eastAsia="宋体" w:cs="宋体"/>
                <w:color w:val="000000"/>
              </w:rPr>
              <w:t>项目绩效</w:t>
            </w:r>
          </w:p>
        </w:tc>
        <w:tc>
          <w:tcPr>
            <w:tcW w:w="1250" w:type="pct"/>
            <w:tcBorders>
              <w:top w:val="nil"/>
              <w:left w:val="nil"/>
              <w:bottom w:val="nil"/>
              <w:right w:val="single" w:color="auto" w:sz="4" w:space="0"/>
            </w:tcBorders>
            <w:shd w:val="clear" w:color="auto" w:fill="auto"/>
            <w:vAlign w:val="center"/>
          </w:tcPr>
          <w:p w14:paraId="237A9F87">
            <w:pPr>
              <w:widowControl/>
              <w:spacing w:line="300" w:lineRule="exact"/>
              <w:jc w:val="center"/>
              <w:rPr>
                <w:rFonts w:hint="eastAsia" w:hAnsi="仿宋" w:cs="宋体"/>
                <w:color w:val="000000"/>
                <w:kern w:val="2"/>
                <w:sz w:val="21"/>
                <w:lang w:val="en-US" w:eastAsia="zh-CN"/>
              </w:rPr>
            </w:pPr>
            <w:r>
              <w:rPr>
                <w:rFonts w:hint="eastAsia" w:hAnsi="仿宋" w:cs="宋体"/>
                <w:color w:val="000000"/>
                <w:kern w:val="2"/>
                <w:sz w:val="21"/>
                <w:lang w:val="en-US" w:eastAsia="zh-CN"/>
              </w:rPr>
              <w:t>60</w:t>
            </w:r>
          </w:p>
        </w:tc>
        <w:tc>
          <w:tcPr>
            <w:tcW w:w="1250" w:type="pct"/>
            <w:tcBorders>
              <w:top w:val="nil"/>
              <w:left w:val="nil"/>
              <w:bottom w:val="nil"/>
              <w:right w:val="single" w:color="auto" w:sz="4" w:space="0"/>
            </w:tcBorders>
            <w:shd w:val="clear" w:color="auto" w:fill="auto"/>
            <w:vAlign w:val="center"/>
          </w:tcPr>
          <w:p w14:paraId="7A752A39">
            <w:pPr>
              <w:widowControl/>
              <w:spacing w:line="300" w:lineRule="exact"/>
              <w:jc w:val="center"/>
              <w:rPr>
                <w:rFonts w:hint="default" w:hAnsi="仿宋" w:cs="宋体"/>
                <w:color w:val="000000"/>
                <w:kern w:val="2"/>
                <w:sz w:val="21"/>
                <w:lang w:val="en-US" w:eastAsia="zh-CN"/>
              </w:rPr>
            </w:pPr>
            <w:r>
              <w:rPr>
                <w:rFonts w:hint="eastAsia" w:hAnsi="仿宋" w:cs="宋体"/>
                <w:color w:val="000000"/>
                <w:kern w:val="2"/>
                <w:sz w:val="21"/>
                <w:lang w:val="en-US" w:eastAsia="zh-CN"/>
              </w:rPr>
              <w:t>58</w:t>
            </w:r>
          </w:p>
        </w:tc>
        <w:tc>
          <w:tcPr>
            <w:tcW w:w="1250" w:type="pct"/>
            <w:tcBorders>
              <w:top w:val="nil"/>
              <w:left w:val="nil"/>
              <w:bottom w:val="nil"/>
              <w:right w:val="single" w:color="auto" w:sz="4" w:space="0"/>
            </w:tcBorders>
            <w:shd w:val="clear" w:color="auto" w:fill="auto"/>
            <w:vAlign w:val="center"/>
          </w:tcPr>
          <w:p w14:paraId="0E79EB1D">
            <w:pPr>
              <w:widowControl/>
              <w:spacing w:line="300" w:lineRule="exact"/>
              <w:jc w:val="center"/>
              <w:rPr>
                <w:rFonts w:hint="eastAsia" w:hAnsi="仿宋" w:cs="宋体"/>
                <w:color w:val="000000"/>
                <w:kern w:val="2"/>
                <w:sz w:val="21"/>
                <w:lang w:val="en-US" w:eastAsia="zh-CN"/>
              </w:rPr>
            </w:pPr>
            <w:r>
              <w:rPr>
                <w:rFonts w:hint="eastAsia" w:hAnsi="仿宋" w:cs="宋体"/>
                <w:color w:val="000000"/>
                <w:kern w:val="2"/>
                <w:sz w:val="21"/>
                <w:lang w:val="en-US" w:eastAsia="zh-CN"/>
              </w:rPr>
              <w:t>96.67%</w:t>
            </w:r>
          </w:p>
        </w:tc>
      </w:tr>
      <w:tr w14:paraId="3A1064CD">
        <w:tblPrEx>
          <w:tblCellMar>
            <w:top w:w="57" w:type="dxa"/>
            <w:left w:w="57" w:type="dxa"/>
            <w:bottom w:w="57" w:type="dxa"/>
            <w:right w:w="57" w:type="dxa"/>
          </w:tblCellMar>
        </w:tblPrEx>
        <w:trPr>
          <w:trHeight w:val="454" w:hRule="atLeast"/>
          <w:jc w:val="center"/>
        </w:trPr>
        <w:tc>
          <w:tcPr>
            <w:tcW w:w="1250" w:type="pct"/>
            <w:tcBorders>
              <w:top w:val="nil"/>
              <w:left w:val="single" w:color="auto" w:sz="4" w:space="0"/>
              <w:bottom w:val="single" w:color="auto" w:sz="4" w:space="0"/>
              <w:right w:val="single" w:color="auto" w:sz="4" w:space="0"/>
            </w:tcBorders>
            <w:shd w:val="clear" w:color="auto" w:fill="auto"/>
            <w:vAlign w:val="center"/>
          </w:tcPr>
          <w:p w14:paraId="045BEA43">
            <w:pPr>
              <w:widowControl/>
              <w:spacing w:line="300" w:lineRule="exact"/>
              <w:jc w:val="center"/>
              <w:rPr>
                <w:rFonts w:hint="eastAsia" w:ascii="宋体" w:hAnsi="宋体" w:eastAsia="宋体" w:cs="宋体"/>
                <w:color w:val="000000"/>
                <w:lang w:val="en-US" w:eastAsia="zh-CN"/>
              </w:rPr>
            </w:pPr>
            <w:r>
              <w:rPr>
                <w:rFonts w:hint="eastAsia" w:ascii="宋体" w:hAnsi="宋体" w:cs="宋体"/>
                <w:color w:val="000000"/>
                <w:lang w:val="en-US" w:eastAsia="zh-CN"/>
              </w:rPr>
              <w:t>合计</w:t>
            </w:r>
          </w:p>
        </w:tc>
        <w:tc>
          <w:tcPr>
            <w:tcW w:w="1250" w:type="pct"/>
            <w:tcBorders>
              <w:top w:val="nil"/>
              <w:left w:val="nil"/>
              <w:bottom w:val="single" w:color="auto" w:sz="4" w:space="0"/>
              <w:right w:val="single" w:color="auto" w:sz="4" w:space="0"/>
            </w:tcBorders>
            <w:shd w:val="clear" w:color="auto" w:fill="auto"/>
            <w:vAlign w:val="center"/>
          </w:tcPr>
          <w:p w14:paraId="4840A1CC">
            <w:pPr>
              <w:widowControl/>
              <w:spacing w:line="300" w:lineRule="exact"/>
              <w:jc w:val="center"/>
              <w:rPr>
                <w:rFonts w:hint="default" w:hAnsi="仿宋" w:cs="宋体"/>
                <w:color w:val="000000"/>
                <w:kern w:val="2"/>
                <w:sz w:val="21"/>
                <w:lang w:val="en-US" w:eastAsia="zh-CN"/>
              </w:rPr>
            </w:pPr>
            <w:r>
              <w:rPr>
                <w:rFonts w:hint="eastAsia" w:hAnsi="仿宋" w:cs="宋体"/>
                <w:color w:val="000000"/>
                <w:kern w:val="2"/>
                <w:sz w:val="21"/>
                <w:lang w:val="en-US" w:eastAsia="zh-CN"/>
              </w:rPr>
              <w:t>100</w:t>
            </w:r>
          </w:p>
        </w:tc>
        <w:tc>
          <w:tcPr>
            <w:tcW w:w="1250" w:type="pct"/>
            <w:tcBorders>
              <w:top w:val="nil"/>
              <w:left w:val="nil"/>
              <w:bottom w:val="single" w:color="auto" w:sz="4" w:space="0"/>
              <w:right w:val="single" w:color="auto" w:sz="4" w:space="0"/>
            </w:tcBorders>
            <w:shd w:val="clear" w:color="auto" w:fill="auto"/>
            <w:vAlign w:val="center"/>
          </w:tcPr>
          <w:p w14:paraId="539C3220">
            <w:pPr>
              <w:widowControl/>
              <w:spacing w:line="300" w:lineRule="exact"/>
              <w:jc w:val="center"/>
              <w:rPr>
                <w:rFonts w:hint="default" w:hAnsi="仿宋" w:cs="宋体"/>
                <w:color w:val="000000"/>
                <w:kern w:val="2"/>
                <w:sz w:val="21"/>
                <w:lang w:val="en-US" w:eastAsia="zh-CN"/>
              </w:rPr>
            </w:pPr>
            <w:r>
              <w:rPr>
                <w:rFonts w:hint="eastAsia" w:hAnsi="仿宋" w:cs="宋体"/>
                <w:color w:val="000000"/>
                <w:kern w:val="2"/>
                <w:sz w:val="21"/>
                <w:lang w:val="en-US" w:eastAsia="zh-CN"/>
              </w:rPr>
              <w:t>97.7</w:t>
            </w:r>
          </w:p>
        </w:tc>
        <w:tc>
          <w:tcPr>
            <w:tcW w:w="1250" w:type="pct"/>
            <w:tcBorders>
              <w:top w:val="nil"/>
              <w:left w:val="nil"/>
              <w:bottom w:val="single" w:color="auto" w:sz="4" w:space="0"/>
              <w:right w:val="single" w:color="auto" w:sz="4" w:space="0"/>
            </w:tcBorders>
            <w:shd w:val="clear" w:color="auto" w:fill="auto"/>
            <w:vAlign w:val="center"/>
          </w:tcPr>
          <w:p w14:paraId="45479144">
            <w:pPr>
              <w:widowControl/>
              <w:spacing w:line="300" w:lineRule="exact"/>
              <w:jc w:val="center"/>
              <w:rPr>
                <w:rFonts w:hint="default" w:hAnsi="仿宋" w:cs="宋体"/>
                <w:color w:val="000000"/>
                <w:kern w:val="2"/>
                <w:sz w:val="21"/>
                <w:lang w:val="en-US" w:eastAsia="zh-CN"/>
              </w:rPr>
            </w:pPr>
            <w:r>
              <w:rPr>
                <w:rFonts w:hint="eastAsia" w:hAnsi="仿宋" w:cs="宋体"/>
                <w:color w:val="000000"/>
                <w:kern w:val="2"/>
                <w:sz w:val="21"/>
                <w:lang w:val="en-US" w:eastAsia="zh-CN"/>
              </w:rPr>
              <w:t>97.7%</w:t>
            </w:r>
          </w:p>
        </w:tc>
      </w:tr>
    </w:tbl>
    <w:p w14:paraId="544C628A">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2.主要绩效</w:t>
      </w:r>
    </w:p>
    <w:p w14:paraId="125B74E5">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2019年昆明市生态环境局盘龙分局松华坝水库水源保护区水污染治理设施运行管护经费项目组织管理情况良好，资金拨付及使用流程符合相关规定，目标均已实现。</w:t>
      </w:r>
    </w:p>
    <w:p w14:paraId="47B9BF6A">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通过本次项目实施，有效的改善了冷水河水质，对保护松华坝饮用水源地水质安全发挥了积极作用</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加强污水处理站管理，做好日常监督性检查工作，严格考核污水处理站管护情况，提升管理水平，保证污水处理设施正常运行。。</w:t>
      </w:r>
    </w:p>
    <w:p w14:paraId="1F913E13">
      <w:pPr>
        <w:topLinePunct/>
        <w:spacing w:line="579" w:lineRule="exact"/>
        <w:ind w:firstLine="600" w:firstLineChars="200"/>
        <w:rPr>
          <w:rFonts w:ascii="楷体" w:hAnsi="楷体" w:eastAsia="楷体"/>
          <w:sz w:val="30"/>
          <w:szCs w:val="30"/>
        </w:rPr>
      </w:pPr>
      <w:r>
        <w:rPr>
          <w:rFonts w:hint="eastAsia" w:ascii="楷体" w:hAnsi="楷体" w:eastAsia="楷体"/>
          <w:sz w:val="30"/>
          <w:szCs w:val="30"/>
        </w:rPr>
        <w:t>（二）具体绩效分析</w:t>
      </w:r>
    </w:p>
    <w:p w14:paraId="3DA1FC4B">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1.项目决策分析</w:t>
      </w:r>
    </w:p>
    <w:p w14:paraId="52DD4654">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项目决策类指标包括项目立项和项目目标两个方面内容，由5个三级指标构成，共细化分解为10个四级指标。权重分为20分，实际得分</w:t>
      </w:r>
      <w:r>
        <w:rPr>
          <w:rFonts w:hint="eastAsia" w:ascii="仿宋_GB2312" w:hAnsi="仿宋" w:eastAsia="仿宋_GB2312"/>
          <w:spacing w:val="6"/>
          <w:kern w:val="0"/>
          <w:sz w:val="28"/>
          <w:szCs w:val="28"/>
          <w:lang w:val="en-US" w:eastAsia="zh-CN"/>
        </w:rPr>
        <w:t>20</w:t>
      </w:r>
      <w:r>
        <w:rPr>
          <w:rFonts w:hint="eastAsia" w:ascii="仿宋_GB2312" w:hAnsi="仿宋" w:eastAsia="仿宋_GB2312"/>
          <w:spacing w:val="6"/>
          <w:kern w:val="0"/>
          <w:sz w:val="28"/>
          <w:szCs w:val="28"/>
        </w:rPr>
        <w:t>分，得分率</w:t>
      </w:r>
      <w:r>
        <w:rPr>
          <w:rFonts w:hint="eastAsia" w:ascii="仿宋_GB2312" w:hAnsi="仿宋" w:eastAsia="仿宋_GB2312"/>
          <w:spacing w:val="6"/>
          <w:kern w:val="0"/>
          <w:sz w:val="28"/>
          <w:szCs w:val="28"/>
          <w:lang w:val="en-US" w:eastAsia="zh-CN"/>
        </w:rPr>
        <w:t>10</w:t>
      </w:r>
      <w:r>
        <w:rPr>
          <w:rFonts w:hint="eastAsia" w:ascii="仿宋_GB2312" w:hAnsi="仿宋" w:eastAsia="仿宋_GB2312"/>
          <w:spacing w:val="6"/>
          <w:kern w:val="0"/>
          <w:sz w:val="28"/>
          <w:szCs w:val="28"/>
        </w:rPr>
        <w:t xml:space="preserve">0%。 </w:t>
      </w:r>
    </w:p>
    <w:p w14:paraId="4A7D6F7D">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（1）项目立项</w:t>
      </w:r>
    </w:p>
    <w:p w14:paraId="25DBE167">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主要考察项目实施与部门战略目标的匹配性，项目立项是否符合相关规划要求，是否与部门职责相适应，以及项目的申请、设立过程是否符合相关规定。各指标业绩值和实际得分详见表6。</w:t>
      </w:r>
    </w:p>
    <w:p w14:paraId="0C762A4C">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项目与部门中长期规划目标相匹配，</w:t>
      </w:r>
      <w:r>
        <w:rPr>
          <w:rFonts w:hint="eastAsia" w:ascii="仿宋_GB2312" w:hAnsi="仿宋" w:eastAsia="仿宋_GB2312"/>
          <w:spacing w:val="6"/>
          <w:kern w:val="0"/>
          <w:sz w:val="28"/>
          <w:szCs w:val="28"/>
          <w:lang w:val="en-US" w:eastAsia="zh-CN"/>
        </w:rPr>
        <w:t>项目</w:t>
      </w:r>
      <w:r>
        <w:rPr>
          <w:rFonts w:hint="eastAsia" w:ascii="仿宋_GB2312" w:hAnsi="仿宋" w:eastAsia="仿宋_GB2312"/>
          <w:spacing w:val="6"/>
          <w:kern w:val="0"/>
          <w:sz w:val="28"/>
          <w:szCs w:val="28"/>
        </w:rPr>
        <w:t>立项依据充分，与部门职责匹配，项目立项规范。此项分值满分为8分，实际得分8分。</w:t>
      </w:r>
    </w:p>
    <w:p w14:paraId="277C38AB">
      <w:pPr>
        <w:topLinePunct/>
        <w:spacing w:line="579" w:lineRule="exact"/>
        <w:ind w:firstLine="482" w:firstLineChars="200"/>
        <w:jc w:val="center"/>
        <w:rPr>
          <w:rFonts w:ascii="黑体" w:hAnsi="黑体" w:eastAsia="仿宋_GB2312" w:cs="黑体"/>
          <w:b/>
          <w:bCs/>
          <w:sz w:val="24"/>
          <w:szCs w:val="24"/>
        </w:rPr>
      </w:pPr>
      <w:r>
        <w:rPr>
          <w:rFonts w:hint="eastAsia" w:ascii="黑体" w:hAnsi="黑体" w:eastAsia="黑体" w:cs="黑体"/>
          <w:b/>
          <w:bCs/>
          <w:color w:val="000000"/>
          <w:sz w:val="24"/>
          <w:szCs w:val="24"/>
          <w:lang w:val="zh-CN" w:bidi="zh-CN"/>
        </w:rPr>
        <w:t>表6  项目立项指标评分表</w:t>
      </w:r>
    </w:p>
    <w:tbl>
      <w:tblPr>
        <w:tblStyle w:val="8"/>
        <w:tblW w:w="5000" w:type="pct"/>
        <w:jc w:val="center"/>
        <w:tblLayout w:type="autofit"/>
        <w:tblCellMar>
          <w:top w:w="0" w:type="dxa"/>
          <w:left w:w="10" w:type="dxa"/>
          <w:bottom w:w="0" w:type="dxa"/>
          <w:right w:w="10" w:type="dxa"/>
        </w:tblCellMar>
      </w:tblPr>
      <w:tblGrid>
        <w:gridCol w:w="4664"/>
        <w:gridCol w:w="1031"/>
        <w:gridCol w:w="1304"/>
        <w:gridCol w:w="1327"/>
      </w:tblGrid>
      <w:tr w14:paraId="6EABF7D6">
        <w:tblPrEx>
          <w:tblCellMar>
            <w:top w:w="0" w:type="dxa"/>
            <w:left w:w="10" w:type="dxa"/>
            <w:bottom w:w="0" w:type="dxa"/>
            <w:right w:w="10" w:type="dxa"/>
          </w:tblCellMar>
        </w:tblPrEx>
        <w:trPr>
          <w:trHeight w:val="471" w:hRule="atLeast"/>
          <w:tblHeader/>
          <w:jc w:val="center"/>
        </w:trPr>
        <w:tc>
          <w:tcPr>
            <w:tcW w:w="2801" w:type="pct"/>
            <w:tcBorders>
              <w:top w:val="single" w:color="auto" w:sz="4" w:space="0"/>
              <w:left w:val="single" w:color="auto" w:sz="4" w:space="0"/>
              <w:bottom w:val="single" w:color="auto" w:sz="4" w:space="0"/>
              <w:right w:val="single" w:color="auto" w:sz="4" w:space="0"/>
            </w:tcBorders>
            <w:shd w:val="clear" w:color="auto" w:fill="FFFFFF"/>
            <w:vAlign w:val="bottom"/>
          </w:tcPr>
          <w:p w14:paraId="3E62598F">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619" w:type="pct"/>
            <w:tcBorders>
              <w:top w:val="single" w:color="auto" w:sz="4" w:space="0"/>
              <w:left w:val="single" w:color="auto" w:sz="4" w:space="0"/>
              <w:bottom w:val="single" w:color="auto" w:sz="4" w:space="0"/>
              <w:right w:val="single" w:color="auto" w:sz="4" w:space="0"/>
            </w:tcBorders>
            <w:shd w:val="clear" w:color="auto" w:fill="FFFFFF"/>
            <w:vAlign w:val="bottom"/>
          </w:tcPr>
          <w:p w14:paraId="2BDB51E5">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783" w:type="pct"/>
            <w:tcBorders>
              <w:top w:val="single" w:color="auto" w:sz="4" w:space="0"/>
              <w:left w:val="single" w:color="auto" w:sz="4" w:space="0"/>
              <w:bottom w:val="single" w:color="auto" w:sz="4" w:space="0"/>
              <w:right w:val="single" w:color="auto" w:sz="4" w:space="0"/>
            </w:tcBorders>
            <w:shd w:val="clear" w:color="auto" w:fill="FFFFFF"/>
            <w:vAlign w:val="bottom"/>
          </w:tcPr>
          <w:p w14:paraId="0EE25D82">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797" w:type="pct"/>
            <w:tcBorders>
              <w:top w:val="single" w:color="auto" w:sz="4" w:space="0"/>
              <w:left w:val="single" w:color="auto" w:sz="4" w:space="0"/>
              <w:bottom w:val="single" w:color="auto" w:sz="4" w:space="0"/>
              <w:right w:val="single" w:color="auto" w:sz="4" w:space="0"/>
            </w:tcBorders>
            <w:shd w:val="clear" w:color="auto" w:fill="FFFFFF"/>
            <w:vAlign w:val="bottom"/>
          </w:tcPr>
          <w:p w14:paraId="45A327D3">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31E2F421">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tcPr>
          <w:p w14:paraId="6A689B36">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A</w:t>
            </w:r>
            <w:r>
              <w:rPr>
                <w:rStyle w:val="12"/>
                <w:rFonts w:hint="eastAsia" w:ascii="宋体" w:hAnsi="宋体" w:eastAsia="宋体" w:cs="宋体"/>
                <w:sz w:val="21"/>
                <w:szCs w:val="21"/>
                <w:lang w:bidi="en-US"/>
              </w:rPr>
              <w:t>11.与部门中长期规划目标适应性</w:t>
            </w:r>
          </w:p>
        </w:tc>
        <w:tc>
          <w:tcPr>
            <w:tcW w:w="619" w:type="pct"/>
            <w:tcBorders>
              <w:top w:val="single" w:color="auto" w:sz="4" w:space="0"/>
              <w:left w:val="single" w:color="auto" w:sz="4" w:space="0"/>
            </w:tcBorders>
            <w:shd w:val="clear" w:color="auto" w:fill="FFFFFF"/>
          </w:tcPr>
          <w:p w14:paraId="794B2BAB">
            <w:pPr>
              <w:spacing w:line="360" w:lineRule="auto"/>
              <w:rPr>
                <w:rFonts w:ascii="仿宋_GB2312" w:hAnsi="仿宋_GB2312" w:eastAsia="仿宋_GB2312" w:cs="仿宋_GB2312"/>
                <w:sz w:val="24"/>
                <w:szCs w:val="24"/>
              </w:rPr>
            </w:pPr>
          </w:p>
        </w:tc>
        <w:tc>
          <w:tcPr>
            <w:tcW w:w="783" w:type="pct"/>
            <w:tcBorders>
              <w:top w:val="single" w:color="auto" w:sz="4" w:space="0"/>
              <w:left w:val="single" w:color="auto" w:sz="4" w:space="0"/>
            </w:tcBorders>
            <w:shd w:val="clear" w:color="auto" w:fill="FFFFFF"/>
          </w:tcPr>
          <w:p w14:paraId="18365893">
            <w:pPr>
              <w:spacing w:line="360" w:lineRule="auto"/>
              <w:rPr>
                <w:rFonts w:ascii="仿宋_GB2312" w:hAnsi="仿宋_GB2312" w:eastAsia="仿宋_GB2312" w:cs="仿宋_GB2312"/>
                <w:sz w:val="24"/>
                <w:szCs w:val="24"/>
              </w:rPr>
            </w:pPr>
          </w:p>
        </w:tc>
        <w:tc>
          <w:tcPr>
            <w:tcW w:w="797" w:type="pct"/>
            <w:tcBorders>
              <w:top w:val="single" w:color="auto" w:sz="4" w:space="0"/>
              <w:left w:val="single" w:color="auto" w:sz="4" w:space="0"/>
              <w:right w:val="single" w:color="auto" w:sz="4" w:space="0"/>
            </w:tcBorders>
            <w:shd w:val="clear" w:color="auto" w:fill="FFFFFF"/>
          </w:tcPr>
          <w:p w14:paraId="5A5A4551">
            <w:pPr>
              <w:spacing w:line="360" w:lineRule="auto"/>
              <w:rPr>
                <w:rFonts w:ascii="仿宋_GB2312" w:hAnsi="仿宋_GB2312" w:eastAsia="仿宋_GB2312" w:cs="仿宋_GB2312"/>
                <w:sz w:val="24"/>
                <w:szCs w:val="24"/>
              </w:rPr>
            </w:pPr>
          </w:p>
        </w:tc>
      </w:tr>
      <w:tr w14:paraId="7B35F2A7">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1E4F2350">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A111.与部门中长期规划目标匹配性</w:t>
            </w:r>
          </w:p>
        </w:tc>
        <w:tc>
          <w:tcPr>
            <w:tcW w:w="619" w:type="pct"/>
            <w:tcBorders>
              <w:top w:val="single" w:color="auto" w:sz="4" w:space="0"/>
              <w:left w:val="single" w:color="auto" w:sz="4" w:space="0"/>
            </w:tcBorders>
            <w:shd w:val="clear" w:color="auto" w:fill="FFFFFF"/>
            <w:vAlign w:val="bottom"/>
          </w:tcPr>
          <w:p w14:paraId="4719370D">
            <w:pPr>
              <w:pStyle w:val="11"/>
              <w:shd w:val="clear" w:color="auto" w:fill="auto"/>
              <w:spacing w:after="0" w:line="360" w:lineRule="auto"/>
              <w:rPr>
                <w:rFonts w:ascii="仿宋_GB2312" w:hAnsi="仿宋_GB2312" w:eastAsia="仿宋_GB2312" w:cs="仿宋_GB2312"/>
                <w:sz w:val="24"/>
                <w:szCs w:val="24"/>
              </w:rPr>
            </w:pPr>
            <w:r>
              <w:rPr>
                <w:rFonts w:hint="eastAsia" w:ascii="Calibri" w:hAnsi="仿宋" w:eastAsia="宋体" w:cs="宋体"/>
                <w:color w:val="000000"/>
                <w:spacing w:val="0"/>
                <w:kern w:val="2"/>
                <w:sz w:val="21"/>
                <w:szCs w:val="22"/>
                <w:lang w:val="en-US" w:eastAsia="zh-CN" w:bidi="ar-SA"/>
              </w:rPr>
              <w:t>1</w:t>
            </w:r>
          </w:p>
        </w:tc>
        <w:tc>
          <w:tcPr>
            <w:tcW w:w="783" w:type="pct"/>
            <w:tcBorders>
              <w:top w:val="single" w:color="auto" w:sz="4" w:space="0"/>
              <w:left w:val="single" w:color="auto" w:sz="4" w:space="0"/>
            </w:tcBorders>
            <w:shd w:val="clear" w:color="auto" w:fill="FFFFFF"/>
            <w:vAlign w:val="center"/>
          </w:tcPr>
          <w:p w14:paraId="236478B5">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匹配</w:t>
            </w:r>
          </w:p>
        </w:tc>
        <w:tc>
          <w:tcPr>
            <w:tcW w:w="797" w:type="pct"/>
            <w:tcBorders>
              <w:top w:val="single" w:color="auto" w:sz="4" w:space="0"/>
              <w:left w:val="single" w:color="auto" w:sz="4" w:space="0"/>
              <w:right w:val="single" w:color="auto" w:sz="4" w:space="0"/>
            </w:tcBorders>
            <w:shd w:val="clear" w:color="auto" w:fill="FFFFFF"/>
            <w:vAlign w:val="bottom"/>
          </w:tcPr>
          <w:p w14:paraId="2B49E6C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3D8818BD">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tcPr>
          <w:p w14:paraId="6B94A175">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A12.立项依据充分性</w:t>
            </w:r>
          </w:p>
        </w:tc>
        <w:tc>
          <w:tcPr>
            <w:tcW w:w="619" w:type="pct"/>
            <w:tcBorders>
              <w:top w:val="single" w:color="auto" w:sz="4" w:space="0"/>
              <w:left w:val="single" w:color="auto" w:sz="4" w:space="0"/>
            </w:tcBorders>
            <w:shd w:val="clear" w:color="auto" w:fill="FFFFFF"/>
          </w:tcPr>
          <w:p w14:paraId="36DC29C0">
            <w:pPr>
              <w:spacing w:line="360" w:lineRule="auto"/>
              <w:rPr>
                <w:rFonts w:ascii="仿宋_GB2312" w:hAnsi="仿宋_GB2312" w:eastAsia="仿宋_GB2312" w:cs="仿宋_GB2312"/>
                <w:sz w:val="24"/>
                <w:szCs w:val="24"/>
              </w:rPr>
            </w:pPr>
          </w:p>
        </w:tc>
        <w:tc>
          <w:tcPr>
            <w:tcW w:w="783" w:type="pct"/>
            <w:tcBorders>
              <w:top w:val="single" w:color="auto" w:sz="4" w:space="0"/>
              <w:left w:val="single" w:color="auto" w:sz="4" w:space="0"/>
            </w:tcBorders>
            <w:shd w:val="clear" w:color="auto" w:fill="FFFFFF"/>
          </w:tcPr>
          <w:p w14:paraId="7076194C">
            <w:pPr>
              <w:spacing w:line="360" w:lineRule="auto"/>
              <w:rPr>
                <w:rFonts w:hint="eastAsia" w:ascii="宋体" w:hAnsi="宋体" w:eastAsia="宋体" w:cs="宋体"/>
                <w:sz w:val="24"/>
                <w:szCs w:val="24"/>
              </w:rPr>
            </w:pPr>
          </w:p>
        </w:tc>
        <w:tc>
          <w:tcPr>
            <w:tcW w:w="797" w:type="pct"/>
            <w:tcBorders>
              <w:top w:val="single" w:color="auto" w:sz="4" w:space="0"/>
              <w:left w:val="single" w:color="auto" w:sz="4" w:space="0"/>
              <w:right w:val="single" w:color="auto" w:sz="4" w:space="0"/>
            </w:tcBorders>
            <w:shd w:val="clear" w:color="auto" w:fill="FFFFFF"/>
          </w:tcPr>
          <w:p w14:paraId="30E7C8B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5F8BFA1B">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537B18BC">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A121.与发展规划匹配性</w:t>
            </w:r>
          </w:p>
        </w:tc>
        <w:tc>
          <w:tcPr>
            <w:tcW w:w="619" w:type="pct"/>
            <w:tcBorders>
              <w:top w:val="single" w:color="auto" w:sz="4" w:space="0"/>
              <w:left w:val="single" w:color="auto" w:sz="4" w:space="0"/>
            </w:tcBorders>
            <w:shd w:val="clear" w:color="auto" w:fill="FFFFFF"/>
            <w:vAlign w:val="bottom"/>
          </w:tcPr>
          <w:p w14:paraId="42C6D10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83" w:type="pct"/>
            <w:tcBorders>
              <w:top w:val="single" w:color="auto" w:sz="4" w:space="0"/>
              <w:left w:val="single" w:color="auto" w:sz="4" w:space="0"/>
            </w:tcBorders>
            <w:shd w:val="clear" w:color="auto" w:fill="FFFFFF"/>
            <w:vAlign w:val="center"/>
          </w:tcPr>
          <w:p w14:paraId="20506A12">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匹配</w:t>
            </w:r>
          </w:p>
        </w:tc>
        <w:tc>
          <w:tcPr>
            <w:tcW w:w="797" w:type="pct"/>
            <w:tcBorders>
              <w:top w:val="single" w:color="auto" w:sz="4" w:space="0"/>
              <w:left w:val="single" w:color="auto" w:sz="4" w:space="0"/>
              <w:right w:val="single" w:color="auto" w:sz="4" w:space="0"/>
            </w:tcBorders>
            <w:shd w:val="clear" w:color="auto" w:fill="FFFFFF"/>
            <w:vAlign w:val="bottom"/>
          </w:tcPr>
          <w:p w14:paraId="5BE343E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2</w:t>
            </w:r>
          </w:p>
        </w:tc>
      </w:tr>
      <w:tr w14:paraId="4AE398DF">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131533F2">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A122.与部门职责适应性</w:t>
            </w:r>
          </w:p>
        </w:tc>
        <w:tc>
          <w:tcPr>
            <w:tcW w:w="619" w:type="pct"/>
            <w:tcBorders>
              <w:top w:val="single" w:color="auto" w:sz="4" w:space="0"/>
              <w:left w:val="single" w:color="auto" w:sz="4" w:space="0"/>
            </w:tcBorders>
            <w:shd w:val="clear" w:color="auto" w:fill="FFFFFF"/>
            <w:vAlign w:val="bottom"/>
          </w:tcPr>
          <w:p w14:paraId="357C492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83" w:type="pct"/>
            <w:tcBorders>
              <w:top w:val="single" w:color="auto" w:sz="4" w:space="0"/>
              <w:left w:val="single" w:color="auto" w:sz="4" w:space="0"/>
            </w:tcBorders>
            <w:shd w:val="clear" w:color="auto" w:fill="FFFFFF"/>
            <w:vAlign w:val="center"/>
          </w:tcPr>
          <w:p w14:paraId="652B0B77">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适应</w:t>
            </w:r>
          </w:p>
        </w:tc>
        <w:tc>
          <w:tcPr>
            <w:tcW w:w="797" w:type="pct"/>
            <w:tcBorders>
              <w:top w:val="single" w:color="auto" w:sz="4" w:space="0"/>
              <w:left w:val="single" w:color="auto" w:sz="4" w:space="0"/>
              <w:right w:val="single" w:color="auto" w:sz="4" w:space="0"/>
            </w:tcBorders>
            <w:shd w:val="clear" w:color="auto" w:fill="FFFFFF"/>
            <w:vAlign w:val="bottom"/>
          </w:tcPr>
          <w:p w14:paraId="2B96AD5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744186EC">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tcPr>
          <w:p w14:paraId="6F86F01D">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A13.项目立项规范性</w:t>
            </w:r>
          </w:p>
        </w:tc>
        <w:tc>
          <w:tcPr>
            <w:tcW w:w="619" w:type="pct"/>
            <w:tcBorders>
              <w:top w:val="single" w:color="auto" w:sz="4" w:space="0"/>
              <w:left w:val="single" w:color="auto" w:sz="4" w:space="0"/>
            </w:tcBorders>
            <w:shd w:val="clear" w:color="auto" w:fill="FFFFFF"/>
          </w:tcPr>
          <w:p w14:paraId="4422B8FA">
            <w:pPr>
              <w:spacing w:line="360" w:lineRule="auto"/>
              <w:rPr>
                <w:rFonts w:hint="eastAsia" w:ascii="Calibri" w:hAnsi="仿宋" w:eastAsia="宋体" w:cs="宋体"/>
                <w:color w:val="000000"/>
                <w:spacing w:val="0"/>
                <w:kern w:val="2"/>
                <w:sz w:val="21"/>
                <w:szCs w:val="22"/>
                <w:lang w:val="en-US" w:eastAsia="zh-CN" w:bidi="ar-SA"/>
              </w:rPr>
            </w:pPr>
          </w:p>
        </w:tc>
        <w:tc>
          <w:tcPr>
            <w:tcW w:w="783" w:type="pct"/>
            <w:tcBorders>
              <w:top w:val="single" w:color="auto" w:sz="4" w:space="0"/>
              <w:left w:val="single" w:color="auto" w:sz="4" w:space="0"/>
            </w:tcBorders>
            <w:shd w:val="clear" w:color="auto" w:fill="FFFFFF"/>
          </w:tcPr>
          <w:p w14:paraId="69A0E5E8">
            <w:pPr>
              <w:spacing w:line="360" w:lineRule="auto"/>
              <w:rPr>
                <w:rFonts w:hint="eastAsia" w:ascii="宋体" w:hAnsi="宋体" w:eastAsia="宋体" w:cs="宋体"/>
                <w:sz w:val="24"/>
                <w:szCs w:val="24"/>
              </w:rPr>
            </w:pPr>
          </w:p>
        </w:tc>
        <w:tc>
          <w:tcPr>
            <w:tcW w:w="797" w:type="pct"/>
            <w:tcBorders>
              <w:top w:val="single" w:color="auto" w:sz="4" w:space="0"/>
              <w:left w:val="single" w:color="auto" w:sz="4" w:space="0"/>
              <w:right w:val="single" w:color="auto" w:sz="4" w:space="0"/>
            </w:tcBorders>
            <w:shd w:val="clear" w:color="auto" w:fill="FFFFFF"/>
          </w:tcPr>
          <w:p w14:paraId="4D4B235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5D920E58">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66F4AE8E">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A131.前期调研情况</w:t>
            </w:r>
          </w:p>
        </w:tc>
        <w:tc>
          <w:tcPr>
            <w:tcW w:w="619" w:type="pct"/>
            <w:tcBorders>
              <w:top w:val="single" w:color="auto" w:sz="4" w:space="0"/>
              <w:left w:val="single" w:color="auto" w:sz="4" w:space="0"/>
            </w:tcBorders>
            <w:shd w:val="clear" w:color="auto" w:fill="FFFFFF"/>
            <w:vAlign w:val="bottom"/>
          </w:tcPr>
          <w:p w14:paraId="4BD2A2A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83" w:type="pct"/>
            <w:tcBorders>
              <w:top w:val="single" w:color="auto" w:sz="4" w:space="0"/>
              <w:left w:val="single" w:color="auto" w:sz="4" w:space="0"/>
            </w:tcBorders>
            <w:shd w:val="clear" w:color="auto" w:fill="FFFFFF"/>
            <w:vAlign w:val="center"/>
          </w:tcPr>
          <w:p w14:paraId="6A58592B">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充分调研</w:t>
            </w:r>
          </w:p>
        </w:tc>
        <w:tc>
          <w:tcPr>
            <w:tcW w:w="797" w:type="pct"/>
            <w:tcBorders>
              <w:top w:val="single" w:color="auto" w:sz="4" w:space="0"/>
              <w:left w:val="single" w:color="auto" w:sz="4" w:space="0"/>
              <w:right w:val="single" w:color="auto" w:sz="4" w:space="0"/>
            </w:tcBorders>
            <w:shd w:val="clear" w:color="auto" w:fill="FFFFFF"/>
            <w:vAlign w:val="bottom"/>
          </w:tcPr>
          <w:p w14:paraId="0D1B9AA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2</w:t>
            </w:r>
          </w:p>
        </w:tc>
      </w:tr>
      <w:tr w14:paraId="4279AD8A">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tcBorders>
            <w:shd w:val="clear" w:color="auto" w:fill="FFFFFF"/>
            <w:vAlign w:val="center"/>
          </w:tcPr>
          <w:p w14:paraId="291BAF0C">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A132.立项程序规范性</w:t>
            </w:r>
          </w:p>
        </w:tc>
        <w:tc>
          <w:tcPr>
            <w:tcW w:w="619" w:type="pct"/>
            <w:tcBorders>
              <w:top w:val="single" w:color="auto" w:sz="4" w:space="0"/>
              <w:left w:val="single" w:color="auto" w:sz="4" w:space="0"/>
            </w:tcBorders>
            <w:shd w:val="clear" w:color="auto" w:fill="FFFFFF"/>
            <w:vAlign w:val="bottom"/>
          </w:tcPr>
          <w:p w14:paraId="599975B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83" w:type="pct"/>
            <w:tcBorders>
              <w:top w:val="single" w:color="auto" w:sz="4" w:space="0"/>
              <w:left w:val="single" w:color="auto" w:sz="4" w:space="0"/>
            </w:tcBorders>
            <w:shd w:val="clear" w:color="auto" w:fill="FFFFFF"/>
            <w:vAlign w:val="center"/>
          </w:tcPr>
          <w:p w14:paraId="331B61C2">
            <w:pPr>
              <w:pStyle w:val="11"/>
              <w:shd w:val="clear" w:color="auto" w:fill="auto"/>
              <w:spacing w:after="0" w:line="360" w:lineRule="auto"/>
              <w:rPr>
                <w:rFonts w:hint="eastAsia" w:ascii="宋体" w:hAnsi="宋体" w:eastAsia="宋体" w:cs="宋体"/>
                <w:sz w:val="24"/>
                <w:szCs w:val="24"/>
              </w:rPr>
            </w:pPr>
            <w:r>
              <w:rPr>
                <w:rStyle w:val="12"/>
                <w:rFonts w:hint="eastAsia" w:ascii="宋体" w:hAnsi="宋体" w:eastAsia="宋体" w:cs="宋体"/>
                <w:sz w:val="24"/>
                <w:szCs w:val="24"/>
              </w:rPr>
              <w:t>规范</w:t>
            </w:r>
          </w:p>
        </w:tc>
        <w:tc>
          <w:tcPr>
            <w:tcW w:w="797" w:type="pct"/>
            <w:tcBorders>
              <w:top w:val="single" w:color="auto" w:sz="4" w:space="0"/>
              <w:left w:val="single" w:color="auto" w:sz="4" w:space="0"/>
              <w:right w:val="single" w:color="auto" w:sz="4" w:space="0"/>
            </w:tcBorders>
            <w:shd w:val="clear" w:color="auto" w:fill="FFFFFF"/>
            <w:vAlign w:val="bottom"/>
          </w:tcPr>
          <w:p w14:paraId="63254DF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2</w:t>
            </w:r>
          </w:p>
        </w:tc>
      </w:tr>
      <w:tr w14:paraId="65782008">
        <w:tblPrEx>
          <w:tblCellMar>
            <w:top w:w="0" w:type="dxa"/>
            <w:left w:w="10" w:type="dxa"/>
            <w:bottom w:w="0" w:type="dxa"/>
            <w:right w:w="10" w:type="dxa"/>
          </w:tblCellMar>
        </w:tblPrEx>
        <w:trPr>
          <w:trHeight w:val="468" w:hRule="atLeast"/>
          <w:jc w:val="center"/>
        </w:trPr>
        <w:tc>
          <w:tcPr>
            <w:tcW w:w="2801" w:type="pct"/>
            <w:tcBorders>
              <w:top w:val="single" w:color="auto" w:sz="4" w:space="0"/>
              <w:left w:val="single" w:color="auto" w:sz="4" w:space="0"/>
              <w:bottom w:val="single" w:color="auto" w:sz="4" w:space="0"/>
            </w:tcBorders>
            <w:shd w:val="clear" w:color="auto" w:fill="FFFFFF"/>
            <w:vAlign w:val="center"/>
          </w:tcPr>
          <w:p w14:paraId="1A15C685">
            <w:pPr>
              <w:pStyle w:val="11"/>
              <w:shd w:val="clear" w:color="auto" w:fill="auto"/>
              <w:spacing w:after="0" w:line="360" w:lineRule="auto"/>
              <w:rPr>
                <w:rFonts w:hint="eastAsia" w:ascii="宋体" w:hAnsi="宋体" w:eastAsia="宋体" w:cs="宋体"/>
                <w:b w:val="0"/>
                <w:bCs w:val="0"/>
                <w:sz w:val="21"/>
                <w:szCs w:val="21"/>
                <w:lang w:eastAsia="zh-CN"/>
              </w:rPr>
            </w:pPr>
            <w:r>
              <w:rPr>
                <w:rFonts w:hint="eastAsia" w:cs="宋体"/>
                <w:b w:val="0"/>
                <w:bCs w:val="0"/>
                <w:sz w:val="21"/>
                <w:szCs w:val="21"/>
                <w:lang w:eastAsia="zh-CN"/>
              </w:rPr>
              <w:t>合计</w:t>
            </w:r>
          </w:p>
        </w:tc>
        <w:tc>
          <w:tcPr>
            <w:tcW w:w="619" w:type="pct"/>
            <w:tcBorders>
              <w:top w:val="single" w:color="auto" w:sz="4" w:space="0"/>
              <w:left w:val="single" w:color="auto" w:sz="4" w:space="0"/>
              <w:bottom w:val="single" w:color="auto" w:sz="4" w:space="0"/>
            </w:tcBorders>
            <w:shd w:val="clear" w:color="auto" w:fill="FFFFFF"/>
            <w:vAlign w:val="center"/>
          </w:tcPr>
          <w:p w14:paraId="7053936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8</w:t>
            </w:r>
          </w:p>
        </w:tc>
        <w:tc>
          <w:tcPr>
            <w:tcW w:w="783" w:type="pct"/>
            <w:tcBorders>
              <w:top w:val="single" w:color="auto" w:sz="4" w:space="0"/>
              <w:left w:val="single" w:color="auto" w:sz="4" w:space="0"/>
              <w:bottom w:val="single" w:color="auto" w:sz="4" w:space="0"/>
            </w:tcBorders>
            <w:shd w:val="clear" w:color="auto" w:fill="FFFFFF"/>
          </w:tcPr>
          <w:p w14:paraId="54561E1E">
            <w:pPr>
              <w:spacing w:line="360" w:lineRule="auto"/>
              <w:rPr>
                <w:rFonts w:ascii="仿宋_GB2312" w:hAnsi="仿宋_GB2312" w:eastAsia="仿宋_GB2312" w:cs="仿宋_GB2312"/>
                <w:b w:val="0"/>
                <w:bCs w:val="0"/>
                <w:sz w:val="24"/>
                <w:szCs w:val="24"/>
              </w:rPr>
            </w:pPr>
          </w:p>
        </w:tc>
        <w:tc>
          <w:tcPr>
            <w:tcW w:w="797" w:type="pct"/>
            <w:tcBorders>
              <w:top w:val="single" w:color="auto" w:sz="4" w:space="0"/>
              <w:left w:val="single" w:color="auto" w:sz="4" w:space="0"/>
              <w:bottom w:val="single" w:color="auto" w:sz="4" w:space="0"/>
              <w:right w:val="single" w:color="auto" w:sz="4" w:space="0"/>
            </w:tcBorders>
            <w:shd w:val="clear" w:color="auto" w:fill="FFFFFF"/>
            <w:vAlign w:val="center"/>
          </w:tcPr>
          <w:p w14:paraId="710659D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8</w:t>
            </w:r>
          </w:p>
        </w:tc>
      </w:tr>
    </w:tbl>
    <w:p w14:paraId="784A717A">
      <w:pPr>
        <w:topLinePunct/>
        <w:spacing w:line="579" w:lineRule="exact"/>
        <w:ind w:firstLine="586" w:firstLineChars="200"/>
        <w:rPr>
          <w:rFonts w:ascii="仿宋_GB2312" w:hAnsi="仿宋" w:eastAsia="仿宋_GB2312"/>
          <w:b/>
          <w:bCs/>
          <w:spacing w:val="6"/>
          <w:kern w:val="0"/>
          <w:sz w:val="28"/>
          <w:szCs w:val="28"/>
        </w:rPr>
      </w:pPr>
      <w:r>
        <w:rPr>
          <w:rFonts w:hint="eastAsia" w:ascii="仿宋_GB2312" w:hAnsi="仿宋" w:eastAsia="仿宋_GB2312"/>
          <w:b/>
          <w:bCs/>
          <w:spacing w:val="6"/>
          <w:kern w:val="0"/>
          <w:sz w:val="28"/>
          <w:szCs w:val="28"/>
        </w:rPr>
        <w:t>A11.与部门中长期规划目标适应性</w:t>
      </w:r>
    </w:p>
    <w:p w14:paraId="5C1F54D9">
      <w:pPr>
        <w:ind w:firstLine="630"/>
        <w:jc w:val="left"/>
        <w:rPr>
          <w:rFonts w:hint="eastAsia" w:ascii="仿宋_GB2312" w:hAnsi="仿宋" w:eastAsia="仿宋_GB2312" w:cs="Times New Roman"/>
          <w:spacing w:val="6"/>
          <w:kern w:val="0"/>
          <w:sz w:val="28"/>
          <w:szCs w:val="28"/>
        </w:rPr>
      </w:pPr>
      <w:r>
        <w:rPr>
          <w:rFonts w:hint="eastAsia" w:ascii="仿宋_GB2312" w:hAnsi="仿宋" w:eastAsia="仿宋_GB2312"/>
          <w:spacing w:val="6"/>
          <w:kern w:val="0"/>
          <w:sz w:val="28"/>
          <w:szCs w:val="28"/>
          <w:u w:val="single"/>
        </w:rPr>
        <w:t>A111.与部门中长期规划目标匹配性：</w:t>
      </w:r>
      <w:r>
        <w:rPr>
          <w:rFonts w:hint="eastAsia" w:ascii="仿宋_GB2312" w:hAnsi="仿宋" w:eastAsia="仿宋_GB2312" w:cs="Times New Roman"/>
          <w:spacing w:val="6"/>
          <w:kern w:val="0"/>
          <w:sz w:val="28"/>
          <w:szCs w:val="28"/>
        </w:rPr>
        <w:t>松华坝水库是昆明市最重要的城市集中式饮用水源地之一，市委市政府、区委区政府历来高度重视水源地的污染治理、生态保护工作，在滇源、阿子营两个街道交由我区托管后，区委区政府更进一步加大了水源保护区的污染治理力度，投入大量人力、物力、财力开展水环境综合治理工作</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rPr>
        <w:t>本项目的实施符合计划中确定的中长期目标。</w:t>
      </w:r>
    </w:p>
    <w:p w14:paraId="1C20C19F">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该项指标满分为1分，根据评分标准得1分。</w:t>
      </w:r>
    </w:p>
    <w:p w14:paraId="1BDD0076">
      <w:pPr>
        <w:topLinePunct/>
        <w:spacing w:line="579" w:lineRule="exact"/>
        <w:ind w:firstLine="586" w:firstLineChars="200"/>
        <w:rPr>
          <w:rFonts w:ascii="仿宋_GB2312" w:hAnsi="仿宋" w:eastAsia="仿宋_GB2312"/>
          <w:b/>
          <w:bCs/>
          <w:spacing w:val="6"/>
          <w:kern w:val="0"/>
          <w:sz w:val="28"/>
          <w:szCs w:val="28"/>
        </w:rPr>
      </w:pPr>
      <w:r>
        <w:rPr>
          <w:rFonts w:hint="eastAsia" w:ascii="仿宋_GB2312" w:hAnsi="仿宋" w:eastAsia="仿宋_GB2312"/>
          <w:b/>
          <w:bCs/>
          <w:spacing w:val="6"/>
          <w:kern w:val="0"/>
          <w:sz w:val="28"/>
          <w:szCs w:val="28"/>
        </w:rPr>
        <w:t>A12.立项依据充分性</w:t>
      </w:r>
    </w:p>
    <w:p w14:paraId="0A4B53B6">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u w:val="single"/>
        </w:rPr>
        <w:t>A121.与发展规划匹配性：</w:t>
      </w:r>
      <w:r>
        <w:rPr>
          <w:rFonts w:hint="eastAsia" w:ascii="仿宋_GB2312" w:hAnsi="仿宋" w:eastAsia="仿宋_GB2312" w:cs="Times New Roman"/>
          <w:spacing w:val="6"/>
          <w:kern w:val="0"/>
          <w:sz w:val="28"/>
          <w:szCs w:val="28"/>
        </w:rPr>
        <w:t>加强松华坝水库水源保护区环境保护和削减污染物入库量工作，确保设施正常运行，切实增强污水处理设施的运行监管，提高污水处理率</w:t>
      </w:r>
      <w:r>
        <w:rPr>
          <w:rFonts w:hint="eastAsia" w:ascii="仿宋_GB2312" w:hAnsi="仿宋" w:eastAsia="仿宋_GB2312"/>
          <w:spacing w:val="6"/>
          <w:kern w:val="0"/>
          <w:sz w:val="28"/>
          <w:szCs w:val="28"/>
        </w:rPr>
        <w:t>，</w:t>
      </w:r>
      <w:r>
        <w:rPr>
          <w:rFonts w:hint="eastAsia" w:ascii="仿宋_GB2312" w:hAnsi="仿宋" w:eastAsia="仿宋_GB2312" w:cs="Times New Roman"/>
          <w:spacing w:val="6"/>
          <w:kern w:val="0"/>
          <w:sz w:val="28"/>
          <w:szCs w:val="28"/>
        </w:rPr>
        <w:t>依据相关法律法规及盘龙区实际，特制订村庄生活污水处理工程污水处理站运行管理考核办法（试行）</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rPr>
        <w:t>本项目立项与发展规划相匹配。</w:t>
      </w:r>
    </w:p>
    <w:p w14:paraId="7C50D9CA">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该项指标满分为2分，根据评分标准得2分。</w:t>
      </w:r>
    </w:p>
    <w:p w14:paraId="2482BD70">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u w:val="single"/>
        </w:rPr>
        <w:t>A122.与部门职责适应性：</w:t>
      </w:r>
      <w:r>
        <w:rPr>
          <w:rFonts w:hint="eastAsia" w:ascii="仿宋_GB2312" w:hAnsi="仿宋" w:eastAsia="仿宋_GB2312" w:cs="Times New Roman"/>
          <w:spacing w:val="6"/>
          <w:kern w:val="0"/>
          <w:sz w:val="28"/>
          <w:szCs w:val="28"/>
          <w:lang w:val="en-US" w:eastAsia="zh-CN"/>
        </w:rPr>
        <w:t>昆明市生态环境局盘龙分局的职能职责为加强环境保护工作的监督与管理职责、</w:t>
      </w:r>
      <w:r>
        <w:rPr>
          <w:rFonts w:hint="default" w:ascii="仿宋_GB2312" w:hAnsi="仿宋" w:eastAsia="仿宋_GB2312" w:cs="Times New Roman"/>
          <w:spacing w:val="6"/>
          <w:kern w:val="0"/>
          <w:sz w:val="28"/>
          <w:szCs w:val="28"/>
          <w:lang w:val="en-US" w:eastAsia="zh-CN"/>
        </w:rPr>
        <w:t>加强高污染燃料禁燃区管理工作职责</w:t>
      </w:r>
      <w:r>
        <w:rPr>
          <w:rFonts w:hint="eastAsia" w:ascii="仿宋_GB2312" w:hAnsi="仿宋" w:eastAsia="仿宋_GB2312" w:cs="Times New Roman"/>
          <w:spacing w:val="6"/>
          <w:kern w:val="0"/>
          <w:sz w:val="28"/>
          <w:szCs w:val="28"/>
          <w:lang w:val="en-US" w:eastAsia="zh-CN"/>
        </w:rPr>
        <w:t>、</w:t>
      </w:r>
      <w:r>
        <w:rPr>
          <w:rFonts w:hint="default" w:ascii="仿宋_GB2312" w:hAnsi="仿宋" w:eastAsia="仿宋_GB2312" w:cs="Times New Roman"/>
          <w:spacing w:val="6"/>
          <w:kern w:val="0"/>
          <w:sz w:val="28"/>
          <w:szCs w:val="28"/>
          <w:lang w:val="en-US" w:eastAsia="zh-CN"/>
        </w:rPr>
        <w:t>加强环境噪声防治管理职责</w:t>
      </w:r>
      <w:r>
        <w:rPr>
          <w:rFonts w:hint="eastAsia" w:ascii="仿宋_GB2312" w:hAnsi="仿宋" w:eastAsia="仿宋_GB2312" w:cs="Times New Roman"/>
          <w:spacing w:val="6"/>
          <w:kern w:val="0"/>
          <w:sz w:val="28"/>
          <w:szCs w:val="28"/>
          <w:lang w:val="en-US" w:eastAsia="zh-CN"/>
        </w:rPr>
        <w:t>、</w:t>
      </w:r>
      <w:r>
        <w:rPr>
          <w:rFonts w:hint="default" w:ascii="仿宋_GB2312" w:hAnsi="仿宋" w:eastAsia="仿宋_GB2312" w:cs="Times New Roman"/>
          <w:spacing w:val="6"/>
          <w:kern w:val="0"/>
          <w:sz w:val="28"/>
          <w:szCs w:val="28"/>
          <w:lang w:val="en-US" w:eastAsia="zh-CN"/>
        </w:rPr>
        <w:t>加强水污染防治的职责</w:t>
      </w:r>
      <w:r>
        <w:rPr>
          <w:rFonts w:hint="eastAsia" w:ascii="仿宋_GB2312" w:hAnsi="仿宋" w:eastAsia="仿宋_GB2312" w:cs="Times New Roman"/>
          <w:spacing w:val="6"/>
          <w:kern w:val="0"/>
          <w:sz w:val="28"/>
          <w:szCs w:val="28"/>
          <w:lang w:val="en-US" w:eastAsia="zh-CN"/>
        </w:rPr>
        <w:t>、</w:t>
      </w:r>
      <w:r>
        <w:rPr>
          <w:rFonts w:hint="default" w:ascii="仿宋_GB2312" w:hAnsi="仿宋" w:eastAsia="仿宋_GB2312" w:cs="Times New Roman"/>
          <w:spacing w:val="6"/>
          <w:kern w:val="0"/>
          <w:sz w:val="28"/>
          <w:szCs w:val="28"/>
          <w:lang w:val="en-US" w:eastAsia="zh-CN"/>
        </w:rPr>
        <w:t>加强餐饮业管理职责</w:t>
      </w:r>
      <w:r>
        <w:rPr>
          <w:rFonts w:hint="eastAsia" w:ascii="仿宋_GB2312" w:hAnsi="仿宋" w:eastAsia="仿宋_GB2312" w:cs="Times New Roman"/>
          <w:spacing w:val="6"/>
          <w:kern w:val="0"/>
          <w:sz w:val="28"/>
          <w:szCs w:val="28"/>
          <w:lang w:val="en-US" w:eastAsia="zh-CN"/>
        </w:rPr>
        <w:t>，</w:t>
      </w:r>
      <w:r>
        <w:rPr>
          <w:rFonts w:hint="eastAsia" w:ascii="仿宋_GB2312" w:hAnsi="仿宋" w:eastAsia="仿宋_GB2312" w:cs="Times New Roman"/>
          <w:spacing w:val="6"/>
          <w:kern w:val="0"/>
          <w:sz w:val="28"/>
          <w:szCs w:val="28"/>
        </w:rPr>
        <w:t>与部门主要职责相适应</w:t>
      </w:r>
      <w:r>
        <w:rPr>
          <w:rFonts w:hint="eastAsia" w:ascii="仿宋_GB2312" w:hAnsi="仿宋" w:eastAsia="仿宋_GB2312"/>
          <w:spacing w:val="6"/>
          <w:kern w:val="0"/>
          <w:sz w:val="28"/>
          <w:szCs w:val="28"/>
        </w:rPr>
        <w:t>。</w:t>
      </w:r>
    </w:p>
    <w:p w14:paraId="6CD9E9C7">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该项指标满分为1分，根据评分标准得1分。</w:t>
      </w:r>
    </w:p>
    <w:p w14:paraId="39AD51C1">
      <w:pPr>
        <w:topLinePunct/>
        <w:spacing w:line="579" w:lineRule="exact"/>
        <w:ind w:firstLine="586" w:firstLineChars="200"/>
        <w:rPr>
          <w:rFonts w:ascii="仿宋_GB2312" w:hAnsi="仿宋" w:eastAsia="仿宋_GB2312"/>
          <w:b/>
          <w:bCs/>
          <w:spacing w:val="6"/>
          <w:kern w:val="0"/>
          <w:sz w:val="28"/>
          <w:szCs w:val="28"/>
        </w:rPr>
      </w:pPr>
      <w:r>
        <w:rPr>
          <w:rFonts w:hint="eastAsia" w:ascii="仿宋_GB2312" w:hAnsi="仿宋" w:eastAsia="仿宋_GB2312"/>
          <w:b/>
          <w:bCs/>
          <w:spacing w:val="6"/>
          <w:kern w:val="0"/>
          <w:sz w:val="28"/>
          <w:szCs w:val="28"/>
        </w:rPr>
        <w:t>A13.项目立项规范性</w:t>
      </w:r>
    </w:p>
    <w:p w14:paraId="0CE80855">
      <w:pPr>
        <w:topLinePunct/>
        <w:spacing w:line="579" w:lineRule="exact"/>
        <w:ind w:firstLine="584" w:firstLineChars="200"/>
        <w:rPr>
          <w:rFonts w:hint="eastAsia" w:ascii="仿宋_GB2312" w:hAnsi="仿宋" w:eastAsia="仿宋_GB2312" w:cs="Times New Roman"/>
          <w:spacing w:val="6"/>
          <w:kern w:val="0"/>
          <w:sz w:val="28"/>
          <w:szCs w:val="28"/>
        </w:rPr>
      </w:pPr>
      <w:r>
        <w:rPr>
          <w:rFonts w:hint="eastAsia" w:ascii="仿宋_GB2312" w:hAnsi="仿宋" w:eastAsia="仿宋_GB2312"/>
          <w:spacing w:val="6"/>
          <w:kern w:val="0"/>
          <w:sz w:val="28"/>
          <w:szCs w:val="28"/>
          <w:u w:val="single"/>
        </w:rPr>
        <w:t>A131.前期调研情况：</w:t>
      </w:r>
      <w:r>
        <w:rPr>
          <w:rFonts w:hint="eastAsia" w:ascii="仿宋_GB2312" w:hAnsi="仿宋" w:eastAsia="仿宋_GB2312" w:cs="Times New Roman"/>
          <w:spacing w:val="6"/>
          <w:kern w:val="0"/>
          <w:sz w:val="28"/>
          <w:szCs w:val="28"/>
          <w:lang w:val="en-US" w:eastAsia="zh-CN"/>
        </w:rPr>
        <w:t>为了</w:t>
      </w:r>
      <w:r>
        <w:rPr>
          <w:rFonts w:hint="eastAsia" w:ascii="仿宋_GB2312" w:hAnsi="仿宋" w:eastAsia="仿宋_GB2312" w:cs="Times New Roman"/>
          <w:spacing w:val="6"/>
          <w:kern w:val="0"/>
          <w:sz w:val="28"/>
          <w:szCs w:val="28"/>
        </w:rPr>
        <w:t>承担水环境综合整治工作相关项目，共建设了10座深度污水处理设施，其中有5座经第十五届盘龙区人民政府第67次常务会研究后，交由区建投公司负责运营维护管理，另外5座</w:t>
      </w:r>
      <w:r>
        <w:rPr>
          <w:rFonts w:hint="eastAsia" w:ascii="仿宋_GB2312" w:hAnsi="仿宋" w:eastAsia="仿宋_GB2312" w:cs="Times New Roman"/>
          <w:spacing w:val="6"/>
          <w:kern w:val="0"/>
          <w:sz w:val="28"/>
          <w:szCs w:val="28"/>
          <w:lang w:val="en-US" w:eastAsia="zh-CN"/>
        </w:rPr>
        <w:t>移交区农投公司</w:t>
      </w:r>
      <w:r>
        <w:rPr>
          <w:rFonts w:hint="eastAsia" w:ascii="仿宋_GB2312" w:hAnsi="仿宋" w:eastAsia="仿宋_GB2312" w:cs="Times New Roman"/>
          <w:spacing w:val="6"/>
          <w:kern w:val="0"/>
          <w:sz w:val="28"/>
          <w:szCs w:val="28"/>
        </w:rPr>
        <w:t>负责运营维护管理</w:t>
      </w:r>
      <w:r>
        <w:rPr>
          <w:rFonts w:hint="eastAsia" w:ascii="仿宋_GB2312" w:hAnsi="仿宋" w:eastAsia="仿宋_GB2312" w:cs="Times New Roman"/>
          <w:spacing w:val="6"/>
          <w:kern w:val="0"/>
          <w:sz w:val="28"/>
          <w:szCs w:val="28"/>
          <w:lang w:eastAsia="zh-CN"/>
        </w:rPr>
        <w:t>，</w:t>
      </w:r>
      <w:r>
        <w:rPr>
          <w:rFonts w:hint="eastAsia" w:ascii="仿宋_GB2312" w:hAnsi="仿宋" w:eastAsia="仿宋_GB2312" w:cs="Times New Roman"/>
          <w:spacing w:val="6"/>
          <w:kern w:val="0"/>
          <w:sz w:val="28"/>
          <w:szCs w:val="28"/>
        </w:rPr>
        <w:t>故本项目的设立经过了充分的调研。</w:t>
      </w:r>
    </w:p>
    <w:p w14:paraId="62E529C8">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该项指标满分为2分，根据评分标准得2分。</w:t>
      </w:r>
    </w:p>
    <w:p w14:paraId="09A1C002">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u w:val="single"/>
        </w:rPr>
        <w:t>A132.立项程序规范性：</w:t>
      </w:r>
      <w:r>
        <w:rPr>
          <w:rFonts w:hint="eastAsia" w:ascii="仿宋_GB2312" w:hAnsi="仿宋" w:eastAsia="仿宋_GB2312" w:cs="Times New Roman"/>
          <w:spacing w:val="6"/>
          <w:kern w:val="0"/>
          <w:sz w:val="28"/>
          <w:szCs w:val="28"/>
        </w:rPr>
        <w:t>区环保局承担了部分工程建设任务，“十二五”期间牵头组织开展了“松华坝水库水源保护区水环境综合整治工程”，“十三五”期间承担了“冷水河沿岸村庄截污工程”、“牧羊河（阿子营段）沿岸村庄截污工程”的建设任务</w:t>
      </w:r>
      <w:r>
        <w:rPr>
          <w:rFonts w:hint="eastAsia" w:ascii="仿宋_GB2312" w:hAnsi="仿宋" w:eastAsia="仿宋_GB2312"/>
          <w:spacing w:val="6"/>
          <w:kern w:val="0"/>
          <w:sz w:val="28"/>
          <w:szCs w:val="28"/>
        </w:rPr>
        <w:t>，项目立项程序规范。</w:t>
      </w:r>
    </w:p>
    <w:p w14:paraId="1CF8BB65">
      <w:pPr>
        <w:topLinePunct/>
        <w:spacing w:line="579" w:lineRule="exact"/>
        <w:ind w:firstLine="584" w:firstLineChars="200"/>
        <w:rPr>
          <w:rFonts w:ascii="仿宋" w:hAnsi="仿宋" w:eastAsia="仿宋"/>
          <w:sz w:val="28"/>
          <w:szCs w:val="28"/>
        </w:rPr>
      </w:pPr>
      <w:r>
        <w:rPr>
          <w:rFonts w:hint="eastAsia" w:ascii="仿宋_GB2312" w:hAnsi="仿宋" w:eastAsia="仿宋_GB2312"/>
          <w:spacing w:val="6"/>
          <w:kern w:val="0"/>
          <w:sz w:val="28"/>
          <w:szCs w:val="28"/>
        </w:rPr>
        <w:t>该项指标满分为2分，根据评分标准得2分。</w:t>
      </w:r>
    </w:p>
    <w:p w14:paraId="3ED2D1AF">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（2）项目目标</w:t>
      </w:r>
    </w:p>
    <w:p w14:paraId="65B82F04">
      <w:pPr>
        <w:topLinePunct/>
        <w:spacing w:line="579" w:lineRule="exact"/>
        <w:ind w:firstLine="584" w:firstLineChars="200"/>
        <w:rPr>
          <w:rFonts w:ascii="仿宋_GB2312" w:hAnsi="仿宋" w:eastAsia="仿宋_GB2312"/>
          <w:spacing w:val="6"/>
          <w:kern w:val="0"/>
          <w:sz w:val="28"/>
          <w:szCs w:val="28"/>
        </w:rPr>
      </w:pPr>
      <w:r>
        <w:rPr>
          <w:rFonts w:hint="eastAsia" w:ascii="仿宋_GB2312" w:hAnsi="仿宋" w:eastAsia="仿宋_GB2312"/>
          <w:spacing w:val="6"/>
          <w:kern w:val="0"/>
          <w:sz w:val="28"/>
          <w:szCs w:val="28"/>
        </w:rPr>
        <w:t>主要考察所设定的项目绩效目标是否依据充分、完整且与预算相匹配，细化分解的绩效指标是否与绩效目标相适应。各指标业绩值和实际得分详见表7。</w:t>
      </w:r>
    </w:p>
    <w:p w14:paraId="706A1B9F">
      <w:pPr>
        <w:jc w:val="center"/>
        <w:rPr>
          <w:rFonts w:hint="eastAsia" w:ascii="黑体" w:hAnsi="黑体" w:eastAsia="黑体"/>
          <w:kern w:val="2"/>
          <w:sz w:val="24"/>
          <w:szCs w:val="24"/>
          <w:lang w:val="zh-CN"/>
        </w:rPr>
      </w:pPr>
      <w:r>
        <w:rPr>
          <w:rFonts w:hint="eastAsia" w:ascii="黑体" w:hAnsi="黑体" w:eastAsia="黑体"/>
          <w:kern w:val="2"/>
          <w:sz w:val="24"/>
          <w:szCs w:val="24"/>
          <w:lang w:val="zh-CN"/>
        </w:rPr>
        <w:t>表7  项目目标指标评分表</w:t>
      </w:r>
    </w:p>
    <w:tbl>
      <w:tblPr>
        <w:tblStyle w:val="8"/>
        <w:tblW w:w="5000" w:type="pct"/>
        <w:jc w:val="center"/>
        <w:tblLayout w:type="autofit"/>
        <w:tblCellMar>
          <w:top w:w="0" w:type="dxa"/>
          <w:left w:w="10" w:type="dxa"/>
          <w:bottom w:w="0" w:type="dxa"/>
          <w:right w:w="10" w:type="dxa"/>
        </w:tblCellMar>
      </w:tblPr>
      <w:tblGrid>
        <w:gridCol w:w="3864"/>
        <w:gridCol w:w="1251"/>
        <w:gridCol w:w="1514"/>
        <w:gridCol w:w="1697"/>
      </w:tblGrid>
      <w:tr w14:paraId="52A09071">
        <w:tblPrEx>
          <w:tblCellMar>
            <w:top w:w="0" w:type="dxa"/>
            <w:left w:w="10" w:type="dxa"/>
            <w:bottom w:w="0" w:type="dxa"/>
            <w:right w:w="10" w:type="dxa"/>
          </w:tblCellMar>
        </w:tblPrEx>
        <w:trPr>
          <w:trHeight w:val="471" w:hRule="atLeast"/>
          <w:tblHeader/>
          <w:jc w:val="center"/>
        </w:trPr>
        <w:tc>
          <w:tcPr>
            <w:tcW w:w="2321" w:type="pct"/>
            <w:tcBorders>
              <w:top w:val="single" w:color="auto" w:sz="4" w:space="0"/>
              <w:left w:val="single" w:color="auto" w:sz="4" w:space="0"/>
              <w:bottom w:val="single" w:color="auto" w:sz="4" w:space="0"/>
              <w:right w:val="single" w:color="auto" w:sz="4" w:space="0"/>
            </w:tcBorders>
            <w:shd w:val="clear" w:color="auto" w:fill="FFFFFF"/>
            <w:vAlign w:val="bottom"/>
          </w:tcPr>
          <w:p w14:paraId="20E8EDCA">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751" w:type="pct"/>
            <w:tcBorders>
              <w:top w:val="single" w:color="auto" w:sz="4" w:space="0"/>
              <w:left w:val="single" w:color="auto" w:sz="4" w:space="0"/>
              <w:bottom w:val="single" w:color="auto" w:sz="4" w:space="0"/>
              <w:right w:val="single" w:color="auto" w:sz="4" w:space="0"/>
            </w:tcBorders>
            <w:shd w:val="clear" w:color="auto" w:fill="FFFFFF"/>
            <w:vAlign w:val="bottom"/>
          </w:tcPr>
          <w:p w14:paraId="1A23E914">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909" w:type="pct"/>
            <w:tcBorders>
              <w:top w:val="single" w:color="auto" w:sz="4" w:space="0"/>
              <w:left w:val="single" w:color="auto" w:sz="4" w:space="0"/>
              <w:bottom w:val="single" w:color="auto" w:sz="4" w:space="0"/>
              <w:right w:val="single" w:color="auto" w:sz="4" w:space="0"/>
            </w:tcBorders>
            <w:shd w:val="clear" w:color="auto" w:fill="FFFFFF"/>
            <w:vAlign w:val="bottom"/>
          </w:tcPr>
          <w:p w14:paraId="1CF3033A">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1019" w:type="pct"/>
            <w:tcBorders>
              <w:top w:val="single" w:color="auto" w:sz="4" w:space="0"/>
              <w:left w:val="single" w:color="auto" w:sz="4" w:space="0"/>
              <w:bottom w:val="single" w:color="auto" w:sz="4" w:space="0"/>
              <w:right w:val="single" w:color="auto" w:sz="4" w:space="0"/>
            </w:tcBorders>
            <w:shd w:val="clear" w:color="auto" w:fill="FFFFFF"/>
            <w:vAlign w:val="bottom"/>
          </w:tcPr>
          <w:p w14:paraId="333DED12">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16B5EB27">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tcBorders>
            <w:shd w:val="clear" w:color="auto" w:fill="FFFFFF"/>
          </w:tcPr>
          <w:p w14:paraId="097761CE">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A21.绩效目标设定的合理性</w:t>
            </w:r>
          </w:p>
        </w:tc>
        <w:tc>
          <w:tcPr>
            <w:tcW w:w="751" w:type="pct"/>
            <w:tcBorders>
              <w:top w:val="single" w:color="auto" w:sz="4" w:space="0"/>
              <w:left w:val="single" w:color="auto" w:sz="4" w:space="0"/>
              <w:bottom w:val="single" w:color="auto" w:sz="4" w:space="0"/>
            </w:tcBorders>
            <w:shd w:val="clear" w:color="auto" w:fill="FFFFFF"/>
          </w:tcPr>
          <w:p w14:paraId="7316DF8D">
            <w:pPr>
              <w:spacing w:line="360" w:lineRule="auto"/>
              <w:rPr>
                <w:rFonts w:ascii="仿宋_GB2312" w:hAnsi="仿宋_GB2312" w:eastAsia="仿宋_GB2312" w:cs="仿宋_GB2312"/>
                <w:sz w:val="24"/>
                <w:szCs w:val="24"/>
              </w:rPr>
            </w:pPr>
          </w:p>
        </w:tc>
        <w:tc>
          <w:tcPr>
            <w:tcW w:w="909" w:type="pct"/>
            <w:tcBorders>
              <w:top w:val="single" w:color="auto" w:sz="4" w:space="0"/>
              <w:left w:val="single" w:color="auto" w:sz="4" w:space="0"/>
              <w:bottom w:val="single" w:color="auto" w:sz="4" w:space="0"/>
            </w:tcBorders>
            <w:shd w:val="clear" w:color="auto" w:fill="FFFFFF"/>
          </w:tcPr>
          <w:p w14:paraId="06DA7B52">
            <w:pPr>
              <w:spacing w:line="360" w:lineRule="auto"/>
              <w:rPr>
                <w:rFonts w:ascii="仿宋_GB2312" w:hAnsi="仿宋_GB2312" w:eastAsia="仿宋_GB2312" w:cs="仿宋_GB2312"/>
                <w:sz w:val="24"/>
                <w:szCs w:val="24"/>
              </w:rPr>
            </w:pPr>
          </w:p>
        </w:tc>
        <w:tc>
          <w:tcPr>
            <w:tcW w:w="1019" w:type="pct"/>
            <w:tcBorders>
              <w:top w:val="single" w:color="auto" w:sz="4" w:space="0"/>
              <w:left w:val="single" w:color="auto" w:sz="4" w:space="0"/>
              <w:bottom w:val="single" w:color="auto" w:sz="4" w:space="0"/>
              <w:right w:val="single" w:color="auto" w:sz="4" w:space="0"/>
            </w:tcBorders>
            <w:shd w:val="clear" w:color="auto" w:fill="FFFFFF"/>
          </w:tcPr>
          <w:p w14:paraId="682631CF">
            <w:pPr>
              <w:spacing w:line="360" w:lineRule="auto"/>
              <w:rPr>
                <w:rFonts w:ascii="仿宋_GB2312" w:hAnsi="仿宋_GB2312" w:eastAsia="仿宋_GB2312" w:cs="仿宋_GB2312"/>
                <w:sz w:val="24"/>
                <w:szCs w:val="24"/>
              </w:rPr>
            </w:pPr>
          </w:p>
        </w:tc>
      </w:tr>
      <w:tr w14:paraId="4A8AD3F4">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right w:val="single" w:color="auto" w:sz="4" w:space="0"/>
            </w:tcBorders>
            <w:shd w:val="clear" w:color="auto" w:fill="FFFFFF"/>
            <w:vAlign w:val="center"/>
          </w:tcPr>
          <w:p w14:paraId="610D86E2">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A211.绩效目标相关性</w:t>
            </w:r>
          </w:p>
        </w:tc>
        <w:tc>
          <w:tcPr>
            <w:tcW w:w="751" w:type="pct"/>
            <w:tcBorders>
              <w:top w:val="single" w:color="auto" w:sz="4" w:space="0"/>
              <w:left w:val="single" w:color="auto" w:sz="4" w:space="0"/>
              <w:bottom w:val="single" w:color="auto" w:sz="4" w:space="0"/>
              <w:right w:val="single" w:color="auto" w:sz="4" w:space="0"/>
            </w:tcBorders>
            <w:shd w:val="clear" w:color="auto" w:fill="FFFFFF"/>
            <w:vAlign w:val="bottom"/>
          </w:tcPr>
          <w:p w14:paraId="568F4CD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bottom w:val="single" w:color="auto" w:sz="4" w:space="0"/>
              <w:right w:val="single" w:color="auto" w:sz="4" w:space="0"/>
            </w:tcBorders>
            <w:shd w:val="clear" w:color="auto" w:fill="FFFFFF"/>
            <w:vAlign w:val="center"/>
          </w:tcPr>
          <w:p w14:paraId="27FA9321">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相关</w:t>
            </w:r>
          </w:p>
        </w:tc>
        <w:tc>
          <w:tcPr>
            <w:tcW w:w="1019" w:type="pct"/>
            <w:tcBorders>
              <w:top w:val="single" w:color="auto" w:sz="4" w:space="0"/>
              <w:left w:val="single" w:color="auto" w:sz="4" w:space="0"/>
              <w:bottom w:val="single" w:color="auto" w:sz="4" w:space="0"/>
              <w:right w:val="single" w:color="auto" w:sz="4" w:space="0"/>
            </w:tcBorders>
            <w:shd w:val="clear" w:color="auto" w:fill="FFFFFF"/>
            <w:vAlign w:val="bottom"/>
          </w:tcPr>
          <w:p w14:paraId="7C1CB5B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2</w:t>
            </w:r>
          </w:p>
        </w:tc>
      </w:tr>
      <w:tr w14:paraId="4C46A927">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687772A9">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A212.绩效目标完整性</w:t>
            </w:r>
          </w:p>
        </w:tc>
        <w:tc>
          <w:tcPr>
            <w:tcW w:w="751" w:type="pct"/>
            <w:tcBorders>
              <w:top w:val="single" w:color="auto" w:sz="4" w:space="0"/>
              <w:left w:val="single" w:color="auto" w:sz="4" w:space="0"/>
            </w:tcBorders>
            <w:shd w:val="clear" w:color="auto" w:fill="FFFFFF"/>
          </w:tcPr>
          <w:p w14:paraId="6A0A69C9">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tcBorders>
            <w:shd w:val="clear" w:color="auto" w:fill="FFFFFF"/>
          </w:tcPr>
          <w:p w14:paraId="379DC364">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完整</w:t>
            </w:r>
          </w:p>
        </w:tc>
        <w:tc>
          <w:tcPr>
            <w:tcW w:w="1019" w:type="pct"/>
            <w:tcBorders>
              <w:top w:val="single" w:color="auto" w:sz="4" w:space="0"/>
              <w:left w:val="single" w:color="auto" w:sz="4" w:space="0"/>
              <w:right w:val="single" w:color="auto" w:sz="4" w:space="0"/>
            </w:tcBorders>
            <w:shd w:val="clear" w:color="auto" w:fill="FFFFFF"/>
          </w:tcPr>
          <w:p w14:paraId="1102DAE9">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r>
              <w:rPr>
                <w:rFonts w:hint="eastAsia" w:ascii="Calibri" w:hAnsi="仿宋" w:eastAsia="宋体" w:cs="宋体"/>
                <w:color w:val="000000"/>
                <w:spacing w:val="0"/>
                <w:kern w:val="2"/>
                <w:sz w:val="21"/>
                <w:szCs w:val="22"/>
                <w:lang w:val="en-US" w:eastAsia="en-US" w:bidi="ar-SA"/>
              </w:rPr>
              <w:t>2</w:t>
            </w:r>
          </w:p>
        </w:tc>
      </w:tr>
      <w:tr w14:paraId="61730070">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5B27FA8D">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A213.目标与预算的匹配性</w:t>
            </w:r>
          </w:p>
        </w:tc>
        <w:tc>
          <w:tcPr>
            <w:tcW w:w="751" w:type="pct"/>
            <w:tcBorders>
              <w:top w:val="single" w:color="auto" w:sz="4" w:space="0"/>
              <w:left w:val="single" w:color="auto" w:sz="4" w:space="0"/>
            </w:tcBorders>
            <w:shd w:val="clear" w:color="auto" w:fill="FFFFFF"/>
            <w:vAlign w:val="bottom"/>
          </w:tcPr>
          <w:p w14:paraId="438ED27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tcBorders>
            <w:shd w:val="clear" w:color="auto" w:fill="FFFFFF"/>
            <w:vAlign w:val="center"/>
          </w:tcPr>
          <w:p w14:paraId="18988230">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匹配</w:t>
            </w:r>
          </w:p>
        </w:tc>
        <w:tc>
          <w:tcPr>
            <w:tcW w:w="1019" w:type="pct"/>
            <w:tcBorders>
              <w:top w:val="single" w:color="auto" w:sz="4" w:space="0"/>
              <w:left w:val="single" w:color="auto" w:sz="4" w:space="0"/>
              <w:right w:val="single" w:color="auto" w:sz="4" w:space="0"/>
            </w:tcBorders>
            <w:shd w:val="clear" w:color="auto" w:fill="FFFFFF"/>
            <w:vAlign w:val="bottom"/>
          </w:tcPr>
          <w:p w14:paraId="1177E397">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r>
              <w:rPr>
                <w:rFonts w:hint="eastAsia" w:ascii="Calibri" w:hAnsi="仿宋" w:eastAsia="宋体" w:cs="宋体"/>
                <w:color w:val="000000"/>
                <w:spacing w:val="0"/>
                <w:kern w:val="2"/>
                <w:sz w:val="21"/>
                <w:szCs w:val="22"/>
                <w:lang w:val="en-US" w:eastAsia="en-US" w:bidi="ar-SA"/>
              </w:rPr>
              <w:t>2</w:t>
            </w:r>
          </w:p>
        </w:tc>
      </w:tr>
      <w:tr w14:paraId="1185C5C7">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70798B86">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A22.绩效指标设定的明确性</w:t>
            </w:r>
          </w:p>
        </w:tc>
        <w:tc>
          <w:tcPr>
            <w:tcW w:w="751" w:type="pct"/>
            <w:tcBorders>
              <w:top w:val="single" w:color="auto" w:sz="4" w:space="0"/>
              <w:left w:val="single" w:color="auto" w:sz="4" w:space="0"/>
            </w:tcBorders>
            <w:shd w:val="clear" w:color="auto" w:fill="FFFFFF"/>
            <w:vAlign w:val="bottom"/>
          </w:tcPr>
          <w:p w14:paraId="2D9E5A3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09" w:type="pct"/>
            <w:tcBorders>
              <w:top w:val="single" w:color="auto" w:sz="4" w:space="0"/>
              <w:left w:val="single" w:color="auto" w:sz="4" w:space="0"/>
            </w:tcBorders>
            <w:shd w:val="clear" w:color="auto" w:fill="FFFFFF"/>
            <w:vAlign w:val="center"/>
          </w:tcPr>
          <w:p w14:paraId="7E6F80D2">
            <w:pPr>
              <w:pStyle w:val="11"/>
              <w:shd w:val="clear" w:color="auto" w:fill="auto"/>
              <w:spacing w:after="0" w:line="360" w:lineRule="auto"/>
              <w:rPr>
                <w:rFonts w:hint="eastAsia" w:ascii="宋体" w:hAnsi="宋体" w:eastAsia="宋体" w:cs="宋体"/>
                <w:sz w:val="21"/>
                <w:szCs w:val="21"/>
              </w:rPr>
            </w:pPr>
          </w:p>
        </w:tc>
        <w:tc>
          <w:tcPr>
            <w:tcW w:w="1019" w:type="pct"/>
            <w:tcBorders>
              <w:top w:val="single" w:color="auto" w:sz="4" w:space="0"/>
              <w:left w:val="single" w:color="auto" w:sz="4" w:space="0"/>
              <w:right w:val="single" w:color="auto" w:sz="4" w:space="0"/>
            </w:tcBorders>
            <w:shd w:val="clear" w:color="auto" w:fill="FFFFFF"/>
            <w:vAlign w:val="bottom"/>
          </w:tcPr>
          <w:p w14:paraId="60143A82">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p>
        </w:tc>
      </w:tr>
      <w:tr w14:paraId="7B1BD95F">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6CA137CB">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A221.指标细化分解情况</w:t>
            </w:r>
          </w:p>
        </w:tc>
        <w:tc>
          <w:tcPr>
            <w:tcW w:w="751" w:type="pct"/>
            <w:tcBorders>
              <w:top w:val="single" w:color="auto" w:sz="4" w:space="0"/>
              <w:left w:val="single" w:color="auto" w:sz="4" w:space="0"/>
            </w:tcBorders>
            <w:shd w:val="clear" w:color="auto" w:fill="FFFFFF"/>
          </w:tcPr>
          <w:p w14:paraId="34226DB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3</w:t>
            </w:r>
          </w:p>
        </w:tc>
        <w:tc>
          <w:tcPr>
            <w:tcW w:w="909" w:type="pct"/>
            <w:tcBorders>
              <w:top w:val="single" w:color="auto" w:sz="4" w:space="0"/>
              <w:left w:val="single" w:color="auto" w:sz="4" w:space="0"/>
            </w:tcBorders>
            <w:shd w:val="clear" w:color="auto" w:fill="FFFFFF"/>
          </w:tcPr>
          <w:p w14:paraId="155DC426">
            <w:pPr>
              <w:spacing w:line="360" w:lineRule="auto"/>
              <w:jc w:val="center"/>
              <w:rPr>
                <w:rFonts w:hint="eastAsia" w:ascii="宋体" w:hAnsi="宋体" w:eastAsia="宋体" w:cs="宋体"/>
                <w:sz w:val="21"/>
                <w:szCs w:val="21"/>
              </w:rPr>
            </w:pPr>
            <w:r>
              <w:rPr>
                <w:rFonts w:hint="eastAsia" w:ascii="宋体" w:hAnsi="宋体" w:cs="宋体"/>
                <w:sz w:val="21"/>
                <w:szCs w:val="21"/>
                <w:lang w:val="en-US" w:eastAsia="zh-CN"/>
              </w:rPr>
              <w:t>已</w:t>
            </w:r>
            <w:r>
              <w:rPr>
                <w:rFonts w:hint="eastAsia" w:ascii="宋体" w:hAnsi="宋体" w:eastAsia="宋体" w:cs="宋体"/>
                <w:sz w:val="21"/>
                <w:szCs w:val="21"/>
              </w:rPr>
              <w:t>细化分解</w:t>
            </w:r>
          </w:p>
        </w:tc>
        <w:tc>
          <w:tcPr>
            <w:tcW w:w="1019" w:type="pct"/>
            <w:tcBorders>
              <w:top w:val="single" w:color="auto" w:sz="4" w:space="0"/>
              <w:left w:val="single" w:color="auto" w:sz="4" w:space="0"/>
              <w:right w:val="single" w:color="auto" w:sz="4" w:space="0"/>
            </w:tcBorders>
            <w:shd w:val="clear" w:color="auto" w:fill="FFFFFF"/>
          </w:tcPr>
          <w:p w14:paraId="0900E1B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3</w:t>
            </w:r>
          </w:p>
        </w:tc>
      </w:tr>
      <w:tr w14:paraId="2BEBC89D">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3F1F1DC0">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A222.指标与目标的匹配性</w:t>
            </w:r>
          </w:p>
        </w:tc>
        <w:tc>
          <w:tcPr>
            <w:tcW w:w="751" w:type="pct"/>
            <w:tcBorders>
              <w:top w:val="single" w:color="auto" w:sz="4" w:space="0"/>
              <w:left w:val="single" w:color="auto" w:sz="4" w:space="0"/>
            </w:tcBorders>
            <w:shd w:val="clear" w:color="auto" w:fill="FFFFFF"/>
            <w:vAlign w:val="bottom"/>
          </w:tcPr>
          <w:p w14:paraId="6F1057D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3</w:t>
            </w:r>
          </w:p>
        </w:tc>
        <w:tc>
          <w:tcPr>
            <w:tcW w:w="909" w:type="pct"/>
            <w:tcBorders>
              <w:top w:val="single" w:color="auto" w:sz="4" w:space="0"/>
              <w:left w:val="single" w:color="auto" w:sz="4" w:space="0"/>
            </w:tcBorders>
            <w:shd w:val="clear" w:color="auto" w:fill="FFFFFF"/>
            <w:vAlign w:val="center"/>
          </w:tcPr>
          <w:p w14:paraId="6DAD1122">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匹配</w:t>
            </w:r>
          </w:p>
        </w:tc>
        <w:tc>
          <w:tcPr>
            <w:tcW w:w="1019" w:type="pct"/>
            <w:tcBorders>
              <w:top w:val="single" w:color="auto" w:sz="4" w:space="0"/>
              <w:left w:val="single" w:color="auto" w:sz="4" w:space="0"/>
              <w:right w:val="single" w:color="auto" w:sz="4" w:space="0"/>
            </w:tcBorders>
            <w:shd w:val="clear" w:color="auto" w:fill="FFFFFF"/>
            <w:vAlign w:val="bottom"/>
          </w:tcPr>
          <w:p w14:paraId="31AC07C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3</w:t>
            </w:r>
          </w:p>
        </w:tc>
      </w:tr>
      <w:tr w14:paraId="2F9D6992">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tcBorders>
            <w:shd w:val="clear" w:color="auto" w:fill="FFFFFF"/>
            <w:vAlign w:val="center"/>
          </w:tcPr>
          <w:p w14:paraId="275A9F23">
            <w:pPr>
              <w:pStyle w:val="11"/>
              <w:shd w:val="clear" w:color="auto" w:fill="auto"/>
              <w:spacing w:after="0" w:line="360" w:lineRule="auto"/>
              <w:rPr>
                <w:rFonts w:hint="eastAsia" w:ascii="宋体" w:hAnsi="宋体" w:eastAsia="宋体" w:cs="宋体"/>
                <w:b w:val="0"/>
                <w:bCs w:val="0"/>
                <w:sz w:val="21"/>
                <w:szCs w:val="21"/>
                <w:lang w:eastAsia="zh-CN"/>
              </w:rPr>
            </w:pPr>
            <w:r>
              <w:rPr>
                <w:rFonts w:hint="eastAsia" w:cs="宋体"/>
                <w:b w:val="0"/>
                <w:bCs w:val="0"/>
                <w:sz w:val="21"/>
                <w:szCs w:val="21"/>
                <w:lang w:eastAsia="zh-CN"/>
              </w:rPr>
              <w:t>合计</w:t>
            </w:r>
          </w:p>
        </w:tc>
        <w:tc>
          <w:tcPr>
            <w:tcW w:w="751" w:type="pct"/>
            <w:tcBorders>
              <w:top w:val="single" w:color="auto" w:sz="4" w:space="0"/>
              <w:left w:val="single" w:color="auto" w:sz="4" w:space="0"/>
              <w:bottom w:val="single" w:color="auto" w:sz="4" w:space="0"/>
            </w:tcBorders>
            <w:shd w:val="clear" w:color="auto" w:fill="FFFFFF"/>
            <w:vAlign w:val="center"/>
          </w:tcPr>
          <w:p w14:paraId="67E0818A">
            <w:pPr>
              <w:pStyle w:val="11"/>
              <w:shd w:val="clear" w:color="auto" w:fill="auto"/>
              <w:spacing w:after="0" w:line="360" w:lineRule="auto"/>
              <w:rPr>
                <w:rFonts w:hint="eastAsia" w:ascii="Calibri" w:hAnsi="仿宋" w:eastAsia="宋体" w:cs="宋体"/>
                <w:b w:val="0"/>
                <w:bCs w:val="0"/>
                <w:color w:val="000000"/>
                <w:spacing w:val="0"/>
                <w:kern w:val="2"/>
                <w:sz w:val="21"/>
                <w:szCs w:val="22"/>
                <w:lang w:val="en-US" w:eastAsia="zh-CN" w:bidi="ar-SA"/>
              </w:rPr>
            </w:pPr>
            <w:r>
              <w:rPr>
                <w:rFonts w:hint="eastAsia" w:ascii="Calibri" w:hAnsi="仿宋" w:eastAsia="宋体" w:cs="宋体"/>
                <w:b w:val="0"/>
                <w:bCs w:val="0"/>
                <w:color w:val="000000"/>
                <w:spacing w:val="0"/>
                <w:kern w:val="2"/>
                <w:sz w:val="21"/>
                <w:szCs w:val="22"/>
                <w:lang w:val="en-US" w:eastAsia="zh-CN" w:bidi="ar-SA"/>
              </w:rPr>
              <w:t>12</w:t>
            </w:r>
          </w:p>
        </w:tc>
        <w:tc>
          <w:tcPr>
            <w:tcW w:w="909" w:type="pct"/>
            <w:tcBorders>
              <w:top w:val="single" w:color="auto" w:sz="4" w:space="0"/>
              <w:left w:val="single" w:color="auto" w:sz="4" w:space="0"/>
              <w:bottom w:val="single" w:color="auto" w:sz="4" w:space="0"/>
            </w:tcBorders>
            <w:shd w:val="clear" w:color="auto" w:fill="FFFFFF"/>
          </w:tcPr>
          <w:p w14:paraId="40E9A89A">
            <w:pPr>
              <w:spacing w:line="360" w:lineRule="auto"/>
              <w:rPr>
                <w:rFonts w:hint="eastAsia" w:ascii="宋体" w:hAnsi="宋体" w:eastAsia="宋体" w:cs="宋体"/>
                <w:b w:val="0"/>
                <w:bCs w:val="0"/>
                <w:sz w:val="21"/>
                <w:szCs w:val="21"/>
              </w:rPr>
            </w:pPr>
          </w:p>
        </w:tc>
        <w:tc>
          <w:tcPr>
            <w:tcW w:w="1019" w:type="pct"/>
            <w:tcBorders>
              <w:top w:val="single" w:color="auto" w:sz="4" w:space="0"/>
              <w:left w:val="single" w:color="auto" w:sz="4" w:space="0"/>
              <w:bottom w:val="single" w:color="auto" w:sz="4" w:space="0"/>
              <w:right w:val="single" w:color="auto" w:sz="4" w:space="0"/>
            </w:tcBorders>
            <w:shd w:val="clear" w:color="auto" w:fill="FFFFFF"/>
            <w:vAlign w:val="center"/>
          </w:tcPr>
          <w:p w14:paraId="4C0B1BDB">
            <w:pPr>
              <w:pStyle w:val="11"/>
              <w:shd w:val="clear" w:color="auto" w:fill="auto"/>
              <w:spacing w:after="0" w:line="360" w:lineRule="auto"/>
              <w:rPr>
                <w:rFonts w:hint="default" w:ascii="Calibri" w:hAnsi="仿宋" w:eastAsia="宋体" w:cs="宋体"/>
                <w:b w:val="0"/>
                <w:bCs w:val="0"/>
                <w:color w:val="000000"/>
                <w:spacing w:val="0"/>
                <w:kern w:val="2"/>
                <w:sz w:val="21"/>
                <w:szCs w:val="22"/>
                <w:lang w:val="en-US" w:eastAsia="zh-CN" w:bidi="ar-SA"/>
              </w:rPr>
            </w:pPr>
            <w:r>
              <w:rPr>
                <w:rFonts w:hint="eastAsia" w:ascii="Calibri" w:hAnsi="仿宋" w:cs="宋体"/>
                <w:b w:val="0"/>
                <w:bCs w:val="0"/>
                <w:color w:val="000000"/>
                <w:spacing w:val="0"/>
                <w:kern w:val="2"/>
                <w:sz w:val="21"/>
                <w:szCs w:val="22"/>
                <w:lang w:val="en-US" w:eastAsia="zh-CN" w:bidi="ar-SA"/>
              </w:rPr>
              <w:t>12</w:t>
            </w:r>
          </w:p>
        </w:tc>
      </w:tr>
    </w:tbl>
    <w:p w14:paraId="6FA2B5EA">
      <w:pPr>
        <w:topLinePunct/>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该项指标满分为2分，根据评分标准得2分。</w:t>
      </w:r>
    </w:p>
    <w:p w14:paraId="5B537F3C">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u w:val="single"/>
          <w:lang w:val="en-US" w:eastAsia="zh-CN" w:bidi="ar-SA"/>
        </w:rPr>
        <w:t>A212.绩效目标完整性</w:t>
      </w:r>
      <w:r>
        <w:rPr>
          <w:rFonts w:hint="eastAsia" w:ascii="仿宋_GB2312" w:hAnsi="仿宋_GB2312" w:eastAsia="仿宋_GB2312" w:cs="仿宋_GB2312"/>
          <w:spacing w:val="0"/>
          <w:kern w:val="2"/>
          <w:sz w:val="28"/>
          <w:szCs w:val="28"/>
          <w:lang w:val="en-US" w:eastAsia="zh-CN" w:bidi="ar-SA"/>
        </w:rPr>
        <w:t>：根据绩效目标申报表和项目实施内容，本项目编制的绩效目标基本能够完整地反映预期的产出和效果，符合设定要求。</w:t>
      </w:r>
    </w:p>
    <w:p w14:paraId="05E1D978">
      <w:pPr>
        <w:topLinePunct/>
        <w:spacing w:line="579" w:lineRule="exact"/>
        <w:ind w:firstLine="560" w:firstLineChars="200"/>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该项指标满分为2分，根据评分标准得2分。</w:t>
      </w:r>
    </w:p>
    <w:p w14:paraId="4A539272">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u w:val="single"/>
          <w:lang w:val="en-US" w:eastAsia="zh-CN" w:bidi="ar-SA"/>
        </w:rPr>
        <w:t>A213.目标与预算的匹配性</w:t>
      </w:r>
      <w:r>
        <w:rPr>
          <w:rFonts w:hint="eastAsia" w:ascii="仿宋_GB2312" w:hAnsi="仿宋_GB2312" w:eastAsia="仿宋_GB2312" w:cs="仿宋_GB2312"/>
          <w:spacing w:val="0"/>
          <w:kern w:val="2"/>
          <w:sz w:val="28"/>
          <w:szCs w:val="28"/>
          <w:lang w:val="en-US" w:eastAsia="zh-CN" w:bidi="ar-SA"/>
        </w:rPr>
        <w:t>：本项目工作目标为2019年10座污水处理设施污水收集处理率≥90%，采用A2O工艺（厌氧-缺氧-好氧法），设计出水水质达《城镇污水处理厂污染物排放标准》GB18918-2002一级A标，2019年10座污水处理设施正常运行，削减了污染物的入库量，有效的改善牧羊河水质，对保护松华坝饮用水源地水质安全发挥了积极作用，2019年当年完成各项考核指标达标，项目目标与预算相匹配。</w:t>
      </w:r>
    </w:p>
    <w:p w14:paraId="029E30B3">
      <w:pPr>
        <w:topLinePunct/>
        <w:spacing w:line="579" w:lineRule="exact"/>
        <w:ind w:firstLine="560" w:firstLineChars="200"/>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该项指标满分为2分，根据评分标准得2分。</w:t>
      </w:r>
    </w:p>
    <w:p w14:paraId="3B66985E">
      <w:pPr>
        <w:pStyle w:val="11"/>
        <w:shd w:val="clear" w:color="auto" w:fill="auto"/>
        <w:spacing w:after="0" w:line="579" w:lineRule="exact"/>
        <w:ind w:firstLine="562" w:firstLineChars="200"/>
        <w:jc w:val="both"/>
        <w:rPr>
          <w:rFonts w:hint="eastAsia" w:ascii="仿宋_GB2312" w:hAnsi="仿宋_GB2312" w:eastAsia="仿宋_GB2312" w:cs="仿宋_GB2312"/>
          <w:b/>
          <w:bCs/>
          <w:spacing w:val="0"/>
          <w:kern w:val="2"/>
          <w:sz w:val="28"/>
          <w:szCs w:val="28"/>
          <w:lang w:val="en-US" w:eastAsia="zh-CN" w:bidi="ar-SA"/>
        </w:rPr>
      </w:pPr>
      <w:r>
        <w:rPr>
          <w:rFonts w:hint="eastAsia" w:ascii="仿宋_GB2312" w:hAnsi="仿宋_GB2312" w:eastAsia="仿宋_GB2312" w:cs="仿宋_GB2312"/>
          <w:b/>
          <w:bCs/>
          <w:spacing w:val="0"/>
          <w:kern w:val="2"/>
          <w:sz w:val="28"/>
          <w:szCs w:val="28"/>
          <w:lang w:val="en-US" w:eastAsia="zh-CN" w:bidi="ar-SA"/>
        </w:rPr>
        <w:t>A22.绩效指标设定的明确性</w:t>
      </w:r>
    </w:p>
    <w:p w14:paraId="153C3BF5">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u w:val="single"/>
          <w:lang w:val="en-US" w:eastAsia="zh-CN" w:bidi="ar-SA"/>
        </w:rPr>
        <w:t>A221.指标细化分解情况</w:t>
      </w:r>
      <w:r>
        <w:rPr>
          <w:rFonts w:hint="eastAsia" w:ascii="仿宋_GB2312" w:hAnsi="仿宋_GB2312" w:eastAsia="仿宋_GB2312" w:cs="仿宋_GB2312"/>
          <w:spacing w:val="0"/>
          <w:kern w:val="2"/>
          <w:sz w:val="28"/>
          <w:szCs w:val="28"/>
          <w:lang w:val="en-US" w:eastAsia="zh-CN" w:bidi="ar-SA"/>
        </w:rPr>
        <w:t>：根据绩效目标申报表，昆明市生态环境局盘龙分局将年度目标细化分解为具体的投入目标、管理目标、产出目标、效果目标。</w:t>
      </w:r>
    </w:p>
    <w:p w14:paraId="58F0CD9C">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该项指标满分为3分，根据评分标准得3分。</w:t>
      </w:r>
    </w:p>
    <w:p w14:paraId="06A618F3">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u w:val="single"/>
          <w:lang w:val="en-US" w:eastAsia="zh-CN" w:bidi="ar-SA"/>
        </w:rPr>
        <w:t>A222.指标与目标的匹配性</w:t>
      </w:r>
      <w:r>
        <w:rPr>
          <w:rFonts w:hint="eastAsia" w:ascii="仿宋_GB2312" w:hAnsi="仿宋_GB2312" w:eastAsia="仿宋_GB2312" w:cs="仿宋_GB2312"/>
          <w:spacing w:val="0"/>
          <w:kern w:val="2"/>
          <w:sz w:val="28"/>
          <w:szCs w:val="28"/>
          <w:lang w:val="en-US" w:eastAsia="zh-CN" w:bidi="ar-SA"/>
        </w:rPr>
        <w:t>：根据绩效目标申报表，本项目讲目标细化分解的具体各项指标，指标与目标与匹配。</w:t>
      </w:r>
    </w:p>
    <w:p w14:paraId="3DE4B9EE">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该项指标满分为3分，根据评分标准得3分。</w:t>
      </w:r>
    </w:p>
    <w:p w14:paraId="43F6ACA3">
      <w:pPr>
        <w:pStyle w:val="11"/>
        <w:shd w:val="clear" w:color="auto" w:fill="auto"/>
        <w:spacing w:after="0" w:line="579" w:lineRule="exact"/>
        <w:ind w:firstLine="560" w:firstLineChars="200"/>
        <w:jc w:val="both"/>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2.项目管理分析</w:t>
      </w:r>
    </w:p>
    <w:p w14:paraId="6C8395F6">
      <w:pPr>
        <w:pStyle w:val="11"/>
        <w:shd w:val="clear" w:color="auto" w:fill="auto"/>
        <w:spacing w:after="0" w:line="579" w:lineRule="exact"/>
        <w:ind w:firstLine="560" w:firstLineChars="200"/>
        <w:jc w:val="both"/>
        <w:rPr>
          <w:rFonts w:ascii="仿宋" w:hAnsi="仿宋" w:eastAsia="仿宋_GB2312"/>
          <w:kern w:val="30"/>
          <w:sz w:val="28"/>
          <w:szCs w:val="28"/>
        </w:rPr>
      </w:pPr>
      <w:r>
        <w:rPr>
          <w:rFonts w:hint="eastAsia" w:ascii="仿宋_GB2312" w:hAnsi="仿宋_GB2312" w:eastAsia="仿宋_GB2312" w:cs="仿宋_GB2312"/>
          <w:spacing w:val="0"/>
          <w:kern w:val="2"/>
          <w:sz w:val="28"/>
          <w:szCs w:val="28"/>
          <w:lang w:val="en-US" w:eastAsia="zh-CN" w:bidi="ar-SA"/>
        </w:rPr>
        <w:t>项目管理指标包括投入管理、财务管理和项目实施三个方面</w:t>
      </w:r>
      <w:r>
        <w:rPr>
          <w:rFonts w:hint="eastAsia" w:ascii="仿宋_GB2312" w:hAnsi="仿宋_GB2312" w:eastAsia="仿宋_GB2312" w:cs="仿宋_GB2312"/>
          <w:sz w:val="30"/>
          <w:szCs w:val="30"/>
        </w:rPr>
        <w:t>内</w:t>
      </w:r>
      <w:r>
        <w:rPr>
          <w:rFonts w:hint="eastAsia" w:ascii="仿宋_GB2312" w:hAnsi="仿宋_GB2312" w:eastAsia="仿宋_GB2312" w:cs="仿宋_GB2312"/>
          <w:sz w:val="28"/>
          <w:szCs w:val="28"/>
        </w:rPr>
        <w:t>容，由9个三级指标构成，共细化分解为9个四级指标。权重分为20分，实际得分</w:t>
      </w:r>
      <w:r>
        <w:rPr>
          <w:rFonts w:hint="eastAsia" w:ascii="仿宋_GB2312" w:hAnsi="仿宋_GB2312" w:eastAsia="仿宋_GB2312" w:cs="仿宋_GB2312"/>
          <w:sz w:val="28"/>
          <w:szCs w:val="28"/>
          <w:lang w:val="en-US" w:eastAsia="zh-CN"/>
        </w:rPr>
        <w:t>19.7</w:t>
      </w:r>
      <w:r>
        <w:rPr>
          <w:rFonts w:hint="eastAsia" w:ascii="仿宋_GB2312" w:hAnsi="仿宋_GB2312" w:eastAsia="仿宋_GB2312" w:cs="仿宋_GB2312"/>
          <w:sz w:val="28"/>
          <w:szCs w:val="28"/>
        </w:rPr>
        <w:t>分，得分率为</w:t>
      </w:r>
      <w:r>
        <w:rPr>
          <w:rFonts w:hint="eastAsia" w:ascii="仿宋_GB2312" w:hAnsi="仿宋_GB2312" w:eastAsia="仿宋_GB2312" w:cs="仿宋_GB2312"/>
          <w:kern w:val="30"/>
          <w:sz w:val="28"/>
          <w:szCs w:val="28"/>
          <w:lang w:val="en-US" w:eastAsia="zh-CN"/>
        </w:rPr>
        <w:t>98.5</w:t>
      </w:r>
      <w:r>
        <w:rPr>
          <w:rFonts w:hint="eastAsia" w:ascii="仿宋_GB2312" w:hAnsi="仿宋_GB2312" w:eastAsia="仿宋_GB2312" w:cs="仿宋_GB2312"/>
          <w:kern w:val="30"/>
          <w:sz w:val="28"/>
          <w:szCs w:val="28"/>
        </w:rPr>
        <w:t>%</w:t>
      </w:r>
      <w:r>
        <w:rPr>
          <w:rFonts w:hint="eastAsia" w:ascii="仿宋" w:hAnsi="仿宋" w:eastAsia="仿宋_GB2312"/>
          <w:kern w:val="30"/>
          <w:sz w:val="28"/>
          <w:szCs w:val="28"/>
        </w:rPr>
        <w:t>。</w:t>
      </w:r>
    </w:p>
    <w:p w14:paraId="675A22A5">
      <w:pPr>
        <w:topLinePunct/>
        <w:spacing w:line="579" w:lineRule="exact"/>
        <w:ind w:firstLine="640" w:firstLineChars="200"/>
        <w:rPr>
          <w:rFonts w:hint="eastAsia" w:ascii="仿宋_GB2312" w:hAnsi="仿宋_GB2312" w:eastAsia="仿宋_GB2312" w:cs="仿宋_GB2312"/>
          <w:spacing w:val="20"/>
          <w:kern w:val="2"/>
          <w:sz w:val="28"/>
          <w:szCs w:val="28"/>
          <w:lang w:val="en-US" w:eastAsia="zh-CN" w:bidi="ar-SA"/>
        </w:rPr>
      </w:pPr>
      <w:r>
        <w:rPr>
          <w:rFonts w:hint="eastAsia" w:ascii="仿宋_GB2312" w:hAnsi="仿宋_GB2312" w:eastAsia="仿宋_GB2312" w:cs="仿宋_GB2312"/>
          <w:spacing w:val="20"/>
          <w:kern w:val="2"/>
          <w:sz w:val="28"/>
          <w:szCs w:val="28"/>
          <w:lang w:val="en-US" w:eastAsia="zh-CN" w:bidi="ar-SA"/>
        </w:rPr>
        <w:t>（1）投入管理</w:t>
      </w:r>
    </w:p>
    <w:p w14:paraId="62DD5618">
      <w:pPr>
        <w:topLinePunct/>
        <w:spacing w:line="579" w:lineRule="exact"/>
        <w:ind w:firstLine="640" w:firstLineChars="200"/>
        <w:rPr>
          <w:rFonts w:hint="eastAsia" w:ascii="仿宋_GB2312" w:hAnsi="仿宋_GB2312" w:eastAsia="仿宋_GB2312" w:cs="仿宋_GB2312"/>
          <w:spacing w:val="20"/>
          <w:kern w:val="2"/>
          <w:sz w:val="28"/>
          <w:szCs w:val="28"/>
          <w:lang w:val="en-US" w:eastAsia="zh-CN" w:bidi="ar-SA"/>
        </w:rPr>
      </w:pPr>
      <w:r>
        <w:rPr>
          <w:rFonts w:hint="eastAsia" w:ascii="仿宋_GB2312" w:hAnsi="仿宋_GB2312" w:eastAsia="仿宋_GB2312" w:cs="仿宋_GB2312"/>
          <w:spacing w:val="20"/>
          <w:kern w:val="2"/>
          <w:sz w:val="28"/>
          <w:szCs w:val="28"/>
          <w:lang w:val="en-US" w:eastAsia="zh-CN" w:bidi="ar-SA"/>
        </w:rPr>
        <w:t>主要考察项目预算编制是否合理，预算调整是否符合规定，以及预算执行情况。各指标的业绩值和实际得分详见表8。</w:t>
      </w:r>
    </w:p>
    <w:p w14:paraId="772FD9D3">
      <w:pPr>
        <w:jc w:val="center"/>
        <w:rPr>
          <w:rFonts w:hint="eastAsia" w:ascii="黑体" w:hAnsi="黑体" w:eastAsia="黑体"/>
          <w:kern w:val="2"/>
          <w:sz w:val="24"/>
          <w:szCs w:val="24"/>
          <w:lang w:val="zh-CN"/>
        </w:rPr>
      </w:pPr>
      <w:r>
        <w:rPr>
          <w:rFonts w:hint="eastAsia" w:ascii="黑体" w:hAnsi="黑体" w:eastAsia="黑体"/>
          <w:kern w:val="2"/>
          <w:sz w:val="24"/>
          <w:szCs w:val="24"/>
          <w:lang w:val="zh-CN"/>
        </w:rPr>
        <w:t>表8  投入管理指标评分表</w:t>
      </w:r>
    </w:p>
    <w:tbl>
      <w:tblPr>
        <w:tblStyle w:val="8"/>
        <w:tblW w:w="5000" w:type="pct"/>
        <w:jc w:val="center"/>
        <w:tblLayout w:type="autofit"/>
        <w:tblCellMar>
          <w:top w:w="0" w:type="dxa"/>
          <w:left w:w="10" w:type="dxa"/>
          <w:bottom w:w="0" w:type="dxa"/>
          <w:right w:w="10" w:type="dxa"/>
        </w:tblCellMar>
      </w:tblPr>
      <w:tblGrid>
        <w:gridCol w:w="3864"/>
        <w:gridCol w:w="1251"/>
        <w:gridCol w:w="1514"/>
        <w:gridCol w:w="1697"/>
      </w:tblGrid>
      <w:tr w14:paraId="54FCDD6A">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bottom"/>
          </w:tcPr>
          <w:p w14:paraId="44B0BA30">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指标名称</w:t>
            </w:r>
          </w:p>
        </w:tc>
        <w:tc>
          <w:tcPr>
            <w:tcW w:w="751" w:type="pct"/>
            <w:tcBorders>
              <w:top w:val="single" w:color="auto" w:sz="4" w:space="0"/>
              <w:left w:val="single" w:color="auto" w:sz="4" w:space="0"/>
            </w:tcBorders>
            <w:shd w:val="clear" w:color="auto" w:fill="FFFFFF"/>
            <w:vAlign w:val="bottom"/>
          </w:tcPr>
          <w:p w14:paraId="7B2594C5">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指标权重</w:t>
            </w:r>
          </w:p>
        </w:tc>
        <w:tc>
          <w:tcPr>
            <w:tcW w:w="909" w:type="pct"/>
            <w:tcBorders>
              <w:top w:val="single" w:color="auto" w:sz="4" w:space="0"/>
              <w:left w:val="single" w:color="auto" w:sz="4" w:space="0"/>
            </w:tcBorders>
            <w:shd w:val="clear" w:color="auto" w:fill="FFFFFF"/>
            <w:vAlign w:val="bottom"/>
          </w:tcPr>
          <w:p w14:paraId="4AF946AF">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业绩值</w:t>
            </w:r>
          </w:p>
        </w:tc>
        <w:tc>
          <w:tcPr>
            <w:tcW w:w="1019" w:type="pct"/>
            <w:tcBorders>
              <w:top w:val="single" w:color="auto" w:sz="4" w:space="0"/>
              <w:left w:val="single" w:color="auto" w:sz="4" w:space="0"/>
              <w:right w:val="single" w:color="auto" w:sz="4" w:space="0"/>
            </w:tcBorders>
            <w:shd w:val="clear" w:color="auto" w:fill="FFFFFF"/>
            <w:vAlign w:val="bottom"/>
          </w:tcPr>
          <w:p w14:paraId="2B4F53FB">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实际得分</w:t>
            </w:r>
          </w:p>
        </w:tc>
      </w:tr>
      <w:tr w14:paraId="157B6C52">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7493F7CC">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B</w:t>
            </w:r>
            <w:r>
              <w:rPr>
                <w:rStyle w:val="12"/>
                <w:rFonts w:hint="eastAsia" w:ascii="宋体" w:hAnsi="宋体" w:eastAsia="宋体" w:cs="宋体"/>
                <w:sz w:val="21"/>
                <w:szCs w:val="21"/>
                <w:lang w:eastAsia="en-US" w:bidi="en-US"/>
              </w:rPr>
              <w:t>11.</w:t>
            </w:r>
            <w:r>
              <w:rPr>
                <w:rStyle w:val="12"/>
                <w:rFonts w:hint="eastAsia" w:ascii="宋体" w:hAnsi="宋体" w:eastAsia="宋体" w:cs="宋体"/>
                <w:sz w:val="21"/>
                <w:szCs w:val="21"/>
              </w:rPr>
              <w:t>预算编制合理性</w:t>
            </w:r>
          </w:p>
        </w:tc>
        <w:tc>
          <w:tcPr>
            <w:tcW w:w="751" w:type="pct"/>
            <w:tcBorders>
              <w:top w:val="single" w:color="auto" w:sz="4" w:space="0"/>
              <w:left w:val="single" w:color="auto" w:sz="4" w:space="0"/>
            </w:tcBorders>
            <w:shd w:val="clear" w:color="auto" w:fill="FFFFFF"/>
          </w:tcPr>
          <w:p w14:paraId="3BD4953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909" w:type="pct"/>
            <w:tcBorders>
              <w:top w:val="single" w:color="auto" w:sz="4" w:space="0"/>
              <w:left w:val="single" w:color="auto" w:sz="4" w:space="0"/>
            </w:tcBorders>
            <w:shd w:val="clear" w:color="auto" w:fill="FFFFFF"/>
          </w:tcPr>
          <w:p w14:paraId="270A3F24">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合理</w:t>
            </w:r>
          </w:p>
        </w:tc>
        <w:tc>
          <w:tcPr>
            <w:tcW w:w="1019" w:type="pct"/>
            <w:tcBorders>
              <w:top w:val="single" w:color="auto" w:sz="4" w:space="0"/>
              <w:left w:val="single" w:color="auto" w:sz="4" w:space="0"/>
              <w:right w:val="single" w:color="auto" w:sz="4" w:space="0"/>
            </w:tcBorders>
            <w:shd w:val="clear" w:color="auto" w:fill="FFFFFF"/>
          </w:tcPr>
          <w:p w14:paraId="3B20EE0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r>
      <w:tr w14:paraId="44D1C63D">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2BF12F0B">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B12.预算调整规范性</w:t>
            </w:r>
          </w:p>
        </w:tc>
        <w:tc>
          <w:tcPr>
            <w:tcW w:w="751" w:type="pct"/>
            <w:tcBorders>
              <w:top w:val="single" w:color="auto" w:sz="4" w:space="0"/>
              <w:left w:val="single" w:color="auto" w:sz="4" w:space="0"/>
            </w:tcBorders>
            <w:shd w:val="clear" w:color="auto" w:fill="FFFFFF"/>
            <w:vAlign w:val="bottom"/>
          </w:tcPr>
          <w:p w14:paraId="4BFFA78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909" w:type="pct"/>
            <w:tcBorders>
              <w:top w:val="single" w:color="auto" w:sz="4" w:space="0"/>
              <w:left w:val="single" w:color="auto" w:sz="4" w:space="0"/>
            </w:tcBorders>
            <w:shd w:val="clear" w:color="auto" w:fill="FFFFFF"/>
            <w:vAlign w:val="center"/>
          </w:tcPr>
          <w:p w14:paraId="746FBCAA">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规范</w:t>
            </w:r>
          </w:p>
        </w:tc>
        <w:tc>
          <w:tcPr>
            <w:tcW w:w="1019" w:type="pct"/>
            <w:tcBorders>
              <w:top w:val="single" w:color="auto" w:sz="4" w:space="0"/>
              <w:left w:val="single" w:color="auto" w:sz="4" w:space="0"/>
              <w:right w:val="single" w:color="auto" w:sz="4" w:space="0"/>
            </w:tcBorders>
            <w:shd w:val="clear" w:color="auto" w:fill="FFFFFF"/>
            <w:vAlign w:val="bottom"/>
          </w:tcPr>
          <w:p w14:paraId="5013FE10">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572F0873">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42F72024">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B13.预算执行率</w:t>
            </w:r>
          </w:p>
        </w:tc>
        <w:tc>
          <w:tcPr>
            <w:tcW w:w="751" w:type="pct"/>
            <w:tcBorders>
              <w:top w:val="single" w:color="auto" w:sz="4" w:space="0"/>
              <w:left w:val="single" w:color="auto" w:sz="4" w:space="0"/>
            </w:tcBorders>
            <w:shd w:val="clear" w:color="auto" w:fill="FFFFFF"/>
          </w:tcPr>
          <w:p w14:paraId="0190888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tcBorders>
            <w:shd w:val="clear" w:color="auto" w:fill="FFFFFF"/>
          </w:tcPr>
          <w:p w14:paraId="10284534">
            <w:pPr>
              <w:pStyle w:val="11"/>
              <w:shd w:val="clear" w:color="auto" w:fill="auto"/>
              <w:spacing w:after="0" w:line="360" w:lineRule="auto"/>
              <w:rPr>
                <w:rStyle w:val="12"/>
                <w:rFonts w:hint="eastAsia" w:ascii="宋体" w:hAnsi="宋体" w:eastAsia="宋体" w:cs="宋体"/>
                <w:sz w:val="21"/>
                <w:szCs w:val="21"/>
              </w:rPr>
            </w:pPr>
            <w:r>
              <w:rPr>
                <w:rStyle w:val="12"/>
                <w:rFonts w:hint="eastAsia" w:cs="宋体"/>
                <w:sz w:val="21"/>
                <w:szCs w:val="21"/>
                <w:lang w:val="en-US"/>
              </w:rPr>
              <w:t>92.02</w:t>
            </w:r>
            <w:r>
              <w:rPr>
                <w:rStyle w:val="12"/>
                <w:rFonts w:hint="eastAsia" w:ascii="宋体" w:hAnsi="宋体" w:eastAsia="宋体" w:cs="宋体"/>
                <w:sz w:val="21"/>
                <w:szCs w:val="21"/>
              </w:rPr>
              <w:t>%</w:t>
            </w:r>
          </w:p>
        </w:tc>
        <w:tc>
          <w:tcPr>
            <w:tcW w:w="1019" w:type="pct"/>
            <w:tcBorders>
              <w:top w:val="single" w:color="auto" w:sz="4" w:space="0"/>
              <w:left w:val="single" w:color="auto" w:sz="4" w:space="0"/>
              <w:right w:val="single" w:color="auto" w:sz="4" w:space="0"/>
            </w:tcBorders>
            <w:shd w:val="clear" w:color="auto" w:fill="FFFFFF"/>
          </w:tcPr>
          <w:p w14:paraId="303546FB">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1.7</w:t>
            </w:r>
          </w:p>
        </w:tc>
      </w:tr>
      <w:tr w14:paraId="16623ACF">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tcBorders>
            <w:shd w:val="clear" w:color="auto" w:fill="FFFFFF"/>
            <w:vAlign w:val="center"/>
          </w:tcPr>
          <w:p w14:paraId="3828E616">
            <w:pPr>
              <w:pStyle w:val="11"/>
              <w:shd w:val="clear" w:color="auto" w:fill="auto"/>
              <w:spacing w:after="0" w:line="360" w:lineRule="auto"/>
              <w:rPr>
                <w:rFonts w:ascii="仿宋" w:hAnsi="仿宋" w:eastAsia="仿宋_GB2312"/>
                <w:b/>
                <w:bCs/>
                <w:sz w:val="24"/>
                <w:szCs w:val="24"/>
              </w:rPr>
            </w:pPr>
            <w:r>
              <w:rPr>
                <w:rStyle w:val="12"/>
                <w:rFonts w:hint="eastAsia" w:ascii="仿宋" w:hAnsi="仿宋" w:eastAsia="仿宋_GB2312"/>
                <w:b/>
                <w:bCs/>
                <w:sz w:val="24"/>
                <w:szCs w:val="24"/>
              </w:rPr>
              <w:t>合计</w:t>
            </w:r>
          </w:p>
        </w:tc>
        <w:tc>
          <w:tcPr>
            <w:tcW w:w="751" w:type="pct"/>
            <w:tcBorders>
              <w:top w:val="single" w:color="auto" w:sz="4" w:space="0"/>
              <w:left w:val="single" w:color="auto" w:sz="4" w:space="0"/>
              <w:bottom w:val="single" w:color="auto" w:sz="4" w:space="0"/>
            </w:tcBorders>
            <w:shd w:val="clear" w:color="auto" w:fill="FFFFFF"/>
            <w:vAlign w:val="center"/>
          </w:tcPr>
          <w:p w14:paraId="177B113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4</w:t>
            </w:r>
          </w:p>
        </w:tc>
        <w:tc>
          <w:tcPr>
            <w:tcW w:w="909" w:type="pct"/>
            <w:tcBorders>
              <w:top w:val="single" w:color="auto" w:sz="4" w:space="0"/>
              <w:left w:val="single" w:color="auto" w:sz="4" w:space="0"/>
              <w:bottom w:val="single" w:color="auto" w:sz="4" w:space="0"/>
            </w:tcBorders>
            <w:shd w:val="clear" w:color="auto" w:fill="FFFFFF"/>
          </w:tcPr>
          <w:p w14:paraId="783910A5">
            <w:pPr>
              <w:spacing w:line="360" w:lineRule="auto"/>
              <w:rPr>
                <w:rFonts w:hint="eastAsia" w:ascii="宋体" w:hAnsi="宋体" w:eastAsia="宋体" w:cs="宋体"/>
                <w:b/>
                <w:bCs/>
                <w:sz w:val="21"/>
                <w:szCs w:val="21"/>
              </w:rPr>
            </w:pPr>
          </w:p>
        </w:tc>
        <w:tc>
          <w:tcPr>
            <w:tcW w:w="1019" w:type="pct"/>
            <w:tcBorders>
              <w:top w:val="single" w:color="auto" w:sz="4" w:space="0"/>
              <w:left w:val="single" w:color="auto" w:sz="4" w:space="0"/>
              <w:bottom w:val="single" w:color="auto" w:sz="4" w:space="0"/>
              <w:right w:val="single" w:color="auto" w:sz="4" w:space="0"/>
            </w:tcBorders>
            <w:shd w:val="clear" w:color="auto" w:fill="FFFFFF"/>
            <w:vAlign w:val="center"/>
          </w:tcPr>
          <w:p w14:paraId="37018081">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3.7</w:t>
            </w:r>
          </w:p>
        </w:tc>
      </w:tr>
    </w:tbl>
    <w:p w14:paraId="1E675943">
      <w:pPr>
        <w:pStyle w:val="14"/>
        <w:shd w:val="clear" w:color="auto" w:fill="auto"/>
        <w:spacing w:line="579" w:lineRule="exact"/>
        <w:ind w:firstLine="642" w:firstLineChars="200"/>
        <w:jc w:val="both"/>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w:t>
      </w:r>
      <w:r>
        <w:rPr>
          <w:rFonts w:hint="eastAsia" w:ascii="仿宋_GB2312" w:hAnsi="仿宋_GB2312" w:eastAsia="仿宋_GB2312" w:cs="仿宋_GB2312"/>
          <w:b/>
          <w:bCs/>
          <w:spacing w:val="20"/>
          <w:kern w:val="2"/>
          <w:sz w:val="28"/>
          <w:szCs w:val="28"/>
          <w:lang w:val="en-US" w:eastAsia="en-US" w:bidi="ar-SA"/>
        </w:rPr>
        <w:t>11.</w:t>
      </w:r>
      <w:r>
        <w:rPr>
          <w:rFonts w:hint="eastAsia" w:ascii="仿宋_GB2312" w:hAnsi="仿宋_GB2312" w:eastAsia="仿宋_GB2312" w:cs="仿宋_GB2312"/>
          <w:b/>
          <w:bCs/>
          <w:spacing w:val="20"/>
          <w:kern w:val="2"/>
          <w:sz w:val="28"/>
          <w:szCs w:val="28"/>
          <w:lang w:val="en-US" w:eastAsia="zh-CN" w:bidi="ar-SA"/>
        </w:rPr>
        <w:t>预算编制合理性</w:t>
      </w:r>
    </w:p>
    <w:p w14:paraId="7C67179A">
      <w:pPr>
        <w:pStyle w:val="14"/>
        <w:shd w:val="clear" w:color="auto" w:fill="auto"/>
        <w:spacing w:line="579" w:lineRule="exact"/>
        <w:ind w:firstLine="640" w:firstLineChars="200"/>
        <w:jc w:val="both"/>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B11.预算编制合理性</w:t>
      </w:r>
      <w:r>
        <w:rPr>
          <w:rFonts w:hint="eastAsia" w:ascii="仿宋_GB2312" w:hAnsi="仿宋_GB2312" w:eastAsia="仿宋_GB2312" w:cs="仿宋_GB2312"/>
          <w:b w:val="0"/>
          <w:bCs w:val="0"/>
          <w:spacing w:val="20"/>
          <w:kern w:val="2"/>
          <w:sz w:val="28"/>
          <w:szCs w:val="28"/>
          <w:lang w:val="en-US" w:eastAsia="zh-CN" w:bidi="ar-SA"/>
        </w:rPr>
        <w:t>：根据查阅预算批复、支出明细账等资料，项目预算资金与实际金额差异不大，预算编制合理。</w:t>
      </w:r>
    </w:p>
    <w:p w14:paraId="49FC0548">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332043A6">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B12.预算调整规范性</w:t>
      </w:r>
    </w:p>
    <w:p w14:paraId="7F5C8E6E">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B12.预算调整规范性</w:t>
      </w:r>
      <w:r>
        <w:rPr>
          <w:rFonts w:hint="eastAsia" w:ascii="仿宋_GB2312" w:hAnsi="仿宋_GB2312" w:eastAsia="仿宋_GB2312" w:cs="仿宋_GB2312"/>
          <w:b w:val="0"/>
          <w:bCs w:val="0"/>
          <w:spacing w:val="20"/>
          <w:kern w:val="2"/>
          <w:sz w:val="28"/>
          <w:szCs w:val="28"/>
          <w:lang w:val="en-US" w:eastAsia="zh-CN" w:bidi="ar-SA"/>
        </w:rPr>
        <w:t>：本项目未涉及到预算调整。</w:t>
      </w:r>
    </w:p>
    <w:p w14:paraId="2F7A6418">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49EEE8B0">
      <w:pPr>
        <w:topLinePunct/>
        <w:spacing w:line="579" w:lineRule="exact"/>
        <w:ind w:firstLine="642"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B13.预算执行率</w:t>
      </w:r>
    </w:p>
    <w:p w14:paraId="46F06131">
      <w:pPr>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B13.预算执行率</w:t>
      </w:r>
      <w:r>
        <w:rPr>
          <w:rFonts w:hint="eastAsia" w:ascii="仿宋_GB2312" w:hAnsi="仿宋_GB2312" w:eastAsia="仿宋_GB2312" w:cs="仿宋_GB2312"/>
          <w:b w:val="0"/>
          <w:bCs w:val="0"/>
          <w:spacing w:val="20"/>
          <w:kern w:val="2"/>
          <w:sz w:val="28"/>
          <w:szCs w:val="28"/>
          <w:lang w:val="en-US" w:eastAsia="zh-CN" w:bidi="ar-SA"/>
        </w:rPr>
        <w:t>：</w:t>
      </w:r>
      <w:r>
        <w:rPr>
          <w:rFonts w:hint="eastAsia" w:ascii="仿宋_GB2312" w:hAnsi="仿宋" w:eastAsia="仿宋_GB2312"/>
          <w:spacing w:val="6"/>
          <w:kern w:val="0"/>
          <w:sz w:val="28"/>
          <w:szCs w:val="28"/>
        </w:rPr>
        <w:t>该项目</w:t>
      </w:r>
      <w:r>
        <w:rPr>
          <w:rFonts w:hint="eastAsia" w:ascii="仿宋_GB2312" w:hAnsi="仿宋" w:eastAsia="仿宋_GB2312"/>
          <w:spacing w:val="6"/>
          <w:kern w:val="0"/>
          <w:sz w:val="28"/>
          <w:szCs w:val="28"/>
          <w:lang w:val="en-US" w:eastAsia="zh-CN"/>
        </w:rPr>
        <w:t>年初财政预算2,101,791元</w:t>
      </w:r>
      <w:r>
        <w:rPr>
          <w:rFonts w:hint="eastAsia" w:ascii="仿宋_GB2312" w:hAnsi="仿宋" w:eastAsia="仿宋_GB2312"/>
          <w:spacing w:val="6"/>
          <w:kern w:val="0"/>
          <w:sz w:val="28"/>
          <w:szCs w:val="28"/>
        </w:rPr>
        <w:t>，根据原始材料、支付凭证等统计，2019年昆明市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大气自动站运行维护费项目共实际支出</w:t>
      </w:r>
      <w:r>
        <w:rPr>
          <w:rFonts w:hint="eastAsia" w:ascii="仿宋_GB2312" w:hAnsi="仿宋" w:eastAsia="仿宋_GB2312"/>
          <w:spacing w:val="6"/>
          <w:kern w:val="0"/>
          <w:sz w:val="28"/>
          <w:szCs w:val="28"/>
          <w:lang w:val="en-US" w:eastAsia="zh-CN"/>
        </w:rPr>
        <w:t>1,934,030.66</w:t>
      </w:r>
      <w:r>
        <w:rPr>
          <w:rFonts w:hint="eastAsia" w:ascii="仿宋_GB2312" w:hAnsi="仿宋" w:eastAsia="仿宋_GB2312"/>
          <w:spacing w:val="6"/>
          <w:kern w:val="0"/>
          <w:sz w:val="28"/>
          <w:szCs w:val="28"/>
        </w:rPr>
        <w:t>元，</w:t>
      </w:r>
      <w:r>
        <w:rPr>
          <w:rFonts w:hint="eastAsia" w:ascii="仿宋_GB2312" w:hAnsi="仿宋" w:eastAsia="仿宋_GB2312"/>
          <w:spacing w:val="6"/>
          <w:kern w:val="0"/>
          <w:sz w:val="28"/>
          <w:szCs w:val="28"/>
          <w:lang w:val="en-US" w:eastAsia="zh-CN"/>
        </w:rPr>
        <w:t>因与农投公司相关合同尾款受实际运行情况影响仍未结清，因此实际支出未达预算数。其中1,791元为未申报的额度，目前已退会财政，剩余165,969.34元已通过退额度方式退回财政，</w:t>
      </w:r>
      <w:r>
        <w:rPr>
          <w:rFonts w:hint="eastAsia" w:ascii="仿宋_GB2312" w:hAnsi="仿宋" w:eastAsia="仿宋_GB2312"/>
          <w:spacing w:val="6"/>
          <w:kern w:val="0"/>
          <w:sz w:val="28"/>
          <w:szCs w:val="28"/>
        </w:rPr>
        <w:t>预算执行率为</w:t>
      </w:r>
      <w:r>
        <w:rPr>
          <w:rFonts w:hint="eastAsia" w:ascii="仿宋_GB2312" w:hAnsi="仿宋" w:eastAsia="仿宋_GB2312"/>
          <w:spacing w:val="6"/>
          <w:kern w:val="0"/>
          <w:sz w:val="28"/>
          <w:szCs w:val="28"/>
          <w:lang w:val="en-US" w:eastAsia="zh-CN"/>
        </w:rPr>
        <w:t>92.02</w:t>
      </w:r>
      <w:r>
        <w:rPr>
          <w:rFonts w:hint="eastAsia" w:ascii="仿宋_GB2312" w:hAnsi="仿宋" w:eastAsia="仿宋_GB2312"/>
          <w:spacing w:val="6"/>
          <w:kern w:val="0"/>
          <w:sz w:val="28"/>
          <w:szCs w:val="28"/>
        </w:rPr>
        <w:t>%</w:t>
      </w:r>
      <w:r>
        <w:rPr>
          <w:rFonts w:hint="eastAsia" w:ascii="仿宋_GB2312" w:hAnsi="仿宋_GB2312" w:eastAsia="仿宋_GB2312" w:cs="仿宋_GB2312"/>
          <w:b w:val="0"/>
          <w:bCs w:val="0"/>
          <w:spacing w:val="20"/>
          <w:kern w:val="2"/>
          <w:sz w:val="28"/>
          <w:szCs w:val="28"/>
          <w:lang w:val="en-US" w:eastAsia="zh-CN" w:bidi="ar-SA"/>
        </w:rPr>
        <w:t>。</w:t>
      </w:r>
    </w:p>
    <w:p w14:paraId="5CD7CBB3">
      <w:pPr>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w:t>
      </w:r>
      <w:r>
        <w:rPr>
          <w:rFonts w:hint="eastAsia" w:ascii="仿宋_GB2312" w:hAnsi="仿宋" w:eastAsia="仿宋_GB2312" w:cs="Times New Roman"/>
          <w:spacing w:val="6"/>
          <w:kern w:val="0"/>
          <w:sz w:val="28"/>
          <w:szCs w:val="28"/>
          <w:lang w:val="en-US" w:eastAsia="zh-CN"/>
        </w:rPr>
        <w:t>评分标准得1.7分</w:t>
      </w:r>
      <w:r>
        <w:rPr>
          <w:rFonts w:hint="eastAsia" w:ascii="仿宋_GB2312" w:hAnsi="仿宋_GB2312" w:eastAsia="仿宋_GB2312" w:cs="仿宋_GB2312"/>
          <w:b w:val="0"/>
          <w:bCs w:val="0"/>
          <w:spacing w:val="20"/>
          <w:kern w:val="2"/>
          <w:sz w:val="28"/>
          <w:szCs w:val="28"/>
          <w:lang w:val="en-US" w:eastAsia="zh-CN" w:bidi="ar-SA"/>
        </w:rPr>
        <w:t>。</w:t>
      </w:r>
    </w:p>
    <w:p w14:paraId="70C941A5">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（2）财务管理</w:t>
      </w:r>
    </w:p>
    <w:p w14:paraId="4A506631">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主要考察项目资金使用是否符合预算批复的用途，是否存在截留、挤占、挪用、虚列支出等情况，用以反映和考核项目资金使用的规范性和安全性；项目的财务制度是否健全、完善、有效，用以反映和考核财务管理制度对资金规范、安全运行的保障情况；资金拨付程序是否完整，财务制度是否有效执行，用以反映和考核财务监控的有效性。各指标的业绩值和实际得分详见表9。</w:t>
      </w:r>
    </w:p>
    <w:p w14:paraId="1780763B">
      <w:pPr>
        <w:jc w:val="center"/>
        <w:rPr>
          <w:rFonts w:hint="eastAsia" w:ascii="黑体" w:hAnsi="黑体" w:eastAsia="黑体"/>
          <w:kern w:val="2"/>
          <w:sz w:val="24"/>
          <w:szCs w:val="24"/>
          <w:lang w:val="zh-CN"/>
        </w:rPr>
      </w:pPr>
      <w:r>
        <w:rPr>
          <w:rFonts w:hint="eastAsia" w:ascii="黑体" w:hAnsi="黑体" w:eastAsia="黑体"/>
          <w:kern w:val="2"/>
          <w:sz w:val="24"/>
          <w:szCs w:val="24"/>
          <w:lang w:val="zh-CN"/>
        </w:rPr>
        <w:t>表9  财务管理指标评分表</w:t>
      </w:r>
    </w:p>
    <w:tbl>
      <w:tblPr>
        <w:tblStyle w:val="8"/>
        <w:tblW w:w="5000" w:type="pct"/>
        <w:jc w:val="center"/>
        <w:tblLayout w:type="autofit"/>
        <w:tblCellMar>
          <w:top w:w="0" w:type="dxa"/>
          <w:left w:w="10" w:type="dxa"/>
          <w:bottom w:w="0" w:type="dxa"/>
          <w:right w:w="10" w:type="dxa"/>
        </w:tblCellMar>
      </w:tblPr>
      <w:tblGrid>
        <w:gridCol w:w="3864"/>
        <w:gridCol w:w="1251"/>
        <w:gridCol w:w="1514"/>
        <w:gridCol w:w="1697"/>
      </w:tblGrid>
      <w:tr w14:paraId="32F5BCB4">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bottom"/>
          </w:tcPr>
          <w:p w14:paraId="1F2671B0">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751" w:type="pct"/>
            <w:tcBorders>
              <w:top w:val="single" w:color="auto" w:sz="4" w:space="0"/>
              <w:left w:val="single" w:color="auto" w:sz="4" w:space="0"/>
            </w:tcBorders>
            <w:shd w:val="clear" w:color="auto" w:fill="FFFFFF"/>
            <w:vAlign w:val="bottom"/>
          </w:tcPr>
          <w:p w14:paraId="41A0A0E0">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909" w:type="pct"/>
            <w:tcBorders>
              <w:top w:val="single" w:color="auto" w:sz="4" w:space="0"/>
              <w:left w:val="single" w:color="auto" w:sz="4" w:space="0"/>
            </w:tcBorders>
            <w:shd w:val="clear" w:color="auto" w:fill="FFFFFF"/>
            <w:vAlign w:val="bottom"/>
          </w:tcPr>
          <w:p w14:paraId="61EEDA91">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1019" w:type="pct"/>
            <w:tcBorders>
              <w:top w:val="single" w:color="auto" w:sz="4" w:space="0"/>
              <w:left w:val="single" w:color="auto" w:sz="4" w:space="0"/>
              <w:right w:val="single" w:color="auto" w:sz="4" w:space="0"/>
            </w:tcBorders>
            <w:shd w:val="clear" w:color="auto" w:fill="FFFFFF"/>
            <w:vAlign w:val="bottom"/>
          </w:tcPr>
          <w:p w14:paraId="293FBEE8">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4F2138DE">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224FAB1E">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B21.资金使用情况</w:t>
            </w:r>
          </w:p>
        </w:tc>
        <w:tc>
          <w:tcPr>
            <w:tcW w:w="751" w:type="pct"/>
            <w:tcBorders>
              <w:top w:val="single" w:color="auto" w:sz="4" w:space="0"/>
              <w:left w:val="single" w:color="auto" w:sz="4" w:space="0"/>
            </w:tcBorders>
            <w:shd w:val="clear" w:color="auto" w:fill="FFFFFF"/>
          </w:tcPr>
          <w:p w14:paraId="4CBA2F2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tcBorders>
            <w:shd w:val="clear" w:color="auto" w:fill="FFFFFF"/>
          </w:tcPr>
          <w:p w14:paraId="5C4AA38F">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合规</w:t>
            </w:r>
          </w:p>
        </w:tc>
        <w:tc>
          <w:tcPr>
            <w:tcW w:w="1019" w:type="pct"/>
            <w:tcBorders>
              <w:top w:val="single" w:color="auto" w:sz="4" w:space="0"/>
              <w:left w:val="single" w:color="auto" w:sz="4" w:space="0"/>
              <w:right w:val="single" w:color="auto" w:sz="4" w:space="0"/>
            </w:tcBorders>
            <w:shd w:val="clear" w:color="auto" w:fill="FFFFFF"/>
          </w:tcPr>
          <w:p w14:paraId="541E166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r>
      <w:tr w14:paraId="4F093FEE">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vAlign w:val="center"/>
          </w:tcPr>
          <w:p w14:paraId="23C5CC5C">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B22.财务管理制度健全性</w:t>
            </w:r>
          </w:p>
        </w:tc>
        <w:tc>
          <w:tcPr>
            <w:tcW w:w="751" w:type="pct"/>
            <w:tcBorders>
              <w:top w:val="single" w:color="auto" w:sz="4" w:space="0"/>
              <w:left w:val="single" w:color="auto" w:sz="4" w:space="0"/>
            </w:tcBorders>
            <w:shd w:val="clear" w:color="auto" w:fill="FFFFFF"/>
            <w:vAlign w:val="bottom"/>
          </w:tcPr>
          <w:p w14:paraId="4C1EAC0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909" w:type="pct"/>
            <w:tcBorders>
              <w:top w:val="single" w:color="auto" w:sz="4" w:space="0"/>
              <w:left w:val="single" w:color="auto" w:sz="4" w:space="0"/>
            </w:tcBorders>
            <w:shd w:val="clear" w:color="auto" w:fill="FFFFFF"/>
            <w:vAlign w:val="center"/>
          </w:tcPr>
          <w:p w14:paraId="72003A90">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健全</w:t>
            </w:r>
          </w:p>
        </w:tc>
        <w:tc>
          <w:tcPr>
            <w:tcW w:w="1019" w:type="pct"/>
            <w:tcBorders>
              <w:top w:val="single" w:color="auto" w:sz="4" w:space="0"/>
              <w:left w:val="single" w:color="auto" w:sz="4" w:space="0"/>
              <w:right w:val="single" w:color="auto" w:sz="4" w:space="0"/>
            </w:tcBorders>
            <w:shd w:val="clear" w:color="auto" w:fill="FFFFFF"/>
            <w:vAlign w:val="bottom"/>
          </w:tcPr>
          <w:p w14:paraId="6918AAD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4861254A">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tcBorders>
            <w:shd w:val="clear" w:color="auto" w:fill="FFFFFF"/>
          </w:tcPr>
          <w:p w14:paraId="1DBFB13F">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B23.财务监控有效性</w:t>
            </w:r>
          </w:p>
        </w:tc>
        <w:tc>
          <w:tcPr>
            <w:tcW w:w="751" w:type="pct"/>
            <w:tcBorders>
              <w:top w:val="single" w:color="auto" w:sz="4" w:space="0"/>
              <w:left w:val="single" w:color="auto" w:sz="4" w:space="0"/>
            </w:tcBorders>
            <w:shd w:val="clear" w:color="auto" w:fill="FFFFFF"/>
          </w:tcPr>
          <w:p w14:paraId="6439267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09" w:type="pct"/>
            <w:tcBorders>
              <w:top w:val="single" w:color="auto" w:sz="4" w:space="0"/>
              <w:left w:val="single" w:color="auto" w:sz="4" w:space="0"/>
            </w:tcBorders>
            <w:shd w:val="clear" w:color="auto" w:fill="FFFFFF"/>
          </w:tcPr>
          <w:p w14:paraId="61F04FFD">
            <w:pPr>
              <w:pStyle w:val="11"/>
              <w:shd w:val="clear" w:color="auto" w:fill="auto"/>
              <w:spacing w:after="0" w:line="360" w:lineRule="auto"/>
              <w:rPr>
                <w:rStyle w:val="12"/>
                <w:rFonts w:hint="eastAsia" w:ascii="宋体" w:hAnsi="宋体" w:eastAsia="宋体" w:cs="宋体"/>
                <w:sz w:val="21"/>
                <w:szCs w:val="21"/>
              </w:rPr>
            </w:pPr>
          </w:p>
        </w:tc>
        <w:tc>
          <w:tcPr>
            <w:tcW w:w="1019" w:type="pct"/>
            <w:tcBorders>
              <w:top w:val="single" w:color="auto" w:sz="4" w:space="0"/>
              <w:left w:val="single" w:color="auto" w:sz="4" w:space="0"/>
              <w:right w:val="single" w:color="auto" w:sz="4" w:space="0"/>
            </w:tcBorders>
            <w:shd w:val="clear" w:color="auto" w:fill="FFFFFF"/>
          </w:tcPr>
          <w:p w14:paraId="2C920D74">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r>
              <w:rPr>
                <w:rFonts w:hint="eastAsia" w:ascii="Calibri" w:hAnsi="仿宋" w:eastAsia="宋体" w:cs="宋体"/>
                <w:color w:val="000000"/>
                <w:spacing w:val="0"/>
                <w:kern w:val="2"/>
                <w:sz w:val="21"/>
                <w:szCs w:val="22"/>
                <w:lang w:val="en-US" w:eastAsia="en-US" w:bidi="ar-SA"/>
              </w:rPr>
              <w:t>0</w:t>
            </w:r>
          </w:p>
        </w:tc>
      </w:tr>
      <w:tr w14:paraId="7B0DED16">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tcBorders>
            <w:shd w:val="clear" w:color="auto" w:fill="FFFFFF"/>
          </w:tcPr>
          <w:p w14:paraId="1FC94325">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B231.资金拨付程序完整性</w:t>
            </w:r>
          </w:p>
        </w:tc>
        <w:tc>
          <w:tcPr>
            <w:tcW w:w="751" w:type="pct"/>
            <w:tcBorders>
              <w:top w:val="single" w:color="auto" w:sz="4" w:space="0"/>
              <w:left w:val="single" w:color="auto" w:sz="4" w:space="0"/>
              <w:bottom w:val="single" w:color="auto" w:sz="4" w:space="0"/>
            </w:tcBorders>
            <w:shd w:val="clear" w:color="auto" w:fill="FFFFFF"/>
          </w:tcPr>
          <w:p w14:paraId="7C5B72E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909" w:type="pct"/>
            <w:tcBorders>
              <w:top w:val="single" w:color="auto" w:sz="4" w:space="0"/>
              <w:left w:val="single" w:color="auto" w:sz="4" w:space="0"/>
              <w:bottom w:val="single" w:color="auto" w:sz="4" w:space="0"/>
            </w:tcBorders>
            <w:shd w:val="clear" w:color="auto" w:fill="FFFFFF"/>
          </w:tcPr>
          <w:p w14:paraId="31A70533">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完整</w:t>
            </w:r>
          </w:p>
        </w:tc>
        <w:tc>
          <w:tcPr>
            <w:tcW w:w="1019" w:type="pct"/>
            <w:tcBorders>
              <w:top w:val="single" w:color="auto" w:sz="4" w:space="0"/>
              <w:left w:val="single" w:color="auto" w:sz="4" w:space="0"/>
              <w:bottom w:val="single" w:color="auto" w:sz="4" w:space="0"/>
              <w:right w:val="single" w:color="auto" w:sz="4" w:space="0"/>
            </w:tcBorders>
            <w:shd w:val="clear" w:color="auto" w:fill="FFFFFF"/>
          </w:tcPr>
          <w:p w14:paraId="13C4C61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r>
      <w:tr w14:paraId="21527324">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right w:val="single" w:color="auto" w:sz="4" w:space="0"/>
            </w:tcBorders>
            <w:shd w:val="clear" w:color="auto" w:fill="FFFFFF"/>
          </w:tcPr>
          <w:p w14:paraId="782F5DC6">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B232.财务制度执行有效性</w:t>
            </w:r>
          </w:p>
        </w:tc>
        <w:tc>
          <w:tcPr>
            <w:tcW w:w="751" w:type="pct"/>
            <w:tcBorders>
              <w:top w:val="single" w:color="auto" w:sz="4" w:space="0"/>
              <w:left w:val="single" w:color="auto" w:sz="4" w:space="0"/>
              <w:bottom w:val="single" w:color="auto" w:sz="4" w:space="0"/>
              <w:right w:val="single" w:color="auto" w:sz="4" w:space="0"/>
            </w:tcBorders>
            <w:shd w:val="clear" w:color="auto" w:fill="FFFFFF"/>
          </w:tcPr>
          <w:p w14:paraId="42A4CED0">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909" w:type="pct"/>
            <w:tcBorders>
              <w:top w:val="single" w:color="auto" w:sz="4" w:space="0"/>
              <w:left w:val="single" w:color="auto" w:sz="4" w:space="0"/>
              <w:bottom w:val="single" w:color="auto" w:sz="4" w:space="0"/>
              <w:right w:val="single" w:color="auto" w:sz="4" w:space="0"/>
            </w:tcBorders>
            <w:shd w:val="clear" w:color="auto" w:fill="FFFFFF"/>
          </w:tcPr>
          <w:p w14:paraId="6DFA5FA8">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有效</w:t>
            </w:r>
          </w:p>
        </w:tc>
        <w:tc>
          <w:tcPr>
            <w:tcW w:w="1019" w:type="pct"/>
            <w:tcBorders>
              <w:top w:val="single" w:color="auto" w:sz="4" w:space="0"/>
              <w:left w:val="single" w:color="auto" w:sz="4" w:space="0"/>
              <w:bottom w:val="single" w:color="auto" w:sz="4" w:space="0"/>
              <w:right w:val="single" w:color="auto" w:sz="4" w:space="0"/>
            </w:tcBorders>
            <w:shd w:val="clear" w:color="auto" w:fill="FFFFFF"/>
          </w:tcPr>
          <w:p w14:paraId="2763249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r>
      <w:tr w14:paraId="20C435D9">
        <w:tblPrEx>
          <w:tblCellMar>
            <w:top w:w="0" w:type="dxa"/>
            <w:left w:w="10" w:type="dxa"/>
            <w:bottom w:w="0" w:type="dxa"/>
            <w:right w:w="10" w:type="dxa"/>
          </w:tblCellMar>
        </w:tblPrEx>
        <w:trPr>
          <w:trHeight w:val="468" w:hRule="atLeast"/>
          <w:jc w:val="center"/>
        </w:trPr>
        <w:tc>
          <w:tcPr>
            <w:tcW w:w="2321" w:type="pct"/>
            <w:tcBorders>
              <w:top w:val="single" w:color="auto" w:sz="4" w:space="0"/>
              <w:left w:val="single" w:color="auto" w:sz="4" w:space="0"/>
              <w:bottom w:val="single" w:color="auto" w:sz="4" w:space="0"/>
            </w:tcBorders>
            <w:shd w:val="clear" w:color="auto" w:fill="FFFFFF"/>
            <w:vAlign w:val="center"/>
          </w:tcPr>
          <w:p w14:paraId="0C620586">
            <w:pPr>
              <w:pStyle w:val="11"/>
              <w:shd w:val="clear" w:color="auto" w:fill="auto"/>
              <w:spacing w:after="0" w:line="360" w:lineRule="auto"/>
              <w:rPr>
                <w:rFonts w:hint="eastAsia" w:ascii="宋体" w:hAnsi="宋体" w:eastAsia="宋体" w:cs="宋体"/>
                <w:b/>
                <w:bCs/>
                <w:sz w:val="21"/>
                <w:szCs w:val="21"/>
              </w:rPr>
            </w:pPr>
            <w:r>
              <w:rPr>
                <w:rStyle w:val="12"/>
                <w:rFonts w:hint="eastAsia" w:cs="宋体"/>
                <w:b/>
                <w:bCs/>
                <w:sz w:val="21"/>
                <w:szCs w:val="21"/>
              </w:rPr>
              <w:t>合计</w:t>
            </w:r>
          </w:p>
        </w:tc>
        <w:tc>
          <w:tcPr>
            <w:tcW w:w="751" w:type="pct"/>
            <w:tcBorders>
              <w:top w:val="single" w:color="auto" w:sz="4" w:space="0"/>
              <w:left w:val="single" w:color="auto" w:sz="4" w:space="0"/>
              <w:bottom w:val="single" w:color="auto" w:sz="4" w:space="0"/>
            </w:tcBorders>
            <w:shd w:val="clear" w:color="auto" w:fill="FFFFFF"/>
            <w:vAlign w:val="center"/>
          </w:tcPr>
          <w:p w14:paraId="21D1102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6</w:t>
            </w:r>
          </w:p>
        </w:tc>
        <w:tc>
          <w:tcPr>
            <w:tcW w:w="909" w:type="pct"/>
            <w:tcBorders>
              <w:top w:val="single" w:color="auto" w:sz="4" w:space="0"/>
              <w:left w:val="single" w:color="auto" w:sz="4" w:space="0"/>
              <w:bottom w:val="single" w:color="auto" w:sz="4" w:space="0"/>
            </w:tcBorders>
            <w:shd w:val="clear" w:color="auto" w:fill="FFFFFF"/>
          </w:tcPr>
          <w:p w14:paraId="7C1A6975">
            <w:pPr>
              <w:spacing w:line="360" w:lineRule="auto"/>
              <w:rPr>
                <w:rFonts w:hint="eastAsia" w:ascii="宋体" w:hAnsi="宋体" w:eastAsia="宋体" w:cs="宋体"/>
                <w:b/>
                <w:bCs/>
                <w:sz w:val="21"/>
                <w:szCs w:val="21"/>
              </w:rPr>
            </w:pPr>
          </w:p>
        </w:tc>
        <w:tc>
          <w:tcPr>
            <w:tcW w:w="1019" w:type="pct"/>
            <w:tcBorders>
              <w:top w:val="single" w:color="auto" w:sz="4" w:space="0"/>
              <w:left w:val="single" w:color="auto" w:sz="4" w:space="0"/>
              <w:bottom w:val="single" w:color="auto" w:sz="4" w:space="0"/>
              <w:right w:val="single" w:color="auto" w:sz="4" w:space="0"/>
            </w:tcBorders>
            <w:shd w:val="clear" w:color="auto" w:fill="FFFFFF"/>
            <w:vAlign w:val="center"/>
          </w:tcPr>
          <w:p w14:paraId="3E5B8AD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6</w:t>
            </w:r>
          </w:p>
        </w:tc>
      </w:tr>
    </w:tbl>
    <w:p w14:paraId="0D83B315">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B21.资金使用情况</w:t>
      </w:r>
    </w:p>
    <w:p w14:paraId="701FD4C2">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B21.资金使用情况</w:t>
      </w:r>
      <w:r>
        <w:rPr>
          <w:rFonts w:hint="eastAsia" w:ascii="仿宋_GB2312" w:hAnsi="仿宋_GB2312" w:eastAsia="仿宋_GB2312" w:cs="仿宋_GB2312"/>
          <w:b w:val="0"/>
          <w:bCs w:val="0"/>
          <w:spacing w:val="20"/>
          <w:kern w:val="2"/>
          <w:sz w:val="28"/>
          <w:szCs w:val="28"/>
          <w:lang w:val="en-US" w:eastAsia="zh-CN" w:bidi="ar-SA"/>
        </w:rPr>
        <w:t>：通过查阅预算批复、支出明细账、支付指令、原始凭证等资料，本项目资金使用符合预算批复的用途，不存在截留、挤占、挪用、虚列支出等情况。</w:t>
      </w:r>
    </w:p>
    <w:p w14:paraId="4D156863">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该项指标满分为2分，根据评分标准得2分。</w:t>
      </w:r>
    </w:p>
    <w:p w14:paraId="43EE1832">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B22.财务管理制度健全性</w:t>
      </w:r>
    </w:p>
    <w:p w14:paraId="091D11EE">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B22.财务管理制度健全性</w:t>
      </w:r>
      <w:r>
        <w:rPr>
          <w:rFonts w:hint="eastAsia" w:ascii="仿宋_GB2312" w:hAnsi="仿宋_GB2312" w:eastAsia="仿宋_GB2312" w:cs="仿宋_GB2312"/>
          <w:b w:val="0"/>
          <w:bCs w:val="0"/>
          <w:spacing w:val="20"/>
          <w:kern w:val="2"/>
          <w:sz w:val="28"/>
          <w:szCs w:val="28"/>
          <w:lang w:val="en-US" w:eastAsia="zh-CN" w:bidi="ar-SA"/>
        </w:rPr>
        <w:t>：</w:t>
      </w:r>
      <w:r>
        <w:rPr>
          <w:rFonts w:hint="eastAsia" w:ascii="仿宋_GB2312" w:hAnsi="仿宋" w:eastAsia="仿宋_GB2312"/>
          <w:spacing w:val="6"/>
          <w:kern w:val="0"/>
          <w:sz w:val="28"/>
          <w:szCs w:val="28"/>
        </w:rPr>
        <w:t>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按照《</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rPr>
        <w:t>预算管理内部控制流程》、《</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收支</w:t>
      </w:r>
      <w:r>
        <w:rPr>
          <w:rFonts w:hint="eastAsia" w:ascii="仿宋_GB2312" w:hAnsi="仿宋" w:eastAsia="仿宋_GB2312"/>
          <w:spacing w:val="6"/>
          <w:kern w:val="0"/>
          <w:sz w:val="28"/>
          <w:szCs w:val="28"/>
        </w:rPr>
        <w:t>管理内部控制流程》等文件要求，严格执行招投标管理机制、合同管理制和工程监理制等基本建设管理制度。项目资金开支严格按照国家有关财务管理规定单独建账、专人管理、专款专用，并根据度假区财务管理制度执行</w:t>
      </w:r>
      <w:r>
        <w:rPr>
          <w:rFonts w:hint="eastAsia" w:ascii="仿宋_GB2312" w:hAnsi="仿宋_GB2312" w:eastAsia="仿宋_GB2312" w:cs="仿宋_GB2312"/>
          <w:b w:val="0"/>
          <w:bCs w:val="0"/>
          <w:spacing w:val="20"/>
          <w:kern w:val="2"/>
          <w:sz w:val="28"/>
          <w:szCs w:val="28"/>
          <w:lang w:val="en-US" w:eastAsia="zh-CN" w:bidi="ar-SA"/>
        </w:rPr>
        <w:t>。</w:t>
      </w:r>
    </w:p>
    <w:p w14:paraId="5A1DB930">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7235ED0F">
      <w:pPr>
        <w:topLinePunct/>
        <w:spacing w:line="579" w:lineRule="exact"/>
        <w:ind w:firstLine="642"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B23.财务监控有效性</w:t>
      </w:r>
    </w:p>
    <w:p w14:paraId="35C6FA2D">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B231.资金拨付程序完整性</w:t>
      </w:r>
      <w:r>
        <w:rPr>
          <w:rFonts w:hint="eastAsia" w:ascii="仿宋_GB2312" w:hAnsi="仿宋_GB2312" w:eastAsia="仿宋_GB2312" w:cs="仿宋_GB2312"/>
          <w:b w:val="0"/>
          <w:bCs w:val="0"/>
          <w:spacing w:val="20"/>
          <w:kern w:val="2"/>
          <w:sz w:val="28"/>
          <w:szCs w:val="28"/>
          <w:lang w:val="en-US" w:eastAsia="zh-CN" w:bidi="ar-SA"/>
        </w:rPr>
        <w:t>：本项目的资金拨付程序为按照合同进度支付，经分管领导复核签字后，交单位负责人审批，财务支付资金，通过查阅相关的申请审批材料,资金拨付各环节程序完整。</w:t>
      </w:r>
    </w:p>
    <w:p w14:paraId="09A2C8FF">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3356A662">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B232.财务制度执行有效性</w:t>
      </w:r>
      <w:r>
        <w:rPr>
          <w:rFonts w:hint="eastAsia" w:ascii="仿宋_GB2312" w:hAnsi="仿宋_GB2312" w:eastAsia="仿宋_GB2312" w:cs="仿宋_GB2312"/>
          <w:b w:val="0"/>
          <w:bCs w:val="0"/>
          <w:spacing w:val="20"/>
          <w:kern w:val="2"/>
          <w:sz w:val="28"/>
          <w:szCs w:val="28"/>
          <w:lang w:val="en-US" w:eastAsia="zh-CN" w:bidi="ar-SA"/>
        </w:rPr>
        <w:t>：根据财务制度中的规定,项目组查阅了相关的资料，相关制度规定全部得到有效执行。</w:t>
      </w:r>
    </w:p>
    <w:p w14:paraId="34D4D547">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该项指标满分为2分，根据评分标准得2分。</w:t>
      </w:r>
    </w:p>
    <w:p w14:paraId="47BA075E">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（3）项目实施</w:t>
      </w:r>
    </w:p>
    <w:p w14:paraId="3EB5ED0B">
      <w:pPr>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ascii="仿宋" w:hAnsi="仿宋" w:eastAsia="仿宋_GB2312"/>
          <w:sz w:val="30"/>
          <w:szCs w:val="30"/>
        </w:rPr>
      </w:pPr>
      <w:r>
        <w:rPr>
          <w:rFonts w:hint="eastAsia" w:ascii="仿宋_GB2312" w:hAnsi="仿宋_GB2312" w:eastAsia="仿宋_GB2312" w:cs="仿宋_GB2312"/>
          <w:b w:val="0"/>
          <w:bCs w:val="0"/>
          <w:spacing w:val="20"/>
          <w:kern w:val="2"/>
          <w:sz w:val="28"/>
          <w:szCs w:val="28"/>
          <w:lang w:val="en-US" w:eastAsia="zh-CN" w:bidi="ar-SA"/>
        </w:rPr>
        <w:t>主要考察主管部门昆明市生态环境局盘龙分局相关管理制度、措施是否健全，是否有效执行，政府采购是否合规。各指标的业绩值和实际得分详见表10。</w:t>
      </w:r>
    </w:p>
    <w:p w14:paraId="5D2360B9">
      <w:pPr>
        <w:topLinePunct/>
        <w:spacing w:line="579" w:lineRule="exact"/>
        <w:ind w:firstLine="482" w:firstLineChars="200"/>
        <w:jc w:val="center"/>
        <w:rPr>
          <w:rFonts w:hint="eastAsia" w:ascii="黑体" w:hAnsi="黑体" w:eastAsia="黑体" w:cs="黑体"/>
          <w:b/>
          <w:bCs/>
          <w:color w:val="000000"/>
          <w:sz w:val="24"/>
          <w:szCs w:val="24"/>
          <w:lang w:val="zh-CN" w:bidi="zh-CN"/>
        </w:rPr>
      </w:pPr>
      <w:r>
        <w:rPr>
          <w:rFonts w:hint="eastAsia" w:ascii="黑体" w:hAnsi="黑体" w:eastAsia="黑体" w:cs="黑体"/>
          <w:b/>
          <w:bCs/>
          <w:color w:val="000000"/>
          <w:sz w:val="24"/>
          <w:szCs w:val="24"/>
          <w:lang w:val="zh-CN" w:bidi="zh-CN"/>
        </w:rPr>
        <w:t>表10  项目实施指标评分表</w:t>
      </w:r>
    </w:p>
    <w:tbl>
      <w:tblPr>
        <w:tblStyle w:val="8"/>
        <w:tblW w:w="5000" w:type="pct"/>
        <w:jc w:val="center"/>
        <w:tblLayout w:type="autofit"/>
        <w:tblCellMar>
          <w:top w:w="0" w:type="dxa"/>
          <w:left w:w="10" w:type="dxa"/>
          <w:bottom w:w="0" w:type="dxa"/>
          <w:right w:w="10" w:type="dxa"/>
        </w:tblCellMar>
      </w:tblPr>
      <w:tblGrid>
        <w:gridCol w:w="4832"/>
        <w:gridCol w:w="996"/>
        <w:gridCol w:w="1216"/>
        <w:gridCol w:w="1282"/>
      </w:tblGrid>
      <w:tr w14:paraId="2925BF78">
        <w:tblPrEx>
          <w:tblCellMar>
            <w:top w:w="0" w:type="dxa"/>
            <w:left w:w="10" w:type="dxa"/>
            <w:bottom w:w="0" w:type="dxa"/>
            <w:right w:w="10" w:type="dxa"/>
          </w:tblCellMar>
        </w:tblPrEx>
        <w:trPr>
          <w:trHeight w:val="414" w:hRule="atLeast"/>
          <w:tblHeader/>
          <w:jc w:val="center"/>
        </w:trPr>
        <w:tc>
          <w:tcPr>
            <w:tcW w:w="2901" w:type="pct"/>
            <w:tcBorders>
              <w:top w:val="single" w:color="auto" w:sz="4" w:space="0"/>
              <w:left w:val="single" w:color="auto" w:sz="4" w:space="0"/>
            </w:tcBorders>
            <w:shd w:val="clear" w:color="auto" w:fill="FFFFFF"/>
            <w:vAlign w:val="bottom"/>
          </w:tcPr>
          <w:p w14:paraId="1BA8B06D">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598" w:type="pct"/>
            <w:tcBorders>
              <w:top w:val="single" w:color="auto" w:sz="4" w:space="0"/>
              <w:left w:val="single" w:color="auto" w:sz="4" w:space="0"/>
            </w:tcBorders>
            <w:shd w:val="clear" w:color="auto" w:fill="FFFFFF"/>
            <w:vAlign w:val="bottom"/>
          </w:tcPr>
          <w:p w14:paraId="4844AD27">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730" w:type="pct"/>
            <w:tcBorders>
              <w:top w:val="single" w:color="auto" w:sz="4" w:space="0"/>
              <w:left w:val="single" w:color="auto" w:sz="4" w:space="0"/>
            </w:tcBorders>
            <w:shd w:val="clear" w:color="auto" w:fill="FFFFFF"/>
            <w:vAlign w:val="bottom"/>
          </w:tcPr>
          <w:p w14:paraId="3F4B6850">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769" w:type="pct"/>
            <w:tcBorders>
              <w:top w:val="single" w:color="auto" w:sz="4" w:space="0"/>
              <w:left w:val="single" w:color="auto" w:sz="4" w:space="0"/>
              <w:right w:val="single" w:color="auto" w:sz="4" w:space="0"/>
            </w:tcBorders>
            <w:shd w:val="clear" w:color="auto" w:fill="FFFFFF"/>
            <w:vAlign w:val="bottom"/>
          </w:tcPr>
          <w:p w14:paraId="23F8E89E">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2EC56FB3">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164012CA">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B31.项目管理制度健全性</w:t>
            </w:r>
          </w:p>
        </w:tc>
        <w:tc>
          <w:tcPr>
            <w:tcW w:w="598" w:type="pct"/>
            <w:tcBorders>
              <w:top w:val="single" w:color="auto" w:sz="4" w:space="0"/>
              <w:left w:val="single" w:color="auto" w:sz="4" w:space="0"/>
            </w:tcBorders>
            <w:shd w:val="clear" w:color="auto" w:fill="FFFFFF"/>
          </w:tcPr>
          <w:p w14:paraId="5DA2A954">
            <w:pPr>
              <w:pStyle w:val="11"/>
              <w:shd w:val="clear" w:color="auto" w:fill="auto"/>
              <w:spacing w:after="0" w:line="360" w:lineRule="auto"/>
              <w:rPr>
                <w:rStyle w:val="12"/>
                <w:rFonts w:ascii="仿宋" w:hAnsi="仿宋" w:eastAsia="仿宋_GB2312"/>
                <w:sz w:val="24"/>
                <w:szCs w:val="24"/>
              </w:rPr>
            </w:pPr>
          </w:p>
        </w:tc>
        <w:tc>
          <w:tcPr>
            <w:tcW w:w="730" w:type="pct"/>
            <w:tcBorders>
              <w:top w:val="single" w:color="auto" w:sz="4" w:space="0"/>
              <w:left w:val="single" w:color="auto" w:sz="4" w:space="0"/>
            </w:tcBorders>
            <w:shd w:val="clear" w:color="auto" w:fill="FFFFFF"/>
          </w:tcPr>
          <w:p w14:paraId="1CEC9C5B">
            <w:pPr>
              <w:pStyle w:val="11"/>
              <w:shd w:val="clear" w:color="auto" w:fill="auto"/>
              <w:spacing w:after="0" w:line="360" w:lineRule="auto"/>
              <w:rPr>
                <w:rStyle w:val="12"/>
                <w:rFonts w:ascii="仿宋" w:hAnsi="仿宋" w:eastAsia="仿宋_GB2312"/>
                <w:sz w:val="24"/>
                <w:szCs w:val="24"/>
              </w:rPr>
            </w:pPr>
          </w:p>
        </w:tc>
        <w:tc>
          <w:tcPr>
            <w:tcW w:w="769" w:type="pct"/>
            <w:tcBorders>
              <w:top w:val="single" w:color="auto" w:sz="4" w:space="0"/>
              <w:left w:val="single" w:color="auto" w:sz="4" w:space="0"/>
              <w:right w:val="single" w:color="auto" w:sz="4" w:space="0"/>
            </w:tcBorders>
            <w:shd w:val="clear" w:color="auto" w:fill="FFFFFF"/>
          </w:tcPr>
          <w:p w14:paraId="249DAF7B">
            <w:pPr>
              <w:pStyle w:val="11"/>
              <w:shd w:val="clear" w:color="auto" w:fill="auto"/>
              <w:spacing w:after="0" w:line="360" w:lineRule="auto"/>
              <w:rPr>
                <w:rStyle w:val="12"/>
                <w:rFonts w:ascii="仿宋" w:hAnsi="仿宋" w:eastAsia="仿宋_GB2312"/>
                <w:sz w:val="24"/>
                <w:szCs w:val="24"/>
              </w:rPr>
            </w:pPr>
          </w:p>
        </w:tc>
      </w:tr>
      <w:tr w14:paraId="031D64EF">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vAlign w:val="center"/>
          </w:tcPr>
          <w:p w14:paraId="3BF95600">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B311.项目实施单位管理制度健全性</w:t>
            </w:r>
          </w:p>
        </w:tc>
        <w:tc>
          <w:tcPr>
            <w:tcW w:w="598" w:type="pct"/>
            <w:tcBorders>
              <w:top w:val="single" w:color="auto" w:sz="4" w:space="0"/>
              <w:left w:val="single" w:color="auto" w:sz="4" w:space="0"/>
            </w:tcBorders>
            <w:shd w:val="clear" w:color="auto" w:fill="FFFFFF"/>
            <w:vAlign w:val="bottom"/>
          </w:tcPr>
          <w:p w14:paraId="704DE19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30" w:type="pct"/>
            <w:tcBorders>
              <w:top w:val="single" w:color="auto" w:sz="4" w:space="0"/>
              <w:left w:val="single" w:color="auto" w:sz="4" w:space="0"/>
            </w:tcBorders>
            <w:shd w:val="clear" w:color="auto" w:fill="FFFFFF"/>
            <w:vAlign w:val="center"/>
          </w:tcPr>
          <w:p w14:paraId="238F4966">
            <w:pPr>
              <w:pStyle w:val="11"/>
              <w:shd w:val="clear" w:color="auto" w:fill="auto"/>
              <w:spacing w:after="0" w:line="360" w:lineRule="auto"/>
              <w:rPr>
                <w:rFonts w:hint="eastAsia" w:ascii="宋体" w:hAnsi="宋体" w:eastAsia="宋体" w:cs="宋体"/>
                <w:sz w:val="21"/>
                <w:szCs w:val="21"/>
              </w:rPr>
            </w:pPr>
            <w:r>
              <w:rPr>
                <w:rStyle w:val="12"/>
                <w:rFonts w:hint="eastAsia" w:ascii="宋体" w:hAnsi="宋体" w:eastAsia="宋体" w:cs="宋体"/>
                <w:sz w:val="21"/>
                <w:szCs w:val="21"/>
              </w:rPr>
              <w:t>健全</w:t>
            </w:r>
          </w:p>
        </w:tc>
        <w:tc>
          <w:tcPr>
            <w:tcW w:w="769" w:type="pct"/>
            <w:tcBorders>
              <w:top w:val="single" w:color="auto" w:sz="4" w:space="0"/>
              <w:left w:val="single" w:color="auto" w:sz="4" w:space="0"/>
              <w:right w:val="single" w:color="auto" w:sz="4" w:space="0"/>
            </w:tcBorders>
            <w:shd w:val="clear" w:color="auto" w:fill="FFFFFF"/>
            <w:vAlign w:val="bottom"/>
          </w:tcPr>
          <w:p w14:paraId="2FDDE4C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en-US" w:bidi="ar-SA"/>
              </w:rPr>
              <w:t>1</w:t>
            </w:r>
          </w:p>
        </w:tc>
      </w:tr>
      <w:tr w14:paraId="1F54719B">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48C87ED5">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B312.管理方监管措施健全性</w:t>
            </w:r>
          </w:p>
        </w:tc>
        <w:tc>
          <w:tcPr>
            <w:tcW w:w="598" w:type="pct"/>
            <w:tcBorders>
              <w:top w:val="single" w:color="auto" w:sz="4" w:space="0"/>
              <w:left w:val="single" w:color="auto" w:sz="4" w:space="0"/>
            </w:tcBorders>
            <w:shd w:val="clear" w:color="auto" w:fill="FFFFFF"/>
          </w:tcPr>
          <w:p w14:paraId="79E414C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30" w:type="pct"/>
            <w:tcBorders>
              <w:top w:val="single" w:color="auto" w:sz="4" w:space="0"/>
              <w:left w:val="single" w:color="auto" w:sz="4" w:space="0"/>
            </w:tcBorders>
            <w:shd w:val="clear" w:color="auto" w:fill="FFFFFF"/>
          </w:tcPr>
          <w:p w14:paraId="08588EAA">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健全</w:t>
            </w:r>
          </w:p>
        </w:tc>
        <w:tc>
          <w:tcPr>
            <w:tcW w:w="769" w:type="pct"/>
            <w:tcBorders>
              <w:top w:val="single" w:color="auto" w:sz="4" w:space="0"/>
              <w:left w:val="single" w:color="auto" w:sz="4" w:space="0"/>
              <w:right w:val="single" w:color="auto" w:sz="4" w:space="0"/>
            </w:tcBorders>
            <w:shd w:val="clear" w:color="auto" w:fill="FFFFFF"/>
          </w:tcPr>
          <w:p w14:paraId="115CEE47">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r>
              <w:rPr>
                <w:rFonts w:hint="eastAsia" w:ascii="Calibri" w:hAnsi="仿宋" w:eastAsia="宋体" w:cs="宋体"/>
                <w:color w:val="000000"/>
                <w:spacing w:val="0"/>
                <w:kern w:val="2"/>
                <w:sz w:val="21"/>
                <w:szCs w:val="22"/>
                <w:lang w:val="en-US" w:eastAsia="en-US" w:bidi="ar-SA"/>
              </w:rPr>
              <w:t>1</w:t>
            </w:r>
          </w:p>
        </w:tc>
      </w:tr>
      <w:tr w14:paraId="6F248D51">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421FC89C">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B32.项目管理制度执行有效性</w:t>
            </w:r>
          </w:p>
        </w:tc>
        <w:tc>
          <w:tcPr>
            <w:tcW w:w="598" w:type="pct"/>
            <w:tcBorders>
              <w:top w:val="single" w:color="auto" w:sz="4" w:space="0"/>
              <w:left w:val="single" w:color="auto" w:sz="4" w:space="0"/>
            </w:tcBorders>
            <w:shd w:val="clear" w:color="auto" w:fill="FFFFFF"/>
          </w:tcPr>
          <w:p w14:paraId="37F75DA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730" w:type="pct"/>
            <w:tcBorders>
              <w:top w:val="single" w:color="auto" w:sz="4" w:space="0"/>
              <w:left w:val="single" w:color="auto" w:sz="4" w:space="0"/>
            </w:tcBorders>
            <w:shd w:val="clear" w:color="auto" w:fill="FFFFFF"/>
          </w:tcPr>
          <w:p w14:paraId="68581884">
            <w:pPr>
              <w:pStyle w:val="11"/>
              <w:shd w:val="clear" w:color="auto" w:fill="auto"/>
              <w:spacing w:after="0" w:line="360" w:lineRule="auto"/>
              <w:rPr>
                <w:rStyle w:val="12"/>
                <w:rFonts w:hint="eastAsia" w:ascii="宋体" w:hAnsi="宋体" w:eastAsia="宋体" w:cs="宋体"/>
                <w:sz w:val="21"/>
                <w:szCs w:val="21"/>
              </w:rPr>
            </w:pPr>
          </w:p>
        </w:tc>
        <w:tc>
          <w:tcPr>
            <w:tcW w:w="769" w:type="pct"/>
            <w:tcBorders>
              <w:top w:val="single" w:color="auto" w:sz="4" w:space="0"/>
              <w:left w:val="single" w:color="auto" w:sz="4" w:space="0"/>
              <w:right w:val="single" w:color="auto" w:sz="4" w:space="0"/>
            </w:tcBorders>
            <w:shd w:val="clear" w:color="auto" w:fill="FFFFFF"/>
          </w:tcPr>
          <w:p w14:paraId="0A823F3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19EFF5C7">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tcPr>
          <w:p w14:paraId="130F6554">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B321.项目实施单位管理制度执行情况</w:t>
            </w:r>
          </w:p>
        </w:tc>
        <w:tc>
          <w:tcPr>
            <w:tcW w:w="598" w:type="pct"/>
            <w:tcBorders>
              <w:top w:val="single" w:color="auto" w:sz="4" w:space="0"/>
              <w:left w:val="single" w:color="auto" w:sz="4" w:space="0"/>
              <w:bottom w:val="single" w:color="auto" w:sz="4" w:space="0"/>
            </w:tcBorders>
            <w:shd w:val="clear" w:color="auto" w:fill="FFFFFF"/>
          </w:tcPr>
          <w:p w14:paraId="438BC1B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30" w:type="pct"/>
            <w:tcBorders>
              <w:top w:val="single" w:color="auto" w:sz="4" w:space="0"/>
              <w:left w:val="single" w:color="auto" w:sz="4" w:space="0"/>
              <w:bottom w:val="single" w:color="auto" w:sz="4" w:space="0"/>
            </w:tcBorders>
            <w:shd w:val="clear" w:color="auto" w:fill="FFFFFF"/>
          </w:tcPr>
          <w:p w14:paraId="74FA69E7">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部分执行</w:t>
            </w:r>
          </w:p>
        </w:tc>
        <w:tc>
          <w:tcPr>
            <w:tcW w:w="769" w:type="pct"/>
            <w:tcBorders>
              <w:top w:val="single" w:color="auto" w:sz="4" w:space="0"/>
              <w:left w:val="single" w:color="auto" w:sz="4" w:space="0"/>
              <w:bottom w:val="single" w:color="auto" w:sz="4" w:space="0"/>
              <w:right w:val="single" w:color="auto" w:sz="4" w:space="0"/>
            </w:tcBorders>
            <w:shd w:val="clear" w:color="auto" w:fill="FFFFFF"/>
          </w:tcPr>
          <w:p w14:paraId="69C8BE9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w:t>
            </w:r>
          </w:p>
        </w:tc>
      </w:tr>
      <w:tr w14:paraId="7ED61B22">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right w:val="single" w:color="auto" w:sz="4" w:space="0"/>
            </w:tcBorders>
            <w:shd w:val="clear" w:color="auto" w:fill="FFFFFF"/>
          </w:tcPr>
          <w:p w14:paraId="11C80D2C">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B322.监管措施执行情况</w:t>
            </w:r>
          </w:p>
        </w:tc>
        <w:tc>
          <w:tcPr>
            <w:tcW w:w="598" w:type="pct"/>
            <w:tcBorders>
              <w:top w:val="single" w:color="auto" w:sz="4" w:space="0"/>
              <w:left w:val="single" w:color="auto" w:sz="4" w:space="0"/>
              <w:bottom w:val="single" w:color="auto" w:sz="4" w:space="0"/>
              <w:right w:val="single" w:color="auto" w:sz="4" w:space="0"/>
            </w:tcBorders>
            <w:shd w:val="clear" w:color="auto" w:fill="FFFFFF"/>
          </w:tcPr>
          <w:p w14:paraId="0ADB734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c>
          <w:tcPr>
            <w:tcW w:w="730" w:type="pct"/>
            <w:tcBorders>
              <w:top w:val="single" w:color="auto" w:sz="4" w:space="0"/>
              <w:left w:val="single" w:color="auto" w:sz="4" w:space="0"/>
              <w:bottom w:val="single" w:color="auto" w:sz="4" w:space="0"/>
              <w:right w:val="single" w:color="auto" w:sz="4" w:space="0"/>
            </w:tcBorders>
            <w:shd w:val="clear" w:color="auto" w:fill="FFFFFF"/>
          </w:tcPr>
          <w:p w14:paraId="522FA949">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部分执行</w:t>
            </w:r>
          </w:p>
        </w:tc>
        <w:tc>
          <w:tcPr>
            <w:tcW w:w="769" w:type="pct"/>
            <w:tcBorders>
              <w:top w:val="single" w:color="auto" w:sz="4" w:space="0"/>
              <w:left w:val="single" w:color="auto" w:sz="4" w:space="0"/>
              <w:bottom w:val="single" w:color="auto" w:sz="4" w:space="0"/>
              <w:right w:val="single" w:color="auto" w:sz="4" w:space="0"/>
            </w:tcBorders>
            <w:shd w:val="clear" w:color="auto" w:fill="FFFFFF"/>
          </w:tcPr>
          <w:p w14:paraId="712CCBE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w:t>
            </w:r>
          </w:p>
        </w:tc>
      </w:tr>
      <w:tr w14:paraId="4A01B6FA">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66F1C62F">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B323.合同执行情况</w:t>
            </w:r>
          </w:p>
        </w:tc>
        <w:tc>
          <w:tcPr>
            <w:tcW w:w="598" w:type="pct"/>
            <w:tcBorders>
              <w:top w:val="single" w:color="auto" w:sz="4" w:space="0"/>
              <w:left w:val="single" w:color="auto" w:sz="4" w:space="0"/>
            </w:tcBorders>
            <w:shd w:val="clear" w:color="auto" w:fill="FFFFFF"/>
          </w:tcPr>
          <w:p w14:paraId="5E54C44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30" w:type="pct"/>
            <w:tcBorders>
              <w:top w:val="single" w:color="auto" w:sz="4" w:space="0"/>
              <w:left w:val="single" w:color="auto" w:sz="4" w:space="0"/>
            </w:tcBorders>
            <w:shd w:val="clear" w:color="auto" w:fill="FFFFFF"/>
          </w:tcPr>
          <w:p w14:paraId="646907FC">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部分执行</w:t>
            </w:r>
          </w:p>
        </w:tc>
        <w:tc>
          <w:tcPr>
            <w:tcW w:w="769" w:type="pct"/>
            <w:tcBorders>
              <w:top w:val="single" w:color="auto" w:sz="4" w:space="0"/>
              <w:left w:val="single" w:color="auto" w:sz="4" w:space="0"/>
              <w:right w:val="single" w:color="auto" w:sz="4" w:space="0"/>
            </w:tcBorders>
            <w:shd w:val="clear" w:color="auto" w:fill="FFFFFF"/>
          </w:tcPr>
          <w:p w14:paraId="64A43106">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2</w:t>
            </w:r>
          </w:p>
        </w:tc>
      </w:tr>
      <w:tr w14:paraId="5F2B54AA">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50F6B515">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B324.台账记录规范性</w:t>
            </w:r>
          </w:p>
        </w:tc>
        <w:tc>
          <w:tcPr>
            <w:tcW w:w="598" w:type="pct"/>
            <w:tcBorders>
              <w:top w:val="single" w:color="auto" w:sz="4" w:space="0"/>
              <w:left w:val="single" w:color="auto" w:sz="4" w:space="0"/>
            </w:tcBorders>
            <w:shd w:val="clear" w:color="auto" w:fill="FFFFFF"/>
          </w:tcPr>
          <w:p w14:paraId="3EA436F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c>
          <w:tcPr>
            <w:tcW w:w="730" w:type="pct"/>
            <w:tcBorders>
              <w:top w:val="single" w:color="auto" w:sz="4" w:space="0"/>
              <w:left w:val="single" w:color="auto" w:sz="4" w:space="0"/>
            </w:tcBorders>
            <w:shd w:val="clear" w:color="auto" w:fill="FFFFFF"/>
          </w:tcPr>
          <w:p w14:paraId="0082C10B">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规范</w:t>
            </w:r>
          </w:p>
        </w:tc>
        <w:tc>
          <w:tcPr>
            <w:tcW w:w="769" w:type="pct"/>
            <w:tcBorders>
              <w:top w:val="single" w:color="auto" w:sz="4" w:space="0"/>
              <w:left w:val="single" w:color="auto" w:sz="4" w:space="0"/>
              <w:right w:val="single" w:color="auto" w:sz="4" w:space="0"/>
            </w:tcBorders>
            <w:shd w:val="clear" w:color="auto" w:fill="FFFFFF"/>
          </w:tcPr>
          <w:p w14:paraId="5E6FF3C8">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2</w:t>
            </w:r>
          </w:p>
        </w:tc>
      </w:tr>
      <w:tr w14:paraId="49EE6158">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76EFB5F0">
            <w:pPr>
              <w:pStyle w:val="11"/>
              <w:shd w:val="clear" w:color="auto" w:fill="auto"/>
              <w:spacing w:after="0" w:line="360" w:lineRule="auto"/>
              <w:jc w:val="both"/>
              <w:rPr>
                <w:rStyle w:val="12"/>
                <w:rFonts w:hint="default" w:ascii="宋体" w:hAnsi="宋体" w:eastAsia="宋体" w:cs="宋体"/>
                <w:sz w:val="21"/>
                <w:szCs w:val="21"/>
                <w:lang w:val="en-US"/>
              </w:rPr>
            </w:pPr>
            <w:r>
              <w:rPr>
                <w:rStyle w:val="12"/>
                <w:rFonts w:hint="eastAsia" w:ascii="宋体" w:hAnsi="宋体" w:eastAsia="宋体" w:cs="宋体"/>
                <w:sz w:val="21"/>
                <w:szCs w:val="21"/>
              </w:rPr>
              <w:t>B33.</w:t>
            </w:r>
            <w:r>
              <w:rPr>
                <w:rStyle w:val="12"/>
                <w:rFonts w:hint="eastAsia" w:cs="宋体"/>
                <w:sz w:val="21"/>
                <w:szCs w:val="21"/>
                <w:lang w:val="en-US"/>
              </w:rPr>
              <w:t>政府采购规范性</w:t>
            </w:r>
          </w:p>
        </w:tc>
        <w:tc>
          <w:tcPr>
            <w:tcW w:w="598" w:type="pct"/>
            <w:tcBorders>
              <w:top w:val="single" w:color="auto" w:sz="4" w:space="0"/>
              <w:left w:val="single" w:color="auto" w:sz="4" w:space="0"/>
            </w:tcBorders>
            <w:shd w:val="clear" w:color="auto" w:fill="FFFFFF"/>
          </w:tcPr>
          <w:p w14:paraId="38E1DA8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730" w:type="pct"/>
            <w:tcBorders>
              <w:top w:val="single" w:color="auto" w:sz="4" w:space="0"/>
              <w:left w:val="single" w:color="auto" w:sz="4" w:space="0"/>
            </w:tcBorders>
            <w:shd w:val="clear" w:color="auto" w:fill="FFFFFF"/>
          </w:tcPr>
          <w:p w14:paraId="76772997">
            <w:pPr>
              <w:pStyle w:val="11"/>
              <w:shd w:val="clear" w:color="auto" w:fill="auto"/>
              <w:spacing w:after="0" w:line="360" w:lineRule="auto"/>
              <w:rPr>
                <w:rStyle w:val="12"/>
                <w:rFonts w:hint="eastAsia" w:ascii="宋体" w:hAnsi="宋体" w:eastAsia="宋体" w:cs="宋体"/>
                <w:sz w:val="21"/>
                <w:szCs w:val="21"/>
              </w:rPr>
            </w:pPr>
          </w:p>
        </w:tc>
        <w:tc>
          <w:tcPr>
            <w:tcW w:w="769" w:type="pct"/>
            <w:tcBorders>
              <w:top w:val="single" w:color="auto" w:sz="4" w:space="0"/>
              <w:left w:val="single" w:color="auto" w:sz="4" w:space="0"/>
              <w:right w:val="single" w:color="auto" w:sz="4" w:space="0"/>
            </w:tcBorders>
            <w:shd w:val="clear" w:color="auto" w:fill="FFFFFF"/>
          </w:tcPr>
          <w:p w14:paraId="6E4D940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02F0CF51">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2D0BCD2D">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B331.</w:t>
            </w:r>
            <w:r>
              <w:rPr>
                <w:rStyle w:val="12"/>
                <w:rFonts w:hint="eastAsia" w:cs="宋体"/>
                <w:sz w:val="21"/>
                <w:szCs w:val="21"/>
                <w:lang w:val="en-US"/>
              </w:rPr>
              <w:t>采购方式</w:t>
            </w:r>
            <w:r>
              <w:rPr>
                <w:rStyle w:val="12"/>
                <w:rFonts w:hint="eastAsia" w:ascii="宋体" w:hAnsi="宋体" w:eastAsia="宋体" w:cs="宋体"/>
                <w:sz w:val="21"/>
                <w:szCs w:val="21"/>
              </w:rPr>
              <w:t>合规性</w:t>
            </w:r>
          </w:p>
        </w:tc>
        <w:tc>
          <w:tcPr>
            <w:tcW w:w="598" w:type="pct"/>
            <w:tcBorders>
              <w:top w:val="single" w:color="auto" w:sz="4" w:space="0"/>
              <w:left w:val="single" w:color="auto" w:sz="4" w:space="0"/>
            </w:tcBorders>
            <w:shd w:val="clear" w:color="auto" w:fill="FFFFFF"/>
          </w:tcPr>
          <w:p w14:paraId="3652712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w:t>
            </w:r>
          </w:p>
        </w:tc>
        <w:tc>
          <w:tcPr>
            <w:tcW w:w="730" w:type="pct"/>
            <w:tcBorders>
              <w:top w:val="single" w:color="auto" w:sz="4" w:space="0"/>
              <w:left w:val="single" w:color="auto" w:sz="4" w:space="0"/>
            </w:tcBorders>
            <w:shd w:val="clear" w:color="auto" w:fill="FFFFFF"/>
          </w:tcPr>
          <w:p w14:paraId="1A4C0697">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合规</w:t>
            </w:r>
          </w:p>
        </w:tc>
        <w:tc>
          <w:tcPr>
            <w:tcW w:w="769" w:type="pct"/>
            <w:tcBorders>
              <w:top w:val="single" w:color="auto" w:sz="4" w:space="0"/>
              <w:left w:val="single" w:color="auto" w:sz="4" w:space="0"/>
              <w:right w:val="single" w:color="auto" w:sz="4" w:space="0"/>
            </w:tcBorders>
            <w:shd w:val="clear" w:color="auto" w:fill="FFFFFF"/>
          </w:tcPr>
          <w:p w14:paraId="377DE61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w:t>
            </w:r>
          </w:p>
        </w:tc>
      </w:tr>
      <w:tr w14:paraId="287D9CF2">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138EB2B7">
            <w:pPr>
              <w:pStyle w:val="11"/>
              <w:shd w:val="clear" w:color="auto" w:fill="auto"/>
              <w:spacing w:after="0" w:line="360" w:lineRule="auto"/>
              <w:ind w:firstLine="420" w:firstLineChars="200"/>
              <w:jc w:val="both"/>
              <w:rPr>
                <w:rFonts w:hint="eastAsia" w:ascii="宋体" w:hAnsi="宋体" w:eastAsia="宋体" w:cs="宋体"/>
                <w:b/>
                <w:bCs/>
                <w:sz w:val="21"/>
                <w:szCs w:val="21"/>
              </w:rPr>
            </w:pPr>
            <w:r>
              <w:rPr>
                <w:rStyle w:val="12"/>
                <w:rFonts w:hint="default" w:ascii="宋体" w:hAnsi="宋体" w:eastAsia="宋体" w:cs="宋体"/>
                <w:sz w:val="21"/>
                <w:szCs w:val="21"/>
                <w:lang w:val="en-US" w:eastAsia="zh-CN"/>
              </w:rPr>
              <w:t>B332.采购流程规范性</w:t>
            </w:r>
          </w:p>
        </w:tc>
        <w:tc>
          <w:tcPr>
            <w:tcW w:w="598" w:type="pct"/>
            <w:tcBorders>
              <w:top w:val="single" w:color="auto" w:sz="4" w:space="0"/>
              <w:left w:val="single" w:color="auto" w:sz="4" w:space="0"/>
              <w:bottom w:val="single" w:color="auto" w:sz="4" w:space="0"/>
            </w:tcBorders>
            <w:shd w:val="clear" w:color="auto" w:fill="FFFFFF"/>
            <w:vAlign w:val="center"/>
          </w:tcPr>
          <w:p w14:paraId="4418C958">
            <w:pPr>
              <w:pStyle w:val="11"/>
              <w:shd w:val="clear" w:color="auto" w:fill="auto"/>
              <w:spacing w:after="0" w:line="360" w:lineRule="auto"/>
              <w:rPr>
                <w:rStyle w:val="12"/>
                <w:rFonts w:hint="default" w:ascii="宋体" w:hAnsi="宋体" w:eastAsia="宋体" w:cs="宋体"/>
                <w:sz w:val="21"/>
                <w:szCs w:val="21"/>
                <w:lang w:val="en-US" w:eastAsia="zh-CN"/>
              </w:rPr>
            </w:pPr>
            <w:r>
              <w:rPr>
                <w:rStyle w:val="12"/>
                <w:rFonts w:hint="eastAsia" w:ascii="宋体" w:hAnsi="宋体" w:eastAsia="宋体" w:cs="宋体"/>
                <w:sz w:val="21"/>
                <w:szCs w:val="21"/>
                <w:lang w:val="en-US" w:eastAsia="zh-CN"/>
              </w:rPr>
              <w:t>1</w:t>
            </w:r>
          </w:p>
        </w:tc>
        <w:tc>
          <w:tcPr>
            <w:tcW w:w="730" w:type="pct"/>
            <w:tcBorders>
              <w:top w:val="single" w:color="auto" w:sz="4" w:space="0"/>
              <w:left w:val="single" w:color="auto" w:sz="4" w:space="0"/>
              <w:bottom w:val="single" w:color="auto" w:sz="4" w:space="0"/>
            </w:tcBorders>
            <w:shd w:val="clear" w:color="auto" w:fill="FFFFFF"/>
          </w:tcPr>
          <w:p w14:paraId="72ADBE5E">
            <w:pPr>
              <w:pStyle w:val="11"/>
              <w:shd w:val="clear" w:color="auto" w:fill="auto"/>
              <w:spacing w:after="0" w:line="360" w:lineRule="auto"/>
              <w:rPr>
                <w:rStyle w:val="12"/>
                <w:rFonts w:hint="eastAsia" w:ascii="宋体" w:hAnsi="宋体" w:eastAsia="宋体" w:cs="宋体"/>
                <w:sz w:val="21"/>
                <w:szCs w:val="21"/>
                <w:lang w:val="en-US" w:eastAsia="zh-CN"/>
              </w:rPr>
            </w:pPr>
            <w:r>
              <w:rPr>
                <w:rStyle w:val="12"/>
                <w:rFonts w:hint="eastAsia" w:ascii="宋体" w:hAnsi="宋体" w:eastAsia="宋体" w:cs="宋体"/>
                <w:sz w:val="21"/>
                <w:szCs w:val="21"/>
                <w:lang w:val="en-US" w:eastAsia="zh-CN"/>
              </w:rPr>
              <w:t>规范</w:t>
            </w:r>
          </w:p>
        </w:tc>
        <w:tc>
          <w:tcPr>
            <w:tcW w:w="769" w:type="pct"/>
            <w:tcBorders>
              <w:top w:val="single" w:color="auto" w:sz="4" w:space="0"/>
              <w:left w:val="single" w:color="auto" w:sz="4" w:space="0"/>
              <w:bottom w:val="single" w:color="auto" w:sz="4" w:space="0"/>
              <w:right w:val="single" w:color="auto" w:sz="4" w:space="0"/>
            </w:tcBorders>
            <w:shd w:val="clear" w:color="auto" w:fill="FFFFFF"/>
            <w:vAlign w:val="center"/>
          </w:tcPr>
          <w:p w14:paraId="775115F4">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w:t>
            </w:r>
          </w:p>
        </w:tc>
      </w:tr>
      <w:tr w14:paraId="48B58B1B">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37CC19A1">
            <w:pPr>
              <w:pStyle w:val="11"/>
              <w:shd w:val="clear" w:color="auto" w:fill="auto"/>
              <w:spacing w:after="0" w:line="360" w:lineRule="auto"/>
              <w:rPr>
                <w:rFonts w:hint="eastAsia" w:ascii="宋体" w:hAnsi="宋体" w:eastAsia="宋体" w:cs="宋体"/>
                <w:b/>
                <w:bCs/>
                <w:spacing w:val="20"/>
                <w:kern w:val="2"/>
                <w:sz w:val="21"/>
                <w:szCs w:val="21"/>
                <w:lang w:val="en-US" w:eastAsia="zh-CN" w:bidi="ar-SA"/>
              </w:rPr>
            </w:pPr>
            <w:r>
              <w:rPr>
                <w:rStyle w:val="12"/>
                <w:rFonts w:hint="eastAsia" w:cs="宋体"/>
                <w:b w:val="0"/>
                <w:bCs w:val="0"/>
                <w:sz w:val="21"/>
                <w:szCs w:val="21"/>
              </w:rPr>
              <w:t>合计</w:t>
            </w:r>
          </w:p>
        </w:tc>
        <w:tc>
          <w:tcPr>
            <w:tcW w:w="598" w:type="pct"/>
            <w:tcBorders>
              <w:top w:val="single" w:color="auto" w:sz="4" w:space="0"/>
              <w:left w:val="single" w:color="auto" w:sz="4" w:space="0"/>
              <w:bottom w:val="single" w:color="auto" w:sz="4" w:space="0"/>
            </w:tcBorders>
            <w:shd w:val="clear" w:color="auto" w:fill="FFFFFF"/>
            <w:vAlign w:val="center"/>
          </w:tcPr>
          <w:p w14:paraId="262EAD16">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10</w:t>
            </w:r>
          </w:p>
        </w:tc>
        <w:tc>
          <w:tcPr>
            <w:tcW w:w="730" w:type="pct"/>
            <w:tcBorders>
              <w:top w:val="single" w:color="auto" w:sz="4" w:space="0"/>
              <w:left w:val="single" w:color="auto" w:sz="4" w:space="0"/>
              <w:bottom w:val="single" w:color="auto" w:sz="4" w:space="0"/>
            </w:tcBorders>
            <w:shd w:val="clear" w:color="auto" w:fill="FFFFFF"/>
            <w:vAlign w:val="top"/>
          </w:tcPr>
          <w:p w14:paraId="795BBCDB">
            <w:pPr>
              <w:spacing w:line="360" w:lineRule="auto"/>
              <w:rPr>
                <w:rFonts w:hint="eastAsia" w:ascii="宋体" w:hAnsi="宋体" w:eastAsia="宋体" w:cs="宋体"/>
                <w:b/>
                <w:bCs/>
                <w:kern w:val="2"/>
                <w:sz w:val="21"/>
                <w:szCs w:val="21"/>
                <w:lang w:val="en-US" w:eastAsia="zh-CN" w:bidi="ar-SA"/>
              </w:rPr>
            </w:pPr>
          </w:p>
        </w:tc>
        <w:tc>
          <w:tcPr>
            <w:tcW w:w="769" w:type="pct"/>
            <w:tcBorders>
              <w:top w:val="single" w:color="auto" w:sz="4" w:space="0"/>
              <w:left w:val="single" w:color="auto" w:sz="4" w:space="0"/>
              <w:bottom w:val="single" w:color="auto" w:sz="4" w:space="0"/>
              <w:right w:val="single" w:color="auto" w:sz="4" w:space="0"/>
            </w:tcBorders>
            <w:shd w:val="clear" w:color="auto" w:fill="FFFFFF"/>
            <w:vAlign w:val="center"/>
          </w:tcPr>
          <w:p w14:paraId="25F5A466">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10</w:t>
            </w:r>
          </w:p>
        </w:tc>
      </w:tr>
    </w:tbl>
    <w:p w14:paraId="22CC5A02">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B31.项目管理制度健全性</w:t>
      </w:r>
    </w:p>
    <w:p w14:paraId="53E2CA41">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B311.项目实施单位管理制度健全性</w:t>
      </w:r>
      <w:r>
        <w:rPr>
          <w:rFonts w:hint="eastAsia" w:ascii="仿宋_GB2312" w:hAnsi="仿宋_GB2312" w:eastAsia="仿宋_GB2312" w:cs="仿宋_GB2312"/>
          <w:b w:val="0"/>
          <w:bCs w:val="0"/>
          <w:spacing w:val="20"/>
          <w:kern w:val="2"/>
          <w:sz w:val="28"/>
          <w:szCs w:val="28"/>
          <w:lang w:val="en-US" w:eastAsia="zh-CN" w:bidi="ar-SA"/>
        </w:rPr>
        <w:t>：</w:t>
      </w:r>
      <w:r>
        <w:rPr>
          <w:rFonts w:hint="eastAsia" w:ascii="仿宋_GB2312" w:hAnsi="仿宋" w:eastAsia="仿宋_GB2312"/>
          <w:spacing w:val="6"/>
          <w:kern w:val="0"/>
          <w:sz w:val="28"/>
          <w:szCs w:val="28"/>
        </w:rPr>
        <w:t>昆明市环境保护局盘龙</w:t>
      </w:r>
      <w:r>
        <w:rPr>
          <w:rFonts w:hint="eastAsia" w:ascii="仿宋_GB2312" w:hAnsi="仿宋" w:eastAsia="仿宋_GB2312"/>
          <w:spacing w:val="6"/>
          <w:kern w:val="0"/>
          <w:sz w:val="28"/>
          <w:szCs w:val="28"/>
          <w:lang w:val="en-US" w:eastAsia="zh-CN"/>
        </w:rPr>
        <w:t>分局</w:t>
      </w:r>
      <w:r>
        <w:rPr>
          <w:rFonts w:hint="eastAsia" w:ascii="仿宋_GB2312" w:hAnsi="仿宋_GB2312" w:eastAsia="仿宋_GB2312" w:cs="仿宋_GB2312"/>
          <w:b w:val="0"/>
          <w:bCs w:val="0"/>
          <w:spacing w:val="20"/>
          <w:kern w:val="2"/>
          <w:sz w:val="28"/>
          <w:szCs w:val="28"/>
          <w:lang w:val="en-US" w:eastAsia="zh-CN" w:bidi="ar-SA"/>
        </w:rPr>
        <w:t>制定了</w:t>
      </w:r>
      <w:bookmarkStart w:id="2" w:name="_GoBack"/>
      <w:bookmarkEnd w:id="2"/>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采购</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国有资产</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建设项目</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eastAsia="zh-CN"/>
        </w:rPr>
        <w:t>昆明市生态环境局盘龙分局</w:t>
      </w:r>
      <w:r>
        <w:rPr>
          <w:rFonts w:hint="eastAsia" w:ascii="仿宋_GB2312" w:hAnsi="仿宋" w:eastAsia="仿宋_GB2312"/>
          <w:spacing w:val="6"/>
          <w:kern w:val="0"/>
          <w:sz w:val="28"/>
          <w:szCs w:val="28"/>
          <w:lang w:val="en-US" w:eastAsia="zh-CN"/>
        </w:rPr>
        <w:t>合同</w:t>
      </w:r>
      <w:r>
        <w:rPr>
          <w:rFonts w:hint="eastAsia" w:ascii="仿宋_GB2312" w:hAnsi="仿宋" w:eastAsia="仿宋_GB2312"/>
          <w:spacing w:val="6"/>
          <w:kern w:val="0"/>
          <w:sz w:val="28"/>
          <w:szCs w:val="28"/>
        </w:rPr>
        <w:t>管理内部控制流程》</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lang w:val="en-US" w:eastAsia="zh-CN"/>
        </w:rPr>
        <w:t>昆明市生态环境局盘龙分局经费支出管理办法</w:t>
      </w:r>
      <w:r>
        <w:rPr>
          <w:rFonts w:hint="eastAsia" w:ascii="仿宋_GB2312" w:hAnsi="仿宋" w:eastAsia="仿宋_GB2312"/>
          <w:spacing w:val="6"/>
          <w:kern w:val="0"/>
          <w:sz w:val="28"/>
          <w:szCs w:val="28"/>
          <w:lang w:eastAsia="zh-CN"/>
        </w:rPr>
        <w:t>》</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盘环保</w:t>
      </w:r>
      <w:r>
        <w:rPr>
          <w:rFonts w:hint="eastAsia" w:ascii="仿宋_GB2312" w:hAnsi="仿宋" w:eastAsia="仿宋_GB2312"/>
          <w:spacing w:val="6"/>
          <w:kern w:val="0"/>
          <w:sz w:val="28"/>
          <w:szCs w:val="28"/>
        </w:rPr>
        <w:t>〔201</w:t>
      </w:r>
      <w:r>
        <w:rPr>
          <w:rFonts w:hint="eastAsia" w:ascii="仿宋_GB2312" w:hAnsi="仿宋" w:eastAsia="仿宋_GB2312"/>
          <w:spacing w:val="6"/>
          <w:kern w:val="0"/>
          <w:sz w:val="28"/>
          <w:szCs w:val="28"/>
          <w:lang w:val="en-US" w:eastAsia="zh-CN"/>
        </w:rPr>
        <w:t>7</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30</w:t>
      </w:r>
      <w:r>
        <w:rPr>
          <w:rFonts w:hint="eastAsia" w:ascii="仿宋_GB2312" w:hAnsi="仿宋" w:eastAsia="仿宋_GB2312"/>
          <w:spacing w:val="6"/>
          <w:kern w:val="0"/>
          <w:sz w:val="28"/>
          <w:szCs w:val="28"/>
        </w:rPr>
        <w:t>号）</w:t>
      </w:r>
      <w:r>
        <w:rPr>
          <w:rFonts w:hint="eastAsia" w:ascii="仿宋_GB2312" w:hAnsi="仿宋_GB2312" w:eastAsia="仿宋_GB2312" w:cs="仿宋_GB2312"/>
          <w:b w:val="0"/>
          <w:bCs w:val="0"/>
          <w:spacing w:val="20"/>
          <w:kern w:val="2"/>
          <w:sz w:val="28"/>
          <w:szCs w:val="28"/>
          <w:lang w:val="en-US" w:eastAsia="zh-CN" w:bidi="ar-SA"/>
        </w:rPr>
        <w:t>等相关项目管理制度，制度中对人员安排、操作要求及验收要求做了明确规定，能够保障项目顺利实施。</w:t>
      </w:r>
    </w:p>
    <w:p w14:paraId="68906DF2">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13FEB920">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B312.管理方监管措施健全性</w:t>
      </w:r>
      <w:r>
        <w:rPr>
          <w:rFonts w:hint="eastAsia" w:ascii="仿宋_GB2312" w:hAnsi="仿宋_GB2312" w:eastAsia="仿宋_GB2312" w:cs="仿宋_GB2312"/>
          <w:b w:val="0"/>
          <w:bCs w:val="0"/>
          <w:spacing w:val="20"/>
          <w:kern w:val="2"/>
          <w:sz w:val="28"/>
          <w:szCs w:val="28"/>
          <w:lang w:val="en-US" w:eastAsia="zh-CN" w:bidi="ar-SA"/>
        </w:rPr>
        <w:t>：</w:t>
      </w:r>
      <w:r>
        <w:rPr>
          <w:rFonts w:hint="eastAsia" w:ascii="仿宋_GB2312" w:hAnsi="仿宋" w:eastAsia="仿宋_GB2312"/>
          <w:spacing w:val="6"/>
          <w:kern w:val="0"/>
          <w:sz w:val="28"/>
          <w:szCs w:val="28"/>
        </w:rPr>
        <w:t>昆明市环境保护局盘龙</w:t>
      </w:r>
      <w:r>
        <w:rPr>
          <w:rFonts w:hint="eastAsia" w:ascii="仿宋_GB2312" w:hAnsi="仿宋" w:eastAsia="仿宋_GB2312"/>
          <w:spacing w:val="6"/>
          <w:kern w:val="0"/>
          <w:sz w:val="28"/>
          <w:szCs w:val="28"/>
          <w:lang w:val="en-US" w:eastAsia="zh-CN"/>
        </w:rPr>
        <w:t>分局</w:t>
      </w:r>
      <w:r>
        <w:rPr>
          <w:rFonts w:hint="eastAsia" w:ascii="仿宋_GB2312" w:hAnsi="仿宋_GB2312" w:eastAsia="仿宋_GB2312" w:cs="仿宋_GB2312"/>
          <w:b w:val="0"/>
          <w:bCs w:val="0"/>
          <w:spacing w:val="20"/>
          <w:kern w:val="2"/>
          <w:sz w:val="28"/>
          <w:szCs w:val="28"/>
          <w:lang w:val="en-US" w:eastAsia="zh-CN" w:bidi="ar-SA"/>
        </w:rPr>
        <w:t>对项目实施的监管，要求实施单位提供项目实施的台账记录、日报表和月报表等文件资料，对海洪湿地提升改造工程的规划、建设及验收指派环保局分管领导进行监督。</w:t>
      </w:r>
    </w:p>
    <w:p w14:paraId="500C4E29">
      <w:pPr>
        <w:topLinePunct/>
        <w:spacing w:line="579" w:lineRule="exact"/>
        <w:ind w:firstLine="640" w:firstLineChars="200"/>
        <w:rPr>
          <w:rStyle w:val="12"/>
          <w:rFonts w:ascii="仿宋_GB2312" w:hAnsi="仿宋_GB2312" w:eastAsia="仿宋_GB2312" w:cs="仿宋_GB2312"/>
          <w:color w:val="auto"/>
          <w:sz w:val="30"/>
          <w:szCs w:val="30"/>
          <w:shd w:val="clear" w:color="auto" w:fill="auto"/>
          <w:lang w:val="en-US"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0797CFBE">
      <w:pPr>
        <w:topLinePunct/>
        <w:spacing w:line="579" w:lineRule="exact"/>
        <w:ind w:firstLine="642" w:firstLineChars="200"/>
        <w:rPr>
          <w:rFonts w:hint="eastAsia" w:ascii="仿宋_GB2312" w:hAnsi="仿宋_GB2312" w:eastAsia="仿宋_GB2312" w:cs="仿宋_GB2312"/>
          <w:b/>
          <w:bCs/>
          <w:spacing w:val="20"/>
          <w:kern w:val="2"/>
          <w:sz w:val="28"/>
          <w:szCs w:val="28"/>
          <w:lang w:val="en-US" w:eastAsia="zh-CN" w:bidi="ar-SA"/>
        </w:rPr>
      </w:pPr>
      <w:r>
        <w:rPr>
          <w:rFonts w:hint="eastAsia" w:ascii="仿宋_GB2312" w:hAnsi="仿宋_GB2312" w:eastAsia="仿宋_GB2312" w:cs="仿宋_GB2312"/>
          <w:b/>
          <w:bCs/>
          <w:spacing w:val="20"/>
          <w:kern w:val="2"/>
          <w:sz w:val="28"/>
          <w:szCs w:val="28"/>
          <w:lang w:val="en-US" w:eastAsia="zh-CN" w:bidi="ar-SA"/>
        </w:rPr>
        <w:t>B32.项目管理制度执行有效性</w:t>
      </w:r>
    </w:p>
    <w:p w14:paraId="17A310E1">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B321.项目实施单位管理制度执行情况</w:t>
      </w:r>
      <w:r>
        <w:rPr>
          <w:rFonts w:hint="eastAsia" w:ascii="仿宋_GB2312" w:hAnsi="仿宋_GB2312" w:eastAsia="仿宋_GB2312" w:cs="仿宋_GB2312"/>
          <w:b w:val="0"/>
          <w:bCs w:val="0"/>
          <w:spacing w:val="20"/>
          <w:kern w:val="2"/>
          <w:sz w:val="28"/>
          <w:szCs w:val="28"/>
          <w:lang w:val="en-US" w:eastAsia="zh-CN" w:bidi="ar-SA"/>
        </w:rPr>
        <w:t>：通过实地调查、现场查阅资料，项目实施单位制订的管理制度实施单位部分得到执行，相关记录较为规范。</w:t>
      </w:r>
    </w:p>
    <w:p w14:paraId="5FF7B770">
      <w:pPr>
        <w:topLinePunct/>
        <w:spacing w:line="579" w:lineRule="exact"/>
        <w:ind w:firstLine="640" w:firstLineChars="200"/>
        <w:rPr>
          <w:rFonts w:ascii="仿宋" w:hAnsi="仿宋" w:eastAsia="仿宋_GB2312"/>
          <w:sz w:val="30"/>
          <w:szCs w:val="30"/>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43941AA9">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B322.监管措施执行情况</w:t>
      </w:r>
      <w:r>
        <w:rPr>
          <w:rFonts w:hint="eastAsia" w:ascii="仿宋_GB2312" w:hAnsi="仿宋_GB2312" w:eastAsia="仿宋_GB2312" w:cs="仿宋_GB2312"/>
          <w:b w:val="0"/>
          <w:bCs w:val="0"/>
          <w:spacing w:val="20"/>
          <w:kern w:val="2"/>
          <w:sz w:val="28"/>
          <w:szCs w:val="28"/>
          <w:lang w:val="en-US" w:eastAsia="zh-CN" w:bidi="ar-SA"/>
        </w:rPr>
        <w:t>：通过实地调查、现场查阅资料，实施单位及时提交部分相关台账、日报表、月报表等材料，主管单位的工作人员也有效执行各项日常管理和监管工作。</w:t>
      </w:r>
    </w:p>
    <w:p w14:paraId="068CFEF9">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该项指标满分为1分，根据评分标准得1分。</w:t>
      </w:r>
    </w:p>
    <w:p w14:paraId="631289EF">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B323.合同执行情况</w:t>
      </w:r>
      <w:r>
        <w:rPr>
          <w:rFonts w:hint="eastAsia" w:ascii="仿宋_GB2312" w:hAnsi="仿宋_GB2312" w:eastAsia="仿宋_GB2312" w:cs="仿宋_GB2312"/>
          <w:b w:val="0"/>
          <w:bCs w:val="0"/>
          <w:spacing w:val="20"/>
          <w:kern w:val="2"/>
          <w:sz w:val="28"/>
          <w:szCs w:val="28"/>
          <w:lang w:val="en-US" w:eastAsia="zh-CN" w:bidi="ar-SA"/>
        </w:rPr>
        <w:t>：通过梳理各子项目合同约定内容和实际实施情况，签订的合同规定的工作职责、服务内容、质量要求等内容均已有效执行。</w:t>
      </w:r>
    </w:p>
    <w:p w14:paraId="09880B5A">
      <w:pPr>
        <w:topLinePunct/>
        <w:spacing w:line="579" w:lineRule="exact"/>
        <w:ind w:firstLine="640" w:firstLineChars="200"/>
        <w:rPr>
          <w:rStyle w:val="12"/>
          <w:rFonts w:ascii="仿宋" w:hAnsi="仿宋" w:eastAsia="仿宋_GB2312" w:cs="Times New Roman"/>
          <w:color w:val="auto"/>
          <w:sz w:val="30"/>
          <w:szCs w:val="30"/>
          <w:shd w:val="clear" w:color="auto" w:fill="auto"/>
          <w:lang w:val="en-US"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该项指标满分为2分，根据评分标准得2分。</w:t>
      </w:r>
    </w:p>
    <w:p w14:paraId="36E7C19E">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u w:val="single"/>
          <w:lang w:val="en-US" w:eastAsia="zh-CN" w:bidi="ar-SA"/>
        </w:rPr>
        <w:t>B324.台账记录规范性</w:t>
      </w:r>
      <w:r>
        <w:rPr>
          <w:rFonts w:hint="eastAsia" w:ascii="仿宋_GB2312" w:hAnsi="仿宋_GB2312" w:eastAsia="仿宋_GB2312" w:cs="仿宋_GB2312"/>
          <w:b w:val="0"/>
          <w:bCs w:val="0"/>
          <w:spacing w:val="20"/>
          <w:kern w:val="2"/>
          <w:sz w:val="28"/>
          <w:szCs w:val="28"/>
          <w:lang w:val="en-US" w:eastAsia="zh-CN" w:bidi="ar-SA"/>
        </w:rPr>
        <w:t>：通过查阅相关台账记录，本项目各环节均已做了详细的台账记录，记录内容符合相关法律法规和主管部门的要求，可真实反映项目进度情况。</w:t>
      </w:r>
    </w:p>
    <w:p w14:paraId="2EAFD1CE">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该项指标满分为2分，根据评分标准得2分。</w:t>
      </w:r>
    </w:p>
    <w:p w14:paraId="5A7BAEA1">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86" w:firstLineChars="200"/>
        <w:textAlignment w:val="auto"/>
        <w:outlineLvl w:val="0"/>
        <w:rPr>
          <w:rFonts w:hint="default" w:ascii="仿宋_GB2312" w:hAnsi="仿宋" w:eastAsia="仿宋_GB2312" w:cs="Times New Roman"/>
          <w:b/>
          <w:bCs/>
          <w:spacing w:val="6"/>
          <w:kern w:val="0"/>
          <w:sz w:val="28"/>
          <w:szCs w:val="28"/>
          <w:highlight w:val="none"/>
          <w:u w:val="none"/>
          <w:lang w:val="en-US" w:eastAsia="zh-CN" w:bidi="ar-SA"/>
        </w:rPr>
      </w:pPr>
      <w:r>
        <w:rPr>
          <w:rFonts w:hint="default" w:ascii="仿宋_GB2312" w:hAnsi="仿宋" w:eastAsia="仿宋_GB2312" w:cs="Times New Roman"/>
          <w:b/>
          <w:bCs/>
          <w:spacing w:val="6"/>
          <w:kern w:val="0"/>
          <w:sz w:val="28"/>
          <w:szCs w:val="28"/>
          <w:highlight w:val="none"/>
          <w:u w:val="none"/>
          <w:lang w:val="en-US" w:eastAsia="zh-CN" w:bidi="ar-SA"/>
        </w:rPr>
        <w:t>B33.政府采购规范性</w:t>
      </w:r>
    </w:p>
    <w:p w14:paraId="01661310">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B331.采购方式合规性</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昆明市生态环境局盘龙分局通过公开招投标、邀标、询价比选等方式开展本项目政府采购。采购方式符合中央、省、市的相关要求。</w:t>
      </w:r>
    </w:p>
    <w:p w14:paraId="5A42508A">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default" w:ascii="仿宋_GB2312" w:hAnsi="仿宋" w:eastAsia="仿宋_GB2312"/>
          <w:color w:val="000000" w:themeColor="text1"/>
          <w:spacing w:val="6"/>
          <w:kern w:val="0"/>
          <w:sz w:val="28"/>
          <w:szCs w:val="28"/>
          <w:highlight w:val="none"/>
          <w:lang w:val="en-US" w:eastAsia="zh-CN"/>
          <w14:textFill>
            <w14:solidFill>
              <w14:schemeClr w14:val="tx1"/>
            </w14:solidFill>
          </w14:textFill>
        </w:rPr>
      </w:pP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该项指标满分1分，根据评分标准得1分。</w:t>
      </w:r>
    </w:p>
    <w:p w14:paraId="5CECE99B">
      <w:pPr>
        <w:keepNext w:val="0"/>
        <w:keepLines w:val="0"/>
        <w:pageBreakBefore w:val="0"/>
        <w:widowControl w:val="0"/>
        <w:kinsoku/>
        <w:wordWrap/>
        <w:overflowPunct/>
        <w:topLinePunct w:val="0"/>
        <w:autoSpaceDE/>
        <w:autoSpaceDN/>
        <w:bidi w:val="0"/>
        <w:adjustRightInd/>
        <w:snapToGrid/>
        <w:spacing w:line="579" w:lineRule="exact"/>
        <w:ind w:firstLine="584" w:firstLineChars="200"/>
        <w:textAlignment w:val="auto"/>
        <w:rPr>
          <w:rFonts w:hint="eastAsia" w:ascii="仿宋_GB2312" w:hAnsi="仿宋" w:eastAsia="仿宋_GB2312" w:cs="Times New Roman"/>
          <w:spacing w:val="6"/>
          <w:kern w:val="0"/>
          <w:sz w:val="28"/>
          <w:szCs w:val="28"/>
          <w:highlight w:val="none"/>
          <w:u w:val="none"/>
          <w:lang w:val="en-US" w:eastAsia="zh-CN" w:bidi="ar-SA"/>
        </w:rPr>
      </w:pPr>
      <w:r>
        <w:rPr>
          <w:rFonts w:hint="default" w:ascii="仿宋_GB2312" w:hAnsi="仿宋" w:eastAsia="仿宋_GB2312"/>
          <w:color w:val="000000" w:themeColor="text1"/>
          <w:spacing w:val="6"/>
          <w:kern w:val="0"/>
          <w:sz w:val="28"/>
          <w:szCs w:val="28"/>
          <w:highlight w:val="none"/>
          <w:u w:val="single"/>
          <w:lang w:val="en-US" w:eastAsia="zh-CN"/>
          <w14:textFill>
            <w14:solidFill>
              <w14:schemeClr w14:val="tx1"/>
            </w14:solidFill>
          </w14:textFill>
        </w:rPr>
        <w:t>B332.采购流程规范性</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t>昆明市生态环境局盘龙分局针对政府采购，严格按照</w:t>
      </w:r>
      <w:r>
        <w:rPr>
          <w:rFonts w:hint="eastAsia" w:ascii="仿宋_GB2312" w:hAnsi="仿宋" w:eastAsia="仿宋_GB2312"/>
          <w:color w:val="000000" w:themeColor="text1"/>
          <w:spacing w:val="6"/>
          <w:kern w:val="0"/>
          <w:sz w:val="28"/>
          <w:szCs w:val="28"/>
          <w:highlight w:val="none"/>
          <w:u w:val="none"/>
          <w:lang w:val="en-US" w:eastAsia="zh-CN"/>
          <w14:textFill>
            <w14:solidFill>
              <w14:schemeClr w14:val="tx1"/>
            </w14:solidFill>
          </w14:textFill>
        </w:rPr>
        <w:t>《</w:t>
      </w:r>
      <w:r>
        <w:rPr>
          <w:rFonts w:hint="eastAsia" w:ascii="仿宋_GB2312" w:hAnsi="仿宋" w:eastAsia="仿宋_GB2312" w:cs="Times New Roman"/>
          <w:spacing w:val="6"/>
          <w:kern w:val="0"/>
          <w:sz w:val="28"/>
          <w:szCs w:val="28"/>
          <w:highlight w:val="none"/>
          <w:u w:val="none"/>
          <w:lang w:val="en-US" w:eastAsia="zh-CN" w:bidi="ar-SA"/>
        </w:rPr>
        <w:t>昆明市生态环境局盘龙分局采购管理内部控制流程（修订稿）》执行，采购流程符合相关规定。</w:t>
      </w:r>
    </w:p>
    <w:p w14:paraId="57A04C6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584" w:firstLineChars="200"/>
        <w:textAlignment w:val="auto"/>
        <w:rPr>
          <w:rFonts w:hint="default" w:ascii="仿宋_GB2312" w:hAnsi="仿宋" w:eastAsia="仿宋_GB2312"/>
          <w:spacing w:val="6"/>
          <w:kern w:val="0"/>
          <w:sz w:val="28"/>
          <w:szCs w:val="28"/>
          <w:highlight w:val="none"/>
          <w:u w:val="none"/>
          <w:lang w:val="en-US" w:eastAsia="zh-CN"/>
        </w:rPr>
      </w:pPr>
      <w:r>
        <w:rPr>
          <w:rFonts w:hint="eastAsia" w:ascii="仿宋_GB2312" w:hAnsi="仿宋" w:eastAsia="仿宋_GB2312"/>
          <w:spacing w:val="6"/>
          <w:kern w:val="0"/>
          <w:sz w:val="28"/>
          <w:szCs w:val="28"/>
          <w:highlight w:val="none"/>
          <w:lang w:val="en-US" w:eastAsia="zh-CN"/>
        </w:rPr>
        <w:t>该项指标满分1分，根据评分标准得1分。</w:t>
      </w:r>
    </w:p>
    <w:p w14:paraId="10A36281">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3.项目绩效分析</w:t>
      </w:r>
    </w:p>
    <w:p w14:paraId="5DD69FD1">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项目绩效类指标包括项目产出和项目效益两方面内容，由7个三级指标构成，共细化分解为12个四级指标。权重分60分，实际得分58分，得分率96.67%。</w:t>
      </w:r>
    </w:p>
    <w:p w14:paraId="566E2014">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（1）项目产出</w:t>
      </w:r>
    </w:p>
    <w:p w14:paraId="2E1D50F3">
      <w:pPr>
        <w:topLinePunct/>
        <w:spacing w:line="579" w:lineRule="exact"/>
        <w:ind w:firstLine="640" w:firstLineChars="200"/>
        <w:rPr>
          <w:rFonts w:hint="eastAsia" w:ascii="仿宋_GB2312" w:hAnsi="仿宋_GB2312" w:eastAsia="仿宋_GB2312" w:cs="仿宋_GB2312"/>
          <w:b w:val="0"/>
          <w:bCs w:val="0"/>
          <w:spacing w:val="20"/>
          <w:kern w:val="2"/>
          <w:sz w:val="28"/>
          <w:szCs w:val="28"/>
          <w:lang w:val="en-US" w:eastAsia="zh-CN" w:bidi="ar-SA"/>
        </w:rPr>
      </w:pPr>
      <w:r>
        <w:rPr>
          <w:rFonts w:hint="eastAsia" w:ascii="仿宋_GB2312" w:hAnsi="仿宋_GB2312" w:eastAsia="仿宋_GB2312" w:cs="仿宋_GB2312"/>
          <w:b w:val="0"/>
          <w:bCs w:val="0"/>
          <w:spacing w:val="20"/>
          <w:kern w:val="2"/>
          <w:sz w:val="28"/>
          <w:szCs w:val="28"/>
          <w:lang w:val="en-US" w:eastAsia="zh-CN" w:bidi="ar-SA"/>
        </w:rPr>
        <w:t>项目产出类指标主要包括污水处理设施工作情况、成本控制率、项目完成及时性等3个方面，并尽量细化分解为污水处理设施运行天数、污水处理设施处理量、污水处理设施使用率、污水处理设施出水达标率、污水处理设施维护成本控制率和完成及时率等内容。各指标的业绩值和实际得分详见表11。</w:t>
      </w:r>
    </w:p>
    <w:p w14:paraId="0E40A18B">
      <w:pPr>
        <w:topLinePunct/>
        <w:spacing w:line="579" w:lineRule="exact"/>
        <w:ind w:firstLine="480" w:firstLineChars="200"/>
        <w:jc w:val="center"/>
        <w:rPr>
          <w:rFonts w:hint="eastAsia" w:ascii="黑体" w:hAnsi="黑体" w:eastAsia="黑体" w:cs="黑体"/>
          <w:b w:val="0"/>
          <w:bCs w:val="0"/>
          <w:color w:val="000000"/>
          <w:sz w:val="24"/>
          <w:szCs w:val="24"/>
          <w:lang w:val="zh-CN" w:bidi="zh-CN"/>
        </w:rPr>
      </w:pPr>
      <w:r>
        <w:rPr>
          <w:rFonts w:hint="eastAsia" w:ascii="黑体" w:hAnsi="黑体" w:eastAsia="黑体" w:cs="黑体"/>
          <w:b w:val="0"/>
          <w:bCs w:val="0"/>
          <w:color w:val="000000"/>
          <w:sz w:val="24"/>
          <w:szCs w:val="24"/>
          <w:lang w:val="zh-CN" w:bidi="zh-CN"/>
        </w:rPr>
        <w:t>表11  项目产出指标评分表</w:t>
      </w:r>
    </w:p>
    <w:tbl>
      <w:tblPr>
        <w:tblStyle w:val="8"/>
        <w:tblW w:w="5000" w:type="pct"/>
        <w:jc w:val="center"/>
        <w:tblLayout w:type="autofit"/>
        <w:tblCellMar>
          <w:top w:w="0" w:type="dxa"/>
          <w:left w:w="10" w:type="dxa"/>
          <w:bottom w:w="0" w:type="dxa"/>
          <w:right w:w="10" w:type="dxa"/>
        </w:tblCellMar>
      </w:tblPr>
      <w:tblGrid>
        <w:gridCol w:w="4832"/>
        <w:gridCol w:w="996"/>
        <w:gridCol w:w="1354"/>
        <w:gridCol w:w="1144"/>
      </w:tblGrid>
      <w:tr w14:paraId="57F485E7">
        <w:tblPrEx>
          <w:tblCellMar>
            <w:top w:w="0" w:type="dxa"/>
            <w:left w:w="10" w:type="dxa"/>
            <w:bottom w:w="0" w:type="dxa"/>
            <w:right w:w="10" w:type="dxa"/>
          </w:tblCellMar>
        </w:tblPrEx>
        <w:trPr>
          <w:trHeight w:val="556" w:hRule="atLeast"/>
          <w:jc w:val="center"/>
        </w:trPr>
        <w:tc>
          <w:tcPr>
            <w:tcW w:w="2901" w:type="pct"/>
            <w:tcBorders>
              <w:top w:val="single" w:color="auto" w:sz="4" w:space="0"/>
              <w:left w:val="single" w:color="auto" w:sz="4" w:space="0"/>
            </w:tcBorders>
            <w:shd w:val="clear" w:color="auto" w:fill="FFFFFF"/>
            <w:vAlign w:val="bottom"/>
          </w:tcPr>
          <w:p w14:paraId="587FB888">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598" w:type="pct"/>
            <w:tcBorders>
              <w:top w:val="single" w:color="auto" w:sz="4" w:space="0"/>
              <w:left w:val="single" w:color="auto" w:sz="4" w:space="0"/>
            </w:tcBorders>
            <w:shd w:val="clear" w:color="auto" w:fill="FFFFFF"/>
            <w:vAlign w:val="bottom"/>
          </w:tcPr>
          <w:p w14:paraId="73A88B37">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813" w:type="pct"/>
            <w:tcBorders>
              <w:top w:val="single" w:color="auto" w:sz="4" w:space="0"/>
              <w:left w:val="single" w:color="auto" w:sz="4" w:space="0"/>
            </w:tcBorders>
            <w:shd w:val="clear" w:color="auto" w:fill="FFFFFF"/>
            <w:vAlign w:val="bottom"/>
          </w:tcPr>
          <w:p w14:paraId="1F5A546A">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687" w:type="pct"/>
            <w:tcBorders>
              <w:top w:val="single" w:color="auto" w:sz="4" w:space="0"/>
              <w:left w:val="single" w:color="auto" w:sz="4" w:space="0"/>
              <w:right w:val="single" w:color="auto" w:sz="4" w:space="0"/>
            </w:tcBorders>
            <w:shd w:val="clear" w:color="auto" w:fill="FFFFFF"/>
            <w:vAlign w:val="bottom"/>
          </w:tcPr>
          <w:p w14:paraId="5ADD546D">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0BCCC5AC">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0B31448F">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C11.</w:t>
            </w:r>
            <w:r>
              <w:rPr>
                <w:rStyle w:val="12"/>
                <w:rFonts w:hint="eastAsia" w:cs="宋体"/>
                <w:sz w:val="21"/>
                <w:szCs w:val="21"/>
                <w:lang w:val="en-US"/>
              </w:rPr>
              <w:t>污水处理设施工作</w:t>
            </w:r>
            <w:r>
              <w:rPr>
                <w:rStyle w:val="12"/>
                <w:rFonts w:hint="eastAsia" w:ascii="宋体" w:hAnsi="宋体" w:eastAsia="宋体" w:cs="宋体"/>
                <w:sz w:val="21"/>
                <w:szCs w:val="21"/>
              </w:rPr>
              <w:t>情况</w:t>
            </w:r>
          </w:p>
        </w:tc>
        <w:tc>
          <w:tcPr>
            <w:tcW w:w="598" w:type="pct"/>
            <w:tcBorders>
              <w:top w:val="single" w:color="auto" w:sz="4" w:space="0"/>
              <w:left w:val="single" w:color="auto" w:sz="4" w:space="0"/>
            </w:tcBorders>
            <w:shd w:val="clear" w:color="auto" w:fill="FFFFFF"/>
          </w:tcPr>
          <w:p w14:paraId="72002B30">
            <w:pPr>
              <w:pStyle w:val="11"/>
              <w:shd w:val="clear" w:color="auto" w:fill="auto"/>
              <w:spacing w:after="0" w:line="360" w:lineRule="auto"/>
              <w:rPr>
                <w:rStyle w:val="12"/>
                <w:rFonts w:ascii="仿宋" w:hAnsi="仿宋" w:eastAsia="仿宋_GB2312"/>
                <w:sz w:val="24"/>
                <w:szCs w:val="24"/>
              </w:rPr>
            </w:pPr>
          </w:p>
        </w:tc>
        <w:tc>
          <w:tcPr>
            <w:tcW w:w="813" w:type="pct"/>
            <w:tcBorders>
              <w:top w:val="single" w:color="auto" w:sz="4" w:space="0"/>
              <w:left w:val="single" w:color="auto" w:sz="4" w:space="0"/>
            </w:tcBorders>
            <w:shd w:val="clear" w:color="auto" w:fill="FFFFFF"/>
          </w:tcPr>
          <w:p w14:paraId="5E55273D">
            <w:pPr>
              <w:pStyle w:val="11"/>
              <w:shd w:val="clear" w:color="auto" w:fill="auto"/>
              <w:spacing w:after="0" w:line="360" w:lineRule="auto"/>
              <w:rPr>
                <w:rStyle w:val="12"/>
                <w:rFonts w:ascii="仿宋" w:hAnsi="仿宋" w:eastAsia="仿宋_GB2312"/>
                <w:sz w:val="24"/>
                <w:szCs w:val="24"/>
              </w:rPr>
            </w:pPr>
          </w:p>
        </w:tc>
        <w:tc>
          <w:tcPr>
            <w:tcW w:w="687" w:type="pct"/>
            <w:tcBorders>
              <w:top w:val="single" w:color="auto" w:sz="4" w:space="0"/>
              <w:left w:val="single" w:color="auto" w:sz="4" w:space="0"/>
              <w:right w:val="single" w:color="auto" w:sz="4" w:space="0"/>
            </w:tcBorders>
            <w:shd w:val="clear" w:color="auto" w:fill="FFFFFF"/>
          </w:tcPr>
          <w:p w14:paraId="5FE9DFBB">
            <w:pPr>
              <w:pStyle w:val="11"/>
              <w:shd w:val="clear" w:color="auto" w:fill="auto"/>
              <w:spacing w:after="0" w:line="360" w:lineRule="auto"/>
              <w:rPr>
                <w:rStyle w:val="12"/>
                <w:rFonts w:ascii="仿宋" w:hAnsi="仿宋" w:eastAsia="仿宋_GB2312"/>
                <w:sz w:val="24"/>
                <w:szCs w:val="24"/>
              </w:rPr>
            </w:pPr>
          </w:p>
        </w:tc>
      </w:tr>
      <w:tr w14:paraId="4F92CF7A">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2478A904">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C111.污水处理设施运行天数</w:t>
            </w:r>
          </w:p>
        </w:tc>
        <w:tc>
          <w:tcPr>
            <w:tcW w:w="598" w:type="pct"/>
            <w:tcBorders>
              <w:top w:val="single" w:color="auto" w:sz="4" w:space="0"/>
              <w:left w:val="single" w:color="auto" w:sz="4" w:space="0"/>
              <w:bottom w:val="single" w:color="auto" w:sz="4" w:space="0"/>
            </w:tcBorders>
            <w:shd w:val="clear" w:color="auto" w:fill="FFFFFF"/>
            <w:vAlign w:val="bottom"/>
          </w:tcPr>
          <w:p w14:paraId="077FCF73">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813" w:type="pct"/>
            <w:tcBorders>
              <w:top w:val="single" w:color="auto" w:sz="4" w:space="0"/>
              <w:left w:val="single" w:color="auto" w:sz="4" w:space="0"/>
              <w:bottom w:val="single" w:color="auto" w:sz="4" w:space="0"/>
            </w:tcBorders>
            <w:shd w:val="clear" w:color="auto" w:fill="FFFFFF"/>
            <w:vAlign w:val="center"/>
          </w:tcPr>
          <w:p w14:paraId="7E8504E8">
            <w:pPr>
              <w:pStyle w:val="11"/>
              <w:shd w:val="clear" w:color="auto" w:fill="auto"/>
              <w:spacing w:after="0" w:line="360" w:lineRule="auto"/>
              <w:rPr>
                <w:rFonts w:hint="default" w:ascii="宋体" w:hAnsi="宋体" w:eastAsia="宋体" w:cs="宋体"/>
                <w:sz w:val="21"/>
                <w:szCs w:val="21"/>
                <w:lang w:val="en-US"/>
              </w:rPr>
            </w:pPr>
            <w:r>
              <w:rPr>
                <w:rStyle w:val="12"/>
                <w:rFonts w:hint="eastAsia" w:cs="宋体"/>
                <w:sz w:val="21"/>
                <w:szCs w:val="21"/>
                <w:lang w:val="en-US"/>
              </w:rPr>
              <w:t>365日</w:t>
            </w:r>
          </w:p>
        </w:tc>
        <w:tc>
          <w:tcPr>
            <w:tcW w:w="687" w:type="pct"/>
            <w:tcBorders>
              <w:top w:val="single" w:color="auto" w:sz="4" w:space="0"/>
              <w:left w:val="single" w:color="auto" w:sz="4" w:space="0"/>
              <w:bottom w:val="single" w:color="auto" w:sz="4" w:space="0"/>
              <w:right w:val="single" w:color="auto" w:sz="4" w:space="0"/>
            </w:tcBorders>
            <w:shd w:val="clear" w:color="auto" w:fill="FFFFFF"/>
            <w:vAlign w:val="bottom"/>
          </w:tcPr>
          <w:p w14:paraId="5A68191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78F5169F">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tcPr>
          <w:p w14:paraId="74FFD861">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C112.污水处理设施处理量</w:t>
            </w:r>
          </w:p>
        </w:tc>
        <w:tc>
          <w:tcPr>
            <w:tcW w:w="598" w:type="pct"/>
            <w:tcBorders>
              <w:top w:val="single" w:color="auto" w:sz="4" w:space="0"/>
              <w:left w:val="single" w:color="auto" w:sz="4" w:space="0"/>
              <w:bottom w:val="single" w:color="auto" w:sz="4" w:space="0"/>
            </w:tcBorders>
            <w:shd w:val="clear" w:color="auto" w:fill="FFFFFF"/>
          </w:tcPr>
          <w:p w14:paraId="2DC8A39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813" w:type="pct"/>
            <w:tcBorders>
              <w:top w:val="single" w:color="auto" w:sz="4" w:space="0"/>
              <w:left w:val="single" w:color="auto" w:sz="4" w:space="0"/>
              <w:bottom w:val="single" w:color="auto" w:sz="4" w:space="0"/>
            </w:tcBorders>
            <w:shd w:val="clear" w:color="auto" w:fill="FFFFFF"/>
          </w:tcPr>
          <w:p w14:paraId="719A6E32">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达标</w:t>
            </w:r>
          </w:p>
        </w:tc>
        <w:tc>
          <w:tcPr>
            <w:tcW w:w="687" w:type="pct"/>
            <w:tcBorders>
              <w:top w:val="single" w:color="auto" w:sz="4" w:space="0"/>
              <w:left w:val="single" w:color="auto" w:sz="4" w:space="0"/>
              <w:bottom w:val="single" w:color="auto" w:sz="4" w:space="0"/>
              <w:right w:val="single" w:color="auto" w:sz="4" w:space="0"/>
            </w:tcBorders>
            <w:shd w:val="clear" w:color="auto" w:fill="FFFFFF"/>
          </w:tcPr>
          <w:p w14:paraId="6941D9FB">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28B08B9F">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169CDF9C">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cs="宋体"/>
                <w:sz w:val="21"/>
                <w:szCs w:val="21"/>
                <w:lang w:val="en-US"/>
              </w:rPr>
              <w:t>C</w:t>
            </w:r>
            <w:r>
              <w:rPr>
                <w:rStyle w:val="12"/>
                <w:rFonts w:hint="eastAsia" w:ascii="宋体" w:hAnsi="宋体" w:eastAsia="宋体" w:cs="宋体"/>
                <w:sz w:val="21"/>
                <w:szCs w:val="21"/>
              </w:rPr>
              <w:t>11</w:t>
            </w:r>
            <w:r>
              <w:rPr>
                <w:rStyle w:val="12"/>
                <w:rFonts w:hint="eastAsia" w:cs="宋体"/>
                <w:sz w:val="21"/>
                <w:szCs w:val="21"/>
                <w:lang w:val="en-US"/>
              </w:rPr>
              <w:t>3</w:t>
            </w:r>
            <w:r>
              <w:rPr>
                <w:rStyle w:val="12"/>
                <w:rFonts w:hint="eastAsia" w:ascii="宋体" w:hAnsi="宋体" w:eastAsia="宋体" w:cs="宋体"/>
                <w:sz w:val="21"/>
                <w:szCs w:val="21"/>
              </w:rPr>
              <w:t>.污水处理设施使用率</w:t>
            </w:r>
          </w:p>
        </w:tc>
        <w:tc>
          <w:tcPr>
            <w:tcW w:w="598" w:type="pct"/>
            <w:tcBorders>
              <w:top w:val="single" w:color="auto" w:sz="4" w:space="0"/>
              <w:left w:val="single" w:color="auto" w:sz="4" w:space="0"/>
            </w:tcBorders>
            <w:shd w:val="clear" w:color="auto" w:fill="FFFFFF"/>
          </w:tcPr>
          <w:p w14:paraId="7E16120E">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813" w:type="pct"/>
            <w:tcBorders>
              <w:top w:val="single" w:color="auto" w:sz="4" w:space="0"/>
              <w:left w:val="single" w:color="auto" w:sz="4" w:space="0"/>
            </w:tcBorders>
            <w:shd w:val="clear" w:color="auto" w:fill="FFFFFF"/>
          </w:tcPr>
          <w:p w14:paraId="5275F53A">
            <w:pPr>
              <w:pStyle w:val="11"/>
              <w:shd w:val="clear" w:color="auto" w:fill="auto"/>
              <w:spacing w:after="0" w:line="360" w:lineRule="auto"/>
              <w:rPr>
                <w:rStyle w:val="12"/>
                <w:rFonts w:hint="default" w:ascii="宋体" w:hAnsi="宋体" w:eastAsia="宋体" w:cs="宋体"/>
                <w:sz w:val="21"/>
                <w:szCs w:val="21"/>
                <w:lang w:val="en-US"/>
              </w:rPr>
            </w:pPr>
            <w:r>
              <w:rPr>
                <w:rStyle w:val="12"/>
                <w:rFonts w:hint="eastAsia" w:cs="宋体"/>
                <w:sz w:val="21"/>
                <w:szCs w:val="21"/>
                <w:lang w:val="en-US"/>
              </w:rPr>
              <w:t>100%</w:t>
            </w:r>
          </w:p>
        </w:tc>
        <w:tc>
          <w:tcPr>
            <w:tcW w:w="687" w:type="pct"/>
            <w:tcBorders>
              <w:top w:val="single" w:color="auto" w:sz="4" w:space="0"/>
              <w:left w:val="single" w:color="auto" w:sz="4" w:space="0"/>
              <w:right w:val="single" w:color="auto" w:sz="4" w:space="0"/>
            </w:tcBorders>
            <w:shd w:val="clear" w:color="auto" w:fill="FFFFFF"/>
          </w:tcPr>
          <w:p w14:paraId="49462BDF">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78160C34">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45960740">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w:t>
            </w:r>
            <w:r>
              <w:rPr>
                <w:rStyle w:val="12"/>
                <w:rFonts w:hint="eastAsia" w:cs="宋体"/>
                <w:sz w:val="21"/>
                <w:szCs w:val="21"/>
                <w:lang w:val="en-US"/>
              </w:rPr>
              <w:t>14</w:t>
            </w:r>
            <w:r>
              <w:rPr>
                <w:rStyle w:val="12"/>
                <w:rFonts w:hint="eastAsia" w:ascii="宋体" w:hAnsi="宋体" w:eastAsia="宋体" w:cs="宋体"/>
                <w:sz w:val="21"/>
                <w:szCs w:val="21"/>
              </w:rPr>
              <w:t>.污水处理设施出水达标率</w:t>
            </w:r>
          </w:p>
        </w:tc>
        <w:tc>
          <w:tcPr>
            <w:tcW w:w="598" w:type="pct"/>
            <w:tcBorders>
              <w:top w:val="single" w:color="auto" w:sz="4" w:space="0"/>
              <w:left w:val="single" w:color="auto" w:sz="4" w:space="0"/>
            </w:tcBorders>
            <w:shd w:val="clear" w:color="auto" w:fill="FFFFFF"/>
          </w:tcPr>
          <w:p w14:paraId="4D97729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813" w:type="pct"/>
            <w:tcBorders>
              <w:top w:val="single" w:color="auto" w:sz="4" w:space="0"/>
              <w:left w:val="single" w:color="auto" w:sz="4" w:space="0"/>
            </w:tcBorders>
            <w:shd w:val="clear" w:color="auto" w:fill="FFFFFF"/>
          </w:tcPr>
          <w:p w14:paraId="4939C543">
            <w:pPr>
              <w:pStyle w:val="11"/>
              <w:shd w:val="clear" w:color="auto" w:fill="auto"/>
              <w:spacing w:after="0" w:line="360" w:lineRule="auto"/>
              <w:rPr>
                <w:rStyle w:val="12"/>
                <w:rFonts w:hint="eastAsia" w:ascii="宋体" w:hAnsi="宋体" w:eastAsia="宋体" w:cs="宋体"/>
                <w:sz w:val="21"/>
                <w:szCs w:val="21"/>
              </w:rPr>
            </w:pPr>
            <w:r>
              <w:rPr>
                <w:rStyle w:val="12"/>
                <w:rFonts w:hint="eastAsia" w:cs="宋体"/>
                <w:sz w:val="21"/>
                <w:szCs w:val="21"/>
                <w:lang w:val="en-US"/>
              </w:rPr>
              <w:t>达标</w:t>
            </w:r>
          </w:p>
        </w:tc>
        <w:tc>
          <w:tcPr>
            <w:tcW w:w="687" w:type="pct"/>
            <w:tcBorders>
              <w:top w:val="single" w:color="auto" w:sz="4" w:space="0"/>
              <w:left w:val="single" w:color="auto" w:sz="4" w:space="0"/>
              <w:right w:val="single" w:color="auto" w:sz="4" w:space="0"/>
            </w:tcBorders>
            <w:shd w:val="clear" w:color="auto" w:fill="FFFFFF"/>
          </w:tcPr>
          <w:p w14:paraId="2648313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32407B76">
        <w:tblPrEx>
          <w:tblCellMar>
            <w:top w:w="0" w:type="dxa"/>
            <w:left w:w="10" w:type="dxa"/>
            <w:bottom w:w="0" w:type="dxa"/>
            <w:right w:w="10" w:type="dxa"/>
          </w:tblCellMar>
        </w:tblPrEx>
        <w:trPr>
          <w:trHeight w:val="451" w:hRule="atLeast"/>
          <w:jc w:val="center"/>
        </w:trPr>
        <w:tc>
          <w:tcPr>
            <w:tcW w:w="2901" w:type="pct"/>
            <w:tcBorders>
              <w:top w:val="single" w:color="auto" w:sz="4" w:space="0"/>
              <w:left w:val="single" w:color="auto" w:sz="4" w:space="0"/>
            </w:tcBorders>
            <w:shd w:val="clear" w:color="auto" w:fill="FFFFFF"/>
          </w:tcPr>
          <w:p w14:paraId="7EAA5493">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C12.成本控制率</w:t>
            </w:r>
          </w:p>
        </w:tc>
        <w:tc>
          <w:tcPr>
            <w:tcW w:w="598" w:type="pct"/>
            <w:tcBorders>
              <w:top w:val="single" w:color="auto" w:sz="4" w:space="0"/>
              <w:left w:val="single" w:color="auto" w:sz="4" w:space="0"/>
            </w:tcBorders>
            <w:shd w:val="clear" w:color="auto" w:fill="FFFFFF"/>
          </w:tcPr>
          <w:p w14:paraId="456F4A4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813" w:type="pct"/>
            <w:tcBorders>
              <w:top w:val="single" w:color="auto" w:sz="4" w:space="0"/>
              <w:left w:val="single" w:color="auto" w:sz="4" w:space="0"/>
            </w:tcBorders>
            <w:shd w:val="clear" w:color="auto" w:fill="FFFFFF"/>
          </w:tcPr>
          <w:p w14:paraId="006C70C4">
            <w:pPr>
              <w:pStyle w:val="11"/>
              <w:shd w:val="clear" w:color="auto" w:fill="auto"/>
              <w:spacing w:after="0" w:line="360" w:lineRule="auto"/>
              <w:rPr>
                <w:rStyle w:val="12"/>
                <w:rFonts w:hint="eastAsia" w:ascii="宋体" w:hAnsi="宋体" w:eastAsia="宋体" w:cs="宋体"/>
                <w:sz w:val="21"/>
                <w:szCs w:val="21"/>
              </w:rPr>
            </w:pPr>
          </w:p>
        </w:tc>
        <w:tc>
          <w:tcPr>
            <w:tcW w:w="687" w:type="pct"/>
            <w:tcBorders>
              <w:top w:val="single" w:color="auto" w:sz="4" w:space="0"/>
              <w:left w:val="single" w:color="auto" w:sz="4" w:space="0"/>
              <w:right w:val="single" w:color="auto" w:sz="4" w:space="0"/>
            </w:tcBorders>
            <w:shd w:val="clear" w:color="auto" w:fill="FFFFFF"/>
          </w:tcPr>
          <w:p w14:paraId="07A9C79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4F8FF43F">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534DC7AC">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C12</w:t>
            </w:r>
            <w:r>
              <w:rPr>
                <w:rStyle w:val="12"/>
                <w:rFonts w:hint="eastAsia" w:cs="宋体"/>
                <w:sz w:val="21"/>
                <w:szCs w:val="21"/>
                <w:lang w:val="en-US"/>
              </w:rPr>
              <w:t>1</w:t>
            </w:r>
            <w:r>
              <w:rPr>
                <w:rStyle w:val="12"/>
                <w:rFonts w:hint="eastAsia" w:ascii="宋体" w:hAnsi="宋体" w:eastAsia="宋体" w:cs="宋体"/>
                <w:sz w:val="21"/>
                <w:szCs w:val="21"/>
              </w:rPr>
              <w:t>.污水处理设施维护成本控制率</w:t>
            </w:r>
          </w:p>
        </w:tc>
        <w:tc>
          <w:tcPr>
            <w:tcW w:w="598" w:type="pct"/>
            <w:tcBorders>
              <w:top w:val="single" w:color="auto" w:sz="4" w:space="0"/>
              <w:left w:val="single" w:color="auto" w:sz="4" w:space="0"/>
            </w:tcBorders>
            <w:shd w:val="clear" w:color="auto" w:fill="FFFFFF"/>
          </w:tcPr>
          <w:p w14:paraId="55ED50CA">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813" w:type="pct"/>
            <w:tcBorders>
              <w:top w:val="single" w:color="auto" w:sz="4" w:space="0"/>
              <w:left w:val="single" w:color="auto" w:sz="4" w:space="0"/>
            </w:tcBorders>
            <w:shd w:val="clear" w:color="auto" w:fill="FFFFFF"/>
          </w:tcPr>
          <w:p w14:paraId="26229BC8">
            <w:pPr>
              <w:pStyle w:val="11"/>
              <w:shd w:val="clear" w:color="auto" w:fill="auto"/>
              <w:spacing w:after="0" w:line="360" w:lineRule="auto"/>
              <w:rPr>
                <w:rStyle w:val="12"/>
                <w:rFonts w:hint="default" w:ascii="宋体" w:hAnsi="宋体" w:eastAsia="宋体" w:cs="宋体"/>
                <w:sz w:val="21"/>
                <w:szCs w:val="21"/>
                <w:lang w:val="en-US"/>
              </w:rPr>
            </w:pPr>
            <w:r>
              <w:rPr>
                <w:rStyle w:val="12"/>
                <w:rFonts w:hint="eastAsia" w:cs="宋体"/>
                <w:sz w:val="21"/>
                <w:szCs w:val="21"/>
                <w:lang w:val="en-US"/>
              </w:rPr>
              <w:t>未超过100%</w:t>
            </w:r>
          </w:p>
        </w:tc>
        <w:tc>
          <w:tcPr>
            <w:tcW w:w="687" w:type="pct"/>
            <w:tcBorders>
              <w:top w:val="single" w:color="auto" w:sz="4" w:space="0"/>
              <w:left w:val="single" w:color="auto" w:sz="4" w:space="0"/>
              <w:right w:val="single" w:color="auto" w:sz="4" w:space="0"/>
            </w:tcBorders>
            <w:shd w:val="clear" w:color="auto" w:fill="FFFFFF"/>
          </w:tcPr>
          <w:p w14:paraId="7199312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152B93F2">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4AB0F777">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C13.项目完成及时性</w:t>
            </w:r>
          </w:p>
        </w:tc>
        <w:tc>
          <w:tcPr>
            <w:tcW w:w="598" w:type="pct"/>
            <w:tcBorders>
              <w:top w:val="single" w:color="auto" w:sz="4" w:space="0"/>
              <w:left w:val="single" w:color="auto" w:sz="4" w:space="0"/>
            </w:tcBorders>
            <w:shd w:val="clear" w:color="auto" w:fill="FFFFFF"/>
          </w:tcPr>
          <w:p w14:paraId="2CCAB8F6">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813" w:type="pct"/>
            <w:tcBorders>
              <w:top w:val="single" w:color="auto" w:sz="4" w:space="0"/>
              <w:left w:val="single" w:color="auto" w:sz="4" w:space="0"/>
            </w:tcBorders>
            <w:shd w:val="clear" w:color="auto" w:fill="FFFFFF"/>
          </w:tcPr>
          <w:p w14:paraId="0DF67AA2">
            <w:pPr>
              <w:pStyle w:val="11"/>
              <w:shd w:val="clear" w:color="auto" w:fill="auto"/>
              <w:spacing w:after="0" w:line="360" w:lineRule="auto"/>
              <w:rPr>
                <w:rStyle w:val="12"/>
                <w:rFonts w:hint="eastAsia" w:ascii="宋体" w:hAnsi="宋体" w:eastAsia="宋体" w:cs="宋体"/>
                <w:sz w:val="21"/>
                <w:szCs w:val="21"/>
              </w:rPr>
            </w:pPr>
          </w:p>
        </w:tc>
        <w:tc>
          <w:tcPr>
            <w:tcW w:w="687" w:type="pct"/>
            <w:tcBorders>
              <w:top w:val="single" w:color="auto" w:sz="4" w:space="0"/>
              <w:left w:val="single" w:color="auto" w:sz="4" w:space="0"/>
              <w:right w:val="single" w:color="auto" w:sz="4" w:space="0"/>
            </w:tcBorders>
            <w:shd w:val="clear" w:color="auto" w:fill="FFFFFF"/>
          </w:tcPr>
          <w:p w14:paraId="53B714FC">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3301CDB0">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tcBorders>
            <w:shd w:val="clear" w:color="auto" w:fill="FFFFFF"/>
          </w:tcPr>
          <w:p w14:paraId="17266861">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C131.完成及时率</w:t>
            </w:r>
          </w:p>
        </w:tc>
        <w:tc>
          <w:tcPr>
            <w:tcW w:w="598" w:type="pct"/>
            <w:tcBorders>
              <w:top w:val="single" w:color="auto" w:sz="4" w:space="0"/>
              <w:left w:val="single" w:color="auto" w:sz="4" w:space="0"/>
            </w:tcBorders>
            <w:shd w:val="clear" w:color="auto" w:fill="FFFFFF"/>
          </w:tcPr>
          <w:p w14:paraId="15F4D2EE">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5</w:t>
            </w:r>
          </w:p>
        </w:tc>
        <w:tc>
          <w:tcPr>
            <w:tcW w:w="813" w:type="pct"/>
            <w:tcBorders>
              <w:top w:val="single" w:color="auto" w:sz="4" w:space="0"/>
              <w:left w:val="single" w:color="auto" w:sz="4" w:space="0"/>
            </w:tcBorders>
            <w:shd w:val="clear" w:color="auto" w:fill="FFFFFF"/>
          </w:tcPr>
          <w:p w14:paraId="1C9BE341">
            <w:pPr>
              <w:pStyle w:val="11"/>
              <w:shd w:val="clear" w:color="auto" w:fill="auto"/>
              <w:spacing w:after="0" w:line="360" w:lineRule="auto"/>
              <w:rPr>
                <w:rStyle w:val="12"/>
                <w:rFonts w:hint="default" w:ascii="宋体" w:hAnsi="宋体" w:eastAsia="宋体" w:cs="宋体"/>
                <w:sz w:val="21"/>
                <w:szCs w:val="21"/>
                <w:lang w:val="en-US"/>
              </w:rPr>
            </w:pPr>
            <w:r>
              <w:rPr>
                <w:rStyle w:val="12"/>
                <w:rFonts w:hint="eastAsia" w:cs="宋体"/>
                <w:sz w:val="21"/>
                <w:szCs w:val="21"/>
                <w:lang w:val="en-US"/>
              </w:rPr>
              <w:t>100%</w:t>
            </w:r>
          </w:p>
        </w:tc>
        <w:tc>
          <w:tcPr>
            <w:tcW w:w="687" w:type="pct"/>
            <w:tcBorders>
              <w:top w:val="single" w:color="auto" w:sz="4" w:space="0"/>
              <w:left w:val="single" w:color="auto" w:sz="4" w:space="0"/>
              <w:right w:val="single" w:color="auto" w:sz="4" w:space="0"/>
            </w:tcBorders>
            <w:shd w:val="clear" w:color="auto" w:fill="FFFFFF"/>
          </w:tcPr>
          <w:p w14:paraId="5418572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19027CB0">
        <w:tblPrEx>
          <w:tblCellMar>
            <w:top w:w="0" w:type="dxa"/>
            <w:left w:w="10" w:type="dxa"/>
            <w:bottom w:w="0" w:type="dxa"/>
            <w:right w:w="10" w:type="dxa"/>
          </w:tblCellMar>
        </w:tblPrEx>
        <w:trPr>
          <w:trHeight w:val="468" w:hRule="atLeast"/>
          <w:jc w:val="center"/>
        </w:trPr>
        <w:tc>
          <w:tcPr>
            <w:tcW w:w="2901" w:type="pct"/>
            <w:tcBorders>
              <w:top w:val="single" w:color="auto" w:sz="4" w:space="0"/>
              <w:left w:val="single" w:color="auto" w:sz="4" w:space="0"/>
              <w:bottom w:val="single" w:color="auto" w:sz="4" w:space="0"/>
            </w:tcBorders>
            <w:shd w:val="clear" w:color="auto" w:fill="FFFFFF"/>
            <w:vAlign w:val="center"/>
          </w:tcPr>
          <w:p w14:paraId="7F785A09">
            <w:pPr>
              <w:pStyle w:val="11"/>
              <w:shd w:val="clear" w:color="auto" w:fill="auto"/>
              <w:spacing w:after="0" w:line="360" w:lineRule="auto"/>
              <w:rPr>
                <w:rFonts w:hint="eastAsia" w:ascii="宋体" w:hAnsi="宋体" w:eastAsia="宋体" w:cs="宋体"/>
                <w:b/>
                <w:bCs/>
                <w:sz w:val="21"/>
                <w:szCs w:val="21"/>
              </w:rPr>
            </w:pPr>
            <w:r>
              <w:rPr>
                <w:rStyle w:val="12"/>
                <w:rFonts w:hint="eastAsia" w:cs="宋体"/>
                <w:b w:val="0"/>
                <w:bCs w:val="0"/>
                <w:sz w:val="21"/>
                <w:szCs w:val="21"/>
              </w:rPr>
              <w:t>合计</w:t>
            </w:r>
          </w:p>
        </w:tc>
        <w:tc>
          <w:tcPr>
            <w:tcW w:w="598" w:type="pct"/>
            <w:tcBorders>
              <w:top w:val="single" w:color="auto" w:sz="4" w:space="0"/>
              <w:left w:val="single" w:color="auto" w:sz="4" w:space="0"/>
              <w:bottom w:val="single" w:color="auto" w:sz="4" w:space="0"/>
            </w:tcBorders>
            <w:shd w:val="clear" w:color="auto" w:fill="FFFFFF"/>
            <w:vAlign w:val="center"/>
          </w:tcPr>
          <w:p w14:paraId="6D967C80">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30</w:t>
            </w:r>
          </w:p>
        </w:tc>
        <w:tc>
          <w:tcPr>
            <w:tcW w:w="813" w:type="pct"/>
            <w:tcBorders>
              <w:top w:val="single" w:color="auto" w:sz="4" w:space="0"/>
              <w:left w:val="single" w:color="auto" w:sz="4" w:space="0"/>
              <w:bottom w:val="single" w:color="auto" w:sz="4" w:space="0"/>
            </w:tcBorders>
            <w:shd w:val="clear" w:color="auto" w:fill="FFFFFF"/>
          </w:tcPr>
          <w:p w14:paraId="678C6930">
            <w:pPr>
              <w:spacing w:line="360" w:lineRule="auto"/>
              <w:rPr>
                <w:rFonts w:hint="eastAsia" w:ascii="宋体" w:hAnsi="宋体" w:eastAsia="宋体" w:cs="宋体"/>
                <w:b/>
                <w:bCs/>
                <w:sz w:val="21"/>
                <w:szCs w:val="21"/>
              </w:rPr>
            </w:pPr>
          </w:p>
        </w:tc>
        <w:tc>
          <w:tcPr>
            <w:tcW w:w="687" w:type="pct"/>
            <w:tcBorders>
              <w:top w:val="single" w:color="auto" w:sz="4" w:space="0"/>
              <w:left w:val="single" w:color="auto" w:sz="4" w:space="0"/>
              <w:bottom w:val="single" w:color="auto" w:sz="4" w:space="0"/>
              <w:right w:val="single" w:color="auto" w:sz="4" w:space="0"/>
            </w:tcBorders>
            <w:shd w:val="clear" w:color="auto" w:fill="FFFFFF"/>
            <w:vAlign w:val="center"/>
          </w:tcPr>
          <w:p w14:paraId="56E749FF">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30</w:t>
            </w:r>
          </w:p>
        </w:tc>
      </w:tr>
    </w:tbl>
    <w:p w14:paraId="76355025">
      <w:pPr>
        <w:spacing w:line="590" w:lineRule="exact"/>
        <w:ind w:firstLine="586" w:firstLineChars="200"/>
        <w:rPr>
          <w:rFonts w:hint="eastAsia" w:ascii="仿宋_GB2312" w:hAnsi="仿宋" w:eastAsia="仿宋_GB2312"/>
          <w:b/>
          <w:bCs/>
          <w:spacing w:val="6"/>
          <w:kern w:val="0"/>
          <w:sz w:val="28"/>
          <w:szCs w:val="28"/>
          <w:highlight w:val="none"/>
          <w:lang w:val="en-US" w:eastAsia="zh-CN"/>
        </w:rPr>
      </w:pPr>
      <w:r>
        <w:rPr>
          <w:rFonts w:hint="eastAsia" w:ascii="仿宋_GB2312" w:hAnsi="仿宋" w:eastAsia="仿宋_GB2312"/>
          <w:b/>
          <w:bCs/>
          <w:spacing w:val="6"/>
          <w:kern w:val="0"/>
          <w:sz w:val="28"/>
          <w:szCs w:val="28"/>
          <w:highlight w:val="none"/>
          <w:lang w:val="en-US" w:eastAsia="zh-CN"/>
        </w:rPr>
        <w:t>C11.污水处理设施工作情况</w:t>
      </w:r>
    </w:p>
    <w:p w14:paraId="3EF97B51">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C111.污水处理设施运行天数</w:t>
      </w:r>
      <w:r>
        <w:rPr>
          <w:rFonts w:hint="eastAsia" w:ascii="仿宋_GB2312" w:hAnsi="仿宋" w:eastAsia="仿宋_GB2312"/>
          <w:spacing w:val="6"/>
          <w:kern w:val="0"/>
          <w:sz w:val="28"/>
          <w:szCs w:val="28"/>
          <w:highlight w:val="none"/>
          <w:lang w:val="en-US" w:eastAsia="zh-CN"/>
        </w:rPr>
        <w:t>：根据现场勘查及检阅台账，截止2019年12月31日该项目污水处理设备全年正常运行365日，均达到计划目标。</w:t>
      </w:r>
    </w:p>
    <w:p w14:paraId="1ED7C636">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该项指标满分为5分，根据评分标准得5分。</w:t>
      </w:r>
    </w:p>
    <w:p w14:paraId="799C5AC7">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C112.污水处理设施处理量</w:t>
      </w:r>
      <w:r>
        <w:rPr>
          <w:rFonts w:hint="eastAsia" w:ascii="仿宋_GB2312" w:hAnsi="仿宋" w:eastAsia="仿宋_GB2312"/>
          <w:spacing w:val="6"/>
          <w:kern w:val="0"/>
          <w:sz w:val="28"/>
          <w:szCs w:val="28"/>
          <w:highlight w:val="none"/>
          <w:lang w:val="en-US" w:eastAsia="zh-CN"/>
        </w:rPr>
        <w:t>：根据现场勘查及检阅台账，截止2019年12月31日，污水处理站处理污水43800吨，达到每天不低于1200吨每天标准。</w:t>
      </w:r>
    </w:p>
    <w:p w14:paraId="60EF0CE3">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该项指标满分为5分，根据评分标准得5分。</w:t>
      </w:r>
    </w:p>
    <w:p w14:paraId="42526D9B">
      <w:pPr>
        <w:spacing w:line="590"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C113.污水处理设施使用率</w:t>
      </w:r>
      <w:r>
        <w:rPr>
          <w:rFonts w:hint="eastAsia" w:ascii="仿宋_GB2312" w:hAnsi="仿宋" w:eastAsia="仿宋_GB2312"/>
          <w:spacing w:val="6"/>
          <w:kern w:val="0"/>
          <w:sz w:val="28"/>
          <w:szCs w:val="28"/>
          <w:highlight w:val="none"/>
          <w:lang w:val="en-US" w:eastAsia="zh-CN"/>
        </w:rPr>
        <w:t>：根据现场勘查及检阅台账，截止2019年12月31日，10座污水处理设备全年正常运行，污水处理设施使用率达到100%。</w:t>
      </w:r>
    </w:p>
    <w:p w14:paraId="0B410142">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该项指标满分为5分，根据评分标准得5分。</w:t>
      </w:r>
    </w:p>
    <w:p w14:paraId="17466D4D">
      <w:pPr>
        <w:spacing w:line="590" w:lineRule="exact"/>
        <w:ind w:firstLine="584" w:firstLineChars="200"/>
        <w:rPr>
          <w:rFonts w:hint="default"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C114.污水处理设施出水达标率</w:t>
      </w:r>
      <w:r>
        <w:rPr>
          <w:rFonts w:hint="eastAsia" w:ascii="仿宋_GB2312" w:hAnsi="仿宋" w:eastAsia="仿宋_GB2312"/>
          <w:spacing w:val="6"/>
          <w:kern w:val="0"/>
          <w:sz w:val="28"/>
          <w:szCs w:val="28"/>
          <w:highlight w:val="none"/>
          <w:lang w:val="en-US" w:eastAsia="zh-CN"/>
        </w:rPr>
        <w:t>：根据现场勘查及污水出水检测报告，辖区内所有污水处理设施出水水质均达到国家一级A标的标准。</w:t>
      </w:r>
    </w:p>
    <w:p w14:paraId="3B857E12">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该项指标满分为5分，根据评分标准得5分。</w:t>
      </w:r>
    </w:p>
    <w:p w14:paraId="0AC16DD3">
      <w:pPr>
        <w:spacing w:line="590" w:lineRule="exact"/>
        <w:ind w:firstLine="586" w:firstLineChars="200"/>
        <w:rPr>
          <w:rFonts w:hint="eastAsia" w:ascii="仿宋_GB2312" w:hAnsi="仿宋" w:eastAsia="仿宋_GB2312"/>
          <w:b/>
          <w:bCs/>
          <w:spacing w:val="6"/>
          <w:kern w:val="0"/>
          <w:sz w:val="28"/>
          <w:szCs w:val="28"/>
          <w:highlight w:val="none"/>
          <w:lang w:val="en-US" w:eastAsia="zh-CN"/>
        </w:rPr>
      </w:pPr>
      <w:r>
        <w:rPr>
          <w:rFonts w:hint="eastAsia" w:ascii="仿宋_GB2312" w:hAnsi="仿宋" w:eastAsia="仿宋_GB2312"/>
          <w:b/>
          <w:bCs/>
          <w:spacing w:val="6"/>
          <w:kern w:val="0"/>
          <w:sz w:val="28"/>
          <w:szCs w:val="28"/>
          <w:highlight w:val="none"/>
          <w:lang w:val="en-US" w:eastAsia="zh-CN"/>
        </w:rPr>
        <w:t>C12.成本控制率</w:t>
      </w:r>
    </w:p>
    <w:p w14:paraId="2FBF0533">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C121.污水处理设施维护成本控制率</w:t>
      </w:r>
      <w:r>
        <w:rPr>
          <w:rFonts w:hint="eastAsia" w:ascii="仿宋_GB2312" w:hAnsi="仿宋" w:eastAsia="仿宋_GB2312"/>
          <w:spacing w:val="6"/>
          <w:kern w:val="0"/>
          <w:sz w:val="28"/>
          <w:szCs w:val="28"/>
          <w:highlight w:val="none"/>
          <w:lang w:val="en-US" w:eastAsia="zh-CN"/>
        </w:rPr>
        <w:t>：根据检阅台账及查看相关支付凭证等相关文件，</w:t>
      </w:r>
      <w:r>
        <w:rPr>
          <w:rFonts w:hint="eastAsia" w:ascii="仿宋_GB2312" w:hAnsi="仿宋" w:eastAsia="仿宋_GB2312"/>
          <w:spacing w:val="6"/>
          <w:kern w:val="0"/>
          <w:sz w:val="28"/>
          <w:szCs w:val="28"/>
        </w:rPr>
        <w:t>2019年昆明市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大气自动站运行维护费项目共实际支出</w:t>
      </w:r>
      <w:r>
        <w:rPr>
          <w:rFonts w:hint="eastAsia" w:ascii="仿宋_GB2312" w:hAnsi="仿宋" w:eastAsia="仿宋_GB2312"/>
          <w:spacing w:val="6"/>
          <w:kern w:val="0"/>
          <w:sz w:val="28"/>
          <w:szCs w:val="28"/>
          <w:lang w:val="en-US" w:eastAsia="zh-CN"/>
        </w:rPr>
        <w:t>1,934,030.66</w:t>
      </w:r>
      <w:r>
        <w:rPr>
          <w:rFonts w:hint="eastAsia" w:ascii="仿宋_GB2312" w:hAnsi="仿宋" w:eastAsia="仿宋_GB2312"/>
          <w:spacing w:val="6"/>
          <w:kern w:val="0"/>
          <w:sz w:val="28"/>
          <w:szCs w:val="28"/>
        </w:rPr>
        <w:t>元，该项目</w:t>
      </w:r>
      <w:r>
        <w:rPr>
          <w:rFonts w:hint="eastAsia" w:ascii="仿宋_GB2312" w:hAnsi="仿宋" w:eastAsia="仿宋_GB2312"/>
          <w:spacing w:val="6"/>
          <w:kern w:val="0"/>
          <w:sz w:val="28"/>
          <w:szCs w:val="28"/>
          <w:lang w:val="en-US" w:eastAsia="zh-CN"/>
        </w:rPr>
        <w:t>年初财政预算2,101,791元</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highlight w:val="none"/>
          <w:u w:val="none"/>
          <w:lang w:val="en-US" w:eastAsia="zh-CN"/>
        </w:rPr>
        <w:t>污水处理设施维护成本控制率=（</w:t>
      </w:r>
      <w:r>
        <w:rPr>
          <w:rFonts w:hint="eastAsia" w:ascii="仿宋_GB2312" w:hAnsi="仿宋" w:eastAsia="仿宋_GB2312"/>
          <w:spacing w:val="6"/>
          <w:kern w:val="0"/>
          <w:sz w:val="28"/>
          <w:szCs w:val="28"/>
          <w:lang w:val="en-US" w:eastAsia="zh-CN"/>
        </w:rPr>
        <w:t>1,934,030.66-2,101,791</w:t>
      </w:r>
      <w:r>
        <w:rPr>
          <w:rFonts w:hint="eastAsia" w:ascii="仿宋_GB2312" w:hAnsi="仿宋" w:eastAsia="仿宋_GB2312"/>
          <w:spacing w:val="6"/>
          <w:kern w:val="0"/>
          <w:sz w:val="28"/>
          <w:szCs w:val="28"/>
          <w:highlight w:val="none"/>
          <w:u w:val="none"/>
          <w:lang w:val="en-US" w:eastAsia="zh-CN"/>
        </w:rPr>
        <w:t>）*100%=92.02%</w:t>
      </w:r>
      <w:r>
        <w:rPr>
          <w:rFonts w:hint="eastAsia" w:ascii="仿宋_GB2312" w:hAnsi="仿宋" w:eastAsia="仿宋_GB2312"/>
          <w:spacing w:val="6"/>
          <w:kern w:val="0"/>
          <w:sz w:val="28"/>
          <w:szCs w:val="28"/>
        </w:rPr>
        <w:t>，</w:t>
      </w:r>
      <w:r>
        <w:rPr>
          <w:rFonts w:hint="eastAsia" w:ascii="仿宋_GB2312" w:hAnsi="仿宋" w:eastAsia="仿宋_GB2312"/>
          <w:spacing w:val="6"/>
          <w:kern w:val="0"/>
          <w:sz w:val="28"/>
          <w:szCs w:val="28"/>
          <w:lang w:val="en-US" w:eastAsia="zh-CN"/>
        </w:rPr>
        <w:t>未超过100%</w:t>
      </w:r>
      <w:r>
        <w:rPr>
          <w:rFonts w:hint="eastAsia" w:ascii="仿宋_GB2312" w:hAnsi="仿宋" w:eastAsia="仿宋_GB2312"/>
          <w:spacing w:val="6"/>
          <w:kern w:val="0"/>
          <w:sz w:val="28"/>
          <w:szCs w:val="28"/>
          <w:highlight w:val="none"/>
          <w:lang w:val="en-US" w:eastAsia="zh-CN"/>
        </w:rPr>
        <w:t>。</w:t>
      </w:r>
    </w:p>
    <w:p w14:paraId="77FBAA0E">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该项指标满分为5分，根据评分标准得5分。</w:t>
      </w:r>
    </w:p>
    <w:p w14:paraId="0F5F11B7">
      <w:pPr>
        <w:spacing w:line="590" w:lineRule="exact"/>
        <w:ind w:firstLine="586"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b/>
          <w:bCs/>
          <w:spacing w:val="6"/>
          <w:kern w:val="0"/>
          <w:sz w:val="28"/>
          <w:szCs w:val="28"/>
          <w:highlight w:val="none"/>
          <w:lang w:val="en-US" w:eastAsia="zh-CN"/>
        </w:rPr>
        <w:t>C13.项目完成及时性</w:t>
      </w:r>
    </w:p>
    <w:p w14:paraId="66F367AC">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u w:val="single"/>
          <w:lang w:val="en-US" w:eastAsia="zh-CN"/>
        </w:rPr>
        <w:t>C131.完成及时率</w:t>
      </w:r>
      <w:r>
        <w:rPr>
          <w:rFonts w:hint="eastAsia" w:ascii="仿宋_GB2312" w:hAnsi="仿宋" w:eastAsia="仿宋_GB2312"/>
          <w:spacing w:val="6"/>
          <w:kern w:val="0"/>
          <w:sz w:val="28"/>
          <w:szCs w:val="28"/>
          <w:highlight w:val="none"/>
          <w:lang w:val="en-US" w:eastAsia="zh-CN"/>
        </w:rPr>
        <w:t>：</w:t>
      </w:r>
      <w:r>
        <w:rPr>
          <w:rFonts w:hint="eastAsia" w:ascii="仿宋_GB2312" w:hAnsi="仿宋" w:eastAsia="仿宋_GB2312"/>
          <w:spacing w:val="6"/>
          <w:kern w:val="0"/>
          <w:sz w:val="28"/>
          <w:szCs w:val="28"/>
        </w:rPr>
        <w:t>2019年昆明市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大气自动站运行维护费项目</w:t>
      </w:r>
      <w:r>
        <w:rPr>
          <w:rFonts w:hint="eastAsia" w:ascii="仿宋_GB2312" w:hAnsi="仿宋" w:eastAsia="仿宋_GB2312"/>
          <w:spacing w:val="6"/>
          <w:kern w:val="0"/>
          <w:sz w:val="28"/>
          <w:szCs w:val="28"/>
          <w:lang w:val="en-US" w:eastAsia="zh-CN"/>
        </w:rPr>
        <w:t>计划时间为2019年全年365个日历天，实际完成时间为365个人日历天，完成及时率为100%</w:t>
      </w:r>
      <w:r>
        <w:rPr>
          <w:rFonts w:hint="eastAsia" w:ascii="仿宋_GB2312" w:hAnsi="仿宋" w:eastAsia="仿宋_GB2312"/>
          <w:spacing w:val="6"/>
          <w:kern w:val="0"/>
          <w:sz w:val="28"/>
          <w:szCs w:val="28"/>
          <w:highlight w:val="none"/>
          <w:lang w:val="en-US" w:eastAsia="zh-CN"/>
        </w:rPr>
        <w:t>。</w:t>
      </w:r>
    </w:p>
    <w:p w14:paraId="3C8751BE">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该项指标满分为5分，根据评分标准得5分。</w:t>
      </w:r>
    </w:p>
    <w:p w14:paraId="3A05F78E">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（2）项目效益</w:t>
      </w:r>
    </w:p>
    <w:p w14:paraId="63EE3141">
      <w:pPr>
        <w:spacing w:line="590" w:lineRule="exact"/>
        <w:ind w:firstLine="584" w:firstLineChars="200"/>
        <w:rPr>
          <w:rFonts w:hint="eastAsia" w:ascii="仿宋_GB2312" w:hAnsi="仿宋" w:eastAsia="仿宋_GB2312"/>
          <w:spacing w:val="6"/>
          <w:kern w:val="0"/>
          <w:sz w:val="28"/>
          <w:szCs w:val="28"/>
          <w:highlight w:val="none"/>
          <w:lang w:val="en-US" w:eastAsia="zh-CN"/>
        </w:rPr>
      </w:pPr>
      <w:r>
        <w:rPr>
          <w:rFonts w:hint="eastAsia" w:ascii="仿宋_GB2312" w:hAnsi="仿宋" w:eastAsia="仿宋_GB2312"/>
          <w:spacing w:val="6"/>
          <w:kern w:val="0"/>
          <w:sz w:val="28"/>
          <w:szCs w:val="28"/>
          <w:highlight w:val="none"/>
          <w:lang w:val="en-US" w:eastAsia="zh-CN"/>
        </w:rPr>
        <w:t>项目效益类指标包括生态效益、社会效益、可持续性效益和满意度四部分内容，主要反映污水设备维护有效性、辖区内水源地水质达标情况、污水处理设施完善情况、水污染治理有效性、项目实施后带来的可持续影响及项目区域内常驻居民的满意程度等问题。各指标的业绩值和实际得分详见表12。</w:t>
      </w:r>
    </w:p>
    <w:p w14:paraId="15AAAF75">
      <w:pPr>
        <w:topLinePunct/>
        <w:spacing w:line="579" w:lineRule="exact"/>
        <w:ind w:firstLine="480" w:firstLineChars="200"/>
        <w:jc w:val="center"/>
        <w:rPr>
          <w:rFonts w:hint="eastAsia" w:ascii="黑体" w:hAnsi="黑体" w:eastAsia="黑体" w:cs="黑体"/>
          <w:b w:val="0"/>
          <w:bCs w:val="0"/>
          <w:color w:val="000000"/>
          <w:sz w:val="24"/>
          <w:szCs w:val="24"/>
          <w:lang w:val="zh-CN" w:bidi="zh-CN"/>
        </w:rPr>
      </w:pPr>
    </w:p>
    <w:p w14:paraId="43647E4F">
      <w:pPr>
        <w:topLinePunct/>
        <w:spacing w:line="579" w:lineRule="exact"/>
        <w:ind w:firstLine="480" w:firstLineChars="200"/>
        <w:jc w:val="center"/>
        <w:rPr>
          <w:rFonts w:hint="eastAsia" w:ascii="黑体" w:hAnsi="黑体" w:eastAsia="黑体" w:cs="黑体"/>
          <w:b w:val="0"/>
          <w:bCs w:val="0"/>
          <w:color w:val="000000"/>
          <w:sz w:val="24"/>
          <w:szCs w:val="24"/>
          <w:lang w:val="zh-CN" w:bidi="zh-CN"/>
        </w:rPr>
      </w:pPr>
      <w:r>
        <w:rPr>
          <w:rFonts w:hint="eastAsia" w:ascii="黑体" w:hAnsi="黑体" w:eastAsia="黑体" w:cs="黑体"/>
          <w:b w:val="0"/>
          <w:bCs w:val="0"/>
          <w:color w:val="000000"/>
          <w:sz w:val="24"/>
          <w:szCs w:val="24"/>
          <w:lang w:val="zh-CN" w:bidi="zh-CN"/>
        </w:rPr>
        <w:t>表12  项目效益指标评分表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280"/>
        <w:gridCol w:w="1243"/>
        <w:gridCol w:w="1659"/>
        <w:gridCol w:w="1144"/>
      </w:tblGrid>
      <w:tr w14:paraId="3CF1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20" w:hRule="atLeast"/>
          <w:jc w:val="center"/>
        </w:trPr>
        <w:tc>
          <w:tcPr>
            <w:tcW w:w="2570" w:type="pct"/>
            <w:shd w:val="clear" w:color="auto" w:fill="FFFFFF"/>
            <w:vAlign w:val="bottom"/>
          </w:tcPr>
          <w:p w14:paraId="6A849258">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指标名称</w:t>
            </w:r>
          </w:p>
        </w:tc>
        <w:tc>
          <w:tcPr>
            <w:tcW w:w="746" w:type="pct"/>
            <w:shd w:val="clear" w:color="auto" w:fill="FFFFFF"/>
            <w:vAlign w:val="bottom"/>
          </w:tcPr>
          <w:p w14:paraId="60ED0B2A">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指标权重</w:t>
            </w:r>
          </w:p>
        </w:tc>
        <w:tc>
          <w:tcPr>
            <w:tcW w:w="996" w:type="pct"/>
            <w:shd w:val="clear" w:color="auto" w:fill="FFFFFF"/>
            <w:vAlign w:val="bottom"/>
          </w:tcPr>
          <w:p w14:paraId="2B959CA7">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业绩值</w:t>
            </w:r>
          </w:p>
        </w:tc>
        <w:tc>
          <w:tcPr>
            <w:tcW w:w="687" w:type="pct"/>
            <w:shd w:val="clear" w:color="auto" w:fill="FFFFFF"/>
            <w:vAlign w:val="bottom"/>
          </w:tcPr>
          <w:p w14:paraId="5C5F4524">
            <w:pPr>
              <w:pStyle w:val="11"/>
              <w:shd w:val="clear" w:color="auto" w:fill="auto"/>
              <w:spacing w:after="0" w:line="360" w:lineRule="auto"/>
              <w:rPr>
                <w:rFonts w:hint="eastAsia" w:ascii="宋体" w:hAnsi="宋体" w:eastAsia="宋体" w:cs="宋体"/>
                <w:b/>
                <w:bCs/>
                <w:sz w:val="21"/>
                <w:szCs w:val="21"/>
              </w:rPr>
            </w:pPr>
            <w:r>
              <w:rPr>
                <w:rStyle w:val="12"/>
                <w:rFonts w:hint="eastAsia" w:ascii="宋体" w:hAnsi="宋体" w:eastAsia="宋体" w:cs="宋体"/>
                <w:b/>
                <w:bCs/>
                <w:sz w:val="21"/>
                <w:szCs w:val="21"/>
              </w:rPr>
              <w:t>实际得分</w:t>
            </w:r>
          </w:p>
        </w:tc>
      </w:tr>
      <w:tr w14:paraId="1FDAF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tcPr>
          <w:p w14:paraId="21E99791">
            <w:pPr>
              <w:pStyle w:val="11"/>
              <w:shd w:val="clear" w:color="auto" w:fill="auto"/>
              <w:spacing w:after="0" w:line="360" w:lineRule="auto"/>
              <w:jc w:val="both"/>
              <w:rPr>
                <w:rFonts w:hint="eastAsia" w:ascii="宋体" w:hAnsi="宋体" w:eastAsia="宋体" w:cs="宋体"/>
                <w:sz w:val="21"/>
                <w:szCs w:val="21"/>
              </w:rPr>
            </w:pPr>
            <w:r>
              <w:rPr>
                <w:rStyle w:val="12"/>
                <w:rFonts w:hint="eastAsia" w:ascii="宋体" w:hAnsi="宋体" w:eastAsia="宋体" w:cs="宋体"/>
                <w:sz w:val="21"/>
                <w:szCs w:val="21"/>
              </w:rPr>
              <w:t>C21.</w:t>
            </w:r>
            <w:r>
              <w:rPr>
                <w:rStyle w:val="12"/>
                <w:rFonts w:hint="eastAsia" w:cs="宋体"/>
                <w:sz w:val="21"/>
                <w:szCs w:val="21"/>
                <w:lang w:val="en-US"/>
              </w:rPr>
              <w:t>社会</w:t>
            </w:r>
            <w:r>
              <w:rPr>
                <w:rStyle w:val="12"/>
                <w:rFonts w:hint="eastAsia" w:ascii="宋体" w:hAnsi="宋体" w:eastAsia="宋体" w:cs="宋体"/>
                <w:sz w:val="21"/>
                <w:szCs w:val="21"/>
              </w:rPr>
              <w:t>效益</w:t>
            </w:r>
          </w:p>
        </w:tc>
        <w:tc>
          <w:tcPr>
            <w:tcW w:w="746" w:type="pct"/>
            <w:shd w:val="clear" w:color="auto" w:fill="FFFFFF"/>
          </w:tcPr>
          <w:p w14:paraId="245C09C1">
            <w:pPr>
              <w:pStyle w:val="11"/>
              <w:shd w:val="clear" w:color="auto" w:fill="auto"/>
              <w:spacing w:after="0" w:line="360" w:lineRule="auto"/>
              <w:rPr>
                <w:rStyle w:val="12"/>
                <w:rFonts w:ascii="仿宋" w:hAnsi="仿宋" w:eastAsia="仿宋_GB2312"/>
                <w:sz w:val="24"/>
                <w:szCs w:val="24"/>
              </w:rPr>
            </w:pPr>
          </w:p>
        </w:tc>
        <w:tc>
          <w:tcPr>
            <w:tcW w:w="996" w:type="pct"/>
            <w:shd w:val="clear" w:color="auto" w:fill="FFFFFF"/>
          </w:tcPr>
          <w:p w14:paraId="03266528">
            <w:pPr>
              <w:pStyle w:val="11"/>
              <w:shd w:val="clear" w:color="auto" w:fill="auto"/>
              <w:spacing w:after="0" w:line="360" w:lineRule="auto"/>
              <w:rPr>
                <w:rStyle w:val="12"/>
                <w:rFonts w:ascii="仿宋" w:hAnsi="仿宋" w:eastAsia="仿宋_GB2312"/>
                <w:sz w:val="24"/>
                <w:szCs w:val="24"/>
              </w:rPr>
            </w:pPr>
          </w:p>
        </w:tc>
        <w:tc>
          <w:tcPr>
            <w:tcW w:w="687" w:type="pct"/>
            <w:shd w:val="clear" w:color="auto" w:fill="FFFFFF"/>
          </w:tcPr>
          <w:p w14:paraId="44D457CE">
            <w:pPr>
              <w:pStyle w:val="11"/>
              <w:shd w:val="clear" w:color="auto" w:fill="auto"/>
              <w:spacing w:after="0" w:line="360" w:lineRule="auto"/>
              <w:rPr>
                <w:rStyle w:val="12"/>
                <w:rFonts w:ascii="仿宋" w:hAnsi="仿宋" w:eastAsia="仿宋_GB2312"/>
                <w:sz w:val="24"/>
                <w:szCs w:val="24"/>
              </w:rPr>
            </w:pPr>
          </w:p>
        </w:tc>
      </w:tr>
      <w:tr w14:paraId="6D8C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vAlign w:val="center"/>
          </w:tcPr>
          <w:p w14:paraId="3241CE97">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C211.污水设备维护有效性</w:t>
            </w:r>
          </w:p>
        </w:tc>
        <w:tc>
          <w:tcPr>
            <w:tcW w:w="746" w:type="pct"/>
            <w:shd w:val="clear" w:color="auto" w:fill="FFFFFF"/>
            <w:vAlign w:val="bottom"/>
          </w:tcPr>
          <w:p w14:paraId="5ACE4C2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996" w:type="pct"/>
            <w:shd w:val="clear" w:color="auto" w:fill="FFFFFF"/>
            <w:vAlign w:val="center"/>
          </w:tcPr>
          <w:p w14:paraId="2DD694DD">
            <w:pPr>
              <w:pStyle w:val="11"/>
              <w:shd w:val="clear" w:color="auto" w:fill="auto"/>
              <w:spacing w:after="0" w:line="360" w:lineRule="auto"/>
              <w:rPr>
                <w:rFonts w:hint="eastAsia" w:ascii="宋体" w:hAnsi="宋体" w:eastAsia="宋体" w:cs="宋体"/>
                <w:sz w:val="21"/>
                <w:szCs w:val="21"/>
              </w:rPr>
            </w:pPr>
            <w:r>
              <w:rPr>
                <w:rStyle w:val="12"/>
                <w:rFonts w:hint="eastAsia" w:cs="宋体"/>
                <w:sz w:val="21"/>
                <w:szCs w:val="21"/>
                <w:lang w:val="en-US"/>
              </w:rPr>
              <w:t>有效</w:t>
            </w:r>
          </w:p>
        </w:tc>
        <w:tc>
          <w:tcPr>
            <w:tcW w:w="687" w:type="pct"/>
            <w:shd w:val="clear" w:color="auto" w:fill="FFFFFF"/>
            <w:vAlign w:val="bottom"/>
          </w:tcPr>
          <w:p w14:paraId="548DE551">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0CC6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tcPr>
          <w:p w14:paraId="56A4FCCF">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C2</w:t>
            </w:r>
            <w:r>
              <w:rPr>
                <w:rStyle w:val="12"/>
                <w:rFonts w:hint="eastAsia" w:cs="宋体"/>
                <w:sz w:val="21"/>
                <w:szCs w:val="21"/>
                <w:lang w:val="en-US"/>
              </w:rPr>
              <w:t>2</w:t>
            </w:r>
            <w:r>
              <w:rPr>
                <w:rStyle w:val="12"/>
                <w:rFonts w:hint="eastAsia" w:ascii="宋体" w:hAnsi="宋体" w:eastAsia="宋体" w:cs="宋体"/>
                <w:sz w:val="21"/>
                <w:szCs w:val="21"/>
              </w:rPr>
              <w:t>.</w:t>
            </w:r>
            <w:r>
              <w:rPr>
                <w:rStyle w:val="12"/>
                <w:rFonts w:hint="eastAsia" w:cs="宋体"/>
                <w:sz w:val="21"/>
                <w:szCs w:val="21"/>
                <w:lang w:val="en-US"/>
              </w:rPr>
              <w:t>生态效益</w:t>
            </w:r>
          </w:p>
        </w:tc>
        <w:tc>
          <w:tcPr>
            <w:tcW w:w="746" w:type="pct"/>
            <w:shd w:val="clear" w:color="auto" w:fill="FFFFFF"/>
          </w:tcPr>
          <w:p w14:paraId="4B9F0B3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96" w:type="pct"/>
            <w:shd w:val="clear" w:color="auto" w:fill="FFFFFF"/>
          </w:tcPr>
          <w:p w14:paraId="443AF3AE">
            <w:pPr>
              <w:pStyle w:val="11"/>
              <w:shd w:val="clear" w:color="auto" w:fill="auto"/>
              <w:spacing w:after="0" w:line="360" w:lineRule="auto"/>
              <w:rPr>
                <w:rStyle w:val="12"/>
                <w:rFonts w:hint="eastAsia" w:ascii="宋体" w:hAnsi="宋体" w:eastAsia="宋体" w:cs="宋体"/>
                <w:sz w:val="21"/>
                <w:szCs w:val="21"/>
              </w:rPr>
            </w:pPr>
          </w:p>
        </w:tc>
        <w:tc>
          <w:tcPr>
            <w:tcW w:w="687" w:type="pct"/>
            <w:shd w:val="clear" w:color="auto" w:fill="FFFFFF"/>
          </w:tcPr>
          <w:p w14:paraId="3B484AEE">
            <w:pPr>
              <w:pStyle w:val="11"/>
              <w:shd w:val="clear" w:color="auto" w:fill="auto"/>
              <w:spacing w:after="0" w:line="360" w:lineRule="auto"/>
              <w:rPr>
                <w:rFonts w:hint="eastAsia" w:ascii="Calibri" w:hAnsi="仿宋" w:eastAsia="宋体" w:cs="宋体"/>
                <w:color w:val="000000"/>
                <w:spacing w:val="0"/>
                <w:kern w:val="2"/>
                <w:sz w:val="21"/>
                <w:szCs w:val="22"/>
                <w:lang w:val="en-US" w:eastAsia="en-US" w:bidi="ar-SA"/>
              </w:rPr>
            </w:pPr>
          </w:p>
        </w:tc>
      </w:tr>
      <w:tr w14:paraId="6899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tcPr>
          <w:p w14:paraId="5ACAAA0B">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C22</w:t>
            </w:r>
            <w:r>
              <w:rPr>
                <w:rStyle w:val="12"/>
                <w:rFonts w:hint="eastAsia" w:cs="宋体"/>
                <w:sz w:val="21"/>
                <w:szCs w:val="21"/>
                <w:lang w:val="en-US"/>
              </w:rPr>
              <w:t>1</w:t>
            </w:r>
            <w:r>
              <w:rPr>
                <w:rStyle w:val="12"/>
                <w:rFonts w:hint="eastAsia" w:ascii="宋体" w:hAnsi="宋体" w:eastAsia="宋体" w:cs="宋体"/>
                <w:sz w:val="21"/>
                <w:szCs w:val="21"/>
              </w:rPr>
              <w:t>.辖区内水源地水质达标情况</w:t>
            </w:r>
          </w:p>
        </w:tc>
        <w:tc>
          <w:tcPr>
            <w:tcW w:w="746" w:type="pct"/>
            <w:shd w:val="clear" w:color="auto" w:fill="FFFFFF"/>
          </w:tcPr>
          <w:p w14:paraId="11C1CE18">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996" w:type="pct"/>
            <w:shd w:val="clear" w:color="auto" w:fill="FFFFFF"/>
          </w:tcPr>
          <w:p w14:paraId="2F39E614">
            <w:pPr>
              <w:pStyle w:val="11"/>
              <w:shd w:val="clear" w:color="auto" w:fill="auto"/>
              <w:spacing w:after="0" w:line="360" w:lineRule="auto"/>
              <w:rPr>
                <w:rStyle w:val="12"/>
                <w:rFonts w:hint="default" w:ascii="宋体" w:hAnsi="宋体" w:eastAsia="宋体" w:cs="宋体"/>
                <w:sz w:val="21"/>
                <w:szCs w:val="21"/>
                <w:lang w:val="en-US"/>
              </w:rPr>
            </w:pPr>
            <w:r>
              <w:rPr>
                <w:rStyle w:val="12"/>
                <w:rFonts w:hint="eastAsia" w:cs="宋体"/>
                <w:sz w:val="21"/>
                <w:szCs w:val="21"/>
                <w:lang w:val="en-US"/>
              </w:rPr>
              <w:t>达标</w:t>
            </w:r>
          </w:p>
        </w:tc>
        <w:tc>
          <w:tcPr>
            <w:tcW w:w="687" w:type="pct"/>
            <w:shd w:val="clear" w:color="auto" w:fill="FFFFFF"/>
          </w:tcPr>
          <w:p w14:paraId="30495C34">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45E0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tcPr>
          <w:p w14:paraId="50D6FB2E">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C22</w:t>
            </w:r>
            <w:r>
              <w:rPr>
                <w:rStyle w:val="12"/>
                <w:rFonts w:hint="eastAsia" w:cs="宋体"/>
                <w:sz w:val="21"/>
                <w:szCs w:val="21"/>
                <w:lang w:val="en-US"/>
              </w:rPr>
              <w:t>2</w:t>
            </w:r>
            <w:r>
              <w:rPr>
                <w:rStyle w:val="12"/>
                <w:rFonts w:hint="eastAsia" w:ascii="宋体" w:hAnsi="宋体" w:eastAsia="宋体" w:cs="宋体"/>
                <w:sz w:val="21"/>
                <w:szCs w:val="21"/>
              </w:rPr>
              <w:t>.污水处理设施完善情况</w:t>
            </w:r>
          </w:p>
        </w:tc>
        <w:tc>
          <w:tcPr>
            <w:tcW w:w="746" w:type="pct"/>
            <w:shd w:val="clear" w:color="auto" w:fill="FFFFFF"/>
          </w:tcPr>
          <w:p w14:paraId="39A7373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996" w:type="pct"/>
            <w:shd w:val="clear" w:color="auto" w:fill="FFFFFF"/>
          </w:tcPr>
          <w:p w14:paraId="38BB2C15">
            <w:pPr>
              <w:pStyle w:val="11"/>
              <w:shd w:val="clear" w:color="auto" w:fill="auto"/>
              <w:spacing w:after="0" w:line="360" w:lineRule="auto"/>
              <w:rPr>
                <w:rStyle w:val="12"/>
                <w:rFonts w:hint="eastAsia" w:ascii="宋体" w:hAnsi="宋体" w:eastAsia="宋体" w:cs="宋体"/>
                <w:sz w:val="21"/>
                <w:szCs w:val="21"/>
              </w:rPr>
            </w:pPr>
            <w:r>
              <w:rPr>
                <w:rStyle w:val="12"/>
                <w:rFonts w:hint="eastAsia" w:cs="宋体"/>
                <w:sz w:val="21"/>
                <w:szCs w:val="21"/>
                <w:lang w:val="en-US"/>
              </w:rPr>
              <w:t>完善</w:t>
            </w:r>
          </w:p>
        </w:tc>
        <w:tc>
          <w:tcPr>
            <w:tcW w:w="687" w:type="pct"/>
            <w:shd w:val="clear" w:color="auto" w:fill="FFFFFF"/>
          </w:tcPr>
          <w:p w14:paraId="700DD744">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1B94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tcPr>
          <w:p w14:paraId="2A32460E">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C22</w:t>
            </w:r>
            <w:r>
              <w:rPr>
                <w:rStyle w:val="12"/>
                <w:rFonts w:hint="eastAsia" w:cs="宋体"/>
                <w:sz w:val="21"/>
                <w:szCs w:val="21"/>
                <w:lang w:val="en-US"/>
              </w:rPr>
              <w:t>3</w:t>
            </w:r>
            <w:r>
              <w:rPr>
                <w:rStyle w:val="12"/>
                <w:rFonts w:hint="eastAsia" w:ascii="宋体" w:hAnsi="宋体" w:eastAsia="宋体" w:cs="宋体"/>
                <w:sz w:val="21"/>
                <w:szCs w:val="21"/>
              </w:rPr>
              <w:t>.水污染治理有效性</w:t>
            </w:r>
          </w:p>
        </w:tc>
        <w:tc>
          <w:tcPr>
            <w:tcW w:w="746" w:type="pct"/>
            <w:shd w:val="clear" w:color="auto" w:fill="FFFFFF"/>
          </w:tcPr>
          <w:p w14:paraId="3FECA801">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c>
          <w:tcPr>
            <w:tcW w:w="996" w:type="pct"/>
            <w:shd w:val="clear" w:color="auto" w:fill="FFFFFF"/>
          </w:tcPr>
          <w:p w14:paraId="2A525678">
            <w:pPr>
              <w:pStyle w:val="11"/>
              <w:shd w:val="clear" w:color="auto" w:fill="auto"/>
              <w:spacing w:after="0" w:line="360" w:lineRule="auto"/>
              <w:rPr>
                <w:rStyle w:val="12"/>
                <w:rFonts w:hint="default" w:ascii="宋体" w:hAnsi="宋体" w:eastAsia="宋体" w:cs="宋体"/>
                <w:sz w:val="21"/>
                <w:szCs w:val="21"/>
                <w:lang w:val="en-US"/>
              </w:rPr>
            </w:pPr>
            <w:r>
              <w:rPr>
                <w:rStyle w:val="12"/>
                <w:rFonts w:hint="eastAsia" w:cs="宋体"/>
                <w:sz w:val="21"/>
                <w:szCs w:val="21"/>
                <w:lang w:val="en-US"/>
              </w:rPr>
              <w:t>有效</w:t>
            </w:r>
          </w:p>
        </w:tc>
        <w:tc>
          <w:tcPr>
            <w:tcW w:w="687" w:type="pct"/>
            <w:shd w:val="clear" w:color="auto" w:fill="FFFFFF"/>
          </w:tcPr>
          <w:p w14:paraId="545E1B3F">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5</w:t>
            </w:r>
          </w:p>
        </w:tc>
      </w:tr>
      <w:tr w14:paraId="015D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tcPr>
          <w:p w14:paraId="2BDEBBA0">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C23.可持续性效益</w:t>
            </w:r>
          </w:p>
        </w:tc>
        <w:tc>
          <w:tcPr>
            <w:tcW w:w="746" w:type="pct"/>
            <w:shd w:val="clear" w:color="auto" w:fill="FFFFFF"/>
          </w:tcPr>
          <w:p w14:paraId="532FF5E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96" w:type="pct"/>
            <w:shd w:val="clear" w:color="auto" w:fill="FFFFFF"/>
          </w:tcPr>
          <w:p w14:paraId="66300036">
            <w:pPr>
              <w:pStyle w:val="11"/>
              <w:shd w:val="clear" w:color="auto" w:fill="auto"/>
              <w:spacing w:after="0" w:line="360" w:lineRule="auto"/>
              <w:rPr>
                <w:rStyle w:val="12"/>
                <w:rFonts w:hint="eastAsia" w:ascii="宋体" w:hAnsi="宋体" w:eastAsia="宋体" w:cs="宋体"/>
                <w:sz w:val="21"/>
                <w:szCs w:val="21"/>
              </w:rPr>
            </w:pPr>
          </w:p>
        </w:tc>
        <w:tc>
          <w:tcPr>
            <w:tcW w:w="687" w:type="pct"/>
            <w:shd w:val="clear" w:color="auto" w:fill="FFFFFF"/>
          </w:tcPr>
          <w:p w14:paraId="7AA93F2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7525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tcPr>
          <w:p w14:paraId="19663113">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C231.项目可持续影响</w:t>
            </w:r>
          </w:p>
        </w:tc>
        <w:tc>
          <w:tcPr>
            <w:tcW w:w="746" w:type="pct"/>
            <w:shd w:val="clear" w:color="auto" w:fill="FFFFFF"/>
          </w:tcPr>
          <w:p w14:paraId="1FA9281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4</w:t>
            </w:r>
          </w:p>
        </w:tc>
        <w:tc>
          <w:tcPr>
            <w:tcW w:w="996" w:type="pct"/>
            <w:shd w:val="clear" w:color="auto" w:fill="FFFFFF"/>
          </w:tcPr>
          <w:p w14:paraId="723A2C02">
            <w:pPr>
              <w:pStyle w:val="11"/>
              <w:shd w:val="clear" w:color="auto" w:fill="auto"/>
              <w:spacing w:after="0" w:line="360" w:lineRule="auto"/>
              <w:rPr>
                <w:rStyle w:val="12"/>
                <w:rFonts w:hint="eastAsia" w:ascii="宋体" w:hAnsi="宋体" w:eastAsia="宋体" w:cs="宋体"/>
                <w:sz w:val="21"/>
                <w:szCs w:val="21"/>
              </w:rPr>
            </w:pPr>
            <w:r>
              <w:rPr>
                <w:rStyle w:val="12"/>
                <w:rFonts w:hint="eastAsia" w:ascii="宋体" w:hAnsi="宋体" w:eastAsia="宋体" w:cs="宋体"/>
                <w:sz w:val="21"/>
                <w:szCs w:val="21"/>
              </w:rPr>
              <w:t>起到作用</w:t>
            </w:r>
          </w:p>
        </w:tc>
        <w:tc>
          <w:tcPr>
            <w:tcW w:w="687" w:type="pct"/>
            <w:shd w:val="clear" w:color="auto" w:fill="FFFFFF"/>
          </w:tcPr>
          <w:p w14:paraId="4EEED572">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4</w:t>
            </w:r>
          </w:p>
        </w:tc>
      </w:tr>
      <w:tr w14:paraId="5A42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tcPr>
          <w:p w14:paraId="1F467EF7">
            <w:pPr>
              <w:pStyle w:val="11"/>
              <w:shd w:val="clear" w:color="auto" w:fill="auto"/>
              <w:spacing w:after="0" w:line="360" w:lineRule="auto"/>
              <w:jc w:val="both"/>
              <w:rPr>
                <w:rStyle w:val="12"/>
                <w:rFonts w:hint="eastAsia" w:ascii="宋体" w:hAnsi="宋体" w:eastAsia="宋体" w:cs="宋体"/>
                <w:sz w:val="21"/>
                <w:szCs w:val="21"/>
              </w:rPr>
            </w:pPr>
            <w:r>
              <w:rPr>
                <w:rStyle w:val="12"/>
                <w:rFonts w:hint="eastAsia" w:ascii="宋体" w:hAnsi="宋体" w:eastAsia="宋体" w:cs="宋体"/>
                <w:sz w:val="21"/>
                <w:szCs w:val="21"/>
              </w:rPr>
              <w:t>C24.满意度</w:t>
            </w:r>
          </w:p>
        </w:tc>
        <w:tc>
          <w:tcPr>
            <w:tcW w:w="746" w:type="pct"/>
            <w:shd w:val="clear" w:color="auto" w:fill="FFFFFF"/>
          </w:tcPr>
          <w:p w14:paraId="207A9D85">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c>
          <w:tcPr>
            <w:tcW w:w="996" w:type="pct"/>
            <w:shd w:val="clear" w:color="auto" w:fill="FFFFFF"/>
          </w:tcPr>
          <w:p w14:paraId="7D2B1513">
            <w:pPr>
              <w:pStyle w:val="11"/>
              <w:shd w:val="clear" w:color="auto" w:fill="auto"/>
              <w:spacing w:after="0" w:line="360" w:lineRule="auto"/>
              <w:rPr>
                <w:rStyle w:val="12"/>
                <w:rFonts w:hint="eastAsia" w:ascii="宋体" w:hAnsi="宋体" w:eastAsia="宋体" w:cs="宋体"/>
                <w:sz w:val="21"/>
                <w:szCs w:val="21"/>
              </w:rPr>
            </w:pPr>
          </w:p>
        </w:tc>
        <w:tc>
          <w:tcPr>
            <w:tcW w:w="687" w:type="pct"/>
            <w:shd w:val="clear" w:color="auto" w:fill="FFFFFF"/>
          </w:tcPr>
          <w:p w14:paraId="6EAA3B3F">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p>
        </w:tc>
      </w:tr>
      <w:tr w14:paraId="724A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tcPr>
          <w:p w14:paraId="7A26EBC9">
            <w:pPr>
              <w:pStyle w:val="11"/>
              <w:shd w:val="clear" w:color="auto" w:fill="auto"/>
              <w:spacing w:after="0" w:line="360" w:lineRule="auto"/>
              <w:ind w:firstLine="420" w:firstLineChars="200"/>
              <w:jc w:val="both"/>
              <w:rPr>
                <w:rStyle w:val="12"/>
                <w:rFonts w:hint="eastAsia" w:ascii="宋体" w:hAnsi="宋体" w:eastAsia="宋体" w:cs="宋体"/>
                <w:sz w:val="21"/>
                <w:szCs w:val="21"/>
              </w:rPr>
            </w:pPr>
            <w:r>
              <w:rPr>
                <w:rStyle w:val="12"/>
                <w:rFonts w:hint="eastAsia" w:ascii="宋体" w:hAnsi="宋体" w:eastAsia="宋体" w:cs="宋体"/>
                <w:sz w:val="21"/>
                <w:szCs w:val="21"/>
              </w:rPr>
              <w:t>C241.常驻居民的满意程度</w:t>
            </w:r>
          </w:p>
        </w:tc>
        <w:tc>
          <w:tcPr>
            <w:tcW w:w="746" w:type="pct"/>
            <w:shd w:val="clear" w:color="auto" w:fill="FFFFFF"/>
          </w:tcPr>
          <w:p w14:paraId="12DBAB07">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6</w:t>
            </w:r>
          </w:p>
        </w:tc>
        <w:tc>
          <w:tcPr>
            <w:tcW w:w="996" w:type="pct"/>
            <w:shd w:val="clear" w:color="auto" w:fill="FFFFFF"/>
          </w:tcPr>
          <w:p w14:paraId="2129EED6">
            <w:pPr>
              <w:pStyle w:val="11"/>
              <w:shd w:val="clear" w:color="auto" w:fill="auto"/>
              <w:spacing w:after="0" w:line="360" w:lineRule="auto"/>
              <w:rPr>
                <w:rStyle w:val="12"/>
                <w:rFonts w:hint="eastAsia" w:ascii="宋体" w:hAnsi="宋体" w:eastAsia="宋体" w:cs="宋体"/>
                <w:sz w:val="21"/>
                <w:szCs w:val="21"/>
              </w:rPr>
            </w:pPr>
            <w:r>
              <w:rPr>
                <w:rStyle w:val="12"/>
                <w:rFonts w:hint="eastAsia" w:cs="宋体"/>
                <w:sz w:val="21"/>
                <w:szCs w:val="21"/>
                <w:lang w:val="en-US"/>
              </w:rPr>
              <w:t>较为满意</w:t>
            </w:r>
          </w:p>
        </w:tc>
        <w:tc>
          <w:tcPr>
            <w:tcW w:w="687" w:type="pct"/>
            <w:shd w:val="clear" w:color="auto" w:fill="FFFFFF"/>
          </w:tcPr>
          <w:p w14:paraId="2C7C29ED">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4</w:t>
            </w:r>
          </w:p>
        </w:tc>
      </w:tr>
      <w:tr w14:paraId="53FD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8" w:hRule="atLeast"/>
          <w:jc w:val="center"/>
        </w:trPr>
        <w:tc>
          <w:tcPr>
            <w:tcW w:w="2570" w:type="pct"/>
            <w:shd w:val="clear" w:color="auto" w:fill="FFFFFF"/>
            <w:vAlign w:val="center"/>
          </w:tcPr>
          <w:p w14:paraId="086CB1B0">
            <w:pPr>
              <w:pStyle w:val="11"/>
              <w:shd w:val="clear" w:color="auto" w:fill="auto"/>
              <w:spacing w:after="0" w:line="360" w:lineRule="auto"/>
              <w:rPr>
                <w:rFonts w:hint="eastAsia" w:ascii="宋体" w:hAnsi="宋体" w:eastAsia="宋体" w:cs="宋体"/>
                <w:b/>
                <w:bCs/>
                <w:sz w:val="21"/>
                <w:szCs w:val="21"/>
                <w:lang w:eastAsia="zh-CN"/>
              </w:rPr>
            </w:pPr>
            <w:r>
              <w:rPr>
                <w:rFonts w:hint="eastAsia" w:cs="宋体"/>
                <w:b/>
                <w:bCs/>
                <w:sz w:val="21"/>
                <w:szCs w:val="21"/>
                <w:lang w:eastAsia="zh-CN"/>
              </w:rPr>
              <w:t>合计</w:t>
            </w:r>
          </w:p>
        </w:tc>
        <w:tc>
          <w:tcPr>
            <w:tcW w:w="746" w:type="pct"/>
            <w:shd w:val="clear" w:color="auto" w:fill="FFFFFF"/>
            <w:vAlign w:val="center"/>
          </w:tcPr>
          <w:p w14:paraId="40CA0393">
            <w:pPr>
              <w:pStyle w:val="11"/>
              <w:shd w:val="clear" w:color="auto" w:fill="auto"/>
              <w:spacing w:after="0" w:line="360" w:lineRule="auto"/>
              <w:rPr>
                <w:rFonts w:hint="eastAsia" w:ascii="Calibri" w:hAnsi="仿宋" w:eastAsia="宋体" w:cs="宋体"/>
                <w:color w:val="000000"/>
                <w:spacing w:val="0"/>
                <w:kern w:val="2"/>
                <w:sz w:val="21"/>
                <w:szCs w:val="22"/>
                <w:lang w:val="en-US" w:eastAsia="zh-CN" w:bidi="ar-SA"/>
              </w:rPr>
            </w:pPr>
            <w:r>
              <w:rPr>
                <w:rFonts w:hint="eastAsia" w:ascii="Calibri" w:hAnsi="仿宋" w:eastAsia="宋体" w:cs="宋体"/>
                <w:color w:val="000000"/>
                <w:spacing w:val="0"/>
                <w:kern w:val="2"/>
                <w:sz w:val="21"/>
                <w:szCs w:val="22"/>
                <w:lang w:val="en-US" w:eastAsia="zh-CN" w:bidi="ar-SA"/>
              </w:rPr>
              <w:t>30</w:t>
            </w:r>
          </w:p>
        </w:tc>
        <w:tc>
          <w:tcPr>
            <w:tcW w:w="996" w:type="pct"/>
            <w:shd w:val="clear" w:color="auto" w:fill="FFFFFF"/>
          </w:tcPr>
          <w:p w14:paraId="3F2AA730">
            <w:pPr>
              <w:spacing w:line="360" w:lineRule="auto"/>
              <w:rPr>
                <w:rFonts w:ascii="仿宋" w:hAnsi="仿宋" w:eastAsia="仿宋_GB2312"/>
                <w:b/>
                <w:bCs/>
                <w:sz w:val="24"/>
                <w:szCs w:val="24"/>
              </w:rPr>
            </w:pPr>
          </w:p>
        </w:tc>
        <w:tc>
          <w:tcPr>
            <w:tcW w:w="687" w:type="pct"/>
            <w:shd w:val="clear" w:color="auto" w:fill="FFFFFF"/>
            <w:vAlign w:val="center"/>
          </w:tcPr>
          <w:p w14:paraId="1C5F4502">
            <w:pPr>
              <w:pStyle w:val="11"/>
              <w:shd w:val="clear" w:color="auto" w:fill="auto"/>
              <w:spacing w:after="0" w:line="360" w:lineRule="auto"/>
              <w:rPr>
                <w:rFonts w:hint="default" w:ascii="Calibri" w:hAnsi="仿宋" w:eastAsia="宋体" w:cs="宋体"/>
                <w:color w:val="000000"/>
                <w:spacing w:val="0"/>
                <w:kern w:val="2"/>
                <w:sz w:val="21"/>
                <w:szCs w:val="22"/>
                <w:lang w:val="en-US" w:eastAsia="zh-CN" w:bidi="ar-SA"/>
              </w:rPr>
            </w:pPr>
            <w:r>
              <w:rPr>
                <w:rFonts w:hint="eastAsia" w:ascii="Calibri" w:hAnsi="仿宋" w:cs="宋体"/>
                <w:color w:val="000000"/>
                <w:spacing w:val="0"/>
                <w:kern w:val="2"/>
                <w:sz w:val="21"/>
                <w:szCs w:val="22"/>
                <w:lang w:val="en-US" w:eastAsia="zh-CN" w:bidi="ar-SA"/>
              </w:rPr>
              <w:t>28</w:t>
            </w:r>
          </w:p>
        </w:tc>
      </w:tr>
    </w:tbl>
    <w:p w14:paraId="68BE5BC7">
      <w:pPr>
        <w:pStyle w:val="11"/>
        <w:shd w:val="clear" w:color="auto" w:fill="auto"/>
        <w:spacing w:after="0" w:line="579" w:lineRule="exact"/>
        <w:ind w:firstLine="586"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b/>
          <w:bCs/>
          <w:spacing w:val="6"/>
          <w:kern w:val="0"/>
          <w:sz w:val="28"/>
          <w:szCs w:val="28"/>
          <w:highlight w:val="none"/>
          <w:lang w:val="en-US" w:eastAsia="zh-CN" w:bidi="ar-SA"/>
        </w:rPr>
        <w:t>C21.社会效益</w:t>
      </w:r>
    </w:p>
    <w:p w14:paraId="5F458C72">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C211.污水设备维护有效性</w:t>
      </w:r>
      <w:r>
        <w:rPr>
          <w:rFonts w:hint="eastAsia" w:ascii="仿宋_GB2312" w:hAnsi="仿宋" w:eastAsia="仿宋_GB2312" w:cs="Times New Roman"/>
          <w:spacing w:val="6"/>
          <w:kern w:val="0"/>
          <w:sz w:val="28"/>
          <w:szCs w:val="28"/>
          <w:highlight w:val="none"/>
          <w:lang w:val="en-US" w:eastAsia="zh-CN" w:bidi="ar-SA"/>
        </w:rPr>
        <w:t>：根据现场勘查及访谈内容，2019年全年未出现维修不及时、无人管理、设备遭到破坏等原因导致污水处理设备停运的情况发生。</w:t>
      </w:r>
    </w:p>
    <w:p w14:paraId="4D7033BD">
      <w:pPr>
        <w:pStyle w:val="11"/>
        <w:shd w:val="clear" w:color="auto" w:fill="auto"/>
        <w:spacing w:after="0" w:line="579" w:lineRule="exact"/>
        <w:ind w:firstLine="584" w:firstLineChars="200"/>
        <w:jc w:val="both"/>
        <w:rPr>
          <w:rFonts w:hint="eastAsia" w:ascii="仿宋_GB2312" w:hAnsi="仿宋" w:eastAsia="仿宋_GB2312" w:cs="Times New Roman"/>
          <w:b/>
          <w:bCs/>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该项指标满分为5分，根据评分标准得5分。</w:t>
      </w:r>
    </w:p>
    <w:p w14:paraId="1EA75789">
      <w:pPr>
        <w:pStyle w:val="11"/>
        <w:shd w:val="clear" w:color="auto" w:fill="auto"/>
        <w:spacing w:after="0" w:line="579" w:lineRule="exact"/>
        <w:ind w:firstLine="586" w:firstLineChars="200"/>
        <w:jc w:val="both"/>
        <w:rPr>
          <w:rFonts w:hint="eastAsia" w:ascii="仿宋_GB2312" w:hAnsi="仿宋" w:eastAsia="仿宋_GB2312" w:cs="Times New Roman"/>
          <w:b/>
          <w:bCs/>
          <w:spacing w:val="6"/>
          <w:kern w:val="0"/>
          <w:sz w:val="28"/>
          <w:szCs w:val="28"/>
          <w:highlight w:val="none"/>
          <w:lang w:val="en-US" w:eastAsia="zh-CN" w:bidi="ar-SA"/>
        </w:rPr>
      </w:pPr>
      <w:r>
        <w:rPr>
          <w:rFonts w:hint="eastAsia" w:ascii="仿宋_GB2312" w:hAnsi="仿宋" w:eastAsia="仿宋_GB2312" w:cs="Times New Roman"/>
          <w:b/>
          <w:bCs/>
          <w:spacing w:val="6"/>
          <w:kern w:val="0"/>
          <w:sz w:val="28"/>
          <w:szCs w:val="28"/>
          <w:highlight w:val="none"/>
          <w:lang w:val="en-US" w:eastAsia="zh-CN" w:bidi="ar-SA"/>
        </w:rPr>
        <w:t>C22.生态效益</w:t>
      </w:r>
    </w:p>
    <w:p w14:paraId="368F0117">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C221.辖区内水源地水质达标情况</w:t>
      </w:r>
      <w:r>
        <w:rPr>
          <w:rFonts w:hint="eastAsia" w:ascii="仿宋_GB2312" w:hAnsi="仿宋" w:eastAsia="仿宋_GB2312" w:cs="Times New Roman"/>
          <w:spacing w:val="6"/>
          <w:kern w:val="0"/>
          <w:sz w:val="28"/>
          <w:szCs w:val="28"/>
          <w:highlight w:val="none"/>
          <w:lang w:val="en-US" w:eastAsia="zh-CN" w:bidi="ar-SA"/>
        </w:rPr>
        <w:t>：根据昆明市生态环境局盘龙分局出具的水体检测报告显示，辖区内水源地未出现低于Ⅴ类水体。</w:t>
      </w:r>
    </w:p>
    <w:p w14:paraId="231AED1E">
      <w:pPr>
        <w:spacing w:line="579" w:lineRule="exact"/>
        <w:ind w:firstLine="584" w:firstLineChars="200"/>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该项指标满分为5分，根据评分标准得5分。</w:t>
      </w:r>
    </w:p>
    <w:p w14:paraId="55DF6EAB">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C222.污水处理设施完善情况</w:t>
      </w:r>
      <w:r>
        <w:rPr>
          <w:rFonts w:hint="eastAsia" w:ascii="仿宋_GB2312" w:hAnsi="仿宋" w:eastAsia="仿宋_GB2312" w:cs="Times New Roman"/>
          <w:spacing w:val="6"/>
          <w:kern w:val="0"/>
          <w:sz w:val="28"/>
          <w:szCs w:val="28"/>
          <w:highlight w:val="none"/>
          <w:lang w:val="en-US" w:eastAsia="zh-CN" w:bidi="ar-SA"/>
        </w:rPr>
        <w:t>：根据现场勘查及问卷调查显示，项目实施后，辖区内为出现因污水处理设施设备不足导致辖区内居民或企业所产生的污水无法通过污水处理设施进行处理，直排水源地。</w:t>
      </w:r>
    </w:p>
    <w:p w14:paraId="4F9CFB0C">
      <w:pPr>
        <w:spacing w:line="579" w:lineRule="exact"/>
        <w:ind w:firstLine="584" w:firstLineChars="200"/>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该项指标满分为5分，根据评分标准得5分。</w:t>
      </w:r>
    </w:p>
    <w:p w14:paraId="528121A3">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C223.水污染治理有效性</w:t>
      </w:r>
      <w:r>
        <w:rPr>
          <w:rFonts w:hint="eastAsia" w:ascii="仿宋_GB2312" w:hAnsi="仿宋" w:eastAsia="仿宋_GB2312" w:cs="Times New Roman"/>
          <w:spacing w:val="6"/>
          <w:kern w:val="0"/>
          <w:sz w:val="28"/>
          <w:szCs w:val="28"/>
          <w:highlight w:val="none"/>
          <w:lang w:val="en-US" w:eastAsia="zh-CN" w:bidi="ar-SA"/>
        </w:rPr>
        <w:t>：根据现场勘查及问卷调查显示，辖区内未出现周边村庄或企业污水乱排、偷排等情况发生。</w:t>
      </w:r>
    </w:p>
    <w:p w14:paraId="01F8EED7">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该项指标满分为5分，根据评分标准得5分。</w:t>
      </w:r>
    </w:p>
    <w:p w14:paraId="363EDF09">
      <w:pPr>
        <w:pStyle w:val="11"/>
        <w:shd w:val="clear" w:color="auto" w:fill="auto"/>
        <w:spacing w:after="0" w:line="579" w:lineRule="exact"/>
        <w:ind w:firstLine="586" w:firstLineChars="200"/>
        <w:jc w:val="both"/>
        <w:rPr>
          <w:rFonts w:hint="eastAsia" w:ascii="仿宋_GB2312" w:hAnsi="仿宋" w:eastAsia="仿宋_GB2312" w:cs="Times New Roman"/>
          <w:b/>
          <w:bCs/>
          <w:spacing w:val="6"/>
          <w:kern w:val="0"/>
          <w:sz w:val="28"/>
          <w:szCs w:val="28"/>
          <w:highlight w:val="none"/>
          <w:lang w:val="en-US" w:eastAsia="zh-CN" w:bidi="ar-SA"/>
        </w:rPr>
      </w:pPr>
      <w:r>
        <w:rPr>
          <w:rFonts w:hint="eastAsia" w:ascii="仿宋_GB2312" w:hAnsi="仿宋" w:eastAsia="仿宋_GB2312" w:cs="Times New Roman"/>
          <w:b/>
          <w:bCs/>
          <w:spacing w:val="6"/>
          <w:kern w:val="0"/>
          <w:sz w:val="28"/>
          <w:szCs w:val="28"/>
          <w:highlight w:val="none"/>
          <w:lang w:val="en-US" w:eastAsia="zh-CN" w:bidi="ar-SA"/>
        </w:rPr>
        <w:t>C23.可持续性效益</w:t>
      </w:r>
    </w:p>
    <w:p w14:paraId="0E8779C7">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C231.项目可持续影响</w:t>
      </w:r>
      <w:r>
        <w:rPr>
          <w:rFonts w:hint="eastAsia" w:ascii="仿宋_GB2312" w:hAnsi="仿宋" w:eastAsia="仿宋_GB2312" w:cs="Times New Roman"/>
          <w:spacing w:val="6"/>
          <w:kern w:val="0"/>
          <w:sz w:val="28"/>
          <w:szCs w:val="28"/>
          <w:highlight w:val="none"/>
          <w:lang w:val="en-US" w:eastAsia="zh-CN" w:bidi="ar-SA"/>
        </w:rPr>
        <w:t>：项目实施后有效的改善了冷水河水质，对保护松华坝饮用水源地水质安全发挥了积极作用，通过建立污水处理站运行管理长效机制，确保污水处理率达标，削减污染物排放量，提高水环境质量。</w:t>
      </w:r>
    </w:p>
    <w:p w14:paraId="09AFBD0C">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该项指标满分为4分，根据评分标准得4分。</w:t>
      </w:r>
    </w:p>
    <w:p w14:paraId="654EEC15">
      <w:pPr>
        <w:pStyle w:val="11"/>
        <w:shd w:val="clear" w:color="auto" w:fill="auto"/>
        <w:spacing w:after="0" w:line="579" w:lineRule="exact"/>
        <w:ind w:firstLine="586"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b/>
          <w:bCs/>
          <w:spacing w:val="6"/>
          <w:kern w:val="0"/>
          <w:sz w:val="28"/>
          <w:szCs w:val="28"/>
          <w:highlight w:val="none"/>
          <w:lang w:val="en-US" w:eastAsia="zh-CN" w:bidi="ar-SA"/>
        </w:rPr>
        <w:t>C24.满意度</w:t>
      </w:r>
    </w:p>
    <w:p w14:paraId="12ACD236">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u w:val="single"/>
          <w:lang w:val="en-US" w:eastAsia="zh-CN" w:bidi="ar-SA"/>
        </w:rPr>
        <w:t>C241.常驻居民的满意程度</w:t>
      </w:r>
      <w:r>
        <w:rPr>
          <w:rFonts w:hint="eastAsia" w:ascii="仿宋_GB2312" w:hAnsi="仿宋" w:eastAsia="仿宋_GB2312" w:cs="Times New Roman"/>
          <w:spacing w:val="6"/>
          <w:kern w:val="0"/>
          <w:sz w:val="28"/>
          <w:szCs w:val="28"/>
          <w:highlight w:val="none"/>
          <w:lang w:val="en-US" w:eastAsia="zh-CN" w:bidi="ar-SA"/>
        </w:rPr>
        <w:t>：通过对项目实施区域内周边常驻居民进行满意度问卷调查，发放问卷60份，回收有效问卷60分，满意问卷53份，最终满意度=满意问卷份数/有效问卷份数×100%，通过计算得出周边常驻居民满意度为88.33%。</w:t>
      </w:r>
    </w:p>
    <w:p w14:paraId="1C7906A4">
      <w:pPr>
        <w:pStyle w:val="11"/>
        <w:shd w:val="clear" w:color="auto" w:fill="auto"/>
        <w:spacing w:after="0" w:line="579" w:lineRule="exact"/>
        <w:ind w:firstLine="584" w:firstLineChars="200"/>
        <w:jc w:val="both"/>
        <w:rPr>
          <w:rFonts w:hint="eastAsia" w:ascii="仿宋_GB2312" w:hAnsi="仿宋" w:eastAsia="仿宋_GB2312" w:cs="Times New Roman"/>
          <w:spacing w:val="6"/>
          <w:kern w:val="0"/>
          <w:sz w:val="28"/>
          <w:szCs w:val="28"/>
          <w:highlight w:val="none"/>
          <w:lang w:val="zh-CN" w:eastAsia="zh-CN" w:bidi="ar-SA"/>
        </w:rPr>
      </w:pPr>
      <w:r>
        <w:rPr>
          <w:rFonts w:hint="eastAsia" w:ascii="仿宋_GB2312" w:hAnsi="仿宋" w:eastAsia="仿宋_GB2312" w:cs="Times New Roman"/>
          <w:spacing w:val="6"/>
          <w:kern w:val="0"/>
          <w:sz w:val="28"/>
          <w:szCs w:val="28"/>
          <w:highlight w:val="none"/>
          <w:lang w:val="en-US" w:eastAsia="zh-CN" w:bidi="ar-SA"/>
        </w:rPr>
        <w:t>该项指标满分为6分，根据评分标准得4分。</w:t>
      </w:r>
    </w:p>
    <w:p w14:paraId="700ED209">
      <w:pPr>
        <w:spacing w:line="579" w:lineRule="exact"/>
        <w:ind w:firstLine="600" w:firstLineChars="200"/>
        <w:outlineLvl w:val="0"/>
        <w:rPr>
          <w:rFonts w:hint="eastAsia" w:ascii="黑体" w:hAnsi="黑体" w:eastAsia="黑体" w:cs="宋体"/>
          <w:kern w:val="30"/>
          <w:sz w:val="30"/>
          <w:szCs w:val="30"/>
          <w:highlight w:val="none"/>
          <w:lang w:val="en-US" w:eastAsia="zh-CN"/>
        </w:rPr>
      </w:pPr>
      <w:r>
        <w:rPr>
          <w:rFonts w:hint="eastAsia" w:ascii="黑体" w:hAnsi="黑体" w:eastAsia="黑体" w:cs="宋体"/>
          <w:kern w:val="30"/>
          <w:sz w:val="30"/>
          <w:szCs w:val="30"/>
          <w:highlight w:val="none"/>
          <w:lang w:val="en-US" w:eastAsia="zh-CN"/>
        </w:rPr>
        <w:t>四、主要经验及做法、存在的问题和建议</w:t>
      </w:r>
    </w:p>
    <w:p w14:paraId="69A91551">
      <w:pPr>
        <w:topLinePunct/>
        <w:spacing w:line="579" w:lineRule="exact"/>
        <w:ind w:firstLine="600" w:firstLineChars="200"/>
        <w:rPr>
          <w:rFonts w:hint="eastAsia" w:ascii="楷体" w:hAnsi="楷体" w:eastAsia="楷体"/>
          <w:kern w:val="30"/>
          <w:sz w:val="30"/>
          <w:szCs w:val="30"/>
          <w:lang w:val="en-US" w:eastAsia="zh-CN"/>
        </w:rPr>
      </w:pPr>
      <w:r>
        <w:rPr>
          <w:rFonts w:hint="eastAsia" w:ascii="楷体" w:hAnsi="楷体" w:eastAsia="楷体"/>
          <w:kern w:val="30"/>
          <w:sz w:val="30"/>
          <w:szCs w:val="30"/>
        </w:rPr>
        <w:t>（一）</w:t>
      </w:r>
      <w:r>
        <w:rPr>
          <w:rFonts w:hint="eastAsia" w:ascii="楷体" w:hAnsi="楷体" w:eastAsia="楷体"/>
          <w:kern w:val="30"/>
          <w:sz w:val="30"/>
          <w:szCs w:val="30"/>
          <w:lang w:val="en-US" w:eastAsia="zh-CN"/>
        </w:rPr>
        <w:t>主要经验及做法</w:t>
      </w:r>
    </w:p>
    <w:p w14:paraId="699BDD44">
      <w:pPr>
        <w:spacing w:line="560" w:lineRule="exact"/>
        <w:ind w:firstLine="584" w:firstLineChars="200"/>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为加强松华坝水库水源保护区环境保护和削减污染物入库量工作，确保设施正常运行，切实增强污水处理设施的运行监管，提高污水处理率，依据相关法律法规及盘龙区实际，昆明市生态环境局盘龙分局针对污水处理站运行维护企业制定了《村庄生活污水处理工程污水处理站运行管理考核办法（试行）》，考核办法中明确指出，村庄生活污水处理工程污水处理站运行管理考核工作由昆明市生态环境局盘龙分局负责组织实施，盘龙区财政局、盘龙区审计局、阿子营街道办事处、滇源街道办事处和昆明市盘龙区建设投资有限公司配合考核工作，考核评价的主要内容由人员情况、工艺运行管理、水质管理、污泥管理、设备管理、安全管理、站容站貌管理7项指标构成，总分100分。考核方式主要通过现场检查、效果评估、听取汇报、查看资料报表和出水水质监测数据等方式进行。考核结果分为合格、不合格两个档次，考核结果在75分以上为合格，75分以下为不合格。不参与或不配合考核工作的、当年污水处理站出现重大安全事故造成人员财产重大损失，或者因处理外排废水不达标导致周围水体受到污染等情况，直接视为考核不合格。年度考核结果直接与污水处理站污水处理费拨付挂钩，区环保局将区财政局下拨的村庄生活污水处理站专项资金拨付80%予区建投公司，待考核工作结束后，若考核结果合格，再拨付剩余20%资金，若考核不合格，将督促区建投公司立即整改，达到整改要求，便拨付剩余资金，若仍不达标，便扣除当年财政拨款的5%。考核最终结果由区环保局上报盘龙区人民政府。昆明市生态环境局盘龙分局要依据考核过程发现的问题进行专门研究和分析，提出具体整改措施和意见，要求昆明市盘龙区建设投资有限公司按照整改措施和意见立即整改。对整改不到位或因工作不力造成严重影响和后果的，昆明市生态环境局盘龙分局将会同有关部门依法追究污水处理站运行维护管理单位及负责人的责任。对在考核工程中弄虚作假，瞒报、虚报情况的，严重影响考核结果，将予以通报批评，并对有关责任人进行严肃处理。</w:t>
      </w:r>
    </w:p>
    <w:p w14:paraId="19A0B2E1">
      <w:pPr>
        <w:topLinePunct/>
        <w:spacing w:line="579" w:lineRule="exact"/>
        <w:ind w:firstLine="600" w:firstLineChars="200"/>
        <w:rPr>
          <w:rFonts w:hint="default" w:ascii="楷体" w:hAnsi="楷体" w:eastAsia="楷体"/>
          <w:kern w:val="30"/>
          <w:sz w:val="30"/>
          <w:szCs w:val="30"/>
          <w:lang w:val="en-US" w:eastAsia="zh-CN"/>
        </w:rPr>
      </w:pPr>
      <w:r>
        <w:rPr>
          <w:rFonts w:hint="eastAsia" w:ascii="楷体" w:hAnsi="楷体" w:eastAsia="楷体"/>
          <w:kern w:val="30"/>
          <w:sz w:val="30"/>
          <w:szCs w:val="30"/>
        </w:rPr>
        <w:t>（</w:t>
      </w:r>
      <w:r>
        <w:rPr>
          <w:rFonts w:hint="eastAsia" w:ascii="楷体" w:hAnsi="楷体" w:eastAsia="楷体"/>
          <w:kern w:val="30"/>
          <w:sz w:val="30"/>
          <w:szCs w:val="30"/>
          <w:lang w:val="en-US" w:eastAsia="zh-CN"/>
        </w:rPr>
        <w:t>二</w:t>
      </w:r>
      <w:r>
        <w:rPr>
          <w:rFonts w:hint="eastAsia" w:ascii="楷体" w:hAnsi="楷体" w:eastAsia="楷体"/>
          <w:kern w:val="30"/>
          <w:sz w:val="30"/>
          <w:szCs w:val="30"/>
        </w:rPr>
        <w:t>）</w:t>
      </w:r>
      <w:r>
        <w:rPr>
          <w:rFonts w:hint="eastAsia" w:ascii="楷体" w:hAnsi="楷体" w:eastAsia="楷体"/>
          <w:kern w:val="30"/>
          <w:sz w:val="30"/>
          <w:szCs w:val="30"/>
          <w:lang w:val="en-US" w:eastAsia="zh-CN"/>
        </w:rPr>
        <w:t>存在的问题</w:t>
      </w:r>
    </w:p>
    <w:p w14:paraId="6D270284">
      <w:pPr>
        <w:topLinePunct/>
        <w:spacing w:line="579" w:lineRule="exact"/>
        <w:ind w:firstLine="584" w:firstLineChars="200"/>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1.预算执行率低</w:t>
      </w:r>
    </w:p>
    <w:p w14:paraId="581FBB27">
      <w:pPr>
        <w:topLinePunct/>
        <w:spacing w:line="579" w:lineRule="exact"/>
        <w:ind w:firstLine="584" w:firstLineChars="200"/>
        <w:rPr>
          <w:rFonts w:hint="eastAsia" w:ascii="仿宋_GB2312" w:hAnsi="仿宋" w:eastAsia="仿宋_GB2312" w:cs="Times New Roman"/>
          <w:spacing w:val="6"/>
          <w:kern w:val="0"/>
          <w:sz w:val="28"/>
          <w:szCs w:val="28"/>
          <w:highlight w:val="none"/>
          <w:lang w:val="en-US" w:eastAsia="zh-CN" w:bidi="ar-SA"/>
        </w:rPr>
      </w:pPr>
      <w:r>
        <w:rPr>
          <w:rFonts w:hint="eastAsia" w:ascii="仿宋_GB2312" w:hAnsi="仿宋" w:eastAsia="仿宋_GB2312" w:cs="Times New Roman"/>
          <w:spacing w:val="6"/>
          <w:kern w:val="0"/>
          <w:sz w:val="28"/>
          <w:szCs w:val="28"/>
          <w:highlight w:val="none"/>
          <w:lang w:val="en-US" w:eastAsia="zh-CN" w:bidi="ar-SA"/>
        </w:rPr>
        <w:t>根据资金批复文件、到位情况及资金使用情况发现，因与农投公司相关合同尾款受实际运行情况影响仍未结清，</w:t>
      </w:r>
      <w:r>
        <w:rPr>
          <w:rFonts w:hint="eastAsia" w:ascii="仿宋_GB2312" w:hAnsi="仿宋" w:eastAsia="仿宋_GB2312"/>
          <w:spacing w:val="6"/>
          <w:kern w:val="0"/>
          <w:sz w:val="28"/>
          <w:szCs w:val="28"/>
        </w:rPr>
        <w:t>2019年昆明市</w:t>
      </w:r>
      <w:r>
        <w:rPr>
          <w:rFonts w:hint="eastAsia" w:ascii="仿宋_GB2312" w:hAnsi="仿宋" w:eastAsia="仿宋_GB2312"/>
          <w:spacing w:val="6"/>
          <w:kern w:val="0"/>
          <w:sz w:val="28"/>
          <w:szCs w:val="28"/>
          <w:lang w:val="en-US" w:eastAsia="zh-CN"/>
        </w:rPr>
        <w:t>生态环境局</w:t>
      </w:r>
      <w:r>
        <w:rPr>
          <w:rFonts w:hint="eastAsia" w:ascii="仿宋_GB2312" w:hAnsi="仿宋" w:eastAsia="仿宋_GB2312"/>
          <w:spacing w:val="6"/>
          <w:kern w:val="0"/>
          <w:sz w:val="28"/>
          <w:szCs w:val="28"/>
        </w:rPr>
        <w:t>盘龙区</w:t>
      </w:r>
      <w:r>
        <w:rPr>
          <w:rFonts w:hint="eastAsia" w:ascii="仿宋_GB2312" w:hAnsi="仿宋" w:eastAsia="仿宋_GB2312"/>
          <w:spacing w:val="6"/>
          <w:kern w:val="0"/>
          <w:sz w:val="28"/>
          <w:szCs w:val="28"/>
          <w:lang w:val="en-US" w:eastAsia="zh-CN"/>
        </w:rPr>
        <w:t>分局</w:t>
      </w:r>
      <w:r>
        <w:rPr>
          <w:rFonts w:hint="eastAsia" w:ascii="仿宋_GB2312" w:hAnsi="仿宋" w:eastAsia="仿宋_GB2312"/>
          <w:spacing w:val="6"/>
          <w:kern w:val="0"/>
          <w:sz w:val="28"/>
          <w:szCs w:val="28"/>
        </w:rPr>
        <w:t>大气自动站运行维护费项目共实际支出</w:t>
      </w:r>
      <w:r>
        <w:rPr>
          <w:rFonts w:hint="eastAsia" w:ascii="仿宋_GB2312" w:hAnsi="仿宋" w:eastAsia="仿宋_GB2312"/>
          <w:spacing w:val="6"/>
          <w:kern w:val="0"/>
          <w:sz w:val="28"/>
          <w:szCs w:val="28"/>
          <w:lang w:val="en-US" w:eastAsia="zh-CN"/>
        </w:rPr>
        <w:t>1,934,030.66</w:t>
      </w:r>
      <w:r>
        <w:rPr>
          <w:rFonts w:hint="eastAsia" w:ascii="仿宋_GB2312" w:hAnsi="仿宋" w:eastAsia="仿宋_GB2312"/>
          <w:spacing w:val="6"/>
          <w:kern w:val="0"/>
          <w:sz w:val="28"/>
          <w:szCs w:val="28"/>
        </w:rPr>
        <w:t>元，该项目</w:t>
      </w:r>
      <w:r>
        <w:rPr>
          <w:rFonts w:hint="eastAsia" w:ascii="仿宋_GB2312" w:hAnsi="仿宋" w:eastAsia="仿宋_GB2312"/>
          <w:spacing w:val="6"/>
          <w:kern w:val="0"/>
          <w:sz w:val="28"/>
          <w:szCs w:val="28"/>
          <w:lang w:val="en-US" w:eastAsia="zh-CN"/>
        </w:rPr>
        <w:t>年初财政预算2,101,791元</w:t>
      </w:r>
      <w:r>
        <w:rPr>
          <w:rFonts w:hint="eastAsia" w:ascii="仿宋_GB2312" w:hAnsi="仿宋" w:eastAsia="仿宋_GB2312" w:cs="Times New Roman"/>
          <w:spacing w:val="6"/>
          <w:kern w:val="0"/>
          <w:sz w:val="28"/>
          <w:szCs w:val="28"/>
          <w:highlight w:val="none"/>
          <w:lang w:val="en-US" w:eastAsia="zh-CN" w:bidi="ar-SA"/>
        </w:rPr>
        <w:t>，资金使用率仅为92.02%。</w:t>
      </w:r>
    </w:p>
    <w:p w14:paraId="368D4F7B">
      <w:pPr>
        <w:topLinePunct/>
        <w:spacing w:line="579" w:lineRule="exact"/>
        <w:ind w:firstLine="600" w:firstLineChars="200"/>
        <w:rPr>
          <w:rFonts w:ascii="楷体" w:hAnsi="楷体" w:eastAsia="楷体"/>
          <w:kern w:val="30"/>
          <w:sz w:val="30"/>
          <w:szCs w:val="30"/>
        </w:rPr>
      </w:pPr>
      <w:r>
        <w:rPr>
          <w:rFonts w:hint="eastAsia" w:ascii="楷体" w:hAnsi="楷体" w:eastAsia="楷体"/>
          <w:kern w:val="30"/>
          <w:sz w:val="30"/>
          <w:szCs w:val="30"/>
        </w:rPr>
        <w:t>（</w:t>
      </w:r>
      <w:r>
        <w:rPr>
          <w:rFonts w:hint="eastAsia" w:ascii="楷体" w:hAnsi="楷体" w:eastAsia="楷体"/>
          <w:kern w:val="30"/>
          <w:sz w:val="30"/>
          <w:szCs w:val="30"/>
          <w:lang w:val="en-US" w:eastAsia="zh-CN"/>
        </w:rPr>
        <w:t>三</w:t>
      </w:r>
      <w:r>
        <w:rPr>
          <w:rFonts w:hint="eastAsia" w:ascii="楷体" w:hAnsi="楷体" w:eastAsia="楷体"/>
          <w:kern w:val="30"/>
          <w:sz w:val="30"/>
          <w:szCs w:val="30"/>
        </w:rPr>
        <w:t>）建议和改进措施</w:t>
      </w:r>
    </w:p>
    <w:p w14:paraId="26DBC815">
      <w:pPr>
        <w:topLinePunct/>
        <w:spacing w:line="579" w:lineRule="exact"/>
        <w:ind w:firstLine="584" w:firstLineChars="200"/>
        <w:rPr>
          <w:rFonts w:hint="eastAsia"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1.加强项目支出预算执行率</w:t>
      </w:r>
    </w:p>
    <w:p w14:paraId="4533B448">
      <w:pPr>
        <w:topLinePunct/>
        <w:spacing w:line="579" w:lineRule="exact"/>
        <w:ind w:firstLine="584" w:firstLineChars="200"/>
        <w:rPr>
          <w:rFonts w:hint="eastAsia" w:ascii="仿宋_GB2312" w:hAnsi="仿宋" w:eastAsia="仿宋_GB2312" w:cs="Times New Roman"/>
          <w:spacing w:val="6"/>
          <w:kern w:val="0"/>
          <w:sz w:val="28"/>
          <w:szCs w:val="28"/>
          <w:lang w:val="en-US" w:eastAsia="zh-CN"/>
        </w:rPr>
      </w:pPr>
      <w:r>
        <w:rPr>
          <w:rFonts w:hint="eastAsia" w:ascii="仿宋_GB2312" w:hAnsi="仿宋" w:eastAsia="仿宋_GB2312" w:cs="Times New Roman"/>
          <w:spacing w:val="6"/>
          <w:kern w:val="0"/>
          <w:sz w:val="28"/>
          <w:szCs w:val="28"/>
          <w:lang w:val="en-US" w:eastAsia="zh-CN"/>
        </w:rPr>
        <w:t>建议在编制项目支出预算时，应根据历年经验，加强预算的合理性。根据当期费用实际发生情况加强预算执行动态监控，及时按规定进行预算的调整申请。</w:t>
      </w:r>
    </w:p>
    <w:p w14:paraId="41D1AFD6">
      <w:pPr>
        <w:topLinePunct/>
        <w:spacing w:line="579" w:lineRule="exact"/>
        <w:ind w:firstLine="584" w:firstLineChars="200"/>
        <w:rPr>
          <w:rFonts w:hint="default" w:ascii="仿宋_GB2312" w:hAnsi="仿宋" w:eastAsia="仿宋_GB2312" w:cs="Times New Roman"/>
          <w:spacing w:val="6"/>
          <w:kern w:val="0"/>
          <w:sz w:val="28"/>
          <w:szCs w:val="28"/>
          <w:lang w:val="en-US" w:eastAsia="zh-CN"/>
        </w:rPr>
      </w:pPr>
    </w:p>
    <w:p w14:paraId="4BEE1A4E">
      <w:pPr>
        <w:keepNext w:val="0"/>
        <w:keepLines w:val="0"/>
        <w:pageBreakBefore w:val="0"/>
        <w:widowControl w:val="0"/>
        <w:numPr>
          <w:ilvl w:val="0"/>
          <w:numId w:val="0"/>
        </w:numPr>
        <w:kinsoku/>
        <w:wordWrap/>
        <w:overflowPunct/>
        <w:autoSpaceDE/>
        <w:autoSpaceDN/>
        <w:bidi w:val="0"/>
        <w:spacing w:line="360" w:lineRule="auto"/>
        <w:ind w:right="0" w:rightChars="0"/>
        <w:jc w:val="left"/>
        <w:textAlignment w:val="auto"/>
        <w:rPr>
          <w:rFonts w:hint="eastAsia" w:ascii="仿宋_GB2312" w:hAnsi="仿宋" w:eastAsia="仿宋_GB2312"/>
          <w:color w:val="000000" w:themeColor="text1"/>
          <w:spacing w:val="6"/>
          <w:kern w:val="0"/>
          <w:sz w:val="28"/>
          <w:szCs w:val="28"/>
          <w:highlight w:val="none"/>
          <w:lang w:val="en-US" w:eastAsia="zh-CN"/>
          <w14:textFill>
            <w14:solidFill>
              <w14:schemeClr w14:val="tx1"/>
            </w14:solidFill>
          </w14:textFill>
        </w:rPr>
      </w:pPr>
    </w:p>
    <w:p w14:paraId="28FFFA88">
      <w:pPr>
        <w:keepNext w:val="0"/>
        <w:keepLines w:val="0"/>
        <w:pageBreakBefore w:val="0"/>
        <w:widowControl w:val="0"/>
        <w:numPr>
          <w:ilvl w:val="0"/>
          <w:numId w:val="0"/>
        </w:numPr>
        <w:kinsoku/>
        <w:wordWrap/>
        <w:overflowPunct/>
        <w:autoSpaceDE/>
        <w:autoSpaceDN/>
        <w:bidi w:val="0"/>
        <w:spacing w:line="360" w:lineRule="auto"/>
        <w:ind w:right="0" w:rightChars="0"/>
        <w:jc w:val="left"/>
        <w:textAlignment w:val="auto"/>
        <w:rPr>
          <w:rFonts w:hint="eastAsia" w:ascii="仿宋_GB2312" w:hAnsi="楷体" w:eastAsia="仿宋_GB2312" w:cs="Times New Roman"/>
          <w:spacing w:val="0"/>
          <w:kern w:val="2"/>
          <w:sz w:val="28"/>
          <w:szCs w:val="28"/>
          <w:u w:val="none"/>
          <w:lang w:val="en-US" w:eastAsia="zh-CN" w:bidi="ar-SA"/>
        </w:rPr>
      </w:pPr>
    </w:p>
    <w:p w14:paraId="527241E5">
      <w:pPr>
        <w:topLinePunct/>
        <w:spacing w:line="579" w:lineRule="exact"/>
        <w:ind w:firstLine="584" w:firstLineChars="200"/>
        <w:rPr>
          <w:rFonts w:hint="eastAsia" w:ascii="仿宋_GB2312" w:hAnsi="仿宋" w:eastAsia="仿宋_GB2312"/>
          <w:spacing w:val="6"/>
          <w:kern w:val="0"/>
          <w:sz w:val="28"/>
          <w:szCs w:val="28"/>
          <w:lang w:val="en-US" w:eastAsia="zh-CN"/>
        </w:rPr>
      </w:pPr>
    </w:p>
    <w:p w14:paraId="5819D032">
      <w:pPr>
        <w:topLinePunct/>
        <w:jc w:val="center"/>
        <w:rPr>
          <w:rFonts w:hint="eastAsia" w:ascii="方正小标宋_GBK" w:hAnsi="方正小标宋_GBK" w:eastAsia="方正小标宋_GBK" w:cs="方正小标宋_GBK"/>
          <w:sz w:val="32"/>
          <w:szCs w:val="32"/>
          <w:lang w:val="en-US" w:eastAsia="zh-CN"/>
        </w:rPr>
      </w:pPr>
    </w:p>
    <w:p w14:paraId="2DDFF438">
      <w:pPr>
        <w:spacing w:line="590" w:lineRule="exact"/>
        <w:jc w:val="center"/>
        <w:rPr>
          <w:rFonts w:hint="eastAsia" w:ascii="方正小标宋简体" w:hAnsi="Times New Roman" w:eastAsia="方正小标宋简体"/>
          <w:spacing w:val="6"/>
          <w:kern w:val="0"/>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ngLiU_HKSCS">
    <w:altName w:val="PMingLiU-ExtB"/>
    <w:panose1 w:val="02020500000000000000"/>
    <w:charset w:val="88"/>
    <w:family w:val="auto"/>
    <w:pitch w:val="default"/>
    <w:sig w:usb0="00000000" w:usb1="00000000" w:usb2="00000016" w:usb3="00000000" w:csb0="00100001" w:csb1="00000000"/>
  </w:font>
  <w:font w:name="方正小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5881A"/>
    <w:multiLevelType w:val="singleLevel"/>
    <w:tmpl w:val="8865881A"/>
    <w:lvl w:ilvl="0" w:tentative="0">
      <w:start w:val="1"/>
      <w:numFmt w:val="decimal"/>
      <w:suff w:val="nothing"/>
      <w:lvlText w:val="（%1）"/>
      <w:lvlJc w:val="left"/>
    </w:lvl>
  </w:abstractNum>
  <w:abstractNum w:abstractNumId="1">
    <w:nsid w:val="9EF4190A"/>
    <w:multiLevelType w:val="singleLevel"/>
    <w:tmpl w:val="9EF4190A"/>
    <w:lvl w:ilvl="0" w:tentative="0">
      <w:start w:val="2"/>
      <w:numFmt w:val="decimal"/>
      <w:suff w:val="nothing"/>
      <w:lvlText w:val="（%1）"/>
      <w:lvlJc w:val="left"/>
    </w:lvl>
  </w:abstractNum>
  <w:abstractNum w:abstractNumId="2">
    <w:nsid w:val="B927C8DB"/>
    <w:multiLevelType w:val="singleLevel"/>
    <w:tmpl w:val="B927C8DB"/>
    <w:lvl w:ilvl="0" w:tentative="0">
      <w:start w:val="1"/>
      <w:numFmt w:val="decimal"/>
      <w:suff w:val="nothing"/>
      <w:lvlText w:val="（%1）"/>
      <w:lvlJc w:val="left"/>
    </w:lvl>
  </w:abstractNum>
  <w:abstractNum w:abstractNumId="3">
    <w:nsid w:val="DDF92864"/>
    <w:multiLevelType w:val="singleLevel"/>
    <w:tmpl w:val="DDF92864"/>
    <w:lvl w:ilvl="0" w:tentative="0">
      <w:start w:val="2"/>
      <w:numFmt w:val="chineseCounting"/>
      <w:suff w:val="nothing"/>
      <w:lvlText w:val="（%1）"/>
      <w:lvlJc w:val="left"/>
      <w:rPr>
        <w:rFonts w:hint="eastAsia"/>
      </w:rPr>
    </w:lvl>
  </w:abstractNum>
  <w:abstractNum w:abstractNumId="4">
    <w:nsid w:val="F1666FAE"/>
    <w:multiLevelType w:val="singleLevel"/>
    <w:tmpl w:val="F1666FAE"/>
    <w:lvl w:ilvl="0" w:tentative="0">
      <w:start w:val="2"/>
      <w:numFmt w:val="chineseCounting"/>
      <w:suff w:val="nothing"/>
      <w:lvlText w:val="（%1）"/>
      <w:lvlJc w:val="left"/>
      <w:rPr>
        <w:rFonts w:hint="eastAsia"/>
      </w:rPr>
    </w:lvl>
  </w:abstractNum>
  <w:abstractNum w:abstractNumId="5">
    <w:nsid w:val="2FD954BE"/>
    <w:multiLevelType w:val="singleLevel"/>
    <w:tmpl w:val="2FD954BE"/>
    <w:lvl w:ilvl="0" w:tentative="0">
      <w:start w:val="11"/>
      <w:numFmt w:val="decimal"/>
      <w:lvlText w:val="%1."/>
      <w:lvlJc w:val="left"/>
      <w:pPr>
        <w:tabs>
          <w:tab w:val="left" w:pos="312"/>
        </w:tabs>
      </w:pPr>
    </w:lvl>
  </w:abstractNum>
  <w:abstractNum w:abstractNumId="6">
    <w:nsid w:val="522EF00E"/>
    <w:multiLevelType w:val="singleLevel"/>
    <w:tmpl w:val="522EF00E"/>
    <w:lvl w:ilvl="0" w:tentative="0">
      <w:start w:val="2"/>
      <w:numFmt w:val="chineseCounting"/>
      <w:suff w:val="nothing"/>
      <w:lvlText w:val="（%1）"/>
      <w:lvlJc w:val="left"/>
      <w:rPr>
        <w:rFonts w:hint="eastAsia"/>
      </w:rPr>
    </w:lvl>
  </w:abstractNum>
  <w:abstractNum w:abstractNumId="7">
    <w:nsid w:val="5BB42FBF"/>
    <w:multiLevelType w:val="singleLevel"/>
    <w:tmpl w:val="5BB42FBF"/>
    <w:lvl w:ilvl="0" w:tentative="0">
      <w:start w:val="1"/>
      <w:numFmt w:val="decimal"/>
      <w:suff w:val="nothing"/>
      <w:lvlText w:val="（%1）"/>
      <w:lvlJc w:val="left"/>
    </w:lvl>
  </w:abstractNum>
  <w:num w:numId="1">
    <w:abstractNumId w:val="4"/>
  </w:num>
  <w:num w:numId="2">
    <w:abstractNumId w:val="7"/>
  </w:num>
  <w:num w:numId="3">
    <w:abstractNumId w:val="5"/>
  </w:num>
  <w:num w:numId="4">
    <w:abstractNumId w:val="6"/>
  </w:num>
  <w:num w:numId="5">
    <w:abstractNumId w:val="3"/>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E0AE1"/>
    <w:rsid w:val="07F37472"/>
    <w:rsid w:val="090A7B9E"/>
    <w:rsid w:val="141C7FDF"/>
    <w:rsid w:val="181B59A7"/>
    <w:rsid w:val="18C23793"/>
    <w:rsid w:val="2B907AE2"/>
    <w:rsid w:val="30777453"/>
    <w:rsid w:val="32603855"/>
    <w:rsid w:val="39ED0552"/>
    <w:rsid w:val="3A58554B"/>
    <w:rsid w:val="5DA90CF4"/>
    <w:rsid w:val="602B1751"/>
    <w:rsid w:val="62B35013"/>
    <w:rsid w:val="64522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toc 1"/>
    <w:basedOn w:val="1"/>
    <w:next w:val="1"/>
    <w:unhideWhenUsed/>
    <w:qFormat/>
    <w:uiPriority w:val="39"/>
  </w:style>
  <w:style w:type="paragraph" w:styleId="6">
    <w:name w:val="toc 2"/>
    <w:basedOn w:val="1"/>
    <w:next w:val="1"/>
    <w:unhideWhenUsed/>
    <w:qFormat/>
    <w:uiPriority w:val="39"/>
    <w:pPr>
      <w:ind w:left="420" w:leftChars="200"/>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正文文本 (2)"/>
    <w:basedOn w:val="1"/>
    <w:link w:val="13"/>
    <w:qFormat/>
    <w:uiPriority w:val="0"/>
    <w:pPr>
      <w:shd w:val="clear" w:color="auto" w:fill="FFFFFF"/>
      <w:spacing w:after="240" w:line="0" w:lineRule="atLeast"/>
      <w:jc w:val="center"/>
    </w:pPr>
    <w:rPr>
      <w:rFonts w:ascii="宋体" w:hAnsi="宋体" w:cs="宋体"/>
      <w:spacing w:val="20"/>
      <w:sz w:val="26"/>
      <w:szCs w:val="26"/>
    </w:rPr>
  </w:style>
  <w:style w:type="character" w:customStyle="1" w:styleId="12">
    <w:name w:val="正文文本 (2) + 10.5 pt"/>
    <w:basedOn w:val="13"/>
    <w:qFormat/>
    <w:uiPriority w:val="0"/>
    <w:rPr>
      <w:rFonts w:ascii="宋体" w:hAnsi="宋体" w:eastAsia="宋体" w:cs="宋体"/>
      <w:color w:val="000000"/>
      <w:spacing w:val="0"/>
      <w:w w:val="100"/>
      <w:position w:val="0"/>
      <w:sz w:val="21"/>
      <w:szCs w:val="21"/>
      <w:shd w:val="clear" w:color="auto" w:fill="FFFFFF"/>
      <w:lang w:val="zh-CN" w:eastAsia="zh-CN" w:bidi="zh-CN"/>
    </w:rPr>
  </w:style>
  <w:style w:type="character" w:customStyle="1" w:styleId="13">
    <w:name w:val="正文文本 (2)_"/>
    <w:basedOn w:val="10"/>
    <w:link w:val="11"/>
    <w:qFormat/>
    <w:uiPriority w:val="0"/>
    <w:rPr>
      <w:rFonts w:ascii="宋体" w:hAnsi="宋体" w:cs="宋体"/>
      <w:spacing w:val="20"/>
      <w:sz w:val="26"/>
      <w:szCs w:val="26"/>
    </w:rPr>
  </w:style>
  <w:style w:type="paragraph" w:customStyle="1" w:styleId="14">
    <w:name w:val="表格标题 (4)"/>
    <w:basedOn w:val="1"/>
    <w:qFormat/>
    <w:uiPriority w:val="0"/>
    <w:pPr>
      <w:shd w:val="clear" w:color="auto" w:fill="FFFFFF"/>
      <w:spacing w:line="0" w:lineRule="atLeast"/>
      <w:jc w:val="left"/>
    </w:pPr>
    <w:rPr>
      <w:rFonts w:ascii="宋体" w:hAnsi="宋体" w:cs="宋体"/>
      <w:b/>
      <w:bCs/>
      <w:sz w:val="28"/>
      <w:szCs w:val="28"/>
    </w:rPr>
  </w:style>
  <w:style w:type="paragraph" w:customStyle="1" w:styleId="15">
    <w:name w:val="正文文本 (2)1"/>
    <w:basedOn w:val="1"/>
    <w:qFormat/>
    <w:uiPriority w:val="0"/>
    <w:pPr>
      <w:widowControl w:val="0"/>
      <w:shd w:val="clear" w:color="auto" w:fill="FFFFFF"/>
      <w:spacing w:after="240" w:line="0" w:lineRule="atLeast"/>
      <w:jc w:val="center"/>
    </w:pPr>
    <w:rPr>
      <w:rFonts w:ascii="宋体" w:hAnsi="宋体" w:eastAsia="宋体" w:cs="宋体"/>
      <w:spacing w:val="20"/>
      <w:sz w:val="26"/>
      <w:szCs w:val="2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140</Pages>
  <Words>7707</Words>
  <Characters>8264</Characters>
  <Lines>0</Lines>
  <Paragraphs>0</Paragraphs>
  <TotalTime>3</TotalTime>
  <ScaleCrop>false</ScaleCrop>
  <LinksUpToDate>false</LinksUpToDate>
  <CharactersWithSpaces>8294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2020-09-22T10:05:00Z</dcterms:created>
  <dc:creator>赵斌</dc:creator>
  <cp:lastModifiedBy>听潮</cp:lastModifiedBy>
  <dcterms:modified xsi:type="dcterms:W3CDTF">2025-04-07T01:33:48Z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eyJoZGlkIjoiYjU3YWRkZmU5OTJhNGQyMDFmYzgxYmU0MjIxODYxNTUiLCJ1c2VySWQiOiIyNDE4NzAyOTkifQ==</vt:lpwstr>
  </property>
  <property fmtid="{D5CDD505-2E9C-101B-9397-08002B2CF9AE}" pid="4" name="ICV">
    <vt:lpwstr>1257EDFF27FD4A55AE85F58FEF68A084_12</vt:lpwstr>
  </property>
</Properties>
</file>